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A515C21" wp14:editId="5E48416B">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675E20" w:rsidP="008F07A3">
          <w:pPr>
            <w:pStyle w:val="ReportSubtitle"/>
          </w:pPr>
          <w:r>
            <w:t>SA Power Networks</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F3CAB">
            <w:t>6</w:t>
          </w:r>
          <w:r>
            <w:t xml:space="preserve"> </w:t>
          </w:r>
          <w:r>
            <w:rPr>
              <w:rFonts w:cs="Arial"/>
            </w:rPr>
            <w:t>−</w:t>
          </w:r>
          <w:r>
            <w:t xml:space="preserve"> </w:t>
          </w:r>
          <w:r w:rsidR="00EF3CAB">
            <w:t>Capital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EF3CAB" w:rsidRDefault="00EF3CAB">
      <w:pPr>
        <w:spacing w:line="240" w:lineRule="auto"/>
      </w:pPr>
      <w:r>
        <w:br w:type="page"/>
      </w:r>
    </w:p>
    <w:p w:rsidR="008F07A3" w:rsidRDefault="00DA61F3" w:rsidP="00525DDF">
      <w:pPr>
        <w:pStyle w:val="UnnumberedHeading"/>
        <w:numPr>
          <w:ilvl w:val="0"/>
          <w:numId w:val="23"/>
        </w:numPr>
      </w:pPr>
      <w:bookmarkStart w:id="1" w:name="_Toc404354899"/>
      <w:bookmarkStart w:id="2" w:name="_Toc404353070"/>
      <w:bookmarkStart w:id="3" w:name="_Toc404684201"/>
      <w:bookmarkStart w:id="4" w:name="_Toc404700923"/>
      <w:bookmarkStart w:id="5" w:name="_Toc417725366"/>
      <w:r>
        <w:lastRenderedPageBreak/>
        <w:t>N</w:t>
      </w:r>
      <w:r w:rsidR="008F07A3">
        <w:t>ote</w:t>
      </w:r>
      <w:bookmarkEnd w:id="1"/>
      <w:bookmarkEnd w:id="2"/>
      <w:bookmarkEnd w:id="3"/>
      <w:bookmarkEnd w:id="4"/>
      <w:bookmarkEnd w:id="5"/>
    </w:p>
    <w:p w:rsidR="008F07A3" w:rsidRDefault="008F07A3" w:rsidP="00525DDF">
      <w:pPr>
        <w:numPr>
          <w:ilvl w:val="0"/>
          <w:numId w:val="24"/>
        </w:numPr>
      </w:pPr>
      <w:r>
        <w:t xml:space="preserve">This attachment forms part of the AER's preliminary decision on </w:t>
      </w:r>
      <w:r w:rsidR="00DA61F3">
        <w:t>SA Power Networks'</w:t>
      </w:r>
      <w:r>
        <w:t xml:space="preserve"> 2015–20 distribution determination. It should be read with </w:t>
      </w:r>
      <w:r w:rsidR="00547427">
        <w:t xml:space="preserve">all </w:t>
      </w:r>
      <w:r>
        <w:t>other parts of the preliminary decision.</w:t>
      </w:r>
    </w:p>
    <w:p w:rsidR="008F07A3" w:rsidRDefault="008F07A3" w:rsidP="00525DDF">
      <w:pPr>
        <w:numPr>
          <w:ilvl w:val="0"/>
          <w:numId w:val="24"/>
        </w:numPr>
      </w:pPr>
      <w:r>
        <w:t>The preliminary decision includes the following documents:</w:t>
      </w:r>
    </w:p>
    <w:p w:rsidR="008F07A3" w:rsidRDefault="008F07A3" w:rsidP="00525DDF">
      <w:pPr>
        <w:numPr>
          <w:ilvl w:val="0"/>
          <w:numId w:val="24"/>
        </w:numPr>
      </w:pPr>
      <w:r>
        <w:t>Overview</w:t>
      </w:r>
    </w:p>
    <w:p w:rsidR="008F07A3" w:rsidRDefault="008F07A3" w:rsidP="00525DDF">
      <w:pPr>
        <w:numPr>
          <w:ilvl w:val="0"/>
          <w:numId w:val="24"/>
        </w:numPr>
      </w:pPr>
      <w:r>
        <w:t>Attachment 1 – Annual revenue requirement</w:t>
      </w:r>
    </w:p>
    <w:p w:rsidR="008F07A3" w:rsidRDefault="008F07A3" w:rsidP="00525DDF">
      <w:pPr>
        <w:numPr>
          <w:ilvl w:val="0"/>
          <w:numId w:val="24"/>
        </w:numPr>
      </w:pPr>
      <w:r>
        <w:t>Attachment 2 – Regulatory asset base</w:t>
      </w:r>
    </w:p>
    <w:p w:rsidR="008F07A3" w:rsidRDefault="008F07A3" w:rsidP="00525DDF">
      <w:pPr>
        <w:numPr>
          <w:ilvl w:val="0"/>
          <w:numId w:val="24"/>
        </w:numPr>
      </w:pPr>
      <w:r>
        <w:t>Attachment 3 – Rate of return</w:t>
      </w:r>
    </w:p>
    <w:p w:rsidR="008F07A3" w:rsidRDefault="008F07A3" w:rsidP="00525DDF">
      <w:pPr>
        <w:numPr>
          <w:ilvl w:val="0"/>
          <w:numId w:val="24"/>
        </w:numPr>
      </w:pPr>
      <w:r>
        <w:t>Attachment 4 – Value of imputation credits</w:t>
      </w:r>
    </w:p>
    <w:p w:rsidR="008F07A3" w:rsidRDefault="008F07A3" w:rsidP="00525DDF">
      <w:pPr>
        <w:numPr>
          <w:ilvl w:val="0"/>
          <w:numId w:val="24"/>
        </w:numPr>
      </w:pPr>
      <w:r>
        <w:t>Attachment 5 – Regulatory depreciation</w:t>
      </w:r>
    </w:p>
    <w:p w:rsidR="008F07A3" w:rsidRDefault="008F07A3" w:rsidP="00525DDF">
      <w:pPr>
        <w:numPr>
          <w:ilvl w:val="0"/>
          <w:numId w:val="24"/>
        </w:numPr>
      </w:pPr>
      <w:r>
        <w:t xml:space="preserve">Attachment 6 – Capital expenditure </w:t>
      </w:r>
    </w:p>
    <w:p w:rsidR="008F07A3" w:rsidRDefault="008F07A3" w:rsidP="00525DDF">
      <w:pPr>
        <w:numPr>
          <w:ilvl w:val="0"/>
          <w:numId w:val="24"/>
        </w:numPr>
      </w:pPr>
      <w:r>
        <w:t>Attachment 7 – Operating expenditure</w:t>
      </w:r>
    </w:p>
    <w:p w:rsidR="008F07A3" w:rsidRDefault="008F07A3" w:rsidP="00525DDF">
      <w:pPr>
        <w:numPr>
          <w:ilvl w:val="0"/>
          <w:numId w:val="24"/>
        </w:numPr>
      </w:pPr>
      <w:r>
        <w:t>Attachment 8 – Corporate income tax</w:t>
      </w:r>
    </w:p>
    <w:p w:rsidR="008F07A3" w:rsidRDefault="008F07A3" w:rsidP="00525DDF">
      <w:pPr>
        <w:numPr>
          <w:ilvl w:val="0"/>
          <w:numId w:val="24"/>
        </w:numPr>
      </w:pPr>
      <w:r>
        <w:t>Attachment 9 – Efficiency benefit sharing scheme</w:t>
      </w:r>
    </w:p>
    <w:p w:rsidR="008F07A3" w:rsidRDefault="008F07A3" w:rsidP="00525DDF">
      <w:pPr>
        <w:numPr>
          <w:ilvl w:val="0"/>
          <w:numId w:val="24"/>
        </w:numPr>
      </w:pPr>
      <w:r>
        <w:t>Attachment 10 – Capital expenditure sharing scheme</w:t>
      </w:r>
    </w:p>
    <w:p w:rsidR="008F07A3" w:rsidRDefault="008F07A3" w:rsidP="00525DDF">
      <w:pPr>
        <w:numPr>
          <w:ilvl w:val="0"/>
          <w:numId w:val="24"/>
        </w:numPr>
      </w:pPr>
      <w:r>
        <w:t>Attachment 11 – Service target performance incentive scheme</w:t>
      </w:r>
    </w:p>
    <w:p w:rsidR="008F07A3" w:rsidRDefault="008F07A3" w:rsidP="00525DDF">
      <w:pPr>
        <w:numPr>
          <w:ilvl w:val="0"/>
          <w:numId w:val="24"/>
        </w:numPr>
      </w:pPr>
      <w:r>
        <w:t>Attachment 12 – Demand management incentive scheme</w:t>
      </w:r>
    </w:p>
    <w:p w:rsidR="008F07A3" w:rsidRDefault="008F07A3" w:rsidP="00525DDF">
      <w:pPr>
        <w:numPr>
          <w:ilvl w:val="0"/>
          <w:numId w:val="24"/>
        </w:numPr>
      </w:pPr>
      <w:r>
        <w:t>Attachment 13 – Classification of services</w:t>
      </w:r>
    </w:p>
    <w:p w:rsidR="008F07A3" w:rsidRDefault="008F07A3" w:rsidP="00525DDF">
      <w:pPr>
        <w:numPr>
          <w:ilvl w:val="0"/>
          <w:numId w:val="24"/>
        </w:numPr>
      </w:pPr>
      <w:r>
        <w:t>Attachment 14 – Control mechanism</w:t>
      </w:r>
    </w:p>
    <w:p w:rsidR="008F07A3" w:rsidRDefault="008F07A3" w:rsidP="00525DDF">
      <w:pPr>
        <w:numPr>
          <w:ilvl w:val="0"/>
          <w:numId w:val="24"/>
        </w:numPr>
      </w:pPr>
      <w:r>
        <w:t>Attachment 15 – Pass through events</w:t>
      </w:r>
    </w:p>
    <w:p w:rsidR="008F07A3" w:rsidRDefault="008F07A3" w:rsidP="00525DDF">
      <w:pPr>
        <w:numPr>
          <w:ilvl w:val="0"/>
          <w:numId w:val="24"/>
        </w:numPr>
      </w:pPr>
      <w:r>
        <w:t>Attachment 16 – Alternative control services</w:t>
      </w:r>
    </w:p>
    <w:p w:rsidR="008F07A3" w:rsidRDefault="008F07A3" w:rsidP="00525DDF">
      <w:pPr>
        <w:numPr>
          <w:ilvl w:val="0"/>
          <w:numId w:val="24"/>
        </w:numPr>
      </w:pPr>
      <w:r>
        <w:t>Attachment 17 – Negotiated services framework and criteria</w:t>
      </w:r>
    </w:p>
    <w:p w:rsidR="008F07A3" w:rsidRPr="008B6C33" w:rsidRDefault="008F07A3" w:rsidP="00525DDF">
      <w:pPr>
        <w:numPr>
          <w:ilvl w:val="0"/>
          <w:numId w:val="24"/>
        </w:numPr>
      </w:pPr>
      <w:r>
        <w:t xml:space="preserve">Attachment 18 – Connection </w:t>
      </w:r>
      <w:r w:rsidR="00F45830" w:rsidRPr="00F45830">
        <w:t>policy</w:t>
      </w:r>
    </w:p>
    <w:p w:rsidR="008F07A3" w:rsidRPr="008F07A3" w:rsidRDefault="008F07A3" w:rsidP="008F07A3">
      <w:pPr>
        <w:sectPr w:rsidR="008F07A3" w:rsidRPr="008F07A3" w:rsidSect="00DE563D">
          <w:footerReference w:type="even" r:id="rId11"/>
          <w:footerReference w:type="default" r:id="rId12"/>
          <w:footerReference w:type="first" r:id="rId13"/>
          <w:pgSz w:w="11906" w:h="16838" w:code="9"/>
          <w:pgMar w:top="1440" w:right="1700" w:bottom="1582" w:left="1729" w:header="720" w:footer="0" w:gutter="0"/>
          <w:pgNumType w:start="0"/>
          <w:cols w:space="720"/>
          <w:docGrid w:linePitch="326"/>
        </w:sectPr>
      </w:pPr>
    </w:p>
    <w:p w:rsidR="00DE563D" w:rsidRPr="00A72B34" w:rsidRDefault="00DE563D" w:rsidP="00525DDF">
      <w:pPr>
        <w:pStyle w:val="UnnumberedHeading"/>
        <w:numPr>
          <w:ilvl w:val="0"/>
          <w:numId w:val="23"/>
        </w:numPr>
      </w:pPr>
      <w:bookmarkStart w:id="6" w:name="_Toc403144133"/>
      <w:bookmarkStart w:id="7" w:name="_Toc417725367"/>
      <w:r>
        <w:lastRenderedPageBreak/>
        <w:t>Contents</w:t>
      </w:r>
      <w:bookmarkEnd w:id="6"/>
      <w:bookmarkEnd w:id="7"/>
    </w:p>
    <w:p w:rsidR="005D7BA2" w:rsidRDefault="005D7BA2">
      <w:pPr>
        <w:spacing w:line="240" w:lineRule="auto"/>
      </w:pPr>
    </w:p>
    <w:sdt>
      <w:sdtPr>
        <w:rPr>
          <w:noProof w:val="0"/>
          <w:color w:val="auto"/>
          <w:sz w:val="22"/>
          <w:lang w:val="en-AU" w:eastAsia="en-US"/>
        </w:rPr>
        <w:id w:val="1269200322"/>
        <w:docPartObj>
          <w:docPartGallery w:val="Table of Contents"/>
          <w:docPartUnique/>
        </w:docPartObj>
      </w:sdtPr>
      <w:sdtEndPr>
        <w:rPr>
          <w:noProof/>
          <w:color w:val="70635A" w:themeColor="text2"/>
          <w:sz w:val="24"/>
          <w:lang w:val="en-US" w:eastAsia="ja-JP"/>
        </w:rPr>
      </w:sdtEndPr>
      <w:sdtContent>
        <w:p w:rsidR="00121BCD" w:rsidRDefault="00121BCD">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17725366" w:history="1">
            <w:r w:rsidRPr="00311E30">
              <w:rPr>
                <w:rStyle w:val="Hyperlink"/>
              </w:rPr>
              <w:t>Note</w:t>
            </w:r>
            <w:r>
              <w:rPr>
                <w:webHidden/>
              </w:rPr>
              <w:tab/>
            </w:r>
            <w:r w:rsidR="00547427">
              <w:rPr>
                <w:webHidden/>
              </w:rPr>
              <w:t>6-</w:t>
            </w:r>
            <w:r>
              <w:rPr>
                <w:webHidden/>
              </w:rPr>
              <w:fldChar w:fldCharType="begin"/>
            </w:r>
            <w:r>
              <w:rPr>
                <w:webHidden/>
              </w:rPr>
              <w:instrText xml:space="preserve"> PAGEREF _Toc417725366 \h </w:instrText>
            </w:r>
            <w:r>
              <w:rPr>
                <w:webHidden/>
              </w:rPr>
            </w:r>
            <w:r>
              <w:rPr>
                <w:webHidden/>
              </w:rPr>
              <w:fldChar w:fldCharType="separate"/>
            </w:r>
            <w:r>
              <w:rPr>
                <w:webHidden/>
              </w:rPr>
              <w:t>2</w:t>
            </w:r>
            <w:r>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367" w:history="1">
            <w:r w:rsidR="00121BCD" w:rsidRPr="00311E30">
              <w:rPr>
                <w:rStyle w:val="Hyperlink"/>
              </w:rPr>
              <w:t>Contents</w:t>
            </w:r>
            <w:r w:rsidR="00121BCD">
              <w:rPr>
                <w:webHidden/>
              </w:rPr>
              <w:tab/>
            </w:r>
            <w:r w:rsidR="00121BCD">
              <w:rPr>
                <w:webHidden/>
              </w:rPr>
              <w:fldChar w:fldCharType="begin"/>
            </w:r>
            <w:r w:rsidR="00121BCD">
              <w:rPr>
                <w:webHidden/>
              </w:rPr>
              <w:instrText xml:space="preserve"> PAGEREF _Toc417725367 \h </w:instrText>
            </w:r>
            <w:r w:rsidR="00121BCD">
              <w:rPr>
                <w:webHidden/>
              </w:rPr>
            </w:r>
            <w:r w:rsidR="00121BCD">
              <w:rPr>
                <w:webHidden/>
              </w:rPr>
              <w:fldChar w:fldCharType="separate"/>
            </w:r>
            <w:r w:rsidR="00121BCD">
              <w:rPr>
                <w:webHidden/>
              </w:rPr>
              <w:t>6-3</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368" w:history="1">
            <w:r w:rsidR="00121BCD" w:rsidRPr="00311E30">
              <w:rPr>
                <w:rStyle w:val="Hyperlink"/>
              </w:rPr>
              <w:t>Shortened forms</w:t>
            </w:r>
            <w:r w:rsidR="00121BCD">
              <w:rPr>
                <w:webHidden/>
              </w:rPr>
              <w:tab/>
            </w:r>
            <w:r w:rsidR="00121BCD">
              <w:rPr>
                <w:webHidden/>
              </w:rPr>
              <w:fldChar w:fldCharType="begin"/>
            </w:r>
            <w:r w:rsidR="00121BCD">
              <w:rPr>
                <w:webHidden/>
              </w:rPr>
              <w:instrText xml:space="preserve"> PAGEREF _Toc417725368 \h </w:instrText>
            </w:r>
            <w:r w:rsidR="00121BCD">
              <w:rPr>
                <w:webHidden/>
              </w:rPr>
            </w:r>
            <w:r w:rsidR="00121BCD">
              <w:rPr>
                <w:webHidden/>
              </w:rPr>
              <w:fldChar w:fldCharType="separate"/>
            </w:r>
            <w:r w:rsidR="00121BCD">
              <w:rPr>
                <w:webHidden/>
              </w:rPr>
              <w:t>6-6</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369" w:history="1">
            <w:r w:rsidR="00121BCD" w:rsidRPr="00311E30">
              <w:rPr>
                <w:rStyle w:val="Hyperlink"/>
              </w:rPr>
              <w:t>6</w:t>
            </w:r>
            <w:r w:rsidR="00121BCD">
              <w:rPr>
                <w:rFonts w:asciiTheme="minorHAnsi" w:eastAsiaTheme="minorEastAsia" w:hAnsiTheme="minorHAnsi"/>
                <w:b w:val="0"/>
                <w:color w:val="auto"/>
                <w:sz w:val="22"/>
                <w:lang w:val="en-AU" w:eastAsia="en-AU"/>
              </w:rPr>
              <w:tab/>
            </w:r>
            <w:r w:rsidR="00121BCD" w:rsidRPr="00311E30">
              <w:rPr>
                <w:rStyle w:val="Hyperlink"/>
              </w:rPr>
              <w:t>Capital expenditure</w:t>
            </w:r>
            <w:r w:rsidR="00121BCD">
              <w:rPr>
                <w:webHidden/>
              </w:rPr>
              <w:tab/>
            </w:r>
            <w:r w:rsidR="00121BCD">
              <w:rPr>
                <w:webHidden/>
              </w:rPr>
              <w:fldChar w:fldCharType="begin"/>
            </w:r>
            <w:r w:rsidR="00121BCD">
              <w:rPr>
                <w:webHidden/>
              </w:rPr>
              <w:instrText xml:space="preserve"> PAGEREF _Toc417725369 \h </w:instrText>
            </w:r>
            <w:r w:rsidR="00121BCD">
              <w:rPr>
                <w:webHidden/>
              </w:rPr>
            </w:r>
            <w:r w:rsidR="00121BCD">
              <w:rPr>
                <w:webHidden/>
              </w:rPr>
              <w:fldChar w:fldCharType="separate"/>
            </w:r>
            <w:r w:rsidR="00121BCD">
              <w:rPr>
                <w:webHidden/>
              </w:rPr>
              <w:t>6-8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70" w:history="1">
            <w:r w:rsidR="00121BCD" w:rsidRPr="00311E30">
              <w:rPr>
                <w:rStyle w:val="Hyperlink"/>
              </w:rPr>
              <w:t>6.1</w:t>
            </w:r>
            <w:r w:rsidR="00121BCD">
              <w:rPr>
                <w:rFonts w:asciiTheme="minorHAnsi" w:eastAsiaTheme="minorEastAsia" w:hAnsiTheme="minorHAnsi"/>
                <w:b w:val="0"/>
                <w:color w:val="auto"/>
                <w:sz w:val="22"/>
                <w:lang w:eastAsia="en-AU"/>
              </w:rPr>
              <w:tab/>
            </w:r>
            <w:r w:rsidR="00121BCD" w:rsidRPr="00311E30">
              <w:rPr>
                <w:rStyle w:val="Hyperlink"/>
              </w:rPr>
              <w:t>Preliminary decision</w:t>
            </w:r>
            <w:r w:rsidR="00121BCD">
              <w:rPr>
                <w:webHidden/>
              </w:rPr>
              <w:tab/>
            </w:r>
            <w:r w:rsidR="00121BCD">
              <w:rPr>
                <w:webHidden/>
              </w:rPr>
              <w:fldChar w:fldCharType="begin"/>
            </w:r>
            <w:r w:rsidR="00121BCD">
              <w:rPr>
                <w:webHidden/>
              </w:rPr>
              <w:instrText xml:space="preserve"> PAGEREF _Toc417725370 \h </w:instrText>
            </w:r>
            <w:r w:rsidR="00121BCD">
              <w:rPr>
                <w:webHidden/>
              </w:rPr>
            </w:r>
            <w:r w:rsidR="00121BCD">
              <w:rPr>
                <w:webHidden/>
              </w:rPr>
              <w:fldChar w:fldCharType="separate"/>
            </w:r>
            <w:r w:rsidR="00121BCD">
              <w:rPr>
                <w:webHidden/>
              </w:rPr>
              <w:t>6-8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71" w:history="1">
            <w:r w:rsidR="00121BCD" w:rsidRPr="00311E30">
              <w:rPr>
                <w:rStyle w:val="Hyperlink"/>
              </w:rPr>
              <w:t>6.2</w:t>
            </w:r>
            <w:r w:rsidR="00121BCD">
              <w:rPr>
                <w:rFonts w:asciiTheme="minorHAnsi" w:eastAsiaTheme="minorEastAsia" w:hAnsiTheme="minorHAnsi"/>
                <w:b w:val="0"/>
                <w:color w:val="auto"/>
                <w:sz w:val="22"/>
                <w:lang w:eastAsia="en-AU"/>
              </w:rPr>
              <w:tab/>
            </w:r>
            <w:r w:rsidR="00121BCD" w:rsidRPr="00311E30">
              <w:rPr>
                <w:rStyle w:val="Hyperlink"/>
              </w:rPr>
              <w:t>SA Power Networks' proposal</w:t>
            </w:r>
            <w:r w:rsidR="00121BCD">
              <w:rPr>
                <w:webHidden/>
              </w:rPr>
              <w:tab/>
            </w:r>
            <w:r w:rsidR="00121BCD">
              <w:rPr>
                <w:webHidden/>
              </w:rPr>
              <w:fldChar w:fldCharType="begin"/>
            </w:r>
            <w:r w:rsidR="00121BCD">
              <w:rPr>
                <w:webHidden/>
              </w:rPr>
              <w:instrText xml:space="preserve"> PAGEREF _Toc417725371 \h </w:instrText>
            </w:r>
            <w:r w:rsidR="00121BCD">
              <w:rPr>
                <w:webHidden/>
              </w:rPr>
            </w:r>
            <w:r w:rsidR="00121BCD">
              <w:rPr>
                <w:webHidden/>
              </w:rPr>
              <w:fldChar w:fldCharType="separate"/>
            </w:r>
            <w:r w:rsidR="00121BCD">
              <w:rPr>
                <w:webHidden/>
              </w:rPr>
              <w:t>6-12</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72" w:history="1">
            <w:r w:rsidR="00121BCD" w:rsidRPr="00311E30">
              <w:rPr>
                <w:rStyle w:val="Hyperlink"/>
              </w:rPr>
              <w:t>6.3</w:t>
            </w:r>
            <w:r w:rsidR="00121BCD">
              <w:rPr>
                <w:rFonts w:asciiTheme="minorHAnsi" w:eastAsiaTheme="minorEastAsia" w:hAnsiTheme="minorHAnsi"/>
                <w:b w:val="0"/>
                <w:color w:val="auto"/>
                <w:sz w:val="22"/>
                <w:lang w:eastAsia="en-AU"/>
              </w:rPr>
              <w:tab/>
            </w:r>
            <w:r w:rsidR="00121BCD" w:rsidRPr="00311E30">
              <w:rPr>
                <w:rStyle w:val="Hyperlink"/>
              </w:rPr>
              <w:t>AER’s assessment approach</w:t>
            </w:r>
            <w:r w:rsidR="00121BCD">
              <w:rPr>
                <w:webHidden/>
              </w:rPr>
              <w:tab/>
            </w:r>
            <w:r w:rsidR="00121BCD">
              <w:rPr>
                <w:webHidden/>
              </w:rPr>
              <w:fldChar w:fldCharType="begin"/>
            </w:r>
            <w:r w:rsidR="00121BCD">
              <w:rPr>
                <w:webHidden/>
              </w:rPr>
              <w:instrText xml:space="preserve"> PAGEREF _Toc417725372 \h </w:instrText>
            </w:r>
            <w:r w:rsidR="00121BCD">
              <w:rPr>
                <w:webHidden/>
              </w:rPr>
            </w:r>
            <w:r w:rsidR="00121BCD">
              <w:rPr>
                <w:webHidden/>
              </w:rPr>
              <w:fldChar w:fldCharType="separate"/>
            </w:r>
            <w:r w:rsidR="00121BCD">
              <w:rPr>
                <w:webHidden/>
              </w:rPr>
              <w:t>6-13</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3" w:history="1">
            <w:r w:rsidR="00121BCD" w:rsidRPr="00311E30">
              <w:rPr>
                <w:rStyle w:val="Hyperlink"/>
              </w:rPr>
              <w:t>6.3.1</w:t>
            </w:r>
            <w:r w:rsidR="00121BCD">
              <w:rPr>
                <w:rFonts w:asciiTheme="minorHAnsi" w:eastAsiaTheme="minorEastAsia" w:hAnsiTheme="minorHAnsi"/>
                <w:lang w:eastAsia="en-AU"/>
              </w:rPr>
              <w:tab/>
            </w:r>
            <w:r w:rsidR="00121BCD" w:rsidRPr="00311E30">
              <w:rPr>
                <w:rStyle w:val="Hyperlink"/>
              </w:rPr>
              <w:t>Building an alternative estimate of total forecast capex</w:t>
            </w:r>
            <w:r w:rsidR="00121BCD">
              <w:rPr>
                <w:webHidden/>
              </w:rPr>
              <w:tab/>
            </w:r>
            <w:r w:rsidR="00121BCD">
              <w:rPr>
                <w:webHidden/>
              </w:rPr>
              <w:fldChar w:fldCharType="begin"/>
            </w:r>
            <w:r w:rsidR="00121BCD">
              <w:rPr>
                <w:webHidden/>
              </w:rPr>
              <w:instrText xml:space="preserve"> PAGEREF _Toc417725373 \h </w:instrText>
            </w:r>
            <w:r w:rsidR="00121BCD">
              <w:rPr>
                <w:webHidden/>
              </w:rPr>
            </w:r>
            <w:r w:rsidR="00121BCD">
              <w:rPr>
                <w:webHidden/>
              </w:rPr>
              <w:fldChar w:fldCharType="separate"/>
            </w:r>
            <w:r w:rsidR="00121BCD">
              <w:rPr>
                <w:webHidden/>
              </w:rPr>
              <w:t>6-16</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4" w:history="1">
            <w:r w:rsidR="00121BCD" w:rsidRPr="00311E30">
              <w:rPr>
                <w:rStyle w:val="Hyperlink"/>
              </w:rPr>
              <w:t>6.3.2</w:t>
            </w:r>
            <w:r w:rsidR="00121BCD">
              <w:rPr>
                <w:rFonts w:asciiTheme="minorHAnsi" w:eastAsiaTheme="minorEastAsia" w:hAnsiTheme="minorHAnsi"/>
                <w:lang w:eastAsia="en-AU"/>
              </w:rPr>
              <w:tab/>
            </w:r>
            <w:r w:rsidR="00121BCD" w:rsidRPr="00311E30">
              <w:rPr>
                <w:rStyle w:val="Hyperlink"/>
              </w:rPr>
              <w:t>Comparing the distributor's proposal with our alternative estimate</w:t>
            </w:r>
            <w:r w:rsidR="00121BCD">
              <w:rPr>
                <w:webHidden/>
              </w:rPr>
              <w:tab/>
            </w:r>
            <w:r w:rsidR="00121BCD">
              <w:rPr>
                <w:webHidden/>
              </w:rPr>
              <w:fldChar w:fldCharType="begin"/>
            </w:r>
            <w:r w:rsidR="00121BCD">
              <w:rPr>
                <w:webHidden/>
              </w:rPr>
              <w:instrText xml:space="preserve"> PAGEREF _Toc417725374 \h </w:instrText>
            </w:r>
            <w:r w:rsidR="00121BCD">
              <w:rPr>
                <w:webHidden/>
              </w:rPr>
            </w:r>
            <w:r w:rsidR="00121BCD">
              <w:rPr>
                <w:webHidden/>
              </w:rPr>
              <w:fldChar w:fldCharType="separate"/>
            </w:r>
            <w:r w:rsidR="00121BCD">
              <w:rPr>
                <w:webHidden/>
              </w:rPr>
              <w:t>6-18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75" w:history="1">
            <w:r w:rsidR="00121BCD" w:rsidRPr="00311E30">
              <w:rPr>
                <w:rStyle w:val="Hyperlink"/>
              </w:rPr>
              <w:t>6.4</w:t>
            </w:r>
            <w:r w:rsidR="00121BCD">
              <w:rPr>
                <w:rFonts w:asciiTheme="minorHAnsi" w:eastAsiaTheme="minorEastAsia" w:hAnsiTheme="minorHAnsi"/>
                <w:b w:val="0"/>
                <w:color w:val="auto"/>
                <w:sz w:val="22"/>
                <w:lang w:eastAsia="en-AU"/>
              </w:rPr>
              <w:tab/>
            </w:r>
            <w:r w:rsidR="00121BCD" w:rsidRPr="00311E30">
              <w:rPr>
                <w:rStyle w:val="Hyperlink"/>
              </w:rPr>
              <w:t>Reasons for preliminary decision</w:t>
            </w:r>
            <w:r w:rsidR="00121BCD">
              <w:rPr>
                <w:webHidden/>
              </w:rPr>
              <w:tab/>
            </w:r>
            <w:r w:rsidR="00121BCD">
              <w:rPr>
                <w:webHidden/>
              </w:rPr>
              <w:fldChar w:fldCharType="begin"/>
            </w:r>
            <w:r w:rsidR="00121BCD">
              <w:rPr>
                <w:webHidden/>
              </w:rPr>
              <w:instrText xml:space="preserve"> PAGEREF _Toc417725375 \h </w:instrText>
            </w:r>
            <w:r w:rsidR="00121BCD">
              <w:rPr>
                <w:webHidden/>
              </w:rPr>
            </w:r>
            <w:r w:rsidR="00121BCD">
              <w:rPr>
                <w:webHidden/>
              </w:rPr>
              <w:fldChar w:fldCharType="separate"/>
            </w:r>
            <w:r w:rsidR="00121BCD">
              <w:rPr>
                <w:webHidden/>
              </w:rPr>
              <w:t>6-19</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6" w:history="1">
            <w:r w:rsidR="00121BCD" w:rsidRPr="00311E30">
              <w:rPr>
                <w:rStyle w:val="Hyperlink"/>
              </w:rPr>
              <w:t>6.4.1</w:t>
            </w:r>
            <w:r w:rsidR="00121BCD">
              <w:rPr>
                <w:rFonts w:asciiTheme="minorHAnsi" w:eastAsiaTheme="minorEastAsia" w:hAnsiTheme="minorHAnsi"/>
                <w:lang w:eastAsia="en-AU"/>
              </w:rPr>
              <w:tab/>
            </w:r>
            <w:r w:rsidR="00121BCD" w:rsidRPr="00311E30">
              <w:rPr>
                <w:rStyle w:val="Hyperlink"/>
              </w:rPr>
              <w:t>Key assumptions</w:t>
            </w:r>
            <w:r w:rsidR="00121BCD">
              <w:rPr>
                <w:webHidden/>
              </w:rPr>
              <w:tab/>
            </w:r>
            <w:r w:rsidR="00121BCD">
              <w:rPr>
                <w:webHidden/>
              </w:rPr>
              <w:fldChar w:fldCharType="begin"/>
            </w:r>
            <w:r w:rsidR="00121BCD">
              <w:rPr>
                <w:webHidden/>
              </w:rPr>
              <w:instrText xml:space="preserve"> PAGEREF _Toc417725376 \h </w:instrText>
            </w:r>
            <w:r w:rsidR="00121BCD">
              <w:rPr>
                <w:webHidden/>
              </w:rPr>
            </w:r>
            <w:r w:rsidR="00121BCD">
              <w:rPr>
                <w:webHidden/>
              </w:rPr>
              <w:fldChar w:fldCharType="separate"/>
            </w:r>
            <w:r w:rsidR="00121BCD">
              <w:rPr>
                <w:webHidden/>
              </w:rPr>
              <w:t>6-20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7" w:history="1">
            <w:r w:rsidR="00121BCD" w:rsidRPr="00311E30">
              <w:rPr>
                <w:rStyle w:val="Hyperlink"/>
              </w:rPr>
              <w:t>6.4.2</w:t>
            </w:r>
            <w:r w:rsidR="00121BCD">
              <w:rPr>
                <w:rFonts w:asciiTheme="minorHAnsi" w:eastAsiaTheme="minorEastAsia" w:hAnsiTheme="minorHAnsi"/>
                <w:lang w:eastAsia="en-AU"/>
              </w:rPr>
              <w:tab/>
            </w:r>
            <w:r w:rsidR="00121BCD" w:rsidRPr="00311E30">
              <w:rPr>
                <w:rStyle w:val="Hyperlink"/>
              </w:rPr>
              <w:t>Forecasting methodology</w:t>
            </w:r>
            <w:r w:rsidR="00121BCD">
              <w:rPr>
                <w:webHidden/>
              </w:rPr>
              <w:tab/>
            </w:r>
            <w:r w:rsidR="00121BCD">
              <w:rPr>
                <w:webHidden/>
              </w:rPr>
              <w:fldChar w:fldCharType="begin"/>
            </w:r>
            <w:r w:rsidR="00121BCD">
              <w:rPr>
                <w:webHidden/>
              </w:rPr>
              <w:instrText xml:space="preserve"> PAGEREF _Toc417725377 \h </w:instrText>
            </w:r>
            <w:r w:rsidR="00121BCD">
              <w:rPr>
                <w:webHidden/>
              </w:rPr>
            </w:r>
            <w:r w:rsidR="00121BCD">
              <w:rPr>
                <w:webHidden/>
              </w:rPr>
              <w:fldChar w:fldCharType="separate"/>
            </w:r>
            <w:r w:rsidR="00121BCD">
              <w:rPr>
                <w:webHidden/>
              </w:rPr>
              <w:t>6-21</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8" w:history="1">
            <w:r w:rsidR="00121BCD" w:rsidRPr="00311E30">
              <w:rPr>
                <w:rStyle w:val="Hyperlink"/>
              </w:rPr>
              <w:t>6.4.3</w:t>
            </w:r>
            <w:r w:rsidR="00121BCD">
              <w:rPr>
                <w:rFonts w:asciiTheme="minorHAnsi" w:eastAsiaTheme="minorEastAsia" w:hAnsiTheme="minorHAnsi"/>
                <w:lang w:eastAsia="en-AU"/>
              </w:rPr>
              <w:tab/>
            </w:r>
            <w:r w:rsidR="00121BCD" w:rsidRPr="00311E30">
              <w:rPr>
                <w:rStyle w:val="Hyperlink"/>
              </w:rPr>
              <w:t>Interaction with the STPIS</w:t>
            </w:r>
            <w:r w:rsidR="00121BCD">
              <w:rPr>
                <w:webHidden/>
              </w:rPr>
              <w:tab/>
            </w:r>
            <w:r w:rsidR="00121BCD">
              <w:rPr>
                <w:webHidden/>
              </w:rPr>
              <w:fldChar w:fldCharType="begin"/>
            </w:r>
            <w:r w:rsidR="00121BCD">
              <w:rPr>
                <w:webHidden/>
              </w:rPr>
              <w:instrText xml:space="preserve"> PAGEREF _Toc417725378 \h </w:instrText>
            </w:r>
            <w:r w:rsidR="00121BCD">
              <w:rPr>
                <w:webHidden/>
              </w:rPr>
            </w:r>
            <w:r w:rsidR="00121BCD">
              <w:rPr>
                <w:webHidden/>
              </w:rPr>
              <w:fldChar w:fldCharType="separate"/>
            </w:r>
            <w:r w:rsidR="00121BCD">
              <w:rPr>
                <w:webHidden/>
              </w:rPr>
              <w:t>6-23</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79" w:history="1">
            <w:r w:rsidR="00121BCD" w:rsidRPr="00311E30">
              <w:rPr>
                <w:rStyle w:val="Hyperlink"/>
              </w:rPr>
              <w:t>6.4.4</w:t>
            </w:r>
            <w:r w:rsidR="00121BCD">
              <w:rPr>
                <w:rFonts w:asciiTheme="minorHAnsi" w:eastAsiaTheme="minorEastAsia" w:hAnsiTheme="minorHAnsi"/>
                <w:lang w:eastAsia="en-AU"/>
              </w:rPr>
              <w:tab/>
            </w:r>
            <w:r w:rsidR="00121BCD" w:rsidRPr="00311E30">
              <w:rPr>
                <w:rStyle w:val="Hyperlink"/>
              </w:rPr>
              <w:t>SA Power Networks' capex performance</w:t>
            </w:r>
            <w:r w:rsidR="00121BCD">
              <w:rPr>
                <w:webHidden/>
              </w:rPr>
              <w:tab/>
            </w:r>
            <w:r w:rsidR="00121BCD">
              <w:rPr>
                <w:webHidden/>
              </w:rPr>
              <w:fldChar w:fldCharType="begin"/>
            </w:r>
            <w:r w:rsidR="00121BCD">
              <w:rPr>
                <w:webHidden/>
              </w:rPr>
              <w:instrText xml:space="preserve"> PAGEREF _Toc417725379 \h </w:instrText>
            </w:r>
            <w:r w:rsidR="00121BCD">
              <w:rPr>
                <w:webHidden/>
              </w:rPr>
            </w:r>
            <w:r w:rsidR="00121BCD">
              <w:rPr>
                <w:webHidden/>
              </w:rPr>
              <w:fldChar w:fldCharType="separate"/>
            </w:r>
            <w:r w:rsidR="00121BCD">
              <w:rPr>
                <w:webHidden/>
              </w:rPr>
              <w:t>6-24</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80" w:history="1">
            <w:r w:rsidR="00121BCD" w:rsidRPr="00311E30">
              <w:rPr>
                <w:rStyle w:val="Hyperlink"/>
              </w:rPr>
              <w:t>6.4.5</w:t>
            </w:r>
            <w:r w:rsidR="00121BCD">
              <w:rPr>
                <w:rFonts w:asciiTheme="minorHAnsi" w:eastAsiaTheme="minorEastAsia" w:hAnsiTheme="minorHAnsi"/>
                <w:lang w:eastAsia="en-AU"/>
              </w:rPr>
              <w:tab/>
            </w:r>
            <w:r w:rsidR="00121BCD" w:rsidRPr="00311E30">
              <w:rPr>
                <w:rStyle w:val="Hyperlink"/>
              </w:rPr>
              <w:t>Interrelationships</w:t>
            </w:r>
            <w:r w:rsidR="00121BCD">
              <w:rPr>
                <w:webHidden/>
              </w:rPr>
              <w:tab/>
            </w:r>
            <w:r w:rsidR="00121BCD">
              <w:rPr>
                <w:webHidden/>
              </w:rPr>
              <w:fldChar w:fldCharType="begin"/>
            </w:r>
            <w:r w:rsidR="00121BCD">
              <w:rPr>
                <w:webHidden/>
              </w:rPr>
              <w:instrText xml:space="preserve"> PAGEREF _Toc417725380 \h </w:instrText>
            </w:r>
            <w:r w:rsidR="00121BCD">
              <w:rPr>
                <w:webHidden/>
              </w:rPr>
            </w:r>
            <w:r w:rsidR="00121BCD">
              <w:rPr>
                <w:webHidden/>
              </w:rPr>
              <w:fldChar w:fldCharType="separate"/>
            </w:r>
            <w:r w:rsidR="00121BCD">
              <w:rPr>
                <w:webHidden/>
              </w:rPr>
              <w:t>6-29</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81" w:history="1">
            <w:r w:rsidR="00121BCD" w:rsidRPr="00311E30">
              <w:rPr>
                <w:rStyle w:val="Hyperlink"/>
              </w:rPr>
              <w:t>6.4.6</w:t>
            </w:r>
            <w:r w:rsidR="00121BCD">
              <w:rPr>
                <w:rFonts w:asciiTheme="minorHAnsi" w:eastAsiaTheme="minorEastAsia" w:hAnsiTheme="minorHAnsi"/>
                <w:lang w:eastAsia="en-AU"/>
              </w:rPr>
              <w:tab/>
            </w:r>
            <w:r w:rsidR="00121BCD" w:rsidRPr="00311E30">
              <w:rPr>
                <w:rStyle w:val="Hyperlink"/>
              </w:rPr>
              <w:t>Consideration of the capex factors</w:t>
            </w:r>
            <w:r w:rsidR="00121BCD">
              <w:rPr>
                <w:webHidden/>
              </w:rPr>
              <w:tab/>
            </w:r>
            <w:r w:rsidR="00121BCD">
              <w:rPr>
                <w:webHidden/>
              </w:rPr>
              <w:fldChar w:fldCharType="begin"/>
            </w:r>
            <w:r w:rsidR="00121BCD">
              <w:rPr>
                <w:webHidden/>
              </w:rPr>
              <w:instrText xml:space="preserve"> PAGEREF _Toc417725381 \h </w:instrText>
            </w:r>
            <w:r w:rsidR="00121BCD">
              <w:rPr>
                <w:webHidden/>
              </w:rPr>
            </w:r>
            <w:r w:rsidR="00121BCD">
              <w:rPr>
                <w:webHidden/>
              </w:rPr>
              <w:fldChar w:fldCharType="separate"/>
            </w:r>
            <w:r w:rsidR="00121BCD">
              <w:rPr>
                <w:webHidden/>
              </w:rPr>
              <w:t>6-30</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2" w:history="1">
            <w:r w:rsidR="00121BCD" w:rsidRPr="00311E30">
              <w:rPr>
                <w:rStyle w:val="Hyperlink"/>
              </w:rPr>
              <w:t>6.5</w:t>
            </w:r>
            <w:r w:rsidR="00121BCD">
              <w:rPr>
                <w:rFonts w:asciiTheme="minorHAnsi" w:eastAsiaTheme="minorEastAsia" w:hAnsiTheme="minorHAnsi"/>
                <w:b w:val="0"/>
                <w:color w:val="auto"/>
                <w:sz w:val="22"/>
                <w:lang w:eastAsia="en-AU"/>
              </w:rPr>
              <w:tab/>
            </w:r>
            <w:r w:rsidR="00121BCD" w:rsidRPr="00311E30">
              <w:rPr>
                <w:rStyle w:val="Hyperlink"/>
              </w:rPr>
              <w:t>Allocation of balancing item</w:t>
            </w:r>
            <w:r w:rsidR="00121BCD">
              <w:rPr>
                <w:webHidden/>
              </w:rPr>
              <w:tab/>
            </w:r>
            <w:r w:rsidR="00121BCD">
              <w:rPr>
                <w:webHidden/>
              </w:rPr>
              <w:fldChar w:fldCharType="begin"/>
            </w:r>
            <w:r w:rsidR="00121BCD">
              <w:rPr>
                <w:webHidden/>
              </w:rPr>
              <w:instrText xml:space="preserve"> PAGEREF _Toc417725382 \h </w:instrText>
            </w:r>
            <w:r w:rsidR="00121BCD">
              <w:rPr>
                <w:webHidden/>
              </w:rPr>
            </w:r>
            <w:r w:rsidR="00121BCD">
              <w:rPr>
                <w:webHidden/>
              </w:rPr>
              <w:fldChar w:fldCharType="separate"/>
            </w:r>
            <w:r w:rsidR="00121BCD">
              <w:rPr>
                <w:webHidden/>
              </w:rPr>
              <w:t>6-32</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383" w:history="1">
            <w:r w:rsidR="00121BCD" w:rsidRPr="00311E30">
              <w:rPr>
                <w:rStyle w:val="Hyperlink"/>
              </w:rPr>
              <w:t>A</w:t>
            </w:r>
            <w:r w:rsidR="00121BCD">
              <w:rPr>
                <w:rFonts w:asciiTheme="minorHAnsi" w:eastAsiaTheme="minorEastAsia" w:hAnsiTheme="minorHAnsi"/>
                <w:b w:val="0"/>
                <w:color w:val="auto"/>
                <w:sz w:val="22"/>
                <w:lang w:val="en-AU" w:eastAsia="en-AU"/>
              </w:rPr>
              <w:tab/>
            </w:r>
            <w:r w:rsidR="00121BCD" w:rsidRPr="00311E30">
              <w:rPr>
                <w:rStyle w:val="Hyperlink"/>
              </w:rPr>
              <w:t>Assessment Techniques</w:t>
            </w:r>
            <w:r w:rsidR="00121BCD">
              <w:rPr>
                <w:webHidden/>
              </w:rPr>
              <w:tab/>
            </w:r>
            <w:r w:rsidR="00121BCD">
              <w:rPr>
                <w:webHidden/>
              </w:rPr>
              <w:fldChar w:fldCharType="begin"/>
            </w:r>
            <w:r w:rsidR="00121BCD">
              <w:rPr>
                <w:webHidden/>
              </w:rPr>
              <w:instrText xml:space="preserve"> PAGEREF _Toc417725383 \h </w:instrText>
            </w:r>
            <w:r w:rsidR="00121BCD">
              <w:rPr>
                <w:webHidden/>
              </w:rPr>
            </w:r>
            <w:r w:rsidR="00121BCD">
              <w:rPr>
                <w:webHidden/>
              </w:rPr>
              <w:fldChar w:fldCharType="separate"/>
            </w:r>
            <w:r w:rsidR="00121BCD">
              <w:rPr>
                <w:webHidden/>
              </w:rPr>
              <w:t>6-33</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4" w:history="1">
            <w:r w:rsidR="00121BCD" w:rsidRPr="00311E30">
              <w:rPr>
                <w:rStyle w:val="Hyperlink"/>
              </w:rPr>
              <w:t>A.1</w:t>
            </w:r>
            <w:r w:rsidR="00121BCD">
              <w:rPr>
                <w:rFonts w:asciiTheme="minorHAnsi" w:eastAsiaTheme="minorEastAsia" w:hAnsiTheme="minorHAnsi"/>
                <w:b w:val="0"/>
                <w:color w:val="auto"/>
                <w:sz w:val="22"/>
                <w:lang w:eastAsia="en-AU"/>
              </w:rPr>
              <w:tab/>
            </w:r>
            <w:r w:rsidR="00121BCD" w:rsidRPr="00311E30">
              <w:rPr>
                <w:rStyle w:val="Hyperlink"/>
              </w:rPr>
              <w:t>Economic benchmarking</w:t>
            </w:r>
            <w:r w:rsidR="00121BCD">
              <w:rPr>
                <w:webHidden/>
              </w:rPr>
              <w:tab/>
            </w:r>
            <w:r w:rsidR="00121BCD">
              <w:rPr>
                <w:webHidden/>
              </w:rPr>
              <w:fldChar w:fldCharType="begin"/>
            </w:r>
            <w:r w:rsidR="00121BCD">
              <w:rPr>
                <w:webHidden/>
              </w:rPr>
              <w:instrText xml:space="preserve"> PAGEREF _Toc417725384 \h </w:instrText>
            </w:r>
            <w:r w:rsidR="00121BCD">
              <w:rPr>
                <w:webHidden/>
              </w:rPr>
            </w:r>
            <w:r w:rsidR="00121BCD">
              <w:rPr>
                <w:webHidden/>
              </w:rPr>
              <w:fldChar w:fldCharType="separate"/>
            </w:r>
            <w:r w:rsidR="00121BCD">
              <w:rPr>
                <w:webHidden/>
              </w:rPr>
              <w:t>6-33</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5" w:history="1">
            <w:r w:rsidR="00121BCD" w:rsidRPr="00311E30">
              <w:rPr>
                <w:rStyle w:val="Hyperlink"/>
              </w:rPr>
              <w:t>A.2</w:t>
            </w:r>
            <w:r w:rsidR="00121BCD">
              <w:rPr>
                <w:rFonts w:asciiTheme="minorHAnsi" w:eastAsiaTheme="minorEastAsia" w:hAnsiTheme="minorHAnsi"/>
                <w:b w:val="0"/>
                <w:color w:val="auto"/>
                <w:sz w:val="22"/>
                <w:lang w:eastAsia="en-AU"/>
              </w:rPr>
              <w:tab/>
            </w:r>
            <w:r w:rsidR="00121BCD" w:rsidRPr="00311E30">
              <w:rPr>
                <w:rStyle w:val="Hyperlink"/>
              </w:rPr>
              <w:t>Trend analysis</w:t>
            </w:r>
            <w:r w:rsidR="00121BCD">
              <w:rPr>
                <w:webHidden/>
              </w:rPr>
              <w:tab/>
            </w:r>
            <w:r w:rsidR="00121BCD">
              <w:rPr>
                <w:webHidden/>
              </w:rPr>
              <w:fldChar w:fldCharType="begin"/>
            </w:r>
            <w:r w:rsidR="00121BCD">
              <w:rPr>
                <w:webHidden/>
              </w:rPr>
              <w:instrText xml:space="preserve"> PAGEREF _Toc417725385 \h </w:instrText>
            </w:r>
            <w:r w:rsidR="00121BCD">
              <w:rPr>
                <w:webHidden/>
              </w:rPr>
            </w:r>
            <w:r w:rsidR="00121BCD">
              <w:rPr>
                <w:webHidden/>
              </w:rPr>
              <w:fldChar w:fldCharType="separate"/>
            </w:r>
            <w:r w:rsidR="00121BCD">
              <w:rPr>
                <w:webHidden/>
              </w:rPr>
              <w:t>6-34</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6" w:history="1">
            <w:r w:rsidR="00121BCD" w:rsidRPr="00311E30">
              <w:rPr>
                <w:rStyle w:val="Hyperlink"/>
              </w:rPr>
              <w:t>A.3</w:t>
            </w:r>
            <w:r w:rsidR="00121BCD">
              <w:rPr>
                <w:rFonts w:asciiTheme="minorHAnsi" w:eastAsiaTheme="minorEastAsia" w:hAnsiTheme="minorHAnsi"/>
                <w:b w:val="0"/>
                <w:color w:val="auto"/>
                <w:sz w:val="22"/>
                <w:lang w:eastAsia="en-AU"/>
              </w:rPr>
              <w:tab/>
            </w:r>
            <w:r w:rsidR="00121BCD" w:rsidRPr="00311E30">
              <w:rPr>
                <w:rStyle w:val="Hyperlink"/>
              </w:rPr>
              <w:t>Category analysis</w:t>
            </w:r>
            <w:r w:rsidR="00121BCD">
              <w:rPr>
                <w:webHidden/>
              </w:rPr>
              <w:tab/>
            </w:r>
            <w:r w:rsidR="00121BCD">
              <w:rPr>
                <w:webHidden/>
              </w:rPr>
              <w:fldChar w:fldCharType="begin"/>
            </w:r>
            <w:r w:rsidR="00121BCD">
              <w:rPr>
                <w:webHidden/>
              </w:rPr>
              <w:instrText xml:space="preserve"> PAGEREF _Toc417725386 \h </w:instrText>
            </w:r>
            <w:r w:rsidR="00121BCD">
              <w:rPr>
                <w:webHidden/>
              </w:rPr>
            </w:r>
            <w:r w:rsidR="00121BCD">
              <w:rPr>
                <w:webHidden/>
              </w:rPr>
              <w:fldChar w:fldCharType="separate"/>
            </w:r>
            <w:r w:rsidR="00121BCD">
              <w:rPr>
                <w:webHidden/>
              </w:rPr>
              <w:t>6-35</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7" w:history="1">
            <w:r w:rsidR="00121BCD" w:rsidRPr="00311E30">
              <w:rPr>
                <w:rStyle w:val="Hyperlink"/>
              </w:rPr>
              <w:t>A.4</w:t>
            </w:r>
            <w:r w:rsidR="00121BCD">
              <w:rPr>
                <w:rFonts w:asciiTheme="minorHAnsi" w:eastAsiaTheme="minorEastAsia" w:hAnsiTheme="minorHAnsi"/>
                <w:b w:val="0"/>
                <w:color w:val="auto"/>
                <w:sz w:val="22"/>
                <w:lang w:eastAsia="en-AU"/>
              </w:rPr>
              <w:tab/>
            </w:r>
            <w:r w:rsidR="00121BCD" w:rsidRPr="00311E30">
              <w:rPr>
                <w:rStyle w:val="Hyperlink"/>
              </w:rPr>
              <w:t>Predictive modelling</w:t>
            </w:r>
            <w:r w:rsidR="00121BCD">
              <w:rPr>
                <w:webHidden/>
              </w:rPr>
              <w:tab/>
            </w:r>
            <w:r w:rsidR="00121BCD">
              <w:rPr>
                <w:webHidden/>
              </w:rPr>
              <w:fldChar w:fldCharType="begin"/>
            </w:r>
            <w:r w:rsidR="00121BCD">
              <w:rPr>
                <w:webHidden/>
              </w:rPr>
              <w:instrText xml:space="preserve"> PAGEREF _Toc417725387 \h </w:instrText>
            </w:r>
            <w:r w:rsidR="00121BCD">
              <w:rPr>
                <w:webHidden/>
              </w:rPr>
            </w:r>
            <w:r w:rsidR="00121BCD">
              <w:rPr>
                <w:webHidden/>
              </w:rPr>
              <w:fldChar w:fldCharType="separate"/>
            </w:r>
            <w:r w:rsidR="00121BCD">
              <w:rPr>
                <w:webHidden/>
              </w:rPr>
              <w:t>6-35</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88" w:history="1">
            <w:r w:rsidR="00121BCD" w:rsidRPr="00311E30">
              <w:rPr>
                <w:rStyle w:val="Hyperlink"/>
              </w:rPr>
              <w:t>A.5</w:t>
            </w:r>
            <w:r w:rsidR="00121BCD">
              <w:rPr>
                <w:rFonts w:asciiTheme="minorHAnsi" w:eastAsiaTheme="minorEastAsia" w:hAnsiTheme="minorHAnsi"/>
                <w:b w:val="0"/>
                <w:color w:val="auto"/>
                <w:sz w:val="22"/>
                <w:lang w:eastAsia="en-AU"/>
              </w:rPr>
              <w:tab/>
            </w:r>
            <w:r w:rsidR="00121BCD" w:rsidRPr="00311E30">
              <w:rPr>
                <w:rStyle w:val="Hyperlink"/>
              </w:rPr>
              <w:t>Engineering review</w:t>
            </w:r>
            <w:r w:rsidR="00121BCD">
              <w:rPr>
                <w:webHidden/>
              </w:rPr>
              <w:tab/>
            </w:r>
            <w:r w:rsidR="00121BCD">
              <w:rPr>
                <w:webHidden/>
              </w:rPr>
              <w:fldChar w:fldCharType="begin"/>
            </w:r>
            <w:r w:rsidR="00121BCD">
              <w:rPr>
                <w:webHidden/>
              </w:rPr>
              <w:instrText xml:space="preserve"> PAGEREF _Toc417725388 \h </w:instrText>
            </w:r>
            <w:r w:rsidR="00121BCD">
              <w:rPr>
                <w:webHidden/>
              </w:rPr>
            </w:r>
            <w:r w:rsidR="00121BCD">
              <w:rPr>
                <w:webHidden/>
              </w:rPr>
              <w:fldChar w:fldCharType="separate"/>
            </w:r>
            <w:r w:rsidR="00121BCD">
              <w:rPr>
                <w:webHidden/>
              </w:rPr>
              <w:t>6-36</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389" w:history="1">
            <w:r w:rsidR="00121BCD" w:rsidRPr="00311E30">
              <w:rPr>
                <w:rStyle w:val="Hyperlink"/>
              </w:rPr>
              <w:t>B</w:t>
            </w:r>
            <w:r w:rsidR="00121BCD">
              <w:rPr>
                <w:rFonts w:asciiTheme="minorHAnsi" w:eastAsiaTheme="minorEastAsia" w:hAnsiTheme="minorHAnsi"/>
                <w:b w:val="0"/>
                <w:color w:val="auto"/>
                <w:sz w:val="22"/>
                <w:lang w:val="en-AU" w:eastAsia="en-AU"/>
              </w:rPr>
              <w:tab/>
            </w:r>
            <w:r w:rsidR="00121BCD" w:rsidRPr="00311E30">
              <w:rPr>
                <w:rStyle w:val="Hyperlink"/>
              </w:rPr>
              <w:t>Assessment of capex drivers</w:t>
            </w:r>
            <w:r w:rsidR="00121BCD">
              <w:rPr>
                <w:webHidden/>
              </w:rPr>
              <w:tab/>
            </w:r>
            <w:r w:rsidR="00121BCD">
              <w:rPr>
                <w:webHidden/>
              </w:rPr>
              <w:fldChar w:fldCharType="begin"/>
            </w:r>
            <w:r w:rsidR="00121BCD">
              <w:rPr>
                <w:webHidden/>
              </w:rPr>
              <w:instrText xml:space="preserve"> PAGEREF _Toc417725389 \h </w:instrText>
            </w:r>
            <w:r w:rsidR="00121BCD">
              <w:rPr>
                <w:webHidden/>
              </w:rPr>
            </w:r>
            <w:r w:rsidR="00121BCD">
              <w:rPr>
                <w:webHidden/>
              </w:rPr>
              <w:fldChar w:fldCharType="separate"/>
            </w:r>
            <w:r w:rsidR="00121BCD">
              <w:rPr>
                <w:webHidden/>
              </w:rPr>
              <w:t>6-37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90" w:history="1">
            <w:r w:rsidR="00121BCD" w:rsidRPr="00311E30">
              <w:rPr>
                <w:rStyle w:val="Hyperlink"/>
              </w:rPr>
              <w:t>B.1</w:t>
            </w:r>
            <w:r w:rsidR="00121BCD">
              <w:rPr>
                <w:rFonts w:asciiTheme="minorHAnsi" w:eastAsiaTheme="minorEastAsia" w:hAnsiTheme="minorHAnsi"/>
                <w:b w:val="0"/>
                <w:color w:val="auto"/>
                <w:sz w:val="22"/>
                <w:lang w:eastAsia="en-AU"/>
              </w:rPr>
              <w:tab/>
            </w:r>
            <w:r w:rsidR="00121BCD" w:rsidRPr="00311E30">
              <w:rPr>
                <w:rStyle w:val="Hyperlink"/>
              </w:rPr>
              <w:t>Alternative estimate</w:t>
            </w:r>
            <w:r w:rsidR="00121BCD">
              <w:rPr>
                <w:webHidden/>
              </w:rPr>
              <w:tab/>
            </w:r>
            <w:r w:rsidR="00121BCD">
              <w:rPr>
                <w:webHidden/>
              </w:rPr>
              <w:fldChar w:fldCharType="begin"/>
            </w:r>
            <w:r w:rsidR="00121BCD">
              <w:rPr>
                <w:webHidden/>
              </w:rPr>
              <w:instrText xml:space="preserve"> PAGEREF _Toc417725390 \h </w:instrText>
            </w:r>
            <w:r w:rsidR="00121BCD">
              <w:rPr>
                <w:webHidden/>
              </w:rPr>
            </w:r>
            <w:r w:rsidR="00121BCD">
              <w:rPr>
                <w:webHidden/>
              </w:rPr>
              <w:fldChar w:fldCharType="separate"/>
            </w:r>
            <w:r w:rsidR="00121BCD">
              <w:rPr>
                <w:webHidden/>
              </w:rPr>
              <w:t>6-37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91" w:history="1">
            <w:r w:rsidR="00121BCD" w:rsidRPr="00311E30">
              <w:rPr>
                <w:rStyle w:val="Hyperlink"/>
              </w:rPr>
              <w:t>B.2</w:t>
            </w:r>
            <w:r w:rsidR="00121BCD">
              <w:rPr>
                <w:rFonts w:asciiTheme="minorHAnsi" w:eastAsiaTheme="minorEastAsia" w:hAnsiTheme="minorHAnsi"/>
                <w:b w:val="0"/>
                <w:color w:val="auto"/>
                <w:sz w:val="22"/>
                <w:lang w:eastAsia="en-AU"/>
              </w:rPr>
              <w:tab/>
            </w:r>
            <w:r w:rsidR="00121BCD" w:rsidRPr="00311E30">
              <w:rPr>
                <w:rStyle w:val="Hyperlink"/>
              </w:rPr>
              <w:t>AER findings and estimates for augmentation expenditure</w:t>
            </w:r>
            <w:r w:rsidR="00121BCD">
              <w:rPr>
                <w:webHidden/>
              </w:rPr>
              <w:tab/>
            </w:r>
            <w:r w:rsidR="00121BCD">
              <w:rPr>
                <w:webHidden/>
              </w:rPr>
              <w:fldChar w:fldCharType="begin"/>
            </w:r>
            <w:r w:rsidR="00121BCD">
              <w:rPr>
                <w:webHidden/>
              </w:rPr>
              <w:instrText xml:space="preserve"> PAGEREF _Toc417725391 \h </w:instrText>
            </w:r>
            <w:r w:rsidR="00121BCD">
              <w:rPr>
                <w:webHidden/>
              </w:rPr>
            </w:r>
            <w:r w:rsidR="00121BCD">
              <w:rPr>
                <w:webHidden/>
              </w:rPr>
              <w:fldChar w:fldCharType="separate"/>
            </w:r>
            <w:r w:rsidR="00121BCD">
              <w:rPr>
                <w:webHidden/>
              </w:rPr>
              <w:t>6-38</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2" w:history="1">
            <w:r w:rsidR="00121BCD" w:rsidRPr="00311E30">
              <w:rPr>
                <w:rStyle w:val="Hyperlink"/>
              </w:rPr>
              <w:t>B.2.1</w:t>
            </w:r>
            <w:r w:rsidR="00121BCD">
              <w:rPr>
                <w:rFonts w:asciiTheme="minorHAnsi" w:eastAsiaTheme="minorEastAsia" w:hAnsiTheme="minorHAnsi"/>
                <w:lang w:eastAsia="en-AU"/>
              </w:rPr>
              <w:tab/>
            </w:r>
            <w:r w:rsidR="00121BCD" w:rsidRPr="00311E30">
              <w:rPr>
                <w:rStyle w:val="Hyperlink"/>
              </w:rPr>
              <w:t>Demand-driven augmentation</w:t>
            </w:r>
            <w:r w:rsidR="00121BCD">
              <w:rPr>
                <w:webHidden/>
              </w:rPr>
              <w:tab/>
            </w:r>
            <w:r w:rsidR="00121BCD">
              <w:rPr>
                <w:webHidden/>
              </w:rPr>
              <w:fldChar w:fldCharType="begin"/>
            </w:r>
            <w:r w:rsidR="00121BCD">
              <w:rPr>
                <w:webHidden/>
              </w:rPr>
              <w:instrText xml:space="preserve"> PAGEREF _Toc417725392 \h </w:instrText>
            </w:r>
            <w:r w:rsidR="00121BCD">
              <w:rPr>
                <w:webHidden/>
              </w:rPr>
            </w:r>
            <w:r w:rsidR="00121BCD">
              <w:rPr>
                <w:webHidden/>
              </w:rPr>
              <w:fldChar w:fldCharType="separate"/>
            </w:r>
            <w:r w:rsidR="00121BCD">
              <w:rPr>
                <w:webHidden/>
              </w:rPr>
              <w:t>6-40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3" w:history="1">
            <w:r w:rsidR="00121BCD" w:rsidRPr="00311E30">
              <w:rPr>
                <w:rStyle w:val="Hyperlink"/>
              </w:rPr>
              <w:t>B.2.2</w:t>
            </w:r>
            <w:r w:rsidR="00121BCD">
              <w:rPr>
                <w:rFonts w:asciiTheme="minorHAnsi" w:eastAsiaTheme="minorEastAsia" w:hAnsiTheme="minorHAnsi"/>
                <w:lang w:eastAsia="en-AU"/>
              </w:rPr>
              <w:tab/>
            </w:r>
            <w:r w:rsidR="00121BCD" w:rsidRPr="00311E30">
              <w:rPr>
                <w:rStyle w:val="Hyperlink"/>
              </w:rPr>
              <w:t>Safety-related augmentation</w:t>
            </w:r>
            <w:r w:rsidR="00121BCD">
              <w:rPr>
                <w:webHidden/>
              </w:rPr>
              <w:tab/>
            </w:r>
            <w:r w:rsidR="00121BCD">
              <w:rPr>
                <w:webHidden/>
              </w:rPr>
              <w:fldChar w:fldCharType="begin"/>
            </w:r>
            <w:r w:rsidR="00121BCD">
              <w:rPr>
                <w:webHidden/>
              </w:rPr>
              <w:instrText xml:space="preserve"> PAGEREF _Toc417725393 \h </w:instrText>
            </w:r>
            <w:r w:rsidR="00121BCD">
              <w:rPr>
                <w:webHidden/>
              </w:rPr>
            </w:r>
            <w:r w:rsidR="00121BCD">
              <w:rPr>
                <w:webHidden/>
              </w:rPr>
              <w:fldChar w:fldCharType="separate"/>
            </w:r>
            <w:r w:rsidR="00121BCD">
              <w:rPr>
                <w:webHidden/>
              </w:rPr>
              <w:t>6-48</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4" w:history="1">
            <w:r w:rsidR="00121BCD" w:rsidRPr="00311E30">
              <w:rPr>
                <w:rStyle w:val="Hyperlink"/>
              </w:rPr>
              <w:t>B.2.3</w:t>
            </w:r>
            <w:r w:rsidR="00121BCD">
              <w:rPr>
                <w:rFonts w:asciiTheme="minorHAnsi" w:eastAsiaTheme="minorEastAsia" w:hAnsiTheme="minorHAnsi"/>
                <w:lang w:eastAsia="en-AU"/>
              </w:rPr>
              <w:tab/>
            </w:r>
            <w:r w:rsidR="00121BCD" w:rsidRPr="00311E30">
              <w:rPr>
                <w:rStyle w:val="Hyperlink"/>
              </w:rPr>
              <w:t>Strategic programs</w:t>
            </w:r>
            <w:r w:rsidR="00121BCD">
              <w:rPr>
                <w:webHidden/>
              </w:rPr>
              <w:tab/>
            </w:r>
            <w:r w:rsidR="00121BCD">
              <w:rPr>
                <w:webHidden/>
              </w:rPr>
              <w:fldChar w:fldCharType="begin"/>
            </w:r>
            <w:r w:rsidR="00121BCD">
              <w:rPr>
                <w:webHidden/>
              </w:rPr>
              <w:instrText xml:space="preserve"> PAGEREF _Toc417725394 \h </w:instrText>
            </w:r>
            <w:r w:rsidR="00121BCD">
              <w:rPr>
                <w:webHidden/>
              </w:rPr>
            </w:r>
            <w:r w:rsidR="00121BCD">
              <w:rPr>
                <w:webHidden/>
              </w:rPr>
              <w:fldChar w:fldCharType="separate"/>
            </w:r>
            <w:r w:rsidR="00121BCD">
              <w:rPr>
                <w:webHidden/>
              </w:rPr>
              <w:t>6-62</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5" w:history="1">
            <w:r w:rsidR="00121BCD" w:rsidRPr="00311E30">
              <w:rPr>
                <w:rStyle w:val="Hyperlink"/>
              </w:rPr>
              <w:t>B.2.4</w:t>
            </w:r>
            <w:r w:rsidR="00121BCD">
              <w:rPr>
                <w:rFonts w:asciiTheme="minorHAnsi" w:eastAsiaTheme="minorEastAsia" w:hAnsiTheme="minorHAnsi"/>
                <w:lang w:eastAsia="en-AU"/>
              </w:rPr>
              <w:tab/>
            </w:r>
            <w:r w:rsidR="00121BCD" w:rsidRPr="00311E30">
              <w:rPr>
                <w:rStyle w:val="Hyperlink"/>
              </w:rPr>
              <w:t>Reliability augmentation</w:t>
            </w:r>
            <w:r w:rsidR="00121BCD">
              <w:rPr>
                <w:webHidden/>
              </w:rPr>
              <w:tab/>
            </w:r>
            <w:r w:rsidR="00121BCD">
              <w:rPr>
                <w:webHidden/>
              </w:rPr>
              <w:fldChar w:fldCharType="begin"/>
            </w:r>
            <w:r w:rsidR="00121BCD">
              <w:rPr>
                <w:webHidden/>
              </w:rPr>
              <w:instrText xml:space="preserve"> PAGEREF _Toc417725395 \h </w:instrText>
            </w:r>
            <w:r w:rsidR="00121BCD">
              <w:rPr>
                <w:webHidden/>
              </w:rPr>
            </w:r>
            <w:r w:rsidR="00121BCD">
              <w:rPr>
                <w:webHidden/>
              </w:rPr>
              <w:fldChar w:fldCharType="separate"/>
            </w:r>
            <w:r w:rsidR="00121BCD">
              <w:rPr>
                <w:webHidden/>
              </w:rPr>
              <w:t>6-73</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6" w:history="1">
            <w:r w:rsidR="00121BCD" w:rsidRPr="00311E30">
              <w:rPr>
                <w:rStyle w:val="Hyperlink"/>
              </w:rPr>
              <w:t>B.2.5</w:t>
            </w:r>
            <w:r w:rsidR="00121BCD">
              <w:rPr>
                <w:rFonts w:asciiTheme="minorHAnsi" w:eastAsiaTheme="minorEastAsia" w:hAnsiTheme="minorHAnsi"/>
                <w:lang w:eastAsia="en-AU"/>
              </w:rPr>
              <w:tab/>
            </w:r>
            <w:r w:rsidR="00121BCD" w:rsidRPr="00311E30">
              <w:rPr>
                <w:rStyle w:val="Hyperlink"/>
              </w:rPr>
              <w:t>Environmental</w:t>
            </w:r>
            <w:r w:rsidR="00121BCD">
              <w:rPr>
                <w:webHidden/>
              </w:rPr>
              <w:tab/>
            </w:r>
            <w:r w:rsidR="00121BCD">
              <w:rPr>
                <w:webHidden/>
              </w:rPr>
              <w:fldChar w:fldCharType="begin"/>
            </w:r>
            <w:r w:rsidR="00121BCD">
              <w:rPr>
                <w:webHidden/>
              </w:rPr>
              <w:instrText xml:space="preserve"> PAGEREF _Toc417725396 \h </w:instrText>
            </w:r>
            <w:r w:rsidR="00121BCD">
              <w:rPr>
                <w:webHidden/>
              </w:rPr>
            </w:r>
            <w:r w:rsidR="00121BCD">
              <w:rPr>
                <w:webHidden/>
              </w:rPr>
              <w:fldChar w:fldCharType="separate"/>
            </w:r>
            <w:r w:rsidR="00121BCD">
              <w:rPr>
                <w:webHidden/>
              </w:rPr>
              <w:t>6-82</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7" w:history="1">
            <w:r w:rsidR="00121BCD" w:rsidRPr="00311E30">
              <w:rPr>
                <w:rStyle w:val="Hyperlink"/>
              </w:rPr>
              <w:t>B.2.6</w:t>
            </w:r>
            <w:r w:rsidR="00121BCD">
              <w:rPr>
                <w:rFonts w:asciiTheme="minorHAnsi" w:eastAsiaTheme="minorEastAsia" w:hAnsiTheme="minorHAnsi"/>
                <w:lang w:eastAsia="en-AU"/>
              </w:rPr>
              <w:tab/>
            </w:r>
            <w:r w:rsidR="00121BCD" w:rsidRPr="00311E30">
              <w:rPr>
                <w:rStyle w:val="Hyperlink"/>
              </w:rPr>
              <w:t>Other augex — Power Line Environment Committee</w:t>
            </w:r>
            <w:r w:rsidR="00121BCD">
              <w:rPr>
                <w:webHidden/>
              </w:rPr>
              <w:tab/>
            </w:r>
            <w:r w:rsidR="00121BCD">
              <w:rPr>
                <w:webHidden/>
              </w:rPr>
              <w:fldChar w:fldCharType="begin"/>
            </w:r>
            <w:r w:rsidR="00121BCD">
              <w:rPr>
                <w:webHidden/>
              </w:rPr>
              <w:instrText xml:space="preserve"> PAGEREF _Toc417725397 \h </w:instrText>
            </w:r>
            <w:r w:rsidR="00121BCD">
              <w:rPr>
                <w:webHidden/>
              </w:rPr>
            </w:r>
            <w:r w:rsidR="00121BCD">
              <w:rPr>
                <w:webHidden/>
              </w:rPr>
              <w:fldChar w:fldCharType="separate"/>
            </w:r>
            <w:r w:rsidR="00121BCD">
              <w:rPr>
                <w:webHidden/>
              </w:rPr>
              <w:t>6-84</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398" w:history="1">
            <w:r w:rsidR="00121BCD" w:rsidRPr="00311E30">
              <w:rPr>
                <w:rStyle w:val="Hyperlink"/>
              </w:rPr>
              <w:t>B.3</w:t>
            </w:r>
            <w:r w:rsidR="00121BCD">
              <w:rPr>
                <w:rFonts w:asciiTheme="minorHAnsi" w:eastAsiaTheme="minorEastAsia" w:hAnsiTheme="minorHAnsi"/>
                <w:b w:val="0"/>
                <w:color w:val="auto"/>
                <w:sz w:val="22"/>
                <w:lang w:eastAsia="en-AU"/>
              </w:rPr>
              <w:tab/>
            </w:r>
            <w:r w:rsidR="00121BCD" w:rsidRPr="00311E30">
              <w:rPr>
                <w:rStyle w:val="Hyperlink"/>
              </w:rPr>
              <w:t>AER findings and estimates for connections and contributions</w:t>
            </w:r>
            <w:r w:rsidR="00121BCD">
              <w:rPr>
                <w:webHidden/>
              </w:rPr>
              <w:tab/>
              <w:t xml:space="preserve">   </w:t>
            </w:r>
            <w:r w:rsidR="00121BCD">
              <w:rPr>
                <w:webHidden/>
              </w:rPr>
              <w:fldChar w:fldCharType="begin"/>
            </w:r>
            <w:r w:rsidR="00121BCD">
              <w:rPr>
                <w:webHidden/>
              </w:rPr>
              <w:instrText xml:space="preserve"> PAGEREF _Toc417725398 \h </w:instrText>
            </w:r>
            <w:r w:rsidR="00121BCD">
              <w:rPr>
                <w:webHidden/>
              </w:rPr>
            </w:r>
            <w:r w:rsidR="00121BCD">
              <w:rPr>
                <w:webHidden/>
              </w:rPr>
              <w:fldChar w:fldCharType="separate"/>
            </w:r>
            <w:r w:rsidR="00121BCD">
              <w:rPr>
                <w:webHidden/>
              </w:rPr>
              <w:t>6-86</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399" w:history="1">
            <w:r w:rsidR="00121BCD" w:rsidRPr="00311E30">
              <w:rPr>
                <w:rStyle w:val="Hyperlink"/>
              </w:rPr>
              <w:t>B.3.1</w:t>
            </w:r>
            <w:r w:rsidR="00121BCD">
              <w:rPr>
                <w:rFonts w:asciiTheme="minorHAnsi" w:eastAsiaTheme="minorEastAsia" w:hAnsiTheme="minorHAnsi"/>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_Toc417725399 \h </w:instrText>
            </w:r>
            <w:r w:rsidR="00121BCD">
              <w:rPr>
                <w:webHidden/>
              </w:rPr>
            </w:r>
            <w:r w:rsidR="00121BCD">
              <w:rPr>
                <w:webHidden/>
              </w:rPr>
              <w:fldChar w:fldCharType="separate"/>
            </w:r>
            <w:r w:rsidR="00121BCD">
              <w:rPr>
                <w:webHidden/>
              </w:rPr>
              <w:t>6-86</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00" w:history="1">
            <w:r w:rsidR="00121BCD" w:rsidRPr="00311E30">
              <w:rPr>
                <w:rStyle w:val="Hyperlink"/>
              </w:rPr>
              <w:t>B.4</w:t>
            </w:r>
            <w:r w:rsidR="00121BCD">
              <w:rPr>
                <w:rFonts w:asciiTheme="minorHAnsi" w:eastAsiaTheme="minorEastAsia" w:hAnsiTheme="minorHAnsi"/>
                <w:b w:val="0"/>
                <w:color w:val="auto"/>
                <w:sz w:val="22"/>
                <w:lang w:eastAsia="en-AU"/>
              </w:rPr>
              <w:tab/>
            </w:r>
            <w:r w:rsidR="00121BCD" w:rsidRPr="00311E30">
              <w:rPr>
                <w:rStyle w:val="Hyperlink"/>
              </w:rPr>
              <w:t>AER findings and estimates for replacement expenditure</w:t>
            </w:r>
            <w:r w:rsidR="00121BCD">
              <w:rPr>
                <w:webHidden/>
              </w:rPr>
              <w:tab/>
            </w:r>
            <w:r w:rsidR="00121BCD">
              <w:rPr>
                <w:webHidden/>
              </w:rPr>
              <w:fldChar w:fldCharType="begin"/>
            </w:r>
            <w:r w:rsidR="00121BCD">
              <w:rPr>
                <w:webHidden/>
              </w:rPr>
              <w:instrText xml:space="preserve"> PAGEREF _Toc417725400 \h </w:instrText>
            </w:r>
            <w:r w:rsidR="00121BCD">
              <w:rPr>
                <w:webHidden/>
              </w:rPr>
            </w:r>
            <w:r w:rsidR="00121BCD">
              <w:rPr>
                <w:webHidden/>
              </w:rPr>
              <w:fldChar w:fldCharType="separate"/>
            </w:r>
            <w:r w:rsidR="00121BCD">
              <w:rPr>
                <w:webHidden/>
              </w:rPr>
              <w:t>6-89</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1" w:history="1">
            <w:r w:rsidR="00121BCD" w:rsidRPr="00311E30">
              <w:rPr>
                <w:rStyle w:val="Hyperlink"/>
              </w:rPr>
              <w:t>B.4.1</w:t>
            </w:r>
            <w:r w:rsidR="00121BCD">
              <w:rPr>
                <w:rFonts w:asciiTheme="minorHAnsi" w:eastAsiaTheme="minorEastAsia" w:hAnsiTheme="minorHAnsi"/>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_Toc417725401 \h </w:instrText>
            </w:r>
            <w:r w:rsidR="00121BCD">
              <w:rPr>
                <w:webHidden/>
              </w:rPr>
            </w:r>
            <w:r w:rsidR="00121BCD">
              <w:rPr>
                <w:webHidden/>
              </w:rPr>
              <w:fldChar w:fldCharType="separate"/>
            </w:r>
            <w:r w:rsidR="00121BCD">
              <w:rPr>
                <w:webHidden/>
              </w:rPr>
              <w:t>6-90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2" w:history="1">
            <w:r w:rsidR="00121BCD" w:rsidRPr="00311E30">
              <w:rPr>
                <w:rStyle w:val="Hyperlink"/>
              </w:rPr>
              <w:t>B.4.2</w:t>
            </w:r>
            <w:r w:rsidR="00121BCD">
              <w:rPr>
                <w:rFonts w:asciiTheme="minorHAnsi" w:eastAsiaTheme="minorEastAsia" w:hAnsiTheme="minorHAnsi"/>
                <w:lang w:eastAsia="en-AU"/>
              </w:rPr>
              <w:tab/>
            </w:r>
            <w:r w:rsidR="00121BCD" w:rsidRPr="00311E30">
              <w:rPr>
                <w:rStyle w:val="Hyperlink"/>
              </w:rPr>
              <w:t>SA Power Networks' proposal</w:t>
            </w:r>
            <w:r w:rsidR="00121BCD">
              <w:rPr>
                <w:webHidden/>
              </w:rPr>
              <w:tab/>
            </w:r>
            <w:r w:rsidR="00121BCD">
              <w:rPr>
                <w:webHidden/>
              </w:rPr>
              <w:fldChar w:fldCharType="begin"/>
            </w:r>
            <w:r w:rsidR="00121BCD">
              <w:rPr>
                <w:webHidden/>
              </w:rPr>
              <w:instrText xml:space="preserve"> PAGEREF _Toc417725402 \h </w:instrText>
            </w:r>
            <w:r w:rsidR="00121BCD">
              <w:rPr>
                <w:webHidden/>
              </w:rPr>
            </w:r>
            <w:r w:rsidR="00121BCD">
              <w:rPr>
                <w:webHidden/>
              </w:rPr>
              <w:fldChar w:fldCharType="separate"/>
            </w:r>
            <w:r w:rsidR="00121BCD">
              <w:rPr>
                <w:webHidden/>
              </w:rPr>
              <w:t>6-90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3" w:history="1">
            <w:r w:rsidR="00121BCD" w:rsidRPr="00311E30">
              <w:rPr>
                <w:rStyle w:val="Hyperlink"/>
              </w:rPr>
              <w:t>B.4.3</w:t>
            </w:r>
            <w:r w:rsidR="00121BCD">
              <w:rPr>
                <w:rFonts w:asciiTheme="minorHAnsi" w:eastAsiaTheme="minorEastAsia" w:hAnsiTheme="minorHAnsi"/>
                <w:lang w:eastAsia="en-AU"/>
              </w:rPr>
              <w:tab/>
            </w:r>
            <w:r w:rsidR="00121BCD" w:rsidRPr="00311E30">
              <w:rPr>
                <w:rStyle w:val="Hyperlink"/>
              </w:rPr>
              <w:t>AER approach</w:t>
            </w:r>
            <w:r w:rsidR="00121BCD">
              <w:rPr>
                <w:webHidden/>
              </w:rPr>
              <w:tab/>
            </w:r>
            <w:r w:rsidR="00121BCD">
              <w:rPr>
                <w:webHidden/>
              </w:rPr>
              <w:fldChar w:fldCharType="begin"/>
            </w:r>
            <w:r w:rsidR="00121BCD">
              <w:rPr>
                <w:webHidden/>
              </w:rPr>
              <w:instrText xml:space="preserve"> PAGEREF _Toc417725403 \h </w:instrText>
            </w:r>
            <w:r w:rsidR="00121BCD">
              <w:rPr>
                <w:webHidden/>
              </w:rPr>
            </w:r>
            <w:r w:rsidR="00121BCD">
              <w:rPr>
                <w:webHidden/>
              </w:rPr>
              <w:fldChar w:fldCharType="separate"/>
            </w:r>
            <w:r w:rsidR="00121BCD">
              <w:rPr>
                <w:webHidden/>
              </w:rPr>
              <w:t>6-91</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4" w:history="1">
            <w:r w:rsidR="00121BCD" w:rsidRPr="00311E30">
              <w:rPr>
                <w:rStyle w:val="Hyperlink"/>
              </w:rPr>
              <w:t>B.4.4</w:t>
            </w:r>
            <w:r w:rsidR="00121BCD">
              <w:rPr>
                <w:rFonts w:asciiTheme="minorHAnsi" w:eastAsiaTheme="minorEastAsia" w:hAnsiTheme="minorHAnsi"/>
                <w:lang w:eastAsia="en-AU"/>
              </w:rPr>
              <w:tab/>
            </w:r>
            <w:r w:rsidR="00121BCD" w:rsidRPr="00311E30">
              <w:rPr>
                <w:rStyle w:val="Hyperlink"/>
              </w:rPr>
              <w:t>AER repex findings</w:t>
            </w:r>
            <w:r w:rsidR="00121BCD">
              <w:rPr>
                <w:webHidden/>
              </w:rPr>
              <w:tab/>
            </w:r>
            <w:r w:rsidR="00121BCD">
              <w:rPr>
                <w:webHidden/>
              </w:rPr>
              <w:fldChar w:fldCharType="begin"/>
            </w:r>
            <w:r w:rsidR="00121BCD">
              <w:rPr>
                <w:webHidden/>
              </w:rPr>
              <w:instrText xml:space="preserve"> PAGEREF _Toc417725404 \h </w:instrText>
            </w:r>
            <w:r w:rsidR="00121BCD">
              <w:rPr>
                <w:webHidden/>
              </w:rPr>
            </w:r>
            <w:r w:rsidR="00121BCD">
              <w:rPr>
                <w:webHidden/>
              </w:rPr>
              <w:fldChar w:fldCharType="separate"/>
            </w:r>
            <w:r w:rsidR="00121BCD">
              <w:rPr>
                <w:webHidden/>
              </w:rPr>
              <w:t>6-93</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05" w:history="1">
            <w:r w:rsidR="00121BCD" w:rsidRPr="00311E30">
              <w:rPr>
                <w:rStyle w:val="Hyperlink"/>
              </w:rPr>
              <w:t>B.5</w:t>
            </w:r>
            <w:r w:rsidR="00121BCD">
              <w:rPr>
                <w:rFonts w:asciiTheme="minorHAnsi" w:eastAsiaTheme="minorEastAsia" w:hAnsiTheme="minorHAnsi"/>
                <w:b w:val="0"/>
                <w:color w:val="auto"/>
                <w:sz w:val="22"/>
                <w:lang w:eastAsia="en-AU"/>
              </w:rPr>
              <w:tab/>
            </w:r>
            <w:r w:rsidR="00121BCD" w:rsidRPr="00311E30">
              <w:rPr>
                <w:rStyle w:val="Hyperlink"/>
              </w:rPr>
              <w:t>AER findings and estimates for capitalised overheads</w:t>
            </w:r>
            <w:r w:rsidR="00121BCD">
              <w:rPr>
                <w:webHidden/>
              </w:rPr>
              <w:tab/>
            </w:r>
            <w:r w:rsidR="00121BCD">
              <w:rPr>
                <w:webHidden/>
              </w:rPr>
              <w:fldChar w:fldCharType="begin"/>
            </w:r>
            <w:r w:rsidR="00121BCD">
              <w:rPr>
                <w:webHidden/>
              </w:rPr>
              <w:instrText xml:space="preserve"> PAGEREF _Toc417725405 \h </w:instrText>
            </w:r>
            <w:r w:rsidR="00121BCD">
              <w:rPr>
                <w:webHidden/>
              </w:rPr>
            </w:r>
            <w:r w:rsidR="00121BCD">
              <w:rPr>
                <w:webHidden/>
              </w:rPr>
              <w:fldChar w:fldCharType="separate"/>
            </w:r>
            <w:r w:rsidR="00121BCD">
              <w:rPr>
                <w:webHidden/>
              </w:rPr>
              <w:t>6-108</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6" w:history="1">
            <w:r w:rsidR="00121BCD" w:rsidRPr="00311E30">
              <w:rPr>
                <w:rStyle w:val="Hyperlink"/>
              </w:rPr>
              <w:t>B.5.1</w:t>
            </w:r>
            <w:r w:rsidR="00121BCD">
              <w:rPr>
                <w:rFonts w:asciiTheme="minorHAnsi" w:eastAsiaTheme="minorEastAsia" w:hAnsiTheme="minorHAnsi"/>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_Toc417725406 \h </w:instrText>
            </w:r>
            <w:r w:rsidR="00121BCD">
              <w:rPr>
                <w:webHidden/>
              </w:rPr>
            </w:r>
            <w:r w:rsidR="00121BCD">
              <w:rPr>
                <w:webHidden/>
              </w:rPr>
              <w:fldChar w:fldCharType="separate"/>
            </w:r>
            <w:r w:rsidR="00121BCD">
              <w:rPr>
                <w:webHidden/>
              </w:rPr>
              <w:t>6-108</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7" w:history="1">
            <w:r w:rsidR="00121BCD" w:rsidRPr="00311E30">
              <w:rPr>
                <w:rStyle w:val="Hyperlink"/>
              </w:rPr>
              <w:t>B.5.2</w:t>
            </w:r>
            <w:r w:rsidR="00121BCD">
              <w:rPr>
                <w:rFonts w:asciiTheme="minorHAnsi" w:eastAsiaTheme="minorEastAsia" w:hAnsiTheme="minorHAnsi"/>
                <w:lang w:eastAsia="en-AU"/>
              </w:rPr>
              <w:tab/>
            </w:r>
            <w:r w:rsidR="00121BCD" w:rsidRPr="00311E30">
              <w:rPr>
                <w:rStyle w:val="Hyperlink"/>
              </w:rPr>
              <w:t>Our assessment</w:t>
            </w:r>
            <w:r w:rsidR="00121BCD">
              <w:rPr>
                <w:webHidden/>
              </w:rPr>
              <w:tab/>
            </w:r>
            <w:r w:rsidR="00121BCD">
              <w:rPr>
                <w:webHidden/>
              </w:rPr>
              <w:fldChar w:fldCharType="begin"/>
            </w:r>
            <w:r w:rsidR="00121BCD">
              <w:rPr>
                <w:webHidden/>
              </w:rPr>
              <w:instrText xml:space="preserve"> PAGEREF _Toc417725407 \h </w:instrText>
            </w:r>
            <w:r w:rsidR="00121BCD">
              <w:rPr>
                <w:webHidden/>
              </w:rPr>
            </w:r>
            <w:r w:rsidR="00121BCD">
              <w:rPr>
                <w:webHidden/>
              </w:rPr>
              <w:fldChar w:fldCharType="separate"/>
            </w:r>
            <w:r w:rsidR="00121BCD">
              <w:rPr>
                <w:webHidden/>
              </w:rPr>
              <w:t>6-108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08" w:history="1">
            <w:r w:rsidR="00121BCD" w:rsidRPr="00311E30">
              <w:rPr>
                <w:rStyle w:val="Hyperlink"/>
              </w:rPr>
              <w:t>B.6</w:t>
            </w:r>
            <w:r w:rsidR="00121BCD">
              <w:rPr>
                <w:rFonts w:asciiTheme="minorHAnsi" w:eastAsiaTheme="minorEastAsia" w:hAnsiTheme="minorHAnsi"/>
                <w:b w:val="0"/>
                <w:color w:val="auto"/>
                <w:sz w:val="22"/>
                <w:lang w:eastAsia="en-AU"/>
              </w:rPr>
              <w:tab/>
            </w:r>
            <w:r w:rsidR="00121BCD" w:rsidRPr="00311E30">
              <w:rPr>
                <w:rStyle w:val="Hyperlink"/>
              </w:rPr>
              <w:t>AER findings and estimates for non-network capex</w:t>
            </w:r>
            <w:r w:rsidR="00121BCD">
              <w:rPr>
                <w:webHidden/>
              </w:rPr>
              <w:tab/>
            </w:r>
            <w:r w:rsidR="00121BCD">
              <w:rPr>
                <w:webHidden/>
              </w:rPr>
              <w:fldChar w:fldCharType="begin"/>
            </w:r>
            <w:r w:rsidR="00121BCD">
              <w:rPr>
                <w:webHidden/>
              </w:rPr>
              <w:instrText xml:space="preserve"> PAGEREF _Toc417725408 \h </w:instrText>
            </w:r>
            <w:r w:rsidR="00121BCD">
              <w:rPr>
                <w:webHidden/>
              </w:rPr>
            </w:r>
            <w:r w:rsidR="00121BCD">
              <w:rPr>
                <w:webHidden/>
              </w:rPr>
              <w:fldChar w:fldCharType="separate"/>
            </w:r>
            <w:r w:rsidR="00121BCD">
              <w:rPr>
                <w:webHidden/>
              </w:rPr>
              <w:t>6-109</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09" w:history="1">
            <w:r w:rsidR="00121BCD" w:rsidRPr="00311E30">
              <w:rPr>
                <w:rStyle w:val="Hyperlink"/>
              </w:rPr>
              <w:t>B.6.1</w:t>
            </w:r>
            <w:r w:rsidR="00121BCD">
              <w:rPr>
                <w:rFonts w:asciiTheme="minorHAnsi" w:eastAsiaTheme="minorEastAsia" w:hAnsiTheme="minorHAnsi"/>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_Toc417725409 \h </w:instrText>
            </w:r>
            <w:r w:rsidR="00121BCD">
              <w:rPr>
                <w:webHidden/>
              </w:rPr>
            </w:r>
            <w:r w:rsidR="00121BCD">
              <w:rPr>
                <w:webHidden/>
              </w:rPr>
              <w:fldChar w:fldCharType="separate"/>
            </w:r>
            <w:r w:rsidR="00121BCD">
              <w:rPr>
                <w:webHidden/>
              </w:rPr>
              <w:t>6-110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0" w:history="1">
            <w:r w:rsidR="00121BCD" w:rsidRPr="00311E30">
              <w:rPr>
                <w:rStyle w:val="Hyperlink"/>
              </w:rPr>
              <w:t>B.6.2</w:t>
            </w:r>
            <w:r w:rsidR="00121BCD">
              <w:rPr>
                <w:rFonts w:asciiTheme="minorHAnsi" w:eastAsiaTheme="minorEastAsia" w:hAnsiTheme="minorHAnsi"/>
                <w:lang w:eastAsia="en-AU"/>
              </w:rPr>
              <w:tab/>
            </w:r>
            <w:r w:rsidR="00121BCD" w:rsidRPr="00311E30">
              <w:rPr>
                <w:rStyle w:val="Hyperlink"/>
              </w:rPr>
              <w:t>SA Power Networks' proposal</w:t>
            </w:r>
            <w:r w:rsidR="00121BCD">
              <w:rPr>
                <w:webHidden/>
              </w:rPr>
              <w:tab/>
            </w:r>
            <w:r w:rsidR="00121BCD">
              <w:rPr>
                <w:webHidden/>
              </w:rPr>
              <w:fldChar w:fldCharType="begin"/>
            </w:r>
            <w:r w:rsidR="00121BCD">
              <w:rPr>
                <w:webHidden/>
              </w:rPr>
              <w:instrText xml:space="preserve"> PAGEREF _Toc417725410 \h </w:instrText>
            </w:r>
            <w:r w:rsidR="00121BCD">
              <w:rPr>
                <w:webHidden/>
              </w:rPr>
            </w:r>
            <w:r w:rsidR="00121BCD">
              <w:rPr>
                <w:webHidden/>
              </w:rPr>
              <w:fldChar w:fldCharType="separate"/>
            </w:r>
            <w:r w:rsidR="00121BCD">
              <w:rPr>
                <w:webHidden/>
              </w:rPr>
              <w:t>6-110</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1" w:history="1">
            <w:r w:rsidR="00121BCD" w:rsidRPr="00311E30">
              <w:rPr>
                <w:rStyle w:val="Hyperlink"/>
              </w:rPr>
              <w:t>B.6.3</w:t>
            </w:r>
            <w:r w:rsidR="00121BCD">
              <w:rPr>
                <w:rFonts w:asciiTheme="minorHAnsi" w:eastAsiaTheme="minorEastAsia" w:hAnsiTheme="minorHAnsi"/>
                <w:lang w:eastAsia="en-AU"/>
              </w:rPr>
              <w:tab/>
            </w:r>
            <w:r w:rsidR="00121BCD" w:rsidRPr="00311E30">
              <w:rPr>
                <w:rStyle w:val="Hyperlink"/>
              </w:rPr>
              <w:t>Information technology capex</w:t>
            </w:r>
            <w:r w:rsidR="00121BCD">
              <w:rPr>
                <w:webHidden/>
              </w:rPr>
              <w:tab/>
            </w:r>
            <w:r w:rsidR="00121BCD">
              <w:rPr>
                <w:webHidden/>
              </w:rPr>
              <w:fldChar w:fldCharType="begin"/>
            </w:r>
            <w:r w:rsidR="00121BCD">
              <w:rPr>
                <w:webHidden/>
              </w:rPr>
              <w:instrText xml:space="preserve"> PAGEREF _Toc417725411 \h </w:instrText>
            </w:r>
            <w:r w:rsidR="00121BCD">
              <w:rPr>
                <w:webHidden/>
              </w:rPr>
            </w:r>
            <w:r w:rsidR="00121BCD">
              <w:rPr>
                <w:webHidden/>
              </w:rPr>
              <w:fldChar w:fldCharType="separate"/>
            </w:r>
            <w:r w:rsidR="00121BCD">
              <w:rPr>
                <w:webHidden/>
              </w:rPr>
              <w:t>6-113</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2" w:history="1">
            <w:r w:rsidR="00121BCD" w:rsidRPr="00311E30">
              <w:rPr>
                <w:rStyle w:val="Hyperlink"/>
              </w:rPr>
              <w:t>B.6.4</w:t>
            </w:r>
            <w:r w:rsidR="00121BCD">
              <w:rPr>
                <w:rFonts w:asciiTheme="minorHAnsi" w:eastAsiaTheme="minorEastAsia" w:hAnsiTheme="minorHAnsi"/>
                <w:lang w:eastAsia="en-AU"/>
              </w:rPr>
              <w:tab/>
            </w:r>
            <w:r w:rsidR="00121BCD" w:rsidRPr="00311E30">
              <w:rPr>
                <w:rStyle w:val="Hyperlink"/>
              </w:rPr>
              <w:t>Buildings and property capex</w:t>
            </w:r>
            <w:r w:rsidR="00121BCD">
              <w:rPr>
                <w:webHidden/>
              </w:rPr>
              <w:tab/>
            </w:r>
            <w:r w:rsidR="00121BCD">
              <w:rPr>
                <w:webHidden/>
              </w:rPr>
              <w:fldChar w:fldCharType="begin"/>
            </w:r>
            <w:r w:rsidR="00121BCD">
              <w:rPr>
                <w:webHidden/>
              </w:rPr>
              <w:instrText xml:space="preserve"> PAGEREF _Toc417725412 \h </w:instrText>
            </w:r>
            <w:r w:rsidR="00121BCD">
              <w:rPr>
                <w:webHidden/>
              </w:rPr>
            </w:r>
            <w:r w:rsidR="00121BCD">
              <w:rPr>
                <w:webHidden/>
              </w:rPr>
              <w:fldChar w:fldCharType="separate"/>
            </w:r>
            <w:r w:rsidR="00121BCD">
              <w:rPr>
                <w:webHidden/>
              </w:rPr>
              <w:t>6-123</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3" w:history="1">
            <w:r w:rsidR="00121BCD" w:rsidRPr="00311E30">
              <w:rPr>
                <w:rStyle w:val="Hyperlink"/>
              </w:rPr>
              <w:t>B.6.5</w:t>
            </w:r>
            <w:r w:rsidR="00121BCD">
              <w:rPr>
                <w:rFonts w:asciiTheme="minorHAnsi" w:eastAsiaTheme="minorEastAsia" w:hAnsiTheme="minorHAnsi"/>
                <w:lang w:eastAsia="en-AU"/>
              </w:rPr>
              <w:tab/>
            </w:r>
            <w:r w:rsidR="00121BCD" w:rsidRPr="00311E30">
              <w:rPr>
                <w:rStyle w:val="Hyperlink"/>
              </w:rPr>
              <w:t>Fleet capex</w:t>
            </w:r>
            <w:r w:rsidR="00121BCD">
              <w:rPr>
                <w:webHidden/>
              </w:rPr>
              <w:tab/>
            </w:r>
            <w:r w:rsidR="00121BCD">
              <w:rPr>
                <w:webHidden/>
              </w:rPr>
              <w:fldChar w:fldCharType="begin"/>
            </w:r>
            <w:r w:rsidR="00121BCD">
              <w:rPr>
                <w:webHidden/>
              </w:rPr>
              <w:instrText xml:space="preserve"> PAGEREF _Toc417725413 \h </w:instrText>
            </w:r>
            <w:r w:rsidR="00121BCD">
              <w:rPr>
                <w:webHidden/>
              </w:rPr>
            </w:r>
            <w:r w:rsidR="00121BCD">
              <w:rPr>
                <w:webHidden/>
              </w:rPr>
              <w:fldChar w:fldCharType="separate"/>
            </w:r>
            <w:r w:rsidR="00121BCD">
              <w:rPr>
                <w:webHidden/>
              </w:rPr>
              <w:t>6-127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14" w:history="1">
            <w:r w:rsidR="00121BCD" w:rsidRPr="00311E30">
              <w:rPr>
                <w:rStyle w:val="Hyperlink"/>
              </w:rPr>
              <w:t>B.7</w:t>
            </w:r>
            <w:r w:rsidR="00121BCD">
              <w:rPr>
                <w:rFonts w:asciiTheme="minorHAnsi" w:eastAsiaTheme="minorEastAsia" w:hAnsiTheme="minorHAnsi"/>
                <w:b w:val="0"/>
                <w:color w:val="auto"/>
                <w:sz w:val="22"/>
                <w:lang w:eastAsia="en-AU"/>
              </w:rPr>
              <w:tab/>
            </w:r>
            <w:r w:rsidR="00121BCD" w:rsidRPr="00311E30">
              <w:rPr>
                <w:rStyle w:val="Hyperlink"/>
              </w:rPr>
              <w:t>Demand management</w:t>
            </w:r>
            <w:r w:rsidR="00121BCD">
              <w:rPr>
                <w:webHidden/>
              </w:rPr>
              <w:tab/>
            </w:r>
            <w:r w:rsidR="00121BCD">
              <w:rPr>
                <w:webHidden/>
              </w:rPr>
              <w:fldChar w:fldCharType="begin"/>
            </w:r>
            <w:r w:rsidR="00121BCD">
              <w:rPr>
                <w:webHidden/>
              </w:rPr>
              <w:instrText xml:space="preserve"> PAGEREF _Toc417725414 \h </w:instrText>
            </w:r>
            <w:r w:rsidR="00121BCD">
              <w:rPr>
                <w:webHidden/>
              </w:rPr>
            </w:r>
            <w:r w:rsidR="00121BCD">
              <w:rPr>
                <w:webHidden/>
              </w:rPr>
              <w:fldChar w:fldCharType="separate"/>
            </w:r>
            <w:r w:rsidR="00121BCD">
              <w:rPr>
                <w:webHidden/>
              </w:rPr>
              <w:t>6-135</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5" w:history="1">
            <w:r w:rsidR="00121BCD" w:rsidRPr="00311E30">
              <w:rPr>
                <w:rStyle w:val="Hyperlink"/>
              </w:rPr>
              <w:t>B.7.1</w:t>
            </w:r>
            <w:r w:rsidR="00121BCD">
              <w:rPr>
                <w:rFonts w:asciiTheme="minorHAnsi" w:eastAsiaTheme="minorEastAsia" w:hAnsiTheme="minorHAnsi"/>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_Toc417725415 \h </w:instrText>
            </w:r>
            <w:r w:rsidR="00121BCD">
              <w:rPr>
                <w:webHidden/>
              </w:rPr>
            </w:r>
            <w:r w:rsidR="00121BCD">
              <w:rPr>
                <w:webHidden/>
              </w:rPr>
              <w:fldChar w:fldCharType="separate"/>
            </w:r>
            <w:r w:rsidR="00121BCD">
              <w:rPr>
                <w:webHidden/>
              </w:rPr>
              <w:t>6-136</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16" w:history="1">
            <w:r w:rsidR="00121BCD" w:rsidRPr="00311E30">
              <w:rPr>
                <w:rStyle w:val="Hyperlink"/>
              </w:rPr>
              <w:t>B.7.2</w:t>
            </w:r>
            <w:r w:rsidR="00121BCD">
              <w:rPr>
                <w:rFonts w:asciiTheme="minorHAnsi" w:eastAsiaTheme="minorEastAsia" w:hAnsiTheme="minorHAnsi"/>
                <w:lang w:eastAsia="en-AU"/>
              </w:rPr>
              <w:tab/>
            </w:r>
            <w:r w:rsidR="00121BCD" w:rsidRPr="00311E30">
              <w:rPr>
                <w:rStyle w:val="Hyperlink"/>
              </w:rPr>
              <w:t>Reasons for preliminary decision</w:t>
            </w:r>
            <w:r w:rsidR="00121BCD">
              <w:rPr>
                <w:webHidden/>
              </w:rPr>
              <w:tab/>
            </w:r>
            <w:r w:rsidR="00121BCD">
              <w:rPr>
                <w:webHidden/>
              </w:rPr>
              <w:fldChar w:fldCharType="begin"/>
            </w:r>
            <w:r w:rsidR="00121BCD">
              <w:rPr>
                <w:webHidden/>
              </w:rPr>
              <w:instrText xml:space="preserve"> PAGEREF _Toc417725416 \h </w:instrText>
            </w:r>
            <w:r w:rsidR="00121BCD">
              <w:rPr>
                <w:webHidden/>
              </w:rPr>
            </w:r>
            <w:r w:rsidR="00121BCD">
              <w:rPr>
                <w:webHidden/>
              </w:rPr>
              <w:fldChar w:fldCharType="separate"/>
            </w:r>
            <w:r w:rsidR="00121BCD">
              <w:rPr>
                <w:webHidden/>
              </w:rPr>
              <w:t>6-137</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417" w:history="1">
            <w:r w:rsidR="00121BCD" w:rsidRPr="00311E30">
              <w:rPr>
                <w:rStyle w:val="Hyperlink"/>
              </w:rPr>
              <w:t>C</w:t>
            </w:r>
            <w:r w:rsidR="00121BCD">
              <w:rPr>
                <w:rFonts w:asciiTheme="minorHAnsi" w:eastAsiaTheme="minorEastAsia" w:hAnsiTheme="minorHAnsi"/>
                <w:b w:val="0"/>
                <w:color w:val="auto"/>
                <w:sz w:val="22"/>
                <w:lang w:val="en-AU" w:eastAsia="en-AU"/>
              </w:rPr>
              <w:tab/>
            </w:r>
            <w:r w:rsidR="00121BCD" w:rsidRPr="00311E30">
              <w:rPr>
                <w:rStyle w:val="Hyperlink"/>
              </w:rPr>
              <w:t>Demand</w:t>
            </w:r>
            <w:r w:rsidR="00121BCD">
              <w:rPr>
                <w:webHidden/>
              </w:rPr>
              <w:tab/>
            </w:r>
            <w:r w:rsidR="00121BCD">
              <w:rPr>
                <w:webHidden/>
              </w:rPr>
              <w:fldChar w:fldCharType="begin"/>
            </w:r>
            <w:r w:rsidR="00121BCD">
              <w:rPr>
                <w:webHidden/>
              </w:rPr>
              <w:instrText xml:space="preserve"> PAGEREF _Toc417725417 \h </w:instrText>
            </w:r>
            <w:r w:rsidR="00121BCD">
              <w:rPr>
                <w:webHidden/>
              </w:rPr>
            </w:r>
            <w:r w:rsidR="00121BCD">
              <w:rPr>
                <w:webHidden/>
              </w:rPr>
              <w:fldChar w:fldCharType="separate"/>
            </w:r>
            <w:r w:rsidR="00121BCD">
              <w:rPr>
                <w:webHidden/>
              </w:rPr>
              <w:t>6-138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18" w:history="1">
            <w:r w:rsidR="00121BCD" w:rsidRPr="00311E30">
              <w:rPr>
                <w:rStyle w:val="Hyperlink"/>
              </w:rPr>
              <w:t>C.1</w:t>
            </w:r>
            <w:r w:rsidR="00121BCD">
              <w:rPr>
                <w:rFonts w:asciiTheme="minorHAnsi" w:eastAsiaTheme="minorEastAsia" w:hAnsiTheme="minorHAnsi"/>
                <w:b w:val="0"/>
                <w:color w:val="auto"/>
                <w:sz w:val="22"/>
                <w:lang w:eastAsia="en-AU"/>
              </w:rPr>
              <w:tab/>
            </w:r>
            <w:r w:rsidR="00121BCD" w:rsidRPr="00311E30">
              <w:rPr>
                <w:rStyle w:val="Hyperlink"/>
              </w:rPr>
              <w:t>AER position on system demand trends</w:t>
            </w:r>
            <w:r w:rsidR="00121BCD">
              <w:rPr>
                <w:webHidden/>
              </w:rPr>
              <w:tab/>
            </w:r>
            <w:r w:rsidR="00121BCD">
              <w:rPr>
                <w:webHidden/>
              </w:rPr>
              <w:fldChar w:fldCharType="begin"/>
            </w:r>
            <w:r w:rsidR="00121BCD">
              <w:rPr>
                <w:webHidden/>
              </w:rPr>
              <w:instrText xml:space="preserve"> PAGEREF _Toc417725418 \h </w:instrText>
            </w:r>
            <w:r w:rsidR="00121BCD">
              <w:rPr>
                <w:webHidden/>
              </w:rPr>
            </w:r>
            <w:r w:rsidR="00121BCD">
              <w:rPr>
                <w:webHidden/>
              </w:rPr>
              <w:fldChar w:fldCharType="separate"/>
            </w:r>
            <w:r w:rsidR="00121BCD">
              <w:rPr>
                <w:webHidden/>
              </w:rPr>
              <w:t>6-138</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19" w:history="1">
            <w:r w:rsidR="00121BCD" w:rsidRPr="00311E30">
              <w:rPr>
                <w:rStyle w:val="Hyperlink"/>
              </w:rPr>
              <w:t>C.2</w:t>
            </w:r>
            <w:r w:rsidR="00121BCD">
              <w:rPr>
                <w:rFonts w:asciiTheme="minorHAnsi" w:eastAsiaTheme="minorEastAsia" w:hAnsiTheme="minorHAnsi"/>
                <w:b w:val="0"/>
                <w:color w:val="auto"/>
                <w:sz w:val="22"/>
                <w:lang w:eastAsia="en-AU"/>
              </w:rPr>
              <w:tab/>
            </w:r>
            <w:r w:rsidR="00121BCD" w:rsidRPr="00311E30">
              <w:rPr>
                <w:rStyle w:val="Hyperlink"/>
              </w:rPr>
              <w:t>AER approach</w:t>
            </w:r>
            <w:r w:rsidR="00121BCD">
              <w:rPr>
                <w:webHidden/>
              </w:rPr>
              <w:tab/>
            </w:r>
            <w:r w:rsidR="00121BCD">
              <w:rPr>
                <w:webHidden/>
              </w:rPr>
              <w:fldChar w:fldCharType="begin"/>
            </w:r>
            <w:r w:rsidR="00121BCD">
              <w:rPr>
                <w:webHidden/>
              </w:rPr>
              <w:instrText xml:space="preserve"> PAGEREF _Toc417725419 \h </w:instrText>
            </w:r>
            <w:r w:rsidR="00121BCD">
              <w:rPr>
                <w:webHidden/>
              </w:rPr>
            </w:r>
            <w:r w:rsidR="00121BCD">
              <w:rPr>
                <w:webHidden/>
              </w:rPr>
              <w:fldChar w:fldCharType="separate"/>
            </w:r>
            <w:r w:rsidR="00121BCD">
              <w:rPr>
                <w:webHidden/>
              </w:rPr>
              <w:t>6-139</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0" w:history="1">
            <w:r w:rsidR="00121BCD" w:rsidRPr="00311E30">
              <w:rPr>
                <w:rStyle w:val="Hyperlink"/>
              </w:rPr>
              <w:t>C.3</w:t>
            </w:r>
            <w:r w:rsidR="00121BCD">
              <w:rPr>
                <w:rFonts w:asciiTheme="minorHAnsi" w:eastAsiaTheme="minorEastAsia" w:hAnsiTheme="minorHAnsi"/>
                <w:b w:val="0"/>
                <w:color w:val="auto"/>
                <w:sz w:val="22"/>
                <w:lang w:eastAsia="en-AU"/>
              </w:rPr>
              <w:tab/>
            </w:r>
            <w:r w:rsidR="00121BCD" w:rsidRPr="00311E30">
              <w:rPr>
                <w:rStyle w:val="Hyperlink"/>
              </w:rPr>
              <w:t>SA Power Networks' proposal</w:t>
            </w:r>
            <w:r w:rsidR="00121BCD">
              <w:rPr>
                <w:webHidden/>
              </w:rPr>
              <w:tab/>
            </w:r>
            <w:r w:rsidR="00121BCD">
              <w:rPr>
                <w:webHidden/>
              </w:rPr>
              <w:fldChar w:fldCharType="begin"/>
            </w:r>
            <w:r w:rsidR="00121BCD">
              <w:rPr>
                <w:webHidden/>
              </w:rPr>
              <w:instrText xml:space="preserve"> PAGEREF _Toc417725420 \h </w:instrText>
            </w:r>
            <w:r w:rsidR="00121BCD">
              <w:rPr>
                <w:webHidden/>
              </w:rPr>
            </w:r>
            <w:r w:rsidR="00121BCD">
              <w:rPr>
                <w:webHidden/>
              </w:rPr>
              <w:fldChar w:fldCharType="separate"/>
            </w:r>
            <w:r w:rsidR="00121BCD">
              <w:rPr>
                <w:webHidden/>
              </w:rPr>
              <w:t>6-139</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1" w:history="1">
            <w:r w:rsidR="00121BCD" w:rsidRPr="00311E30">
              <w:rPr>
                <w:rStyle w:val="Hyperlink"/>
              </w:rPr>
              <w:t>C.4</w:t>
            </w:r>
            <w:r w:rsidR="00121BCD">
              <w:rPr>
                <w:rFonts w:asciiTheme="minorHAnsi" w:eastAsiaTheme="minorEastAsia" w:hAnsiTheme="minorHAnsi"/>
                <w:b w:val="0"/>
                <w:color w:val="auto"/>
                <w:sz w:val="22"/>
                <w:lang w:eastAsia="en-AU"/>
              </w:rPr>
              <w:tab/>
            </w:r>
            <w:r w:rsidR="00121BCD" w:rsidRPr="00311E30">
              <w:rPr>
                <w:rStyle w:val="Hyperlink"/>
              </w:rPr>
              <w:t>AEMO forecasts</w:t>
            </w:r>
            <w:r w:rsidR="00121BCD">
              <w:rPr>
                <w:webHidden/>
              </w:rPr>
              <w:tab/>
            </w:r>
            <w:r w:rsidR="00121BCD">
              <w:rPr>
                <w:webHidden/>
              </w:rPr>
              <w:fldChar w:fldCharType="begin"/>
            </w:r>
            <w:r w:rsidR="00121BCD">
              <w:rPr>
                <w:webHidden/>
              </w:rPr>
              <w:instrText xml:space="preserve"> PAGEREF _Toc417725421 \h </w:instrText>
            </w:r>
            <w:r w:rsidR="00121BCD">
              <w:rPr>
                <w:webHidden/>
              </w:rPr>
            </w:r>
            <w:r w:rsidR="00121BCD">
              <w:rPr>
                <w:webHidden/>
              </w:rPr>
              <w:fldChar w:fldCharType="separate"/>
            </w:r>
            <w:r w:rsidR="00121BCD">
              <w:rPr>
                <w:webHidden/>
              </w:rPr>
              <w:t>6-141</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422" w:history="1">
            <w:r w:rsidR="00121BCD" w:rsidRPr="00311E30">
              <w:rPr>
                <w:rStyle w:val="Hyperlink"/>
              </w:rPr>
              <w:t>D</w:t>
            </w:r>
            <w:r w:rsidR="00121BCD">
              <w:rPr>
                <w:rFonts w:asciiTheme="minorHAnsi" w:eastAsiaTheme="minorEastAsia" w:hAnsiTheme="minorHAnsi"/>
                <w:b w:val="0"/>
                <w:color w:val="auto"/>
                <w:sz w:val="22"/>
                <w:lang w:val="en-AU" w:eastAsia="en-AU"/>
              </w:rPr>
              <w:tab/>
            </w:r>
            <w:r w:rsidR="00121BCD" w:rsidRPr="00311E30">
              <w:rPr>
                <w:rStyle w:val="Hyperlink"/>
              </w:rPr>
              <w:t>Real material cost escalation</w:t>
            </w:r>
            <w:r w:rsidR="00121BCD">
              <w:rPr>
                <w:webHidden/>
              </w:rPr>
              <w:tab/>
            </w:r>
            <w:r w:rsidR="00121BCD">
              <w:rPr>
                <w:webHidden/>
              </w:rPr>
              <w:fldChar w:fldCharType="begin"/>
            </w:r>
            <w:r w:rsidR="00121BCD">
              <w:rPr>
                <w:webHidden/>
              </w:rPr>
              <w:instrText xml:space="preserve"> PAGEREF _Toc417725422 \h </w:instrText>
            </w:r>
            <w:r w:rsidR="00121BCD">
              <w:rPr>
                <w:webHidden/>
              </w:rPr>
            </w:r>
            <w:r w:rsidR="00121BCD">
              <w:rPr>
                <w:webHidden/>
              </w:rPr>
              <w:fldChar w:fldCharType="separate"/>
            </w:r>
            <w:r w:rsidR="00121BCD">
              <w:rPr>
                <w:webHidden/>
              </w:rPr>
              <w:t>6-143</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3" w:history="1">
            <w:r w:rsidR="00121BCD" w:rsidRPr="00311E30">
              <w:rPr>
                <w:rStyle w:val="Hyperlink"/>
              </w:rPr>
              <w:t>D.1</w:t>
            </w:r>
            <w:r w:rsidR="00121BCD">
              <w:rPr>
                <w:rFonts w:asciiTheme="minorHAnsi" w:eastAsiaTheme="minorEastAsia" w:hAnsiTheme="minorHAnsi"/>
                <w:b w:val="0"/>
                <w:color w:val="auto"/>
                <w:sz w:val="22"/>
                <w:lang w:eastAsia="en-AU"/>
              </w:rPr>
              <w:tab/>
            </w:r>
            <w:r w:rsidR="00121BCD" w:rsidRPr="00311E30">
              <w:rPr>
                <w:rStyle w:val="Hyperlink"/>
              </w:rPr>
              <w:t>Position</w:t>
            </w:r>
            <w:r w:rsidR="00121BCD">
              <w:rPr>
                <w:webHidden/>
              </w:rPr>
              <w:tab/>
            </w:r>
            <w:r w:rsidR="00121BCD">
              <w:rPr>
                <w:webHidden/>
              </w:rPr>
              <w:fldChar w:fldCharType="begin"/>
            </w:r>
            <w:r w:rsidR="00121BCD">
              <w:rPr>
                <w:webHidden/>
              </w:rPr>
              <w:instrText xml:space="preserve"> PAGEREF _Toc417725423 \h </w:instrText>
            </w:r>
            <w:r w:rsidR="00121BCD">
              <w:rPr>
                <w:webHidden/>
              </w:rPr>
            </w:r>
            <w:r w:rsidR="00121BCD">
              <w:rPr>
                <w:webHidden/>
              </w:rPr>
              <w:fldChar w:fldCharType="separate"/>
            </w:r>
            <w:r w:rsidR="00121BCD">
              <w:rPr>
                <w:webHidden/>
              </w:rPr>
              <w:t>6-143</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4" w:history="1">
            <w:r w:rsidR="00121BCD" w:rsidRPr="00311E30">
              <w:rPr>
                <w:rStyle w:val="Hyperlink"/>
              </w:rPr>
              <w:t>D.2</w:t>
            </w:r>
            <w:r w:rsidR="00121BCD">
              <w:rPr>
                <w:rFonts w:asciiTheme="minorHAnsi" w:eastAsiaTheme="minorEastAsia" w:hAnsiTheme="minorHAnsi"/>
                <w:b w:val="0"/>
                <w:color w:val="auto"/>
                <w:sz w:val="22"/>
                <w:lang w:eastAsia="en-AU"/>
              </w:rPr>
              <w:tab/>
            </w:r>
            <w:r w:rsidR="00121BCD" w:rsidRPr="00311E30">
              <w:rPr>
                <w:rStyle w:val="Hyperlink"/>
              </w:rPr>
              <w:t>SA Power Networks proposal</w:t>
            </w:r>
            <w:r w:rsidR="00121BCD">
              <w:rPr>
                <w:webHidden/>
              </w:rPr>
              <w:tab/>
            </w:r>
            <w:r w:rsidR="00121BCD">
              <w:rPr>
                <w:webHidden/>
              </w:rPr>
              <w:fldChar w:fldCharType="begin"/>
            </w:r>
            <w:r w:rsidR="00121BCD">
              <w:rPr>
                <w:webHidden/>
              </w:rPr>
              <w:instrText xml:space="preserve"> PAGEREF _Toc417725424 \h </w:instrText>
            </w:r>
            <w:r w:rsidR="00121BCD">
              <w:rPr>
                <w:webHidden/>
              </w:rPr>
            </w:r>
            <w:r w:rsidR="00121BCD">
              <w:rPr>
                <w:webHidden/>
              </w:rPr>
              <w:fldChar w:fldCharType="separate"/>
            </w:r>
            <w:r w:rsidR="00121BCD">
              <w:rPr>
                <w:webHidden/>
              </w:rPr>
              <w:t>6-144</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5" w:history="1">
            <w:r w:rsidR="00121BCD" w:rsidRPr="00311E30">
              <w:rPr>
                <w:rStyle w:val="Hyperlink"/>
              </w:rPr>
              <w:t>D.3</w:t>
            </w:r>
            <w:r w:rsidR="00121BCD">
              <w:rPr>
                <w:rFonts w:asciiTheme="minorHAnsi" w:eastAsiaTheme="minorEastAsia" w:hAnsiTheme="minorHAnsi"/>
                <w:b w:val="0"/>
                <w:color w:val="auto"/>
                <w:sz w:val="22"/>
                <w:lang w:eastAsia="en-AU"/>
              </w:rPr>
              <w:tab/>
            </w:r>
            <w:r w:rsidR="00121BCD" w:rsidRPr="00311E30">
              <w:rPr>
                <w:rStyle w:val="Hyperlink"/>
              </w:rPr>
              <w:t>Assessment approach</w:t>
            </w:r>
            <w:r w:rsidR="00121BCD">
              <w:rPr>
                <w:webHidden/>
              </w:rPr>
              <w:tab/>
            </w:r>
            <w:r w:rsidR="00121BCD">
              <w:rPr>
                <w:webHidden/>
              </w:rPr>
              <w:fldChar w:fldCharType="begin"/>
            </w:r>
            <w:r w:rsidR="00121BCD">
              <w:rPr>
                <w:webHidden/>
              </w:rPr>
              <w:instrText xml:space="preserve"> PAGEREF _Toc417725425 \h </w:instrText>
            </w:r>
            <w:r w:rsidR="00121BCD">
              <w:rPr>
                <w:webHidden/>
              </w:rPr>
            </w:r>
            <w:r w:rsidR="00121BCD">
              <w:rPr>
                <w:webHidden/>
              </w:rPr>
              <w:fldChar w:fldCharType="separate"/>
            </w:r>
            <w:r w:rsidR="00121BCD">
              <w:rPr>
                <w:webHidden/>
              </w:rPr>
              <w:t>6-146</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6" w:history="1">
            <w:r w:rsidR="00121BCD" w:rsidRPr="00311E30">
              <w:rPr>
                <w:rStyle w:val="Hyperlink"/>
              </w:rPr>
              <w:t>D.4</w:t>
            </w:r>
            <w:r w:rsidR="00121BCD">
              <w:rPr>
                <w:rFonts w:asciiTheme="minorHAnsi" w:eastAsiaTheme="minorEastAsia" w:hAnsiTheme="minorHAnsi"/>
                <w:b w:val="0"/>
                <w:color w:val="auto"/>
                <w:sz w:val="22"/>
                <w:lang w:eastAsia="en-AU"/>
              </w:rPr>
              <w:tab/>
            </w:r>
            <w:r w:rsidR="00121BCD" w:rsidRPr="00311E30">
              <w:rPr>
                <w:rStyle w:val="Hyperlink"/>
              </w:rPr>
              <w:t>Reasons</w:t>
            </w:r>
            <w:r w:rsidR="00121BCD">
              <w:rPr>
                <w:webHidden/>
              </w:rPr>
              <w:tab/>
            </w:r>
            <w:r w:rsidR="00121BCD">
              <w:rPr>
                <w:webHidden/>
              </w:rPr>
              <w:fldChar w:fldCharType="begin"/>
            </w:r>
            <w:r w:rsidR="00121BCD">
              <w:rPr>
                <w:webHidden/>
              </w:rPr>
              <w:instrText xml:space="preserve"> PAGEREF _Toc417725426 \h </w:instrText>
            </w:r>
            <w:r w:rsidR="00121BCD">
              <w:rPr>
                <w:webHidden/>
              </w:rPr>
            </w:r>
            <w:r w:rsidR="00121BCD">
              <w:rPr>
                <w:webHidden/>
              </w:rPr>
              <w:fldChar w:fldCharType="separate"/>
            </w:r>
            <w:r w:rsidR="00121BCD">
              <w:rPr>
                <w:webHidden/>
              </w:rPr>
              <w:t>6-147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7" w:history="1">
            <w:r w:rsidR="00121BCD" w:rsidRPr="00311E30">
              <w:rPr>
                <w:rStyle w:val="Hyperlink"/>
              </w:rPr>
              <w:t>D.5</w:t>
            </w:r>
            <w:r w:rsidR="00121BCD">
              <w:rPr>
                <w:rFonts w:asciiTheme="minorHAnsi" w:eastAsiaTheme="minorEastAsia" w:hAnsiTheme="minorHAnsi"/>
                <w:b w:val="0"/>
                <w:color w:val="auto"/>
                <w:sz w:val="22"/>
                <w:lang w:eastAsia="en-AU"/>
              </w:rPr>
              <w:tab/>
            </w:r>
            <w:r w:rsidR="00121BCD" w:rsidRPr="00311E30">
              <w:rPr>
                <w:rStyle w:val="Hyperlink"/>
              </w:rPr>
              <w:t>Review of consultant's reports</w:t>
            </w:r>
            <w:r w:rsidR="00121BCD">
              <w:rPr>
                <w:webHidden/>
              </w:rPr>
              <w:tab/>
            </w:r>
            <w:r w:rsidR="00121BCD">
              <w:rPr>
                <w:webHidden/>
              </w:rPr>
              <w:fldChar w:fldCharType="begin"/>
            </w:r>
            <w:r w:rsidR="00121BCD">
              <w:rPr>
                <w:webHidden/>
              </w:rPr>
              <w:instrText xml:space="preserve"> PAGEREF _Toc417725427 \h </w:instrText>
            </w:r>
            <w:r w:rsidR="00121BCD">
              <w:rPr>
                <w:webHidden/>
              </w:rPr>
            </w:r>
            <w:r w:rsidR="00121BCD">
              <w:rPr>
                <w:webHidden/>
              </w:rPr>
              <w:fldChar w:fldCharType="separate"/>
            </w:r>
            <w:r w:rsidR="00121BCD">
              <w:rPr>
                <w:webHidden/>
              </w:rPr>
              <w:t>6-151</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8" w:history="1">
            <w:r w:rsidR="00121BCD" w:rsidRPr="00311E30">
              <w:rPr>
                <w:rStyle w:val="Hyperlink"/>
              </w:rPr>
              <w:t>D.6</w:t>
            </w:r>
            <w:r w:rsidR="00121BCD">
              <w:rPr>
                <w:rFonts w:asciiTheme="minorHAnsi" w:eastAsiaTheme="minorEastAsia" w:hAnsiTheme="minorHAnsi"/>
                <w:b w:val="0"/>
                <w:color w:val="auto"/>
                <w:sz w:val="22"/>
                <w:lang w:eastAsia="en-AU"/>
              </w:rPr>
              <w:tab/>
            </w:r>
            <w:r w:rsidR="00121BCD" w:rsidRPr="00311E30">
              <w:rPr>
                <w:rStyle w:val="Hyperlink"/>
              </w:rPr>
              <w:t>Conclusions on materials cost escalation</w:t>
            </w:r>
            <w:r w:rsidR="00121BCD">
              <w:rPr>
                <w:webHidden/>
              </w:rPr>
              <w:tab/>
            </w:r>
            <w:r w:rsidR="00121BCD">
              <w:rPr>
                <w:webHidden/>
              </w:rPr>
              <w:fldChar w:fldCharType="begin"/>
            </w:r>
            <w:r w:rsidR="00121BCD">
              <w:rPr>
                <w:webHidden/>
              </w:rPr>
              <w:instrText xml:space="preserve"> PAGEREF _Toc417725428 \h </w:instrText>
            </w:r>
            <w:r w:rsidR="00121BCD">
              <w:rPr>
                <w:webHidden/>
              </w:rPr>
            </w:r>
            <w:r w:rsidR="00121BCD">
              <w:rPr>
                <w:webHidden/>
              </w:rPr>
              <w:fldChar w:fldCharType="separate"/>
            </w:r>
            <w:r w:rsidR="00121BCD">
              <w:rPr>
                <w:webHidden/>
              </w:rPr>
              <w:t>6-157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29" w:history="1">
            <w:r w:rsidR="00121BCD" w:rsidRPr="00311E30">
              <w:rPr>
                <w:rStyle w:val="Hyperlink"/>
              </w:rPr>
              <w:t>D.7</w:t>
            </w:r>
            <w:r w:rsidR="00121BCD">
              <w:rPr>
                <w:rFonts w:asciiTheme="minorHAnsi" w:eastAsiaTheme="minorEastAsia" w:hAnsiTheme="minorHAnsi"/>
                <w:b w:val="0"/>
                <w:color w:val="auto"/>
                <w:sz w:val="22"/>
                <w:lang w:eastAsia="en-AU"/>
              </w:rPr>
              <w:tab/>
            </w:r>
            <w:r w:rsidR="00121BCD" w:rsidRPr="00311E30">
              <w:rPr>
                <w:rStyle w:val="Hyperlink"/>
              </w:rPr>
              <w:t>Labour and construction escalators</w:t>
            </w:r>
            <w:r w:rsidR="00121BCD">
              <w:rPr>
                <w:webHidden/>
              </w:rPr>
              <w:tab/>
            </w:r>
            <w:r w:rsidR="00121BCD">
              <w:rPr>
                <w:webHidden/>
              </w:rPr>
              <w:fldChar w:fldCharType="begin"/>
            </w:r>
            <w:r w:rsidR="00121BCD">
              <w:rPr>
                <w:webHidden/>
              </w:rPr>
              <w:instrText xml:space="preserve"> PAGEREF _Toc417725429 \h </w:instrText>
            </w:r>
            <w:r w:rsidR="00121BCD">
              <w:rPr>
                <w:webHidden/>
              </w:rPr>
            </w:r>
            <w:r w:rsidR="00121BCD">
              <w:rPr>
                <w:webHidden/>
              </w:rPr>
              <w:fldChar w:fldCharType="separate"/>
            </w:r>
            <w:r w:rsidR="00121BCD">
              <w:rPr>
                <w:webHidden/>
              </w:rPr>
              <w:t>6-158</w:t>
            </w:r>
            <w:r w:rsidR="00121BCD">
              <w:rPr>
                <w:webHidden/>
              </w:rPr>
              <w:fldChar w:fldCharType="end"/>
            </w:r>
          </w:hyperlink>
        </w:p>
        <w:p w:rsidR="00121BCD" w:rsidRDefault="006B7CB6">
          <w:pPr>
            <w:pStyle w:val="TOC1"/>
            <w:rPr>
              <w:rFonts w:asciiTheme="minorHAnsi" w:eastAsiaTheme="minorEastAsia" w:hAnsiTheme="minorHAnsi"/>
              <w:b w:val="0"/>
              <w:color w:val="auto"/>
              <w:sz w:val="22"/>
              <w:lang w:val="en-AU" w:eastAsia="en-AU"/>
            </w:rPr>
          </w:pPr>
          <w:hyperlink w:anchor="_Toc417725430" w:history="1">
            <w:r w:rsidR="00121BCD" w:rsidRPr="00311E30">
              <w:rPr>
                <w:rStyle w:val="Hyperlink"/>
              </w:rPr>
              <w:t>E</w:t>
            </w:r>
            <w:r w:rsidR="00121BCD">
              <w:rPr>
                <w:rFonts w:asciiTheme="minorHAnsi" w:eastAsiaTheme="minorEastAsia" w:hAnsiTheme="minorHAnsi"/>
                <w:b w:val="0"/>
                <w:color w:val="auto"/>
                <w:sz w:val="22"/>
                <w:lang w:val="en-AU" w:eastAsia="en-AU"/>
              </w:rPr>
              <w:tab/>
            </w:r>
            <w:r w:rsidR="00121BCD" w:rsidRPr="00311E30">
              <w:rPr>
                <w:rStyle w:val="Hyperlink"/>
              </w:rPr>
              <w:t>Predictive modelling approach and scenarios</w:t>
            </w:r>
            <w:r w:rsidR="00121BCD">
              <w:rPr>
                <w:webHidden/>
              </w:rPr>
              <w:tab/>
            </w:r>
            <w:r w:rsidR="00121BCD">
              <w:rPr>
                <w:webHidden/>
              </w:rPr>
              <w:fldChar w:fldCharType="begin"/>
            </w:r>
            <w:r w:rsidR="00121BCD">
              <w:rPr>
                <w:webHidden/>
              </w:rPr>
              <w:instrText xml:space="preserve"> PAGEREF _Toc417725430 \h </w:instrText>
            </w:r>
            <w:r w:rsidR="00121BCD">
              <w:rPr>
                <w:webHidden/>
              </w:rPr>
            </w:r>
            <w:r w:rsidR="00121BCD">
              <w:rPr>
                <w:webHidden/>
              </w:rPr>
              <w:fldChar w:fldCharType="separate"/>
            </w:r>
            <w:r w:rsidR="00121BCD">
              <w:rPr>
                <w:webHidden/>
              </w:rPr>
              <w:t>6-159</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1" w:history="1">
            <w:r w:rsidR="00121BCD" w:rsidRPr="00311E30">
              <w:rPr>
                <w:rStyle w:val="Hyperlink"/>
              </w:rPr>
              <w:t>E.1</w:t>
            </w:r>
            <w:r w:rsidR="00121BCD">
              <w:rPr>
                <w:rFonts w:asciiTheme="minorHAnsi" w:eastAsiaTheme="minorEastAsia" w:hAnsiTheme="minorHAnsi"/>
                <w:b w:val="0"/>
                <w:color w:val="auto"/>
                <w:sz w:val="22"/>
                <w:lang w:eastAsia="en-AU"/>
              </w:rPr>
              <w:tab/>
            </w:r>
            <w:r w:rsidR="00121BCD" w:rsidRPr="00311E30">
              <w:rPr>
                <w:rStyle w:val="Hyperlink"/>
              </w:rPr>
              <w:t>Predictive modelling techniques</w:t>
            </w:r>
            <w:r w:rsidR="00121BCD">
              <w:rPr>
                <w:webHidden/>
              </w:rPr>
              <w:tab/>
            </w:r>
            <w:r w:rsidR="00121BCD">
              <w:rPr>
                <w:webHidden/>
              </w:rPr>
              <w:fldChar w:fldCharType="begin"/>
            </w:r>
            <w:r w:rsidR="00121BCD">
              <w:rPr>
                <w:webHidden/>
              </w:rPr>
              <w:instrText xml:space="preserve"> PAGEREF _Toc417725431 \h </w:instrText>
            </w:r>
            <w:r w:rsidR="00121BCD">
              <w:rPr>
                <w:webHidden/>
              </w:rPr>
            </w:r>
            <w:r w:rsidR="00121BCD">
              <w:rPr>
                <w:webHidden/>
              </w:rPr>
              <w:fldChar w:fldCharType="separate"/>
            </w:r>
            <w:r w:rsidR="00121BCD">
              <w:rPr>
                <w:webHidden/>
              </w:rPr>
              <w:t>6-159</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2" w:history="1">
            <w:r w:rsidR="00121BCD" w:rsidRPr="00311E30">
              <w:rPr>
                <w:rStyle w:val="Hyperlink"/>
              </w:rPr>
              <w:t>E.2</w:t>
            </w:r>
            <w:r w:rsidR="00121BCD">
              <w:rPr>
                <w:rFonts w:asciiTheme="minorHAnsi" w:eastAsiaTheme="minorEastAsia" w:hAnsiTheme="minorHAnsi"/>
                <w:b w:val="0"/>
                <w:color w:val="auto"/>
                <w:sz w:val="22"/>
                <w:lang w:eastAsia="en-AU"/>
              </w:rPr>
              <w:tab/>
            </w:r>
            <w:r w:rsidR="00121BCD" w:rsidRPr="00311E30">
              <w:rPr>
                <w:rStyle w:val="Hyperlink"/>
              </w:rPr>
              <w:t>Data specification process</w:t>
            </w:r>
            <w:r w:rsidR="00121BCD">
              <w:rPr>
                <w:webHidden/>
              </w:rPr>
              <w:tab/>
            </w:r>
            <w:r w:rsidR="00121BCD">
              <w:rPr>
                <w:webHidden/>
              </w:rPr>
              <w:fldChar w:fldCharType="begin"/>
            </w:r>
            <w:r w:rsidR="00121BCD">
              <w:rPr>
                <w:webHidden/>
              </w:rPr>
              <w:instrText xml:space="preserve"> PAGEREF _Toc417725432 \h </w:instrText>
            </w:r>
            <w:r w:rsidR="00121BCD">
              <w:rPr>
                <w:webHidden/>
              </w:rPr>
            </w:r>
            <w:r w:rsidR="00121BCD">
              <w:rPr>
                <w:webHidden/>
              </w:rPr>
              <w:fldChar w:fldCharType="separate"/>
            </w:r>
            <w:r w:rsidR="00121BCD">
              <w:rPr>
                <w:webHidden/>
              </w:rPr>
              <w:t>6-160</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3" w:history="1">
            <w:r w:rsidR="00121BCD" w:rsidRPr="00311E30">
              <w:rPr>
                <w:rStyle w:val="Hyperlink"/>
              </w:rPr>
              <w:t>E.3</w:t>
            </w:r>
            <w:r w:rsidR="00121BCD">
              <w:rPr>
                <w:rFonts w:asciiTheme="minorHAnsi" w:eastAsiaTheme="minorEastAsia" w:hAnsiTheme="minorHAnsi"/>
                <w:b w:val="0"/>
                <w:color w:val="auto"/>
                <w:sz w:val="22"/>
                <w:lang w:eastAsia="en-AU"/>
              </w:rPr>
              <w:tab/>
            </w:r>
            <w:r w:rsidR="00121BCD" w:rsidRPr="00311E30">
              <w:rPr>
                <w:rStyle w:val="Hyperlink"/>
              </w:rPr>
              <w:t>Data collection and refinement</w:t>
            </w:r>
            <w:r w:rsidR="00121BCD">
              <w:rPr>
                <w:webHidden/>
              </w:rPr>
              <w:tab/>
            </w:r>
            <w:r w:rsidR="00121BCD">
              <w:rPr>
                <w:webHidden/>
              </w:rPr>
              <w:fldChar w:fldCharType="begin"/>
            </w:r>
            <w:r w:rsidR="00121BCD">
              <w:rPr>
                <w:webHidden/>
              </w:rPr>
              <w:instrText xml:space="preserve"> PAGEREF _Toc417725433 \h </w:instrText>
            </w:r>
            <w:r w:rsidR="00121BCD">
              <w:rPr>
                <w:webHidden/>
              </w:rPr>
            </w:r>
            <w:r w:rsidR="00121BCD">
              <w:rPr>
                <w:webHidden/>
              </w:rPr>
              <w:fldChar w:fldCharType="separate"/>
            </w:r>
            <w:r w:rsidR="00121BCD">
              <w:rPr>
                <w:webHidden/>
              </w:rPr>
              <w:t>6-161</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4" w:history="1">
            <w:r w:rsidR="00121BCD" w:rsidRPr="00311E30">
              <w:rPr>
                <w:rStyle w:val="Hyperlink"/>
              </w:rPr>
              <w:t>E.4</w:t>
            </w:r>
            <w:r w:rsidR="00121BCD">
              <w:rPr>
                <w:rFonts w:asciiTheme="minorHAnsi" w:eastAsiaTheme="minorEastAsia" w:hAnsiTheme="minorHAnsi"/>
                <w:b w:val="0"/>
                <w:color w:val="auto"/>
                <w:sz w:val="22"/>
                <w:lang w:eastAsia="en-AU"/>
              </w:rPr>
              <w:tab/>
            </w:r>
            <w:r w:rsidR="00121BCD" w:rsidRPr="00311E30">
              <w:rPr>
                <w:rStyle w:val="Hyperlink"/>
              </w:rPr>
              <w:t>Benchmarking repex asset data</w:t>
            </w:r>
            <w:r w:rsidR="00121BCD">
              <w:rPr>
                <w:webHidden/>
              </w:rPr>
              <w:tab/>
            </w:r>
            <w:r w:rsidR="00121BCD">
              <w:rPr>
                <w:webHidden/>
              </w:rPr>
              <w:fldChar w:fldCharType="begin"/>
            </w:r>
            <w:r w:rsidR="00121BCD">
              <w:rPr>
                <w:webHidden/>
              </w:rPr>
              <w:instrText xml:space="preserve"> PAGEREF _Toc417725434 \h </w:instrText>
            </w:r>
            <w:r w:rsidR="00121BCD">
              <w:rPr>
                <w:webHidden/>
              </w:rPr>
            </w:r>
            <w:r w:rsidR="00121BCD">
              <w:rPr>
                <w:webHidden/>
              </w:rPr>
              <w:fldChar w:fldCharType="separate"/>
            </w:r>
            <w:r w:rsidR="00121BCD">
              <w:rPr>
                <w:webHidden/>
              </w:rPr>
              <w:t>6-161</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35" w:history="1">
            <w:r w:rsidR="00121BCD" w:rsidRPr="00311E30">
              <w:rPr>
                <w:rStyle w:val="Hyperlink"/>
              </w:rPr>
              <w:t>E.4.1</w:t>
            </w:r>
            <w:r w:rsidR="00121BCD">
              <w:rPr>
                <w:rFonts w:asciiTheme="minorHAnsi" w:eastAsiaTheme="minorEastAsia" w:hAnsiTheme="minorHAnsi"/>
                <w:lang w:eastAsia="en-AU"/>
              </w:rPr>
              <w:tab/>
            </w:r>
            <w:r w:rsidR="00121BCD" w:rsidRPr="00311E30">
              <w:rPr>
                <w:rStyle w:val="Hyperlink"/>
              </w:rPr>
              <w:t>Benchmark data for each asset category</w:t>
            </w:r>
            <w:r w:rsidR="00121BCD">
              <w:rPr>
                <w:webHidden/>
              </w:rPr>
              <w:tab/>
            </w:r>
            <w:r w:rsidR="00121BCD">
              <w:rPr>
                <w:webHidden/>
              </w:rPr>
              <w:fldChar w:fldCharType="begin"/>
            </w:r>
            <w:r w:rsidR="00121BCD">
              <w:rPr>
                <w:webHidden/>
              </w:rPr>
              <w:instrText xml:space="preserve"> PAGEREF _Toc417725435 \h </w:instrText>
            </w:r>
            <w:r w:rsidR="00121BCD">
              <w:rPr>
                <w:webHidden/>
              </w:rPr>
            </w:r>
            <w:r w:rsidR="00121BCD">
              <w:rPr>
                <w:webHidden/>
              </w:rPr>
              <w:fldChar w:fldCharType="separate"/>
            </w:r>
            <w:r w:rsidR="00121BCD">
              <w:rPr>
                <w:webHidden/>
              </w:rPr>
              <w:t>6-162</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6" w:history="1">
            <w:r w:rsidR="00121BCD" w:rsidRPr="00311E30">
              <w:rPr>
                <w:rStyle w:val="Hyperlink"/>
              </w:rPr>
              <w:t>E.5</w:t>
            </w:r>
            <w:r w:rsidR="00121BCD">
              <w:rPr>
                <w:rFonts w:asciiTheme="minorHAnsi" w:eastAsiaTheme="minorEastAsia" w:hAnsiTheme="minorHAnsi"/>
                <w:b w:val="0"/>
                <w:color w:val="auto"/>
                <w:sz w:val="22"/>
                <w:lang w:eastAsia="en-AU"/>
              </w:rPr>
              <w:tab/>
            </w:r>
            <w:r w:rsidR="00121BCD" w:rsidRPr="00311E30">
              <w:rPr>
                <w:rStyle w:val="Hyperlink"/>
              </w:rPr>
              <w:t>Repex model scenarios</w:t>
            </w:r>
            <w:r w:rsidR="00121BCD">
              <w:rPr>
                <w:webHidden/>
              </w:rPr>
              <w:tab/>
            </w:r>
            <w:r w:rsidR="00121BCD">
              <w:rPr>
                <w:webHidden/>
              </w:rPr>
              <w:fldChar w:fldCharType="begin"/>
            </w:r>
            <w:r w:rsidR="00121BCD">
              <w:rPr>
                <w:webHidden/>
              </w:rPr>
              <w:instrText xml:space="preserve"> PAGEREF _Toc417725436 \h </w:instrText>
            </w:r>
            <w:r w:rsidR="00121BCD">
              <w:rPr>
                <w:webHidden/>
              </w:rPr>
            </w:r>
            <w:r w:rsidR="00121BCD">
              <w:rPr>
                <w:webHidden/>
              </w:rPr>
              <w:fldChar w:fldCharType="separate"/>
            </w:r>
            <w:r w:rsidR="00121BCD">
              <w:rPr>
                <w:webHidden/>
              </w:rPr>
              <w:t>6-164</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37" w:history="1">
            <w:r w:rsidR="00121BCD" w:rsidRPr="00311E30">
              <w:rPr>
                <w:rStyle w:val="Hyperlink"/>
              </w:rPr>
              <w:t>E.6</w:t>
            </w:r>
            <w:r w:rsidR="00121BCD">
              <w:rPr>
                <w:rFonts w:asciiTheme="minorHAnsi" w:eastAsiaTheme="minorEastAsia" w:hAnsiTheme="minorHAnsi"/>
                <w:b w:val="0"/>
                <w:color w:val="auto"/>
                <w:sz w:val="22"/>
                <w:lang w:eastAsia="en-AU"/>
              </w:rPr>
              <w:tab/>
            </w:r>
            <w:r w:rsidR="00121BCD" w:rsidRPr="00311E30">
              <w:rPr>
                <w:rStyle w:val="Hyperlink"/>
              </w:rPr>
              <w:t>The treatment of staked wooden poles and plated stobie poles</w:t>
            </w:r>
            <w:r w:rsidR="00121BCD">
              <w:rPr>
                <w:webHidden/>
              </w:rPr>
              <w:tab/>
            </w:r>
            <w:r w:rsidR="00121BCD">
              <w:rPr>
                <w:webHidden/>
              </w:rPr>
              <w:fldChar w:fldCharType="begin"/>
            </w:r>
            <w:r w:rsidR="00121BCD">
              <w:rPr>
                <w:webHidden/>
              </w:rPr>
              <w:instrText xml:space="preserve"> PAGEREF _Toc417725437 \h </w:instrText>
            </w:r>
            <w:r w:rsidR="00121BCD">
              <w:rPr>
                <w:webHidden/>
              </w:rPr>
            </w:r>
            <w:r w:rsidR="00121BCD">
              <w:rPr>
                <w:webHidden/>
              </w:rPr>
              <w:fldChar w:fldCharType="separate"/>
            </w:r>
            <w:r w:rsidR="00121BCD">
              <w:rPr>
                <w:webHidden/>
              </w:rPr>
              <w:t>6-167</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38" w:history="1">
            <w:r w:rsidR="00121BCD" w:rsidRPr="00311E30">
              <w:rPr>
                <w:rStyle w:val="Hyperlink"/>
              </w:rPr>
              <w:t>E.6.1</w:t>
            </w:r>
            <w:r w:rsidR="00121BCD">
              <w:rPr>
                <w:rFonts w:asciiTheme="minorHAnsi" w:eastAsiaTheme="minorEastAsia" w:hAnsiTheme="minorHAnsi"/>
                <w:lang w:eastAsia="en-AU"/>
              </w:rPr>
              <w:tab/>
            </w:r>
            <w:r w:rsidR="00121BCD" w:rsidRPr="00311E30">
              <w:rPr>
                <w:rStyle w:val="Hyperlink"/>
              </w:rPr>
              <w:t>Like-for-like repex modelling</w:t>
            </w:r>
            <w:r w:rsidR="00121BCD">
              <w:rPr>
                <w:webHidden/>
              </w:rPr>
              <w:tab/>
            </w:r>
            <w:r w:rsidR="00121BCD">
              <w:rPr>
                <w:webHidden/>
              </w:rPr>
              <w:fldChar w:fldCharType="begin"/>
            </w:r>
            <w:r w:rsidR="00121BCD">
              <w:rPr>
                <w:webHidden/>
              </w:rPr>
              <w:instrText xml:space="preserve"> PAGEREF _Toc417725438 \h </w:instrText>
            </w:r>
            <w:r w:rsidR="00121BCD">
              <w:rPr>
                <w:webHidden/>
              </w:rPr>
            </w:r>
            <w:r w:rsidR="00121BCD">
              <w:rPr>
                <w:webHidden/>
              </w:rPr>
              <w:fldChar w:fldCharType="separate"/>
            </w:r>
            <w:r w:rsidR="00121BCD">
              <w:rPr>
                <w:webHidden/>
              </w:rPr>
              <w:t>6-167</w:t>
            </w:r>
            <w:r w:rsidR="00121BCD">
              <w:rPr>
                <w:webHidden/>
              </w:rPr>
              <w:fldChar w:fldCharType="end"/>
            </w:r>
          </w:hyperlink>
        </w:p>
        <w:p w:rsidR="00121BCD" w:rsidRDefault="006B7CB6">
          <w:pPr>
            <w:pStyle w:val="TOC3"/>
            <w:rPr>
              <w:rFonts w:asciiTheme="minorHAnsi" w:eastAsiaTheme="minorEastAsia" w:hAnsiTheme="minorHAnsi"/>
              <w:lang w:eastAsia="en-AU"/>
            </w:rPr>
          </w:pPr>
          <w:hyperlink w:anchor="_Toc417725439" w:history="1">
            <w:r w:rsidR="00121BCD" w:rsidRPr="00311E30">
              <w:rPr>
                <w:rStyle w:val="Hyperlink"/>
              </w:rPr>
              <w:t>E.6.2</w:t>
            </w:r>
            <w:r w:rsidR="00121BCD">
              <w:rPr>
                <w:rFonts w:asciiTheme="minorHAnsi" w:eastAsiaTheme="minorEastAsia" w:hAnsiTheme="minorHAnsi"/>
                <w:lang w:eastAsia="en-AU"/>
              </w:rPr>
              <w:tab/>
            </w:r>
            <w:r w:rsidR="00121BCD" w:rsidRPr="00311E30">
              <w:rPr>
                <w:rStyle w:val="Hyperlink"/>
              </w:rPr>
              <w:t>Non-like-for-like replacement</w:t>
            </w:r>
            <w:r w:rsidR="00121BCD">
              <w:rPr>
                <w:webHidden/>
              </w:rPr>
              <w:tab/>
            </w:r>
            <w:r w:rsidR="00121BCD">
              <w:rPr>
                <w:webHidden/>
              </w:rPr>
              <w:fldChar w:fldCharType="begin"/>
            </w:r>
            <w:r w:rsidR="00121BCD">
              <w:rPr>
                <w:webHidden/>
              </w:rPr>
              <w:instrText xml:space="preserve"> PAGEREF _Toc417725439 \h </w:instrText>
            </w:r>
            <w:r w:rsidR="00121BCD">
              <w:rPr>
                <w:webHidden/>
              </w:rPr>
            </w:r>
            <w:r w:rsidR="00121BCD">
              <w:rPr>
                <w:webHidden/>
              </w:rPr>
              <w:fldChar w:fldCharType="separate"/>
            </w:r>
            <w:r w:rsidR="00121BCD">
              <w:rPr>
                <w:webHidden/>
              </w:rPr>
              <w:t>6-167</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40" w:history="1">
            <w:r w:rsidR="00121BCD" w:rsidRPr="00311E30">
              <w:rPr>
                <w:rStyle w:val="Hyperlink"/>
              </w:rPr>
              <w:t>E.7</w:t>
            </w:r>
            <w:r w:rsidR="00121BCD">
              <w:rPr>
                <w:rFonts w:asciiTheme="minorHAnsi" w:eastAsiaTheme="minorEastAsia" w:hAnsiTheme="minorHAnsi"/>
                <w:b w:val="0"/>
                <w:color w:val="auto"/>
                <w:sz w:val="22"/>
                <w:lang w:eastAsia="en-AU"/>
              </w:rPr>
              <w:tab/>
            </w:r>
            <w:r w:rsidR="00121BCD" w:rsidRPr="00311E30">
              <w:rPr>
                <w:rStyle w:val="Hyperlink"/>
              </w:rPr>
              <w:t>Calibrating staked wooden poles</w:t>
            </w:r>
            <w:r w:rsidR="00121BCD">
              <w:rPr>
                <w:webHidden/>
              </w:rPr>
              <w:tab/>
            </w:r>
            <w:r w:rsidR="00121BCD">
              <w:rPr>
                <w:webHidden/>
              </w:rPr>
              <w:fldChar w:fldCharType="begin"/>
            </w:r>
            <w:r w:rsidR="00121BCD">
              <w:rPr>
                <w:webHidden/>
              </w:rPr>
              <w:instrText xml:space="preserve"> PAGEREF _Toc417725440 \h </w:instrText>
            </w:r>
            <w:r w:rsidR="00121BCD">
              <w:rPr>
                <w:webHidden/>
              </w:rPr>
            </w:r>
            <w:r w:rsidR="00121BCD">
              <w:rPr>
                <w:webHidden/>
              </w:rPr>
              <w:fldChar w:fldCharType="separate"/>
            </w:r>
            <w:r w:rsidR="00121BCD">
              <w:rPr>
                <w:webHidden/>
              </w:rPr>
              <w:t>6-169</w:t>
            </w:r>
            <w:r w:rsidR="00121BCD">
              <w:rPr>
                <w:webHidden/>
              </w:rPr>
              <w:fldChar w:fldCharType="end"/>
            </w:r>
          </w:hyperlink>
        </w:p>
        <w:p w:rsidR="00121BCD" w:rsidRDefault="006B7CB6">
          <w:pPr>
            <w:pStyle w:val="TOC2"/>
            <w:rPr>
              <w:rFonts w:asciiTheme="minorHAnsi" w:eastAsiaTheme="minorEastAsia" w:hAnsiTheme="minorHAnsi"/>
              <w:b w:val="0"/>
              <w:color w:val="auto"/>
              <w:sz w:val="22"/>
              <w:lang w:eastAsia="en-AU"/>
            </w:rPr>
          </w:pPr>
          <w:hyperlink w:anchor="_Toc417725441" w:history="1">
            <w:r w:rsidR="00121BCD" w:rsidRPr="00311E30">
              <w:rPr>
                <w:rStyle w:val="Hyperlink"/>
              </w:rPr>
              <w:t>E.8</w:t>
            </w:r>
            <w:r w:rsidR="00121BCD">
              <w:rPr>
                <w:rFonts w:asciiTheme="minorHAnsi" w:eastAsiaTheme="minorEastAsia" w:hAnsiTheme="minorHAnsi"/>
                <w:b w:val="0"/>
                <w:color w:val="auto"/>
                <w:sz w:val="22"/>
                <w:lang w:eastAsia="en-AU"/>
              </w:rPr>
              <w:tab/>
            </w:r>
            <w:r w:rsidR="00121BCD" w:rsidRPr="00311E30">
              <w:rPr>
                <w:rStyle w:val="Hyperlink"/>
              </w:rPr>
              <w:t>Wooden pole asset adjustment (Ergon Energy)</w:t>
            </w:r>
            <w:r w:rsidR="00121BCD">
              <w:rPr>
                <w:webHidden/>
              </w:rPr>
              <w:tab/>
            </w:r>
            <w:r w:rsidR="00121BCD">
              <w:rPr>
                <w:webHidden/>
              </w:rPr>
              <w:fldChar w:fldCharType="begin"/>
            </w:r>
            <w:r w:rsidR="00121BCD">
              <w:rPr>
                <w:webHidden/>
              </w:rPr>
              <w:instrText xml:space="preserve"> PAGEREF _Toc417725441 \h </w:instrText>
            </w:r>
            <w:r w:rsidR="00121BCD">
              <w:rPr>
                <w:webHidden/>
              </w:rPr>
            </w:r>
            <w:r w:rsidR="00121BCD">
              <w:rPr>
                <w:webHidden/>
              </w:rPr>
              <w:fldChar w:fldCharType="separate"/>
            </w:r>
            <w:r w:rsidR="00121BCD">
              <w:rPr>
                <w:webHidden/>
              </w:rPr>
              <w:t>6-169</w:t>
            </w:r>
            <w:r w:rsidR="00121BCD">
              <w:rPr>
                <w:webHidden/>
              </w:rPr>
              <w:fldChar w:fldCharType="end"/>
            </w:r>
          </w:hyperlink>
        </w:p>
        <w:p w:rsidR="00DE563D" w:rsidRDefault="00121BCD" w:rsidP="00121BCD">
          <w:pPr>
            <w:pStyle w:val="TOC1"/>
          </w:pPr>
          <w:r>
            <w:rPr>
              <w:color w:val="auto"/>
              <w:sz w:val="22"/>
            </w:rPr>
            <w:fldChar w:fldCharType="end"/>
          </w:r>
        </w:p>
      </w:sdtContent>
    </w:sdt>
    <w:p w:rsidR="00DE563D" w:rsidRDefault="00DE563D" w:rsidP="00525DDF">
      <w:pPr>
        <w:pStyle w:val="UnnumberedHeading"/>
        <w:numPr>
          <w:ilvl w:val="0"/>
          <w:numId w:val="23"/>
        </w:numPr>
      </w:pPr>
      <w:bookmarkStart w:id="8" w:name="_Toc404700925"/>
      <w:bookmarkStart w:id="9" w:name="_Toc417725368"/>
      <w:r>
        <w:lastRenderedPageBreak/>
        <w:t>Shortened forms</w:t>
      </w:r>
      <w:bookmarkEnd w:id="8"/>
      <w:bookmarkEnd w:id="9"/>
    </w:p>
    <w:tbl>
      <w:tblPr>
        <w:tblStyle w:val="AERtable-text0"/>
        <w:tblW w:w="0" w:type="auto"/>
        <w:tblLook w:val="04A0" w:firstRow="1" w:lastRow="0" w:firstColumn="1" w:lastColumn="0" w:noHBand="0" w:noVBand="1"/>
      </w:tblPr>
      <w:tblGrid>
        <w:gridCol w:w="4340"/>
        <w:gridCol w:w="4353"/>
      </w:tblGrid>
      <w:tr w:rsidR="00DE563D" w:rsidTr="00547427">
        <w:trPr>
          <w:cnfStyle w:val="100000000000" w:firstRow="1" w:lastRow="0" w:firstColumn="0" w:lastColumn="0" w:oddVBand="0" w:evenVBand="0" w:oddHBand="0" w:evenHBand="0" w:firstRowFirstColumn="0" w:firstRowLastColumn="0" w:lastRowFirstColumn="0" w:lastRowLastColumn="0"/>
        </w:trPr>
        <w:tc>
          <w:tcPr>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pPr>
            <w:r>
              <w:t>Extended form</w:t>
            </w:r>
          </w:p>
        </w:tc>
      </w:tr>
      <w:tr w:rsidR="00DE563D" w:rsidTr="00547427">
        <w:tc>
          <w:tcPr>
            <w:tcW w:w="4340" w:type="dxa"/>
          </w:tcPr>
          <w:p w:rsidR="00DE563D" w:rsidRPr="00787774" w:rsidRDefault="00DE563D" w:rsidP="00787774">
            <w:r w:rsidRPr="00787774">
              <w:t>AEMC</w:t>
            </w:r>
          </w:p>
        </w:tc>
        <w:tc>
          <w:tcPr>
            <w:tcW w:w="4353" w:type="dxa"/>
          </w:tcPr>
          <w:p w:rsidR="00DE563D" w:rsidRPr="00787774" w:rsidRDefault="00DE563D" w:rsidP="00787774">
            <w:r w:rsidRPr="00787774">
              <w:t>Australian Energy Market Commission</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AEMO</w:t>
            </w:r>
          </w:p>
        </w:tc>
        <w:tc>
          <w:tcPr>
            <w:tcW w:w="4353" w:type="dxa"/>
          </w:tcPr>
          <w:p w:rsidR="00DE563D" w:rsidRPr="00787774" w:rsidRDefault="00DE563D" w:rsidP="00787774">
            <w:r w:rsidRPr="00787774">
              <w:t>Australian Energy Market Operator</w:t>
            </w:r>
          </w:p>
        </w:tc>
      </w:tr>
      <w:tr w:rsidR="00DE563D" w:rsidTr="00547427">
        <w:tc>
          <w:tcPr>
            <w:tcW w:w="4340" w:type="dxa"/>
          </w:tcPr>
          <w:p w:rsidR="00DE563D" w:rsidRPr="00787774" w:rsidRDefault="00DE563D" w:rsidP="00787774">
            <w:r w:rsidRPr="00787774">
              <w:t>AER</w:t>
            </w:r>
          </w:p>
        </w:tc>
        <w:tc>
          <w:tcPr>
            <w:tcW w:w="4353" w:type="dxa"/>
          </w:tcPr>
          <w:p w:rsidR="00DE563D" w:rsidRPr="00787774" w:rsidRDefault="00DE563D" w:rsidP="00787774">
            <w:r w:rsidRPr="00787774">
              <w:t>Australian Energy Regulator</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augex</w:t>
            </w:r>
          </w:p>
        </w:tc>
        <w:tc>
          <w:tcPr>
            <w:tcW w:w="4353" w:type="dxa"/>
          </w:tcPr>
          <w:p w:rsidR="00DE563D" w:rsidRPr="00787774" w:rsidRDefault="00DE563D" w:rsidP="00787774">
            <w:r w:rsidRPr="00787774">
              <w:t>augmentation expenditure</w:t>
            </w:r>
          </w:p>
        </w:tc>
      </w:tr>
      <w:tr w:rsidR="00DE563D" w:rsidTr="00547427">
        <w:tc>
          <w:tcPr>
            <w:tcW w:w="4340" w:type="dxa"/>
          </w:tcPr>
          <w:p w:rsidR="00DE563D" w:rsidRPr="00787774" w:rsidRDefault="00DE563D" w:rsidP="00787774">
            <w:r w:rsidRPr="00787774">
              <w:t>capex</w:t>
            </w:r>
          </w:p>
        </w:tc>
        <w:tc>
          <w:tcPr>
            <w:tcW w:w="4353" w:type="dxa"/>
          </w:tcPr>
          <w:p w:rsidR="00DE563D" w:rsidRPr="00787774" w:rsidRDefault="00DE563D" w:rsidP="00787774">
            <w:r w:rsidRPr="00787774">
              <w:t>capital expenditure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CCP</w:t>
            </w:r>
          </w:p>
        </w:tc>
        <w:tc>
          <w:tcPr>
            <w:tcW w:w="4353" w:type="dxa"/>
          </w:tcPr>
          <w:p w:rsidR="00DE563D" w:rsidRPr="00787774" w:rsidRDefault="00DE563D" w:rsidP="00787774">
            <w:r w:rsidRPr="00787774">
              <w:t>Consumer Challenge Panel</w:t>
            </w:r>
          </w:p>
        </w:tc>
      </w:tr>
      <w:tr w:rsidR="00DE563D" w:rsidTr="00547427">
        <w:tc>
          <w:tcPr>
            <w:tcW w:w="4340" w:type="dxa"/>
          </w:tcPr>
          <w:p w:rsidR="00DE563D" w:rsidRPr="00787774" w:rsidRDefault="00DE563D" w:rsidP="00787774">
            <w:r w:rsidRPr="00787774">
              <w:t>CESS</w:t>
            </w:r>
          </w:p>
        </w:tc>
        <w:tc>
          <w:tcPr>
            <w:tcW w:w="4353" w:type="dxa"/>
          </w:tcPr>
          <w:p w:rsidR="00DE563D" w:rsidRPr="00787774" w:rsidRDefault="00DE563D" w:rsidP="00787774">
            <w:r w:rsidRPr="00787774">
              <w:t>capital expenditure sharing scheme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CPI</w:t>
            </w:r>
          </w:p>
        </w:tc>
        <w:tc>
          <w:tcPr>
            <w:tcW w:w="4353" w:type="dxa"/>
          </w:tcPr>
          <w:p w:rsidR="00DE563D" w:rsidRPr="00787774" w:rsidRDefault="00DE563D" w:rsidP="00787774">
            <w:r w:rsidRPr="00787774">
              <w:t>consumer price index</w:t>
            </w:r>
          </w:p>
        </w:tc>
      </w:tr>
      <w:tr w:rsidR="00DE563D" w:rsidTr="00547427">
        <w:tc>
          <w:tcPr>
            <w:tcW w:w="4340" w:type="dxa"/>
          </w:tcPr>
          <w:p w:rsidR="00DE563D" w:rsidRPr="00787774" w:rsidRDefault="00DE563D" w:rsidP="00787774">
            <w:r w:rsidRPr="00787774">
              <w:t>DRP</w:t>
            </w:r>
          </w:p>
        </w:tc>
        <w:tc>
          <w:tcPr>
            <w:tcW w:w="4353" w:type="dxa"/>
          </w:tcPr>
          <w:p w:rsidR="00DE563D" w:rsidRPr="00787774" w:rsidRDefault="00DE563D" w:rsidP="00787774">
            <w:r w:rsidRPr="00787774">
              <w:t>debt risk premium</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DMIA</w:t>
            </w:r>
          </w:p>
        </w:tc>
        <w:tc>
          <w:tcPr>
            <w:tcW w:w="4353" w:type="dxa"/>
          </w:tcPr>
          <w:p w:rsidR="00DE563D" w:rsidRPr="00787774" w:rsidRDefault="00DE563D" w:rsidP="00787774">
            <w:r w:rsidRPr="00787774">
              <w:t>demand management innovation allowance</w:t>
            </w:r>
          </w:p>
        </w:tc>
      </w:tr>
      <w:tr w:rsidR="00DE563D" w:rsidTr="00547427">
        <w:tc>
          <w:tcPr>
            <w:tcW w:w="4340" w:type="dxa"/>
          </w:tcPr>
          <w:p w:rsidR="00DE563D" w:rsidRPr="00787774" w:rsidRDefault="00DE563D" w:rsidP="00787774">
            <w:r w:rsidRPr="00787774">
              <w:t>DMIS</w:t>
            </w:r>
          </w:p>
        </w:tc>
        <w:tc>
          <w:tcPr>
            <w:tcW w:w="4353" w:type="dxa"/>
          </w:tcPr>
          <w:p w:rsidR="00DE563D" w:rsidRPr="00787774" w:rsidRDefault="00DE563D" w:rsidP="00787774">
            <w:r w:rsidRPr="00787774">
              <w:t>demand management incentive scheme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distributor</w:t>
            </w:r>
          </w:p>
        </w:tc>
        <w:tc>
          <w:tcPr>
            <w:tcW w:w="4353" w:type="dxa"/>
          </w:tcPr>
          <w:p w:rsidR="00DE563D" w:rsidRPr="00787774" w:rsidRDefault="00DE563D" w:rsidP="00787774">
            <w:r w:rsidRPr="00787774">
              <w:t>distribution network service provider</w:t>
            </w:r>
          </w:p>
        </w:tc>
      </w:tr>
      <w:tr w:rsidR="00DE563D" w:rsidTr="00547427">
        <w:tc>
          <w:tcPr>
            <w:tcW w:w="4340" w:type="dxa"/>
          </w:tcPr>
          <w:p w:rsidR="00DE563D" w:rsidRPr="00787774" w:rsidRDefault="00DE563D" w:rsidP="00787774">
            <w:r w:rsidRPr="00787774">
              <w:t>DUoS</w:t>
            </w:r>
          </w:p>
        </w:tc>
        <w:tc>
          <w:tcPr>
            <w:tcW w:w="4353" w:type="dxa"/>
          </w:tcPr>
          <w:p w:rsidR="00DE563D" w:rsidRPr="00787774" w:rsidRDefault="00DE563D" w:rsidP="00787774">
            <w:r w:rsidRPr="00787774">
              <w:t>distribution use of system</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EBSS</w:t>
            </w:r>
          </w:p>
        </w:tc>
        <w:tc>
          <w:tcPr>
            <w:tcW w:w="4353" w:type="dxa"/>
          </w:tcPr>
          <w:p w:rsidR="00DE563D" w:rsidRPr="00787774" w:rsidRDefault="00DE563D" w:rsidP="00787774">
            <w:r w:rsidRPr="00787774">
              <w:t>efficiency benefit sharing scheme</w:t>
            </w:r>
          </w:p>
        </w:tc>
      </w:tr>
      <w:tr w:rsidR="00DE563D" w:rsidTr="00547427">
        <w:tc>
          <w:tcPr>
            <w:tcW w:w="4340" w:type="dxa"/>
          </w:tcPr>
          <w:p w:rsidR="00DE563D" w:rsidRPr="00787774" w:rsidRDefault="00DE563D" w:rsidP="00787774">
            <w:r w:rsidRPr="00787774">
              <w:t>ERP</w:t>
            </w:r>
          </w:p>
        </w:tc>
        <w:tc>
          <w:tcPr>
            <w:tcW w:w="4353" w:type="dxa"/>
          </w:tcPr>
          <w:p w:rsidR="00DE563D" w:rsidRPr="00787774" w:rsidRDefault="00DE563D" w:rsidP="00787774">
            <w:r w:rsidRPr="00787774">
              <w:t>equity risk premium</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E61CD0" w:rsidP="00787774">
            <w:r>
              <w:t>E</w:t>
            </w:r>
            <w:r w:rsidR="00DE563D" w:rsidRPr="00787774">
              <w:t xml:space="preserve">xpenditure </w:t>
            </w:r>
            <w:r>
              <w:t>A</w:t>
            </w:r>
            <w:r w:rsidR="00DE563D" w:rsidRPr="00787774">
              <w:t xml:space="preserve">ssessment </w:t>
            </w:r>
            <w:r>
              <w:t>G</w:t>
            </w:r>
            <w:r w:rsidR="00DE563D" w:rsidRPr="00787774">
              <w:t>uideline</w:t>
            </w:r>
          </w:p>
        </w:tc>
        <w:tc>
          <w:tcPr>
            <w:tcW w:w="4353" w:type="dxa"/>
          </w:tcPr>
          <w:p w:rsidR="00DE563D" w:rsidRPr="00787774" w:rsidRDefault="00547427" w:rsidP="00787774">
            <w:r>
              <w:t>Expenditure Forecast A</w:t>
            </w:r>
            <w:r w:rsidR="00DE563D" w:rsidRPr="00787774">
              <w:t xml:space="preserve">ssessment </w:t>
            </w:r>
            <w:r w:rsidR="00E61CD0">
              <w:t>G</w:t>
            </w:r>
            <w:r w:rsidR="00DE563D" w:rsidRPr="00787774">
              <w:t>uideline for electricity distribution</w:t>
            </w:r>
          </w:p>
        </w:tc>
      </w:tr>
      <w:tr w:rsidR="00DE563D" w:rsidTr="00547427">
        <w:tc>
          <w:tcPr>
            <w:tcW w:w="4340" w:type="dxa"/>
          </w:tcPr>
          <w:p w:rsidR="00DE563D" w:rsidRPr="00787774" w:rsidRDefault="00DE563D" w:rsidP="00787774">
            <w:r w:rsidRPr="00787774">
              <w:t>F&amp;A</w:t>
            </w:r>
          </w:p>
        </w:tc>
        <w:tc>
          <w:tcPr>
            <w:tcW w:w="4353" w:type="dxa"/>
          </w:tcPr>
          <w:p w:rsidR="00DE563D" w:rsidRPr="00787774" w:rsidRDefault="00DE563D" w:rsidP="00787774">
            <w:r w:rsidRPr="00787774">
              <w:t>framework and approach</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MRP</w:t>
            </w:r>
          </w:p>
        </w:tc>
        <w:tc>
          <w:tcPr>
            <w:tcW w:w="4353" w:type="dxa"/>
          </w:tcPr>
          <w:p w:rsidR="00DE563D" w:rsidRPr="00787774" w:rsidRDefault="00DE563D" w:rsidP="00787774">
            <w:r w:rsidRPr="00787774">
              <w:t>market risk premium</w:t>
            </w:r>
          </w:p>
        </w:tc>
      </w:tr>
      <w:tr w:rsidR="00DE563D" w:rsidTr="00547427">
        <w:tc>
          <w:tcPr>
            <w:tcW w:w="4340" w:type="dxa"/>
          </w:tcPr>
          <w:p w:rsidR="00DE563D" w:rsidRPr="00787774" w:rsidRDefault="00DE563D" w:rsidP="00787774">
            <w:r w:rsidRPr="00787774">
              <w:t>NEL</w:t>
            </w:r>
          </w:p>
        </w:tc>
        <w:tc>
          <w:tcPr>
            <w:tcW w:w="4353" w:type="dxa"/>
          </w:tcPr>
          <w:p w:rsidR="00DE563D" w:rsidRPr="00787774" w:rsidRDefault="00DE563D" w:rsidP="00787774">
            <w:r w:rsidRPr="00787774">
              <w:t>national electricity law</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NEM</w:t>
            </w:r>
          </w:p>
        </w:tc>
        <w:tc>
          <w:tcPr>
            <w:tcW w:w="4353" w:type="dxa"/>
          </w:tcPr>
          <w:p w:rsidR="00DE563D" w:rsidRPr="00787774" w:rsidRDefault="00DE563D" w:rsidP="00787774">
            <w:r w:rsidRPr="00787774">
              <w:t>national electricity market</w:t>
            </w:r>
          </w:p>
        </w:tc>
      </w:tr>
      <w:tr w:rsidR="00DE563D" w:rsidTr="00547427">
        <w:tc>
          <w:tcPr>
            <w:tcW w:w="4340" w:type="dxa"/>
          </w:tcPr>
          <w:p w:rsidR="00DE563D" w:rsidRPr="00787774" w:rsidRDefault="00DE563D" w:rsidP="00787774">
            <w:r w:rsidRPr="00787774">
              <w:t>NEO</w:t>
            </w:r>
          </w:p>
        </w:tc>
        <w:tc>
          <w:tcPr>
            <w:tcW w:w="4353" w:type="dxa"/>
          </w:tcPr>
          <w:p w:rsidR="00DE563D" w:rsidRPr="00787774" w:rsidRDefault="00DE563D" w:rsidP="00787774">
            <w:r w:rsidRPr="00787774">
              <w:t>national electricity objective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NER</w:t>
            </w:r>
          </w:p>
        </w:tc>
        <w:tc>
          <w:tcPr>
            <w:tcW w:w="4353" w:type="dxa"/>
          </w:tcPr>
          <w:p w:rsidR="00DE563D" w:rsidRPr="00787774" w:rsidRDefault="00DE563D" w:rsidP="00787774">
            <w:r w:rsidRPr="00787774">
              <w:t>national electricity rules</w:t>
            </w:r>
          </w:p>
        </w:tc>
      </w:tr>
      <w:tr w:rsidR="00DE563D" w:rsidTr="00547427">
        <w:tc>
          <w:tcPr>
            <w:tcW w:w="4340" w:type="dxa"/>
          </w:tcPr>
          <w:p w:rsidR="00DE563D" w:rsidRPr="00787774" w:rsidRDefault="00DE563D" w:rsidP="00787774">
            <w:r w:rsidRPr="00787774">
              <w:t>NSP</w:t>
            </w:r>
          </w:p>
        </w:tc>
        <w:tc>
          <w:tcPr>
            <w:tcW w:w="4353" w:type="dxa"/>
          </w:tcPr>
          <w:p w:rsidR="00DE563D" w:rsidRPr="00787774" w:rsidRDefault="00DE563D" w:rsidP="00787774">
            <w:r w:rsidRPr="00787774">
              <w:t>network service provider</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opex</w:t>
            </w:r>
          </w:p>
        </w:tc>
        <w:tc>
          <w:tcPr>
            <w:tcW w:w="4353" w:type="dxa"/>
          </w:tcPr>
          <w:p w:rsidR="00DE563D" w:rsidRPr="00787774" w:rsidRDefault="00DE563D" w:rsidP="00787774">
            <w:r w:rsidRPr="00787774">
              <w:t>operating expenditure</w:t>
            </w:r>
          </w:p>
        </w:tc>
      </w:tr>
      <w:tr w:rsidR="00DE563D" w:rsidTr="00547427">
        <w:tc>
          <w:tcPr>
            <w:tcW w:w="4340" w:type="dxa"/>
          </w:tcPr>
          <w:p w:rsidR="00DE563D" w:rsidRPr="00787774" w:rsidRDefault="00DE563D" w:rsidP="00787774">
            <w:r w:rsidRPr="00787774">
              <w:t>PPI</w:t>
            </w:r>
          </w:p>
        </w:tc>
        <w:tc>
          <w:tcPr>
            <w:tcW w:w="4353" w:type="dxa"/>
          </w:tcPr>
          <w:p w:rsidR="00DE563D" w:rsidRPr="00787774" w:rsidRDefault="00DE563D" w:rsidP="00787774">
            <w:r w:rsidRPr="00787774">
              <w:t>partial performance indicators</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PTRM</w:t>
            </w:r>
          </w:p>
        </w:tc>
        <w:tc>
          <w:tcPr>
            <w:tcW w:w="4353" w:type="dxa"/>
          </w:tcPr>
          <w:p w:rsidR="00DE563D" w:rsidRPr="00787774" w:rsidRDefault="00DE563D" w:rsidP="00787774">
            <w:r w:rsidRPr="00787774">
              <w:t>post-tax revenue model</w:t>
            </w:r>
          </w:p>
        </w:tc>
      </w:tr>
      <w:tr w:rsidR="00DE563D" w:rsidTr="00547427">
        <w:tc>
          <w:tcPr>
            <w:tcW w:w="4340" w:type="dxa"/>
          </w:tcPr>
          <w:p w:rsidR="00DE563D" w:rsidRPr="00787774" w:rsidRDefault="00DE563D" w:rsidP="00787774">
            <w:r w:rsidRPr="00787774">
              <w:t>RAB</w:t>
            </w:r>
          </w:p>
        </w:tc>
        <w:tc>
          <w:tcPr>
            <w:tcW w:w="4353" w:type="dxa"/>
          </w:tcPr>
          <w:p w:rsidR="00DE563D" w:rsidRPr="00787774" w:rsidRDefault="00DE563D" w:rsidP="00787774">
            <w:r w:rsidRPr="00787774">
              <w:t>regulatory asset base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RBA</w:t>
            </w:r>
          </w:p>
        </w:tc>
        <w:tc>
          <w:tcPr>
            <w:tcW w:w="4353" w:type="dxa"/>
          </w:tcPr>
          <w:p w:rsidR="00DE563D" w:rsidRPr="00787774" w:rsidRDefault="00DE563D" w:rsidP="00787774">
            <w:r w:rsidRPr="00787774">
              <w:t>Reserve Bank of Australia</w:t>
            </w:r>
          </w:p>
        </w:tc>
      </w:tr>
      <w:tr w:rsidR="00DE563D" w:rsidTr="00547427">
        <w:tc>
          <w:tcPr>
            <w:tcW w:w="4340" w:type="dxa"/>
          </w:tcPr>
          <w:p w:rsidR="00DE563D" w:rsidRPr="00787774" w:rsidRDefault="00DE563D" w:rsidP="00787774">
            <w:r w:rsidRPr="00787774">
              <w:t>repex</w:t>
            </w:r>
          </w:p>
        </w:tc>
        <w:tc>
          <w:tcPr>
            <w:tcW w:w="4353" w:type="dxa"/>
          </w:tcPr>
          <w:p w:rsidR="00DE563D" w:rsidRPr="00787774" w:rsidRDefault="00DE563D" w:rsidP="00787774">
            <w:r w:rsidRPr="00787774">
              <w:t>replacement expenditure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RFM</w:t>
            </w:r>
          </w:p>
        </w:tc>
        <w:tc>
          <w:tcPr>
            <w:tcW w:w="4353" w:type="dxa"/>
          </w:tcPr>
          <w:p w:rsidR="00DE563D" w:rsidRPr="00787774" w:rsidRDefault="00DE563D" w:rsidP="00787774">
            <w:r w:rsidRPr="00787774">
              <w:t>roll forward model</w:t>
            </w:r>
          </w:p>
        </w:tc>
      </w:tr>
      <w:tr w:rsidR="00DE563D" w:rsidTr="00547427">
        <w:tc>
          <w:tcPr>
            <w:tcW w:w="4340" w:type="dxa"/>
          </w:tcPr>
          <w:p w:rsidR="00DE563D" w:rsidRPr="00787774" w:rsidRDefault="00DE563D" w:rsidP="00787774">
            <w:r w:rsidRPr="00787774">
              <w:lastRenderedPageBreak/>
              <w:t>RIN</w:t>
            </w:r>
          </w:p>
        </w:tc>
        <w:tc>
          <w:tcPr>
            <w:tcW w:w="4353" w:type="dxa"/>
          </w:tcPr>
          <w:p w:rsidR="00DE563D" w:rsidRPr="00787774" w:rsidRDefault="00DE563D" w:rsidP="00787774">
            <w:r w:rsidRPr="00787774">
              <w:t>regulatory information notice</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RPP</w:t>
            </w:r>
          </w:p>
        </w:tc>
        <w:tc>
          <w:tcPr>
            <w:tcW w:w="4353" w:type="dxa"/>
          </w:tcPr>
          <w:p w:rsidR="00DE563D" w:rsidRPr="00787774" w:rsidRDefault="00DE563D" w:rsidP="00787774">
            <w:r w:rsidRPr="00787774">
              <w:t xml:space="preserve">revenue </w:t>
            </w:r>
            <w:r w:rsidR="00E61CD0">
              <w:t xml:space="preserve">and </w:t>
            </w:r>
            <w:r w:rsidRPr="00787774">
              <w:t>pricing principles</w:t>
            </w:r>
          </w:p>
        </w:tc>
      </w:tr>
      <w:tr w:rsidR="00DE563D" w:rsidTr="00547427">
        <w:tc>
          <w:tcPr>
            <w:tcW w:w="4340" w:type="dxa"/>
          </w:tcPr>
          <w:p w:rsidR="00DE563D" w:rsidRPr="00787774" w:rsidRDefault="00DE563D" w:rsidP="00787774">
            <w:r w:rsidRPr="00787774">
              <w:t>SAIDI</w:t>
            </w:r>
          </w:p>
        </w:tc>
        <w:tc>
          <w:tcPr>
            <w:tcW w:w="4353" w:type="dxa"/>
          </w:tcPr>
          <w:p w:rsidR="00DE563D" w:rsidRPr="00787774" w:rsidRDefault="00DE563D" w:rsidP="00787774">
            <w:r w:rsidRPr="00787774">
              <w:t>system average interruption duration index</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SAIFI</w:t>
            </w:r>
          </w:p>
        </w:tc>
        <w:tc>
          <w:tcPr>
            <w:tcW w:w="4353" w:type="dxa"/>
          </w:tcPr>
          <w:p w:rsidR="00DE563D" w:rsidRPr="00787774" w:rsidRDefault="00DE563D" w:rsidP="00787774">
            <w:r w:rsidRPr="00787774">
              <w:t>system average interruption frequency index</w:t>
            </w:r>
          </w:p>
        </w:tc>
      </w:tr>
      <w:tr w:rsidR="00DE563D" w:rsidTr="00547427">
        <w:tc>
          <w:tcPr>
            <w:tcW w:w="4340" w:type="dxa"/>
          </w:tcPr>
          <w:p w:rsidR="00DE563D" w:rsidRPr="00787774" w:rsidRDefault="00DE563D" w:rsidP="00787774">
            <w:r w:rsidRPr="00787774">
              <w:t>SLCAPM</w:t>
            </w:r>
          </w:p>
        </w:tc>
        <w:tc>
          <w:tcPr>
            <w:tcW w:w="4353" w:type="dxa"/>
          </w:tcPr>
          <w:p w:rsidR="00DE563D" w:rsidRPr="00787774" w:rsidRDefault="00DE563D" w:rsidP="00787774">
            <w:r w:rsidRPr="00787774">
              <w:t>Sharpe-Lintner capital asset pricing model</w:t>
            </w:r>
          </w:p>
        </w:tc>
      </w:tr>
      <w:tr w:rsidR="00DE563D" w:rsidTr="00547427">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787774" w:rsidRDefault="00DE563D" w:rsidP="00787774">
            <w:r w:rsidRPr="00787774">
              <w:t>STPIS</w:t>
            </w:r>
          </w:p>
        </w:tc>
        <w:tc>
          <w:tcPr>
            <w:tcW w:w="4353" w:type="dxa"/>
          </w:tcPr>
          <w:p w:rsidR="00DE563D" w:rsidRPr="00787774" w:rsidRDefault="00DE563D" w:rsidP="00787774">
            <w:r w:rsidRPr="00787774">
              <w:t>service target performance incentive scheme</w:t>
            </w:r>
          </w:p>
        </w:tc>
      </w:tr>
      <w:tr w:rsidR="00DE563D" w:rsidTr="00547427">
        <w:tc>
          <w:tcPr>
            <w:tcW w:w="4340" w:type="dxa"/>
          </w:tcPr>
          <w:p w:rsidR="00DE563D" w:rsidRPr="00787774" w:rsidRDefault="00DE563D" w:rsidP="00787774">
            <w:r w:rsidRPr="00787774">
              <w:t>WACC</w:t>
            </w:r>
          </w:p>
        </w:tc>
        <w:tc>
          <w:tcPr>
            <w:tcW w:w="4353" w:type="dxa"/>
          </w:tcPr>
          <w:p w:rsidR="00DE563D" w:rsidRPr="00787774" w:rsidRDefault="00DE563D" w:rsidP="00787774">
            <w:r w:rsidRPr="00787774">
              <w:t>weighted average cost of capital</w:t>
            </w:r>
          </w:p>
        </w:tc>
      </w:tr>
    </w:tbl>
    <w:p w:rsidR="00DE563D" w:rsidRPr="00271F7C" w:rsidRDefault="00DE563D" w:rsidP="00525DDF">
      <w:pPr>
        <w:numPr>
          <w:ilvl w:val="0"/>
          <w:numId w:val="24"/>
        </w:numPr>
      </w:pPr>
    </w:p>
    <w:p w:rsidR="00DE563D" w:rsidRPr="00436A39" w:rsidRDefault="00DE563D" w:rsidP="00525DDF">
      <w:pPr>
        <w:numPr>
          <w:ilvl w:val="0"/>
          <w:numId w:val="24"/>
        </w:numPr>
      </w:pPr>
    </w:p>
    <w:p w:rsidR="00DE563D" w:rsidRDefault="00DE563D" w:rsidP="00DE563D"/>
    <w:p w:rsidR="00DE563D" w:rsidRPr="00F45830" w:rsidRDefault="00EF3CAB" w:rsidP="00F45830">
      <w:pPr>
        <w:pStyle w:val="Heading1"/>
      </w:pPr>
      <w:bookmarkStart w:id="10" w:name="_Toc417725369"/>
      <w:r w:rsidRPr="00F45830">
        <w:lastRenderedPageBreak/>
        <w:t>Capital expenditure</w:t>
      </w:r>
      <w:bookmarkEnd w:id="10"/>
    </w:p>
    <w:p w:rsidR="005531F2" w:rsidRPr="005531F2" w:rsidRDefault="005531F2" w:rsidP="00525DDF">
      <w:pPr>
        <w:numPr>
          <w:ilvl w:val="0"/>
          <w:numId w:val="24"/>
        </w:numPr>
      </w:pPr>
      <w:r w:rsidRPr="005531F2">
        <w:t xml:space="preserve">Capital expenditure (capex) refers to the capital expenses incurred in the provision of standard control services. The return on and of forecast capex are two of the building blocks that form part of </w:t>
      </w:r>
      <w:r w:rsidR="000D3300">
        <w:t>SA Power Networks</w:t>
      </w:r>
      <w:r w:rsidRPr="005531F2">
        <w:t>'</w:t>
      </w:r>
      <w:r w:rsidR="000D3300">
        <w:t xml:space="preserve"> </w:t>
      </w:r>
      <w:r w:rsidRPr="005531F2">
        <w:t>total revenue requirement.</w:t>
      </w:r>
      <w:r w:rsidR="000D3300">
        <w:rPr>
          <w:rStyle w:val="FootnoteReference"/>
        </w:rPr>
        <w:footnoteReference w:id="1"/>
      </w:r>
    </w:p>
    <w:p w:rsidR="005531F2" w:rsidRPr="005531F2" w:rsidRDefault="005531F2" w:rsidP="00525DDF">
      <w:pPr>
        <w:numPr>
          <w:ilvl w:val="0"/>
          <w:numId w:val="24"/>
        </w:numPr>
      </w:pPr>
      <w:r w:rsidRPr="005531F2">
        <w:t xml:space="preserve">This Attachment sets out our </w:t>
      </w:r>
      <w:r w:rsidR="007F21A7">
        <w:t>preliminary</w:t>
      </w:r>
      <w:r w:rsidRPr="005531F2">
        <w:t xml:space="preserve"> decision on </w:t>
      </w:r>
      <w:r w:rsidR="00604AA1">
        <w:t>SA Power Networks</w:t>
      </w:r>
      <w:r w:rsidRPr="005531F2">
        <w:t xml:space="preserve"> proposed total forecast capex. Further detailed analysis is in the following appendices:</w:t>
      </w:r>
    </w:p>
    <w:p w:rsidR="00F40C30" w:rsidRPr="00F40C30" w:rsidRDefault="00F40C30" w:rsidP="00F40C30">
      <w:pPr>
        <w:pStyle w:val="AERbulletlistfirststyle"/>
      </w:pPr>
      <w:r w:rsidRPr="00F40C30">
        <w:t>Appendix A - Assessment Techniques</w:t>
      </w:r>
    </w:p>
    <w:p w:rsidR="00F40C30" w:rsidRPr="00F40C30" w:rsidRDefault="00F40C30" w:rsidP="00F40C30">
      <w:pPr>
        <w:pStyle w:val="AERbulletlistfirststyle"/>
      </w:pPr>
      <w:r w:rsidRPr="00F40C30">
        <w:t>Appendix B - Assessment of capex drivers</w:t>
      </w:r>
    </w:p>
    <w:p w:rsidR="00F40C30" w:rsidRPr="00F40C30" w:rsidRDefault="00F40C30" w:rsidP="00F40C30">
      <w:pPr>
        <w:pStyle w:val="AERbulletlistfirststyle"/>
      </w:pPr>
      <w:r w:rsidRPr="00F40C30">
        <w:t>Appendix C - Demand</w:t>
      </w:r>
    </w:p>
    <w:p w:rsidR="00F40C30" w:rsidRPr="00F40C30" w:rsidRDefault="00F40C30" w:rsidP="00F40C30">
      <w:pPr>
        <w:pStyle w:val="AERbulletlistfirststyle"/>
      </w:pPr>
      <w:r w:rsidRPr="00F40C30">
        <w:t>Appendix D - Real material cost escalation</w:t>
      </w:r>
    </w:p>
    <w:p w:rsidR="00F40C30" w:rsidRPr="00F40C30" w:rsidRDefault="00F40C30" w:rsidP="00F40C30">
      <w:pPr>
        <w:pStyle w:val="AERbulletlistfirststyle"/>
      </w:pPr>
      <w:r w:rsidRPr="00F40C30">
        <w:t>Appendix E - Predictive modelling approach</w:t>
      </w:r>
      <w:r w:rsidR="003C7CEF">
        <w:t>.</w:t>
      </w:r>
    </w:p>
    <w:p w:rsidR="005531F2" w:rsidRPr="005531F2" w:rsidRDefault="005531F2" w:rsidP="005531F2">
      <w:pPr>
        <w:pStyle w:val="Heading2"/>
      </w:pPr>
      <w:bookmarkStart w:id="11" w:name="_Toc417725370"/>
      <w:r w:rsidRPr="005531F2">
        <w:t>Preliminary decision</w:t>
      </w:r>
      <w:bookmarkEnd w:id="11"/>
    </w:p>
    <w:p w:rsidR="005531F2" w:rsidRPr="005531F2" w:rsidRDefault="0029284F" w:rsidP="00525DDF">
      <w:pPr>
        <w:numPr>
          <w:ilvl w:val="0"/>
          <w:numId w:val="24"/>
        </w:numPr>
      </w:pPr>
      <w:r w:rsidRPr="0029284F">
        <w:t xml:space="preserve">We are not satisfied that </w:t>
      </w:r>
      <w:r>
        <w:t>SA</w:t>
      </w:r>
      <w:r w:rsidR="008B5E3E">
        <w:t xml:space="preserve"> </w:t>
      </w:r>
      <w:r>
        <w:t>P</w:t>
      </w:r>
      <w:r w:rsidR="008B5E3E">
        <w:t xml:space="preserve">ower </w:t>
      </w:r>
      <w:r>
        <w:t>N</w:t>
      </w:r>
      <w:r w:rsidR="008B5E3E">
        <w:t>etwork</w:t>
      </w:r>
      <w:r w:rsidRPr="0029284F">
        <w:t>s proposed total forecast capex of $</w:t>
      </w:r>
      <w:r w:rsidR="00B138D3" w:rsidRPr="00B138D3">
        <w:t>2481.0</w:t>
      </w:r>
      <w:r w:rsidRPr="0029284F">
        <w:t xml:space="preserve"> million ($2014-15) reasonably reflects the capex criteria. We have </w:t>
      </w:r>
      <w:r w:rsidR="006C5512">
        <w:t>substituted our</w:t>
      </w:r>
      <w:r w:rsidRPr="0029284F">
        <w:t xml:space="preserve"> estimate of </w:t>
      </w:r>
      <w:r>
        <w:t>SA</w:t>
      </w:r>
      <w:r w:rsidR="008B5E3E">
        <w:t xml:space="preserve"> </w:t>
      </w:r>
      <w:r>
        <w:t>P</w:t>
      </w:r>
      <w:r w:rsidR="008B5E3E">
        <w:t xml:space="preserve">ower </w:t>
      </w:r>
      <w:r>
        <w:t>N</w:t>
      </w:r>
      <w:r w:rsidR="008B5E3E">
        <w:t>etworks</w:t>
      </w:r>
      <w:r w:rsidRPr="0029284F">
        <w:t xml:space="preserve"> total forecast capex for the 2015-20 </w:t>
      </w:r>
      <w:r w:rsidR="00547427">
        <w:t xml:space="preserve">regulatory control </w:t>
      </w:r>
      <w:r w:rsidRPr="0029284F">
        <w:t xml:space="preserve">period. We are satisfied that our substitute estimate </w:t>
      </w:r>
      <w:r w:rsidR="00F40C30">
        <w:t xml:space="preserve">of </w:t>
      </w:r>
      <w:r w:rsidR="00F40C30" w:rsidRPr="00F40C30">
        <w:t>$</w:t>
      </w:r>
      <w:r w:rsidR="00B138D3" w:rsidRPr="00B138D3">
        <w:t>1684.0</w:t>
      </w:r>
      <w:r w:rsidR="00F40C30" w:rsidRPr="00F40C30">
        <w:t xml:space="preserve"> million ($2014-15)</w:t>
      </w:r>
      <w:r w:rsidR="00F40C30">
        <w:t xml:space="preserve"> </w:t>
      </w:r>
      <w:r w:rsidRPr="0029284F">
        <w:t>reasonably reflects the capex criteria.</w:t>
      </w:r>
      <w:r>
        <w:t xml:space="preserve"> </w:t>
      </w:r>
      <w:r w:rsidR="005531F2" w:rsidRPr="005531F2">
        <w:fldChar w:fldCharType="begin"/>
      </w:r>
      <w:r w:rsidR="005531F2" w:rsidRPr="005531F2">
        <w:instrText xml:space="preserve"> REF _Ref404421343 \h </w:instrText>
      </w:r>
      <w:r w:rsidR="005531F2" w:rsidRPr="005531F2">
        <w:fldChar w:fldCharType="separate"/>
      </w:r>
      <w:r w:rsidR="00F02131" w:rsidRPr="005531F2">
        <w:t xml:space="preserve">Table </w:t>
      </w:r>
      <w:r w:rsidR="00F02131">
        <w:rPr>
          <w:noProof/>
        </w:rPr>
        <w:t>6</w:t>
      </w:r>
      <w:r w:rsidR="00F02131" w:rsidRPr="005531F2">
        <w:noBreakHyphen/>
      </w:r>
      <w:r w:rsidR="00F02131">
        <w:rPr>
          <w:noProof/>
        </w:rPr>
        <w:t>1</w:t>
      </w:r>
      <w:r w:rsidR="005531F2" w:rsidRPr="005531F2">
        <w:fldChar w:fldCharType="end"/>
      </w:r>
      <w:r w:rsidR="005531F2" w:rsidRPr="005531F2">
        <w:t xml:space="preserve"> outlines our </w:t>
      </w:r>
      <w:r w:rsidR="007F21A7">
        <w:t>preliminary</w:t>
      </w:r>
      <w:r w:rsidR="005531F2" w:rsidRPr="005531F2">
        <w:t xml:space="preserve"> decision.</w:t>
      </w:r>
    </w:p>
    <w:p w:rsidR="005531F2" w:rsidRPr="005531F2" w:rsidRDefault="005531F2" w:rsidP="005531F2">
      <w:pPr>
        <w:pStyle w:val="Charttitle"/>
      </w:pPr>
      <w:bookmarkStart w:id="12" w:name="_Ref404421343"/>
      <w:r w:rsidRPr="005531F2">
        <w:t xml:space="preserve">Table </w:t>
      </w:r>
      <w:fldSimple w:instr=" STYLEREF 1 \s ">
        <w:r w:rsidR="00F02131">
          <w:rPr>
            <w:noProof/>
          </w:rPr>
          <w:t>6</w:t>
        </w:r>
      </w:fldSimple>
      <w:r w:rsidRPr="005531F2">
        <w:noBreakHyphen/>
      </w:r>
      <w:fldSimple w:instr=" SEQ Table \* ARABIC \s 1 ">
        <w:r w:rsidR="00F02131">
          <w:rPr>
            <w:noProof/>
          </w:rPr>
          <w:t>1</w:t>
        </w:r>
      </w:fldSimple>
      <w:bookmarkEnd w:id="12"/>
      <w:r w:rsidRPr="005531F2">
        <w:tab/>
        <w:t xml:space="preserve">Our </w:t>
      </w:r>
      <w:r w:rsidR="007F21A7">
        <w:t>preliminary</w:t>
      </w:r>
      <w:r w:rsidRPr="005531F2">
        <w:t xml:space="preserve"> decision on </w:t>
      </w:r>
      <w:r w:rsidR="00F52299">
        <w:t>SA</w:t>
      </w:r>
      <w:r w:rsidR="008B5E3E">
        <w:t xml:space="preserve"> </w:t>
      </w:r>
      <w:r w:rsidR="00F52299">
        <w:t>P</w:t>
      </w:r>
      <w:r w:rsidR="008B5E3E">
        <w:t xml:space="preserve">ower </w:t>
      </w:r>
      <w:r w:rsidR="00F52299">
        <w:t>N</w:t>
      </w:r>
      <w:r w:rsidR="008B5E3E">
        <w:t>etworks</w:t>
      </w:r>
      <w:r w:rsidRPr="005531F2">
        <w:t xml:space="preserve"> total forecast capex (</w:t>
      </w:r>
      <w:r w:rsidR="004B575E" w:rsidRPr="005531F2">
        <w:t>$</w:t>
      </w:r>
      <w:r w:rsidR="004B575E">
        <w:t>2014-15,</w:t>
      </w:r>
      <w:r w:rsidR="004B575E" w:rsidRPr="005531F2">
        <w:t> million</w:t>
      </w:r>
      <w:r w:rsidRPr="005531F2">
        <w:t>)</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5531F2" w:rsidRPr="005531F2" w:rsidTr="00B13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5531F2" w:rsidRPr="005531F2" w:rsidRDefault="005531F2" w:rsidP="005531F2"/>
        </w:tc>
        <w:tc>
          <w:tcPr>
            <w:tcW w:w="1042" w:type="dxa"/>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w:t>
            </w:r>
            <w:r w:rsidR="008B5E3E">
              <w:t>015</w:t>
            </w:r>
            <w:r w:rsidRPr="005531F2">
              <w:t>–1</w:t>
            </w:r>
            <w:r w:rsidR="008B5E3E">
              <w:t>6</w:t>
            </w:r>
          </w:p>
        </w:tc>
        <w:tc>
          <w:tcPr>
            <w:tcW w:w="1041" w:type="dxa"/>
          </w:tcPr>
          <w:p w:rsidR="005531F2" w:rsidRPr="005531F2" w:rsidRDefault="008B5E3E" w:rsidP="005531F2">
            <w:pPr>
              <w:cnfStyle w:val="100000000000" w:firstRow="1" w:lastRow="0" w:firstColumn="0" w:lastColumn="0" w:oddVBand="0" w:evenVBand="0" w:oddHBand="0" w:evenHBand="0" w:firstRowFirstColumn="0" w:firstRowLastColumn="0" w:lastRowFirstColumn="0" w:lastRowLastColumn="0"/>
            </w:pPr>
            <w:r>
              <w:t>2016</w:t>
            </w:r>
            <w:r w:rsidR="005531F2" w:rsidRPr="005531F2">
              <w:t>–1</w:t>
            </w:r>
            <w:r>
              <w:t>7</w:t>
            </w:r>
          </w:p>
        </w:tc>
        <w:tc>
          <w:tcPr>
            <w:tcW w:w="1041" w:type="dxa"/>
          </w:tcPr>
          <w:p w:rsidR="005531F2" w:rsidRPr="005531F2" w:rsidRDefault="008B5E3E" w:rsidP="005531F2">
            <w:pPr>
              <w:cnfStyle w:val="100000000000" w:firstRow="1" w:lastRow="0" w:firstColumn="0" w:lastColumn="0" w:oddVBand="0" w:evenVBand="0" w:oddHBand="0" w:evenHBand="0" w:firstRowFirstColumn="0" w:firstRowLastColumn="0" w:lastRowFirstColumn="0" w:lastRowLastColumn="0"/>
            </w:pPr>
            <w:r>
              <w:t>2017</w:t>
            </w:r>
            <w:r w:rsidR="005531F2" w:rsidRPr="005531F2">
              <w:t>–1</w:t>
            </w:r>
            <w:r>
              <w:t>8</w:t>
            </w:r>
          </w:p>
        </w:tc>
        <w:tc>
          <w:tcPr>
            <w:tcW w:w="1041" w:type="dxa"/>
          </w:tcPr>
          <w:p w:rsidR="005531F2" w:rsidRPr="005531F2" w:rsidRDefault="008B5E3E" w:rsidP="005531F2">
            <w:pPr>
              <w:cnfStyle w:val="100000000000" w:firstRow="1" w:lastRow="0" w:firstColumn="0" w:lastColumn="0" w:oddVBand="0" w:evenVBand="0" w:oddHBand="0" w:evenHBand="0" w:firstRowFirstColumn="0" w:firstRowLastColumn="0" w:lastRowFirstColumn="0" w:lastRowLastColumn="0"/>
            </w:pPr>
            <w:r>
              <w:t>2018</w:t>
            </w:r>
            <w:r w:rsidR="005531F2" w:rsidRPr="005531F2">
              <w:t>–1</w:t>
            </w:r>
            <w:r>
              <w:t>9</w:t>
            </w:r>
          </w:p>
        </w:tc>
        <w:tc>
          <w:tcPr>
            <w:tcW w:w="1041" w:type="dxa"/>
          </w:tcPr>
          <w:p w:rsidR="005531F2" w:rsidRPr="005531F2" w:rsidRDefault="008B5E3E" w:rsidP="005531F2">
            <w:pPr>
              <w:cnfStyle w:val="100000000000" w:firstRow="1" w:lastRow="0" w:firstColumn="0" w:lastColumn="0" w:oddVBand="0" w:evenVBand="0" w:oddHBand="0" w:evenHBand="0" w:firstRowFirstColumn="0" w:firstRowLastColumn="0" w:lastRowFirstColumn="0" w:lastRowLastColumn="0"/>
            </w:pPr>
            <w:r>
              <w:t>2019</w:t>
            </w:r>
            <w:r w:rsidR="005531F2" w:rsidRPr="005531F2">
              <w:t>–</w:t>
            </w:r>
            <w:r>
              <w:t>20</w:t>
            </w:r>
          </w:p>
        </w:tc>
        <w:tc>
          <w:tcPr>
            <w:tcW w:w="1033" w:type="dxa"/>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Total</w:t>
            </w:r>
          </w:p>
        </w:tc>
      </w:tr>
      <w:tr w:rsidR="00B138D3" w:rsidRPr="005531F2" w:rsidTr="00B138D3">
        <w:tc>
          <w:tcPr>
            <w:cnfStyle w:val="001000000000" w:firstRow="0" w:lastRow="0" w:firstColumn="1" w:lastColumn="0" w:oddVBand="0" w:evenVBand="0" w:oddHBand="0" w:evenHBand="0" w:firstRowFirstColumn="0" w:firstRowLastColumn="0" w:lastRowFirstColumn="0" w:lastRowLastColumn="0"/>
            <w:tcW w:w="2454" w:type="dxa"/>
          </w:tcPr>
          <w:p w:rsidR="00B138D3" w:rsidRPr="00B138D3" w:rsidRDefault="001558AC" w:rsidP="00293ADE">
            <w:r>
              <w:t>SA</w:t>
            </w:r>
            <w:r w:rsidRPr="001558AC">
              <w:t xml:space="preserve"> Power Network</w:t>
            </w:r>
            <w:r w:rsidR="00B138D3" w:rsidRPr="00B138D3">
              <w:t>s</w:t>
            </w:r>
            <w:r w:rsidR="00293ADE">
              <w:t>'</w:t>
            </w:r>
            <w:r w:rsidR="00B138D3" w:rsidRPr="00B138D3">
              <w:t xml:space="preserve"> proposal</w:t>
            </w:r>
          </w:p>
        </w:tc>
        <w:tc>
          <w:tcPr>
            <w:tcW w:w="1042"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459.1</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508.3</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510.4</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517.8</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485.4</w:t>
            </w:r>
          </w:p>
        </w:tc>
        <w:tc>
          <w:tcPr>
            <w:tcW w:w="1033"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2481.0</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B138D3" w:rsidRPr="00B138D3" w:rsidRDefault="00B138D3" w:rsidP="007F21A7">
            <w:r w:rsidRPr="00B138D3">
              <w:t xml:space="preserve">AER </w:t>
            </w:r>
            <w:r w:rsidR="007F21A7">
              <w:t>preliminary</w:t>
            </w:r>
            <w:r w:rsidRPr="00B138D3">
              <w:t xml:space="preserve"> decision</w:t>
            </w:r>
          </w:p>
        </w:tc>
        <w:tc>
          <w:tcPr>
            <w:tcW w:w="1042"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311.2</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341.7</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348.3</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345.0</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337.8</w:t>
            </w:r>
          </w:p>
        </w:tc>
        <w:tc>
          <w:tcPr>
            <w:tcW w:w="1033"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1684.0</w:t>
            </w:r>
          </w:p>
        </w:tc>
      </w:tr>
      <w:tr w:rsidR="00B138D3" w:rsidRPr="005531F2" w:rsidTr="00B138D3">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B138D3" w:rsidRPr="00B138D3" w:rsidRDefault="00B138D3" w:rsidP="00B138D3">
            <w:r w:rsidRPr="00B138D3">
              <w:t>Difference</w:t>
            </w:r>
          </w:p>
        </w:tc>
        <w:tc>
          <w:tcPr>
            <w:tcW w:w="1042"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-147.9</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-166.6</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-162.1</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-172.8</w:t>
            </w:r>
          </w:p>
        </w:tc>
        <w:tc>
          <w:tcPr>
            <w:tcW w:w="1041"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-147.7</w:t>
            </w:r>
          </w:p>
        </w:tc>
        <w:tc>
          <w:tcPr>
            <w:tcW w:w="1033" w:type="dxa"/>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-797.0</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B138D3" w:rsidRPr="00B138D3" w:rsidRDefault="00B138D3" w:rsidP="00B138D3">
            <w:r w:rsidRPr="00B138D3">
              <w:t>Percentage difference (%)</w:t>
            </w:r>
          </w:p>
        </w:tc>
        <w:tc>
          <w:tcPr>
            <w:tcW w:w="1042"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-32%</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-33%</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-32%</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-33%</w:t>
            </w:r>
          </w:p>
        </w:tc>
        <w:tc>
          <w:tcPr>
            <w:tcW w:w="1041"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-30%</w:t>
            </w:r>
          </w:p>
        </w:tc>
        <w:tc>
          <w:tcPr>
            <w:tcW w:w="1033" w:type="dxa"/>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-32%</w:t>
            </w:r>
          </w:p>
        </w:tc>
      </w:tr>
    </w:tbl>
    <w:p w:rsidR="005531F2" w:rsidRPr="005531F2" w:rsidRDefault="005531F2" w:rsidP="005531F2">
      <w:pPr>
        <w:pStyle w:val="AERtablesource"/>
        <w:rPr>
          <w:rFonts w:eastAsia="Calibri"/>
        </w:rPr>
      </w:pPr>
      <w:r w:rsidRPr="005531F2">
        <w:t>Source:</w:t>
      </w:r>
      <w:r w:rsidRPr="005531F2">
        <w:tab/>
      </w:r>
      <w:r w:rsidR="001558AC">
        <w:t xml:space="preserve">SA Power Networks </w:t>
      </w:r>
      <w:r w:rsidRPr="005531F2">
        <w:t>Regulatory Proposal; AER analysis</w:t>
      </w:r>
    </w:p>
    <w:p w:rsidR="005531F2" w:rsidRPr="005531F2" w:rsidRDefault="005531F2" w:rsidP="005531F2">
      <w:pPr>
        <w:pStyle w:val="AERtablesource"/>
        <w:rPr>
          <w:rFonts w:eastAsia="Calibri"/>
        </w:rPr>
      </w:pPr>
      <w:r w:rsidRPr="005531F2">
        <w:t>Note:</w:t>
      </w:r>
      <w:r w:rsidRPr="005531F2">
        <w:tab/>
        <w:t>Numbers may not add up due to rounding.</w:t>
      </w:r>
    </w:p>
    <w:p w:rsidR="008E5A8D" w:rsidRPr="00DC6922" w:rsidRDefault="0029284F" w:rsidP="00525DDF">
      <w:pPr>
        <w:numPr>
          <w:ilvl w:val="0"/>
          <w:numId w:val="24"/>
        </w:numPr>
      </w:pPr>
      <w:bookmarkStart w:id="13" w:name="_Ref402433121"/>
      <w:bookmarkStart w:id="14" w:name="_Ref402433109"/>
      <w:r w:rsidRPr="0029284F">
        <w:t>A summary of our reasons and fi</w:t>
      </w:r>
      <w:r w:rsidR="00547427">
        <w:t>ndings that we present in this attachment and a</w:t>
      </w:r>
      <w:r w:rsidRPr="0029284F">
        <w:t xml:space="preserve">ppendix </w:t>
      </w:r>
      <w:r w:rsidR="00393A9E">
        <w:t>B</w:t>
      </w:r>
      <w:r w:rsidR="00393A9E" w:rsidRPr="0029284F">
        <w:t xml:space="preserve"> </w:t>
      </w:r>
      <w:r w:rsidRPr="0029284F">
        <w:t>are set out in</w:t>
      </w:r>
      <w:r w:rsidR="00293ADE">
        <w:t xml:space="preserve"> </w:t>
      </w:r>
      <w:r w:rsidR="00293ADE">
        <w:fldChar w:fldCharType="begin"/>
      </w:r>
      <w:r w:rsidR="00293ADE">
        <w:instrText xml:space="preserve"> REF _Ref417718493 \h </w:instrText>
      </w:r>
      <w:r w:rsidR="00293ADE">
        <w:fldChar w:fldCharType="separate"/>
      </w:r>
      <w:r w:rsidR="00547427">
        <w:t>t</w:t>
      </w:r>
      <w:r w:rsidR="00293ADE" w:rsidRPr="005531F2">
        <w:t xml:space="preserve">able </w:t>
      </w:r>
      <w:r w:rsidR="00293ADE">
        <w:rPr>
          <w:noProof/>
        </w:rPr>
        <w:t>6</w:t>
      </w:r>
      <w:r w:rsidR="00293ADE" w:rsidRPr="005531F2">
        <w:noBreakHyphen/>
      </w:r>
      <w:r w:rsidR="00293ADE">
        <w:rPr>
          <w:noProof/>
        </w:rPr>
        <w:t>2</w:t>
      </w:r>
      <w:r w:rsidR="00293ADE">
        <w:fldChar w:fldCharType="end"/>
      </w:r>
      <w:r w:rsidRPr="0029284F">
        <w:t xml:space="preserve">. These reasons include our responses to stakeholders' submissions on </w:t>
      </w:r>
      <w:r w:rsidR="008B5E3E">
        <w:t>SA Power Networks</w:t>
      </w:r>
      <w:r w:rsidRPr="0029284F">
        <w:t xml:space="preserve"> regulatory proposal.</w:t>
      </w:r>
      <w:r w:rsidR="008E5A8D" w:rsidRPr="008E5A8D">
        <w:t xml:space="preserve"> </w:t>
      </w:r>
      <w:r w:rsidR="008E5A8D" w:rsidRPr="00DC6922">
        <w:t xml:space="preserve">In the table we present our reasons largely by ‘capex driver’ such as augex and repex. This reflects the way in which we tested </w:t>
      </w:r>
      <w:r w:rsidR="008B5E3E">
        <w:t>SA Power Networks</w:t>
      </w:r>
      <w:r w:rsidR="00293ADE">
        <w:t>'</w:t>
      </w:r>
      <w:r w:rsidR="008E5A8D" w:rsidRPr="00DC6922">
        <w:t xml:space="preserve"> proposed total forecast capex.  Our </w:t>
      </w:r>
      <w:r w:rsidR="008E5A8D" w:rsidRPr="00DC6922">
        <w:lastRenderedPageBreak/>
        <w:t xml:space="preserve">testing used techniques tailored to the different capex drivers taking into account the best available evidence. The outcomes of some of our techniques revealed that some aspects of </w:t>
      </w:r>
      <w:r w:rsidR="008B5E3E">
        <w:t>SA Power Networks</w:t>
      </w:r>
      <w:r w:rsidR="00293ADE">
        <w:t>'</w:t>
      </w:r>
      <w:r w:rsidR="008E5A8D" w:rsidRPr="00DC6922">
        <w:t xml:space="preserve"> proposal</w:t>
      </w:r>
      <w:r w:rsidR="000D3FFA">
        <w:t>,</w:t>
      </w:r>
      <w:r w:rsidR="008E5A8D" w:rsidRPr="00DC6922">
        <w:t xml:space="preserve"> such </w:t>
      </w:r>
      <w:r w:rsidR="002C6B0A">
        <w:t>as</w:t>
      </w:r>
      <w:r w:rsidR="002C6B0A" w:rsidRPr="002C6B0A">
        <w:t xml:space="preserve"> customer connections</w:t>
      </w:r>
      <w:r w:rsidR="008E5A8D" w:rsidRPr="00DC6922">
        <w:t xml:space="preserve">, were consistent with the NER requirements in that they reasonably reflect the efficient costs of a prudent </w:t>
      </w:r>
      <w:r w:rsidR="00F456A9">
        <w:t>distributor</w:t>
      </w:r>
      <w:r w:rsidR="00F456A9" w:rsidRPr="00DC6922">
        <w:t xml:space="preserve"> </w:t>
      </w:r>
      <w:r w:rsidR="008E5A8D" w:rsidRPr="00DC6922">
        <w:t xml:space="preserve">as well as a realistic expectation of the demand forecasts and cost inputs required to achieve the capex objectives. We found that other aspects of </w:t>
      </w:r>
      <w:r w:rsidR="008B5E3E">
        <w:t>SA Power Networks</w:t>
      </w:r>
      <w:r w:rsidR="00293ADE">
        <w:t>'</w:t>
      </w:r>
      <w:r w:rsidR="008E5A8D" w:rsidRPr="00DC6922">
        <w:t xml:space="preserve"> proposal associated with some capex drivers, in particular</w:t>
      </w:r>
      <w:r w:rsidR="002C6B0A" w:rsidRPr="002C6B0A">
        <w:t xml:space="preserve"> </w:t>
      </w:r>
      <w:r w:rsidR="006C5512">
        <w:t>augex and repex</w:t>
      </w:r>
      <w:r w:rsidR="008E5A8D" w:rsidRPr="00DC6922">
        <w:t>, revealed inefficiency inconsistent with the NER. Consequently, our findings</w:t>
      </w:r>
      <w:r w:rsidR="002C6B0A" w:rsidRPr="002C6B0A">
        <w:t xml:space="preserve"> </w:t>
      </w:r>
      <w:r w:rsidR="006C5512">
        <w:t>on augex and repex</w:t>
      </w:r>
      <w:r w:rsidR="008E5A8D" w:rsidRPr="00DC6922">
        <w:t xml:space="preserve"> largely explain why we </w:t>
      </w:r>
      <w:r w:rsidR="006C5512">
        <w:t>are</w:t>
      </w:r>
      <w:r w:rsidR="008E5A8D" w:rsidRPr="00DC6922">
        <w:t xml:space="preserve"> not satisfied with </w:t>
      </w:r>
      <w:r w:rsidR="008E5A8D">
        <w:t>SA</w:t>
      </w:r>
      <w:r w:rsidR="008B5E3E">
        <w:t xml:space="preserve"> </w:t>
      </w:r>
      <w:r w:rsidR="008E5A8D">
        <w:t>P</w:t>
      </w:r>
      <w:r w:rsidR="008B5E3E">
        <w:t>ower Networks</w:t>
      </w:r>
      <w:r w:rsidR="00293ADE">
        <w:t>'</w:t>
      </w:r>
      <w:r w:rsidR="008E5A8D" w:rsidRPr="00DC6922">
        <w:t xml:space="preserve"> proposed total forecast capex.</w:t>
      </w:r>
    </w:p>
    <w:p w:rsidR="008E5A8D" w:rsidRPr="00DC6922" w:rsidRDefault="008E5A8D" w:rsidP="00525DDF">
      <w:pPr>
        <w:pStyle w:val="ListParagraph"/>
        <w:numPr>
          <w:ilvl w:val="0"/>
          <w:numId w:val="24"/>
        </w:numPr>
      </w:pPr>
      <w:r w:rsidRPr="00DC6922">
        <w:t xml:space="preserve">Our findings on the capex associated with specific capex drivers are part of our broader analysis and are not intended to be considered in isolation. Our </w:t>
      </w:r>
      <w:r>
        <w:t xml:space="preserve">preliminary </w:t>
      </w:r>
      <w:r w:rsidRPr="00DC6922">
        <w:t xml:space="preserve">decision concerns </w:t>
      </w:r>
      <w:r>
        <w:t>SA</w:t>
      </w:r>
      <w:r w:rsidR="008B5E3E">
        <w:t xml:space="preserve"> </w:t>
      </w:r>
      <w:r>
        <w:t>P</w:t>
      </w:r>
      <w:r w:rsidR="008B5E3E">
        <w:t xml:space="preserve">ower </w:t>
      </w:r>
      <w:r>
        <w:t>N</w:t>
      </w:r>
      <w:r w:rsidR="008B5E3E">
        <w:t>etworks</w:t>
      </w:r>
      <w:r w:rsidR="00293ADE">
        <w:t>'</w:t>
      </w:r>
      <w:r w:rsidRPr="00DC6922">
        <w:t xml:space="preserve"> total forecast capex for the 201</w:t>
      </w:r>
      <w:r w:rsidR="007F21A7">
        <w:t>5</w:t>
      </w:r>
      <w:r w:rsidRPr="00DC6922">
        <w:t>-</w:t>
      </w:r>
      <w:r w:rsidR="007F21A7">
        <w:t>20</w:t>
      </w:r>
      <w:r w:rsidRPr="00DC6922">
        <w:t xml:space="preserve"> </w:t>
      </w:r>
      <w:r w:rsidR="00547427">
        <w:t xml:space="preserve">regulatory control </w:t>
      </w:r>
      <w:r w:rsidRPr="00DC6922">
        <w:t>period. We are not approving an amount of forecast expenditure for each capex driver. However, we do use our findings on the different capex drivers to arrive at a substitute estimate for total capex because as a total, this amount has been tested against the NER requirements. </w:t>
      </w:r>
      <w:r w:rsidR="00787774" w:rsidRPr="00787774">
        <w:t xml:space="preserve">We are satisfied that our estimate represents the total forecast capex </w:t>
      </w:r>
      <w:r w:rsidRPr="00DC6922">
        <w:t>that as a whole reasonably reflects all aspects of the capex criteria.   </w:t>
      </w:r>
    </w:p>
    <w:p w:rsidR="005531F2" w:rsidRPr="005531F2" w:rsidRDefault="005531F2" w:rsidP="005531F2">
      <w:pPr>
        <w:pStyle w:val="Charttitle"/>
      </w:pPr>
      <w:bookmarkStart w:id="15" w:name="_Ref417718493"/>
      <w:r w:rsidRPr="005531F2">
        <w:t xml:space="preserve">Table </w:t>
      </w:r>
      <w:fldSimple w:instr=" STYLEREF 1 \s ">
        <w:r w:rsidR="00F02131">
          <w:rPr>
            <w:noProof/>
          </w:rPr>
          <w:t>6</w:t>
        </w:r>
      </w:fldSimple>
      <w:r w:rsidRPr="005531F2">
        <w:noBreakHyphen/>
      </w:r>
      <w:fldSimple w:instr=" SEQ Table \* ARABIC \s 1 ">
        <w:r w:rsidR="00F02131">
          <w:rPr>
            <w:noProof/>
          </w:rPr>
          <w:t>2</w:t>
        </w:r>
      </w:fldSimple>
      <w:bookmarkEnd w:id="13"/>
      <w:bookmarkEnd w:id="15"/>
      <w:r w:rsidRPr="005531F2">
        <w:tab/>
        <w:t>Summary of AER reasons and findings</w:t>
      </w:r>
      <w:bookmarkEnd w:id="14"/>
    </w:p>
    <w:tbl>
      <w:tblPr>
        <w:tblStyle w:val="AERtable-text0"/>
        <w:tblW w:w="0" w:type="auto"/>
        <w:tblLook w:val="04A0" w:firstRow="1" w:lastRow="0" w:firstColumn="1" w:lastColumn="0" w:noHBand="0" w:noVBand="1"/>
      </w:tblPr>
      <w:tblGrid>
        <w:gridCol w:w="2349"/>
        <w:gridCol w:w="6344"/>
      </w:tblGrid>
      <w:tr w:rsidR="005531F2" w:rsidRPr="005531F2" w:rsidTr="00547427">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5531F2" w:rsidRPr="005531F2" w:rsidRDefault="005531F2" w:rsidP="005531F2">
            <w:r w:rsidRPr="005531F2">
              <w:t>Issue</w:t>
            </w:r>
          </w:p>
        </w:tc>
        <w:tc>
          <w:tcPr>
            <w:tcW w:w="6344" w:type="dxa"/>
            <w:hideMark/>
          </w:tcPr>
          <w:p w:rsidR="005531F2" w:rsidRPr="005531F2" w:rsidRDefault="005531F2" w:rsidP="005531F2">
            <w:r w:rsidRPr="005531F2">
              <w:t>Reasons and findings</w:t>
            </w:r>
          </w:p>
        </w:tc>
      </w:tr>
      <w:tr w:rsidR="00991DC0" w:rsidRPr="005531F2" w:rsidTr="00EC4683">
        <w:tc>
          <w:tcPr>
            <w:tcW w:w="2349" w:type="dxa"/>
          </w:tcPr>
          <w:p w:rsidR="00991DC0" w:rsidRPr="00991DC0" w:rsidRDefault="00991DC0" w:rsidP="00991DC0">
            <w:r w:rsidRPr="00376FFE">
              <w:t>Forecasting methodology, key assumptions and past capex performance</w:t>
            </w:r>
          </w:p>
        </w:tc>
        <w:tc>
          <w:tcPr>
            <w:tcW w:w="6344" w:type="dxa"/>
          </w:tcPr>
          <w:p w:rsidR="00991DC0" w:rsidRPr="00991DC0" w:rsidRDefault="00991DC0" w:rsidP="00991DC0">
            <w:r>
              <w:t>Our concerns with SA</w:t>
            </w:r>
            <w:r w:rsidR="001558AC">
              <w:t xml:space="preserve"> Power Networks'</w:t>
            </w:r>
            <w:r>
              <w:t xml:space="preserve"> forecasting methodology </w:t>
            </w:r>
            <w:r w:rsidRPr="00991DC0">
              <w:t>and key assumptions are material to our view that we are not satisfied that its proposed total forecast capex reasonably reflects the capex criteria</w:t>
            </w:r>
          </w:p>
          <w:p w:rsidR="00991DC0" w:rsidRPr="00991DC0" w:rsidRDefault="00991DC0" w:rsidP="00991DC0">
            <w:r>
              <w:t xml:space="preserve">We conclude that </w:t>
            </w:r>
            <w:r w:rsidR="001558AC">
              <w:t>SA</w:t>
            </w:r>
            <w:r w:rsidR="001558AC" w:rsidRPr="001558AC">
              <w:t xml:space="preserve"> Power Networks' </w:t>
            </w:r>
            <w:r>
              <w:t xml:space="preserve">forecasting methodology predominately relies upon a bottom-up build (or bottom-up assessment) to estimate the forecast expenditure and that the top-down  constraints imposed by their governance process are insufficient for us to be able to conclude that the forecasts are prudent and efficient. Bottom up approaches have a tendency to overstate required allowances as they do not adequately account for inter-relationships and synergies between projects or areas of work. In the absence of a strong top-down challenge of the aggregated total of bottom-up projects, simply aggregating such estimates is unlikely to result in a total forecast capex allowance that we </w:t>
            </w:r>
            <w:r w:rsidRPr="00991DC0">
              <w:t xml:space="preserve">can be satisfied reasonably reflects the capex criteria. </w:t>
            </w:r>
          </w:p>
          <w:p w:rsidR="00991DC0" w:rsidRPr="00991DC0" w:rsidRDefault="00991DC0" w:rsidP="001558AC">
            <w:r>
              <w:t xml:space="preserve">In determining our alternative estimate we have addressed the concerns we have with </w:t>
            </w:r>
            <w:r w:rsidR="001558AC">
              <w:t>SA</w:t>
            </w:r>
            <w:r w:rsidR="001558AC" w:rsidRPr="001558AC">
              <w:t xml:space="preserve"> Power Networks' </w:t>
            </w:r>
            <w:r>
              <w:t xml:space="preserve">forecasting methodology and key assumptions. Specifically, we have undertaken a top-down assessment by applying our assessment techniques of economic benchmarking, trend analysis and an engineering review. We have also addressed the deficiencies in </w:t>
            </w:r>
            <w:r w:rsidR="001558AC">
              <w:t>SA</w:t>
            </w:r>
            <w:r w:rsidR="001558AC" w:rsidRPr="001558AC">
              <w:t xml:space="preserve"> Power Networks</w:t>
            </w:r>
            <w:r>
              <w:t>’ key assumptions about demand and customer forecast and forecast materials escalation rates and labour escalation rates.</w:t>
            </w:r>
          </w:p>
        </w:tc>
      </w:tr>
      <w:tr w:rsidR="00991DC0" w:rsidRPr="005531F2" w:rsidTr="00EC4683">
        <w:trPr>
          <w:cnfStyle w:val="000000010000" w:firstRow="0" w:lastRow="0" w:firstColumn="0" w:lastColumn="0" w:oddVBand="0" w:evenVBand="0" w:oddHBand="0" w:evenHBand="1" w:firstRowFirstColumn="0" w:firstRowLastColumn="0" w:lastRowFirstColumn="0" w:lastRowLastColumn="0"/>
        </w:trPr>
        <w:tc>
          <w:tcPr>
            <w:tcW w:w="2349" w:type="dxa"/>
            <w:hideMark/>
          </w:tcPr>
          <w:p w:rsidR="00991DC0" w:rsidRPr="00991DC0" w:rsidRDefault="00991DC0" w:rsidP="00991DC0">
            <w:r w:rsidRPr="00376FFE">
              <w:t>Augmentation capex</w:t>
            </w:r>
          </w:p>
        </w:tc>
        <w:tc>
          <w:tcPr>
            <w:tcW w:w="6344" w:type="dxa"/>
          </w:tcPr>
          <w:p w:rsidR="00991DC0" w:rsidRPr="00991DC0" w:rsidRDefault="00991DC0" w:rsidP="00991DC0">
            <w:r>
              <w:t xml:space="preserve">We do not accept </w:t>
            </w:r>
            <w:r w:rsidR="001558AC">
              <w:t>SA</w:t>
            </w:r>
            <w:r w:rsidR="001558AC" w:rsidRPr="001558AC">
              <w:t xml:space="preserve"> Power Networks' </w:t>
            </w:r>
            <w:r>
              <w:t>proposed forecast of $848 million</w:t>
            </w:r>
            <w:r w:rsidR="000D0048">
              <w:t xml:space="preserve"> </w:t>
            </w:r>
            <w:r w:rsidR="000D0048" w:rsidRPr="00991DC0">
              <w:t xml:space="preserve">($2014-15) </w:t>
            </w:r>
            <w:r>
              <w:t>for augex, and have</w:t>
            </w:r>
            <w:r w:rsidRPr="00991DC0">
              <w:t xml:space="preserve"> instead included an amount of $463 million ($2014-15) in our alternative estimate, a reduction of 44 per cent. This amount is sufficient to provide </w:t>
            </w:r>
            <w:r w:rsidR="001558AC">
              <w:t>SA</w:t>
            </w:r>
            <w:r w:rsidR="001558AC" w:rsidRPr="001558AC">
              <w:t xml:space="preserve"> Power Networks </w:t>
            </w:r>
            <w:r w:rsidRPr="00991DC0">
              <w:t>with a reasonable opportunity to recover at least the efficient costs to build its network to meet demand and meet its quality, safety, reliability and security of supply requirements.</w:t>
            </w:r>
          </w:p>
          <w:p w:rsidR="00991DC0" w:rsidRPr="00991DC0" w:rsidRDefault="001558AC" w:rsidP="00991DC0">
            <w:r>
              <w:t>SA</w:t>
            </w:r>
            <w:r w:rsidRPr="001558AC">
              <w:t xml:space="preserve"> Power Networks' </w:t>
            </w:r>
            <w:r w:rsidR="00991DC0">
              <w:t>augex forecast is comprised of a</w:t>
            </w:r>
            <w:r w:rsidR="00991DC0" w:rsidRPr="00991DC0">
              <w:t xml:space="preserve"> number of different components, each of which is driven by a different driver for augmentation. These include demand augmentation, safety, security, reliability, and environmental obligations. In building our alternative estimate, we have assessed each component of </w:t>
            </w:r>
            <w:r>
              <w:t>SA</w:t>
            </w:r>
            <w:r w:rsidRPr="001558AC">
              <w:t xml:space="preserve"> Power Networks' </w:t>
            </w:r>
            <w:r w:rsidR="00991DC0" w:rsidRPr="00991DC0">
              <w:t xml:space="preserve">augex forecast and reached a conclusion on whether it satisfies </w:t>
            </w:r>
            <w:r w:rsidR="00991DC0" w:rsidRPr="00991DC0">
              <w:lastRenderedPageBreak/>
              <w:t>the capex criteria. Our findings are as follows:</w:t>
            </w:r>
          </w:p>
          <w:p w:rsidR="00991DC0" w:rsidRPr="00991DC0" w:rsidRDefault="00991DC0" w:rsidP="00991DC0">
            <w:pPr>
              <w:pStyle w:val="ListParagraph"/>
            </w:pPr>
            <w:r>
              <w:t>W</w:t>
            </w:r>
            <w:r w:rsidRPr="00991DC0">
              <w:t xml:space="preserve">e accept </w:t>
            </w:r>
            <w:r w:rsidR="001558AC">
              <w:t>the</w:t>
            </w:r>
            <w:r w:rsidRPr="00991DC0">
              <w:t xml:space="preserve"> proposed $186 million for network augmentation to respond to localised demand growth and existing capacity constraints on its network. </w:t>
            </w:r>
            <w:r w:rsidR="001558AC">
              <w:t>SA</w:t>
            </w:r>
            <w:r w:rsidR="001558AC" w:rsidRPr="001558AC">
              <w:t xml:space="preserve"> Power Networks</w:t>
            </w:r>
            <w:r w:rsidRPr="00991DC0">
              <w:t>’ proposal is consistent with flat network-wide demand and reductions in average network utilisation, as well as expected localised demand growth and capacity constraints.</w:t>
            </w:r>
          </w:p>
          <w:p w:rsidR="00991DC0" w:rsidRPr="00991DC0" w:rsidRDefault="00991DC0" w:rsidP="00991DC0">
            <w:pPr>
              <w:pStyle w:val="ListParagraph"/>
            </w:pPr>
            <w:r>
              <w:t>W</w:t>
            </w:r>
            <w:r w:rsidRPr="00991DC0">
              <w:t xml:space="preserve">e accept </w:t>
            </w:r>
            <w:r w:rsidR="001558AC">
              <w:t>the</w:t>
            </w:r>
            <w:r w:rsidRPr="00991DC0">
              <w:t xml:space="preserve"> proposed $52.7 million to remediate power quality issues across its network. However, we do not consider that </w:t>
            </w:r>
            <w:r w:rsidR="001558AC">
              <w:t>SA</w:t>
            </w:r>
            <w:r w:rsidR="001558AC" w:rsidRPr="001558AC">
              <w:t xml:space="preserve"> Power Networks</w:t>
            </w:r>
            <w:r w:rsidRPr="00991DC0">
              <w:t xml:space="preserve"> will be unable to maintain power quality levels, within the 2015-20 period, without an additional $19.6 million to invest in network monitoring. Therefore we do not accept this additional capex.</w:t>
            </w:r>
          </w:p>
          <w:p w:rsidR="00991DC0" w:rsidRPr="00991DC0" w:rsidRDefault="00991DC0" w:rsidP="00991DC0">
            <w:pPr>
              <w:pStyle w:val="ListParagraph"/>
            </w:pPr>
            <w:r>
              <w:t>W</w:t>
            </w:r>
            <w:r w:rsidRPr="00991DC0">
              <w:t xml:space="preserve">e do not accept </w:t>
            </w:r>
            <w:r w:rsidR="001558AC">
              <w:t>the</w:t>
            </w:r>
            <w:r w:rsidRPr="00991DC0">
              <w:t xml:space="preserve"> proposed $212.5 million for bushfire mitigation and $74.2 million for road safety. While we acknowledge </w:t>
            </w:r>
            <w:r w:rsidR="001558AC">
              <w:t>SA</w:t>
            </w:r>
            <w:r w:rsidR="001558AC" w:rsidRPr="001558AC">
              <w:t xml:space="preserve"> Power Networks</w:t>
            </w:r>
            <w:r w:rsidRPr="00991DC0">
              <w:t xml:space="preserve">’ commitment to network safety, based on the information provided by </w:t>
            </w:r>
            <w:r w:rsidR="001558AC">
              <w:t>SA</w:t>
            </w:r>
            <w:r w:rsidR="001558AC" w:rsidRPr="001558AC">
              <w:t xml:space="preserve"> Power Networks</w:t>
            </w:r>
            <w:r w:rsidRPr="00991DC0">
              <w:t>, we are not satisfied that these programs are reflective of the efficient costs that a prudent operator would require to maintain the safety of the distribution system.</w:t>
            </w:r>
          </w:p>
          <w:p w:rsidR="00991DC0" w:rsidRPr="00991DC0" w:rsidRDefault="00991DC0" w:rsidP="00991DC0">
            <w:pPr>
              <w:pStyle w:val="ListParagraph"/>
            </w:pPr>
            <w:r>
              <w:t>W</w:t>
            </w:r>
            <w:r w:rsidRPr="00991DC0">
              <w:t xml:space="preserve">e accept that </w:t>
            </w:r>
            <w:r w:rsidR="001558AC">
              <w:t>the</w:t>
            </w:r>
            <w:r w:rsidRPr="00991DC0">
              <w:t xml:space="preserve"> proposed $45.2 million to install of a second </w:t>
            </w:r>
            <w:r w:rsidR="003C7CEF">
              <w:t xml:space="preserve">undersea </w:t>
            </w:r>
            <w:r w:rsidRPr="00991DC0">
              <w:t>cable to Kangaroo Island</w:t>
            </w:r>
            <w:r w:rsidR="003C7CEF">
              <w:t>.</w:t>
            </w:r>
          </w:p>
          <w:p w:rsidR="00991DC0" w:rsidRPr="00991DC0" w:rsidRDefault="00991DC0" w:rsidP="00991DC0">
            <w:pPr>
              <w:pStyle w:val="ListParagraph"/>
            </w:pPr>
            <w:r>
              <w:t>W</w:t>
            </w:r>
            <w:r w:rsidRPr="00991DC0">
              <w:t xml:space="preserve">e do not accept the proposed $15.4 million for network monitoring and $24.7 million for network control. Based on the information provided by </w:t>
            </w:r>
            <w:r w:rsidR="001558AC">
              <w:t>SA</w:t>
            </w:r>
            <w:r w:rsidR="001558AC" w:rsidRPr="001558AC">
              <w:t xml:space="preserve"> Power Networks</w:t>
            </w:r>
            <w:r w:rsidRPr="00991DC0">
              <w:t xml:space="preserve">, we are satisfied that </w:t>
            </w:r>
            <w:r w:rsidR="001558AC">
              <w:t>SA</w:t>
            </w:r>
            <w:r w:rsidR="001558AC" w:rsidRPr="001558AC">
              <w:t xml:space="preserve"> Power Networks</w:t>
            </w:r>
            <w:r w:rsidR="001558AC">
              <w:t xml:space="preserve"> </w:t>
            </w:r>
            <w:r w:rsidRPr="00991DC0">
              <w:t>will be able to maintain service levels of the network over the 2015-20 period without investment in additional network monitoring and control equipment.</w:t>
            </w:r>
          </w:p>
          <w:p w:rsidR="00991DC0" w:rsidRPr="00991DC0" w:rsidRDefault="00991DC0" w:rsidP="00991DC0">
            <w:pPr>
              <w:pStyle w:val="ListParagraph"/>
            </w:pPr>
            <w:r>
              <w:t>W</w:t>
            </w:r>
            <w:r w:rsidRPr="00991DC0">
              <w:t xml:space="preserve">e accept the proposed $27 million to maintain network reliability. However, we do not accept the $29.4 million to improve network reliability. The STPIS regime is the more appropriate avenue to fund network improvement programs. We consider that </w:t>
            </w:r>
            <w:r w:rsidR="001558AC">
              <w:t>SA</w:t>
            </w:r>
            <w:r w:rsidR="001558AC" w:rsidRPr="001558AC">
              <w:t xml:space="preserve"> Power Networks </w:t>
            </w:r>
            <w:r w:rsidRPr="00991DC0">
              <w:t xml:space="preserve">should review whether these reliability programs will be funded through the changes to the STPIS targets in this preliminary decision. </w:t>
            </w:r>
          </w:p>
          <w:p w:rsidR="00991DC0" w:rsidRPr="00991DC0" w:rsidRDefault="00991DC0" w:rsidP="00991DC0">
            <w:pPr>
              <w:pStyle w:val="ListParagraph"/>
            </w:pPr>
            <w:r>
              <w:t xml:space="preserve">We </w:t>
            </w:r>
            <w:r w:rsidRPr="00991DC0">
              <w:t xml:space="preserve">accept the proposed $14.9 million for environmental capex and $44.3 million to underground power lines </w:t>
            </w:r>
            <w:r w:rsidR="000D0048">
              <w:t xml:space="preserve">under the PLEC program </w:t>
            </w:r>
            <w:r w:rsidRPr="00991DC0">
              <w:t xml:space="preserve">because we are satisfied that these amounts reasonably reflect the efficient costs to comply with </w:t>
            </w:r>
            <w:r w:rsidR="001558AC">
              <w:t>SA</w:t>
            </w:r>
            <w:r w:rsidR="001558AC" w:rsidRPr="001558AC">
              <w:t xml:space="preserve"> Power Networks' </w:t>
            </w:r>
            <w:r w:rsidRPr="00991DC0">
              <w:t>applicable regulatory obligation.</w:t>
            </w:r>
          </w:p>
        </w:tc>
      </w:tr>
      <w:tr w:rsidR="00991DC0" w:rsidRPr="005531F2" w:rsidTr="00EC4683">
        <w:tc>
          <w:tcPr>
            <w:tcW w:w="2349" w:type="dxa"/>
            <w:hideMark/>
          </w:tcPr>
          <w:p w:rsidR="00991DC0" w:rsidRPr="00991DC0" w:rsidRDefault="00991DC0" w:rsidP="00991DC0">
            <w:r w:rsidRPr="00376FFE">
              <w:lastRenderedPageBreak/>
              <w:t>Customer connections capex</w:t>
            </w:r>
          </w:p>
        </w:tc>
        <w:tc>
          <w:tcPr>
            <w:tcW w:w="6344" w:type="dxa"/>
          </w:tcPr>
          <w:p w:rsidR="00991DC0" w:rsidRPr="00991DC0" w:rsidRDefault="00991DC0" w:rsidP="00991DC0">
            <w:r>
              <w:t xml:space="preserve">We accept </w:t>
            </w:r>
            <w:r w:rsidR="001558AC">
              <w:t>SA</w:t>
            </w:r>
            <w:r w:rsidR="001558AC" w:rsidRPr="001558AC">
              <w:t xml:space="preserve"> Power Networks' </w:t>
            </w:r>
            <w:r>
              <w:t>proposed customer connections capex</w:t>
            </w:r>
            <w:r w:rsidRPr="00991DC0">
              <w:t xml:space="preserve"> and capital contributions as they are consistent with forecast construction activity in S</w:t>
            </w:r>
            <w:r w:rsidR="001558AC">
              <w:t>outh Australia over the 2015-20 period</w:t>
            </w:r>
            <w:r w:rsidRPr="00991DC0">
              <w:t>.</w:t>
            </w:r>
          </w:p>
        </w:tc>
      </w:tr>
      <w:tr w:rsidR="00991DC0" w:rsidRPr="005531F2" w:rsidTr="00EC4683">
        <w:trPr>
          <w:cnfStyle w:val="000000010000" w:firstRow="0" w:lastRow="0" w:firstColumn="0" w:lastColumn="0" w:oddVBand="0" w:evenVBand="0" w:oddHBand="0" w:evenHBand="1" w:firstRowFirstColumn="0" w:firstRowLastColumn="0" w:lastRowFirstColumn="0" w:lastRowLastColumn="0"/>
        </w:trPr>
        <w:tc>
          <w:tcPr>
            <w:tcW w:w="2349" w:type="dxa"/>
          </w:tcPr>
          <w:p w:rsidR="00991DC0" w:rsidRPr="00991DC0" w:rsidRDefault="00991DC0" w:rsidP="00991DC0">
            <w:r w:rsidRPr="00376FFE">
              <w:t>Asset replacement capex (repex)</w:t>
            </w:r>
          </w:p>
        </w:tc>
        <w:tc>
          <w:tcPr>
            <w:tcW w:w="6344" w:type="dxa"/>
          </w:tcPr>
          <w:p w:rsidR="00991DC0" w:rsidRPr="00991DC0" w:rsidRDefault="00991DC0" w:rsidP="00991DC0">
            <w:r>
              <w:t>We do not accept SA Power Networks’ proposed repex</w:t>
            </w:r>
            <w:r w:rsidRPr="00991DC0">
              <w:t xml:space="preserve"> forecast of $772 million ($2014–15), excluding overheads. We have instead included in our alternative estimate an amount of $609 million ($2014–15), excluding overheads. Our estimate is 21 per cent lower than SA Power Networks’ revised proposal. However, our forecast represents an increase of approximately 65 per cent over SA Power Networks’ replacement expenditure in the 2010–15 regulatory control period. This amount reflects the outcomes of our predictive modelling and our view that SA Power Networks has not established that its asset risk will increase in the 2015–20 regulatory control period by the amount forecast by SA Power Networks. SA Power Networks’ forecast was 109 per cent more than its repex in the current regulatory control period (the change is predominantly driven by a near fourfold increase in SA Power Networks’ forecast pole replacements). </w:t>
            </w:r>
          </w:p>
          <w:p w:rsidR="00991DC0" w:rsidRPr="00991DC0" w:rsidRDefault="00991DC0" w:rsidP="00991DC0">
            <w:r>
              <w:t>We are satisfied our alternative estimate reasonably reflects the capex criteria. It includes:</w:t>
            </w:r>
          </w:p>
          <w:p w:rsidR="00991DC0" w:rsidRPr="00991DC0" w:rsidRDefault="00991DC0" w:rsidP="00991DC0">
            <w:r>
              <w:t>1.</w:t>
            </w:r>
            <w:r>
              <w:tab/>
              <w:t>$487 million of expenditure for six modelled asset categories based on SA Power Networks’ own 'business as usual' asset management practices and its historical unit costs.</w:t>
            </w:r>
          </w:p>
          <w:p w:rsidR="00991DC0" w:rsidRPr="00991DC0" w:rsidRDefault="00991DC0" w:rsidP="00991DC0">
            <w:r>
              <w:t>2.</w:t>
            </w:r>
            <w:r>
              <w:tab/>
              <w:t xml:space="preserve">$122 million for assets we consider that are not suitable for predictive modelling. This consists of $31 million for the SCADA, $52 million for pole top structures and $39 </w:t>
            </w:r>
            <w:r>
              <w:lastRenderedPageBreak/>
              <w:t>million for repex classified as ‘other’ by SA Power Networks.</w:t>
            </w:r>
          </w:p>
        </w:tc>
      </w:tr>
      <w:tr w:rsidR="00991DC0" w:rsidRPr="005531F2" w:rsidTr="00EC4683">
        <w:tc>
          <w:tcPr>
            <w:tcW w:w="2349" w:type="dxa"/>
          </w:tcPr>
          <w:p w:rsidR="00991DC0" w:rsidRPr="00991DC0" w:rsidRDefault="00991DC0" w:rsidP="00991DC0">
            <w:r w:rsidRPr="00376FFE">
              <w:lastRenderedPageBreak/>
              <w:t>Non-network capex</w:t>
            </w:r>
          </w:p>
        </w:tc>
        <w:tc>
          <w:tcPr>
            <w:tcW w:w="6344" w:type="dxa"/>
          </w:tcPr>
          <w:p w:rsidR="00991DC0" w:rsidRPr="00991DC0" w:rsidRDefault="00991DC0" w:rsidP="00991DC0">
            <w:r>
              <w:t xml:space="preserve">We </w:t>
            </w:r>
            <w:r w:rsidRPr="00991DC0">
              <w:t xml:space="preserve">do not accept </w:t>
            </w:r>
            <w:r w:rsidR="001558AC">
              <w:t>SA</w:t>
            </w:r>
            <w:r w:rsidR="001558AC" w:rsidRPr="001558AC">
              <w:t xml:space="preserve"> Power Networks' </w:t>
            </w:r>
            <w:r w:rsidRPr="00991DC0">
              <w:t xml:space="preserve">proposed non-network capex of $637.7 million ($2014-15). We have instead included in our alternative estimate of total capex an amount of $417.4 million ($2014-15) for non-network capex. This reflects our conclusion that </w:t>
            </w:r>
            <w:r w:rsidR="001558AC">
              <w:t>SA</w:t>
            </w:r>
            <w:r w:rsidR="001558AC" w:rsidRPr="001558AC">
              <w:t xml:space="preserve"> Power Networks' </w:t>
            </w:r>
            <w:r w:rsidRPr="00991DC0">
              <w:t>forecast capex for information technology (IT), buildings and property, and fleet assets does not reflect the efficient costs of a prudent operator. In our view:</w:t>
            </w:r>
          </w:p>
          <w:p w:rsidR="00991DC0" w:rsidRPr="00293ADE" w:rsidRDefault="00991DC0" w:rsidP="00293ADE">
            <w:pPr>
              <w:pStyle w:val="ListParagraph"/>
              <w:numPr>
                <w:ilvl w:val="0"/>
                <w:numId w:val="54"/>
              </w:numPr>
            </w:pPr>
            <w:r w:rsidRPr="00293ADE">
              <w:t>we are not satisfied that the proposed portfolio of IT projects i</w:t>
            </w:r>
            <w:r w:rsidR="00E72826" w:rsidRPr="00293ADE">
              <w:t>s deliverable within the 2015–</w:t>
            </w:r>
            <w:r w:rsidRPr="00293ADE">
              <w:t>20 regulatory control period, or that the proposed capex reflects the efficient costs required to meet the identified need</w:t>
            </w:r>
          </w:p>
          <w:p w:rsidR="00991DC0" w:rsidRPr="00991DC0" w:rsidRDefault="001558AC" w:rsidP="00E72826">
            <w:pPr>
              <w:pStyle w:val="ListParagraph"/>
            </w:pPr>
            <w:r>
              <w:t>SA</w:t>
            </w:r>
            <w:r w:rsidRPr="001558AC">
              <w:t xml:space="preserve"> Power Networks' </w:t>
            </w:r>
            <w:r w:rsidR="00991DC0">
              <w:t xml:space="preserve">forecasting methodology and supporting business cases do not provide evidence that its forecast buildings and property capex </w:t>
            </w:r>
            <w:r w:rsidR="00991DC0" w:rsidRPr="00991DC0">
              <w:t>is prudent and efficient or is required to achieve the capex objectives</w:t>
            </w:r>
          </w:p>
          <w:p w:rsidR="00991DC0" w:rsidRPr="00991DC0" w:rsidRDefault="001558AC" w:rsidP="00991DC0">
            <w:pPr>
              <w:pStyle w:val="ListParagraph"/>
            </w:pPr>
            <w:r>
              <w:t>SA</w:t>
            </w:r>
            <w:r w:rsidRPr="001558AC">
              <w:t xml:space="preserve"> Power Networks' </w:t>
            </w:r>
            <w:r w:rsidR="00991DC0" w:rsidRPr="001B10D0">
              <w:t>proposed vehicle replacement, new fleet and safety initiatives expenditure</w:t>
            </w:r>
            <w:r w:rsidR="00991DC0" w:rsidRPr="00991DC0">
              <w:t xml:space="preserve"> does not reasonably reflect the efficient costs that a prudent opera</w:t>
            </w:r>
            <w:r w:rsidR="00E72826">
              <w:t>tor would require in the 2015–</w:t>
            </w:r>
            <w:r w:rsidR="00991DC0" w:rsidRPr="00991DC0">
              <w:t>20 regulatory control period.</w:t>
            </w:r>
          </w:p>
        </w:tc>
      </w:tr>
      <w:tr w:rsidR="00991DC0" w:rsidRPr="005531F2" w:rsidTr="00EC4683">
        <w:trPr>
          <w:cnfStyle w:val="000000010000" w:firstRow="0" w:lastRow="0" w:firstColumn="0" w:lastColumn="0" w:oddVBand="0" w:evenVBand="0" w:oddHBand="0" w:evenHBand="1" w:firstRowFirstColumn="0" w:firstRowLastColumn="0" w:lastRowFirstColumn="0" w:lastRowLastColumn="0"/>
        </w:trPr>
        <w:tc>
          <w:tcPr>
            <w:tcW w:w="2349" w:type="dxa"/>
          </w:tcPr>
          <w:p w:rsidR="00991DC0" w:rsidRPr="00991DC0" w:rsidRDefault="00991DC0" w:rsidP="00991DC0">
            <w:r w:rsidRPr="00376FFE">
              <w:t>Capitalised overheads</w:t>
            </w:r>
          </w:p>
        </w:tc>
        <w:tc>
          <w:tcPr>
            <w:tcW w:w="6344" w:type="dxa"/>
          </w:tcPr>
          <w:p w:rsidR="00991DC0" w:rsidRPr="00991DC0" w:rsidRDefault="00991DC0" w:rsidP="00991DC0">
            <w:r>
              <w:t xml:space="preserve">We do not accept </w:t>
            </w:r>
            <w:r w:rsidR="001558AC">
              <w:t>SA</w:t>
            </w:r>
            <w:r w:rsidR="001558AC" w:rsidRPr="001558AC">
              <w:t xml:space="preserve"> Power Networks' </w:t>
            </w:r>
            <w:r>
              <w:t>proposed capitalised overheads. We have instead included in our alternative estimate of overall total capex an</w:t>
            </w:r>
            <w:r w:rsidRPr="00991DC0">
              <w:t xml:space="preserve"> amount of $84.1 million ($2013-14) for capitalised overheads. </w:t>
            </w:r>
          </w:p>
          <w:p w:rsidR="00991DC0" w:rsidRPr="00991DC0" w:rsidRDefault="00991DC0" w:rsidP="001558AC">
            <w:r>
              <w:t xml:space="preserve">Given that our assessment of </w:t>
            </w:r>
            <w:r w:rsidR="001558AC">
              <w:t>SA</w:t>
            </w:r>
            <w:r w:rsidR="001558AC" w:rsidRPr="001558AC">
              <w:t xml:space="preserve"> Power Networks' </w:t>
            </w:r>
            <w:r>
              <w:t>proposed direct capex</w:t>
            </w:r>
            <w:r w:rsidRPr="00991DC0">
              <w:t xml:space="preserve"> demonstrates t</w:t>
            </w:r>
            <w:r w:rsidR="00AD6B1F">
              <w:t>hat a prudent and efficient distributor</w:t>
            </w:r>
            <w:r w:rsidRPr="00991DC0">
              <w:t xml:space="preserve"> would not undertake the full range of direct expenditure contained in </w:t>
            </w:r>
            <w:r w:rsidR="001558AC">
              <w:t>SA</w:t>
            </w:r>
            <w:r w:rsidR="001558AC" w:rsidRPr="001558AC">
              <w:t xml:space="preserve"> Power Networks' </w:t>
            </w:r>
            <w:r w:rsidRPr="00991DC0">
              <w:t xml:space="preserve">proposal it follows that we would expect some reduction in the size of capitalised overheads. We have adjusted </w:t>
            </w:r>
            <w:r w:rsidR="001558AC">
              <w:t>SA</w:t>
            </w:r>
            <w:r w:rsidR="001558AC" w:rsidRPr="001558AC">
              <w:t xml:space="preserve"> Power Networks' </w:t>
            </w:r>
            <w:r w:rsidRPr="00991DC0">
              <w:t>overheads on the basis of information they provided to us.</w:t>
            </w:r>
          </w:p>
        </w:tc>
      </w:tr>
      <w:tr w:rsidR="00991DC0" w:rsidRPr="005531F2" w:rsidTr="00EC4683">
        <w:tc>
          <w:tcPr>
            <w:tcW w:w="2349" w:type="dxa"/>
          </w:tcPr>
          <w:p w:rsidR="00991DC0" w:rsidRPr="00991DC0" w:rsidRDefault="00991DC0" w:rsidP="00991DC0">
            <w:r>
              <w:t>Real cost</w:t>
            </w:r>
            <w:r w:rsidRPr="00991DC0">
              <w:t xml:space="preserve"> escalators</w:t>
            </w:r>
          </w:p>
        </w:tc>
        <w:tc>
          <w:tcPr>
            <w:tcW w:w="6344" w:type="dxa"/>
          </w:tcPr>
          <w:p w:rsidR="00991DC0" w:rsidRPr="00991DC0" w:rsidRDefault="001558AC" w:rsidP="00991DC0">
            <w:r>
              <w:t>W</w:t>
            </w:r>
            <w:r w:rsidR="00991DC0" w:rsidRPr="00991DC0">
              <w:t xml:space="preserve">e are not </w:t>
            </w:r>
            <w:r>
              <w:t>accept</w:t>
            </w:r>
            <w:r w:rsidR="00991DC0" w:rsidRPr="00991DC0">
              <w:t xml:space="preserve"> </w:t>
            </w:r>
            <w:r>
              <w:t>SA</w:t>
            </w:r>
            <w:r w:rsidRPr="001558AC">
              <w:t xml:space="preserve"> Power Networks' </w:t>
            </w:r>
            <w:r w:rsidR="00991DC0" w:rsidRPr="00991DC0">
              <w:t>proposed real material cost escalators</w:t>
            </w:r>
            <w:r>
              <w:t xml:space="preserve"> (which </w:t>
            </w:r>
            <w:r w:rsidRPr="00991DC0">
              <w:t>lead to cost increases above CPI</w:t>
            </w:r>
            <w:r>
              <w:t>)</w:t>
            </w:r>
            <w:r w:rsidR="00991DC0" w:rsidRPr="00991DC0">
              <w:t xml:space="preserve">, which form part of its total forecast capex, reasonably reflect a realistic expectation of the cost inputs required to achieve the capex objectives over the 2015–20 regulatory period. We consider that zero per cent real cost escalation is reasonably likely to reflect the capex criteria including that it is likely to reasonably reflect a realistic expectation of the cost inputs required to achieve the capex objectives over the 2015–20 regulatory period. Our approach to real materials cost escalation does not affect the proposed application of labour and construction cost escalators which apply to </w:t>
            </w:r>
            <w:r>
              <w:t>SA</w:t>
            </w:r>
            <w:r w:rsidRPr="001558AC">
              <w:t xml:space="preserve"> Power Networks' </w:t>
            </w:r>
            <w:r w:rsidR="00991DC0" w:rsidRPr="00991DC0">
              <w:t>forecast capex for standard control services.</w:t>
            </w:r>
          </w:p>
          <w:p w:rsidR="00991DC0" w:rsidRPr="00767B5A" w:rsidRDefault="00991DC0" w:rsidP="001558AC">
            <w:r>
              <w:t xml:space="preserve">In respect </w:t>
            </w:r>
            <w:r w:rsidRPr="00991DC0">
              <w:t xml:space="preserve">of real labour cost escalators (leading to cost increases above CPI), we are not satisfied that </w:t>
            </w:r>
            <w:r w:rsidR="001558AC">
              <w:t>SA</w:t>
            </w:r>
            <w:r w:rsidR="001558AC" w:rsidRPr="001558AC">
              <w:t xml:space="preserve"> Power Networks' </w:t>
            </w:r>
            <w:r w:rsidRPr="00991DC0">
              <w:t xml:space="preserve">proposed real labour cost escalators which form part of its total forecast capex reasonably reflect a realistic expectation of the cost inputs required to achieve the capex objectives over the 2015–20 regulatory period. We have used Deloitte Access Economics’ (DAE’s) forecast of the electricity, gas, water and waste services (EGWWS) sector to forecast our labour price growth for </w:t>
            </w:r>
            <w:r w:rsidR="001558AC">
              <w:t>SA</w:t>
            </w:r>
            <w:r w:rsidR="001558AC" w:rsidRPr="001558AC">
              <w:t xml:space="preserve"> Power Networks </w:t>
            </w:r>
            <w:r w:rsidRPr="00991DC0">
              <w:t>as detailed in attachment 7.</w:t>
            </w:r>
          </w:p>
        </w:tc>
      </w:tr>
      <w:tr w:rsidR="00991DC0" w:rsidRPr="005531F2" w:rsidTr="00EC4683">
        <w:trPr>
          <w:cnfStyle w:val="000000010000" w:firstRow="0" w:lastRow="0" w:firstColumn="0" w:lastColumn="0" w:oddVBand="0" w:evenVBand="0" w:oddHBand="0" w:evenHBand="1" w:firstRowFirstColumn="0" w:firstRowLastColumn="0" w:lastRowFirstColumn="0" w:lastRowLastColumn="0"/>
        </w:trPr>
        <w:tc>
          <w:tcPr>
            <w:tcW w:w="2349" w:type="dxa"/>
          </w:tcPr>
          <w:p w:rsidR="00991DC0" w:rsidRPr="00991DC0" w:rsidRDefault="00991DC0" w:rsidP="00991DC0">
            <w:r w:rsidRPr="00376FFE">
              <w:t>Adjustments and unaccounted for capex</w:t>
            </w:r>
          </w:p>
        </w:tc>
        <w:tc>
          <w:tcPr>
            <w:tcW w:w="6344" w:type="dxa"/>
          </w:tcPr>
          <w:p w:rsidR="00991DC0" w:rsidRPr="00991DC0" w:rsidRDefault="001558AC" w:rsidP="00991DC0">
            <w:r>
              <w:t>SA</w:t>
            </w:r>
            <w:r w:rsidRPr="001558AC">
              <w:t xml:space="preserve"> Power Networks' </w:t>
            </w:r>
            <w:r w:rsidR="00991DC0" w:rsidRPr="00F03921">
              <w:t>RIN contained a balancing item of -$47.9 million ($2014-15). The negative adjustment of $47.9 million ($2014-15) over the five year period reflects the lower contributions that comm</w:t>
            </w:r>
            <w:r w:rsidR="00930E11">
              <w:t>enced part way through the 2013-</w:t>
            </w:r>
            <w:r w:rsidR="00991DC0" w:rsidRPr="00F03921">
              <w:t>14 regulatory year.  We have allocated this balancing item to driver categories for the purpose of our assessment.</w:t>
            </w:r>
          </w:p>
        </w:tc>
      </w:tr>
    </w:tbl>
    <w:p w:rsidR="005531F2" w:rsidRDefault="005531F2" w:rsidP="005531F2">
      <w:pPr>
        <w:pStyle w:val="AERtablesource"/>
      </w:pPr>
      <w:r w:rsidRPr="005531F2">
        <w:t>Source:</w:t>
      </w:r>
      <w:r w:rsidRPr="005531F2">
        <w:tab/>
        <w:t>AER analysis</w:t>
      </w:r>
      <w:r w:rsidR="00547427">
        <w:t>.</w:t>
      </w:r>
    </w:p>
    <w:p w:rsidR="0029284F" w:rsidRPr="0029284F" w:rsidRDefault="0029284F" w:rsidP="00525DDF">
      <w:pPr>
        <w:numPr>
          <w:ilvl w:val="0"/>
          <w:numId w:val="24"/>
        </w:numPr>
      </w:pPr>
      <w:r w:rsidRPr="0029284F">
        <w:lastRenderedPageBreak/>
        <w:t>We consider that our overall capex allowance addresses the revenue and pricing principles</w:t>
      </w:r>
      <w:r w:rsidR="00EF67EA">
        <w:t xml:space="preserve">. In </w:t>
      </w:r>
      <w:r w:rsidR="006C5512">
        <w:t>p</w:t>
      </w:r>
      <w:r w:rsidRPr="0029284F">
        <w:t xml:space="preserve">articular, we consider that </w:t>
      </w:r>
      <w:r w:rsidR="00463207">
        <w:t>SA Power Networks</w:t>
      </w:r>
      <w:r w:rsidRPr="0029284F">
        <w:t xml:space="preserve"> has been provided a reasonable opportunity to recover at least the efficient costs it incurs in:</w:t>
      </w:r>
      <w:r>
        <w:rPr>
          <w:rStyle w:val="FootnoteReference"/>
        </w:rPr>
        <w:footnoteReference w:id="2"/>
      </w:r>
    </w:p>
    <w:p w:rsidR="0029284F" w:rsidRPr="0029284F" w:rsidRDefault="007A7D52" w:rsidP="0029284F">
      <w:pPr>
        <w:pStyle w:val="AERbulletlistfirststyle"/>
      </w:pPr>
      <w:r>
        <w:t>P</w:t>
      </w:r>
      <w:r w:rsidR="0029284F" w:rsidRPr="0029284F">
        <w:t>roviding direct control network services; and</w:t>
      </w:r>
    </w:p>
    <w:p w:rsidR="00B138D3" w:rsidRDefault="007A7D52" w:rsidP="00B138D3">
      <w:pPr>
        <w:pStyle w:val="AERbulletlistfirststyle"/>
      </w:pPr>
      <w:r>
        <w:t>C</w:t>
      </w:r>
      <w:r w:rsidR="0029284F" w:rsidRPr="0029284F">
        <w:t xml:space="preserve">omplying with </w:t>
      </w:r>
      <w:r w:rsidR="00EF67EA">
        <w:t>its</w:t>
      </w:r>
      <w:r w:rsidR="00EF67EA" w:rsidRPr="0029284F">
        <w:t xml:space="preserve"> </w:t>
      </w:r>
      <w:r w:rsidR="0029284F" w:rsidRPr="0029284F">
        <w:t>regulatory obligation</w:t>
      </w:r>
      <w:r w:rsidR="00EF67EA">
        <w:t>s</w:t>
      </w:r>
      <w:r w:rsidR="0029284F" w:rsidRPr="0029284F">
        <w:t xml:space="preserve"> </w:t>
      </w:r>
      <w:r w:rsidR="00EF67EA">
        <w:t>and</w:t>
      </w:r>
      <w:r w:rsidR="00EF67EA" w:rsidRPr="0029284F">
        <w:t xml:space="preserve"> </w:t>
      </w:r>
      <w:r w:rsidR="0029284F" w:rsidRPr="0029284F">
        <w:t>requirement</w:t>
      </w:r>
      <w:r w:rsidR="00EF67EA">
        <w:t>s.</w:t>
      </w:r>
      <w:r w:rsidR="0029284F" w:rsidRPr="0029284F">
        <w:t xml:space="preserve"> </w:t>
      </w:r>
    </w:p>
    <w:p w:rsidR="0029284F" w:rsidRDefault="0029284F" w:rsidP="0029284F">
      <w:r w:rsidRPr="0029284F">
        <w:t xml:space="preserve">As set out in appendix B we are satisfied that our overall capex allowance is consistent with the NEO in that our decision promotes efficient investment in, and efficient operation and use of, electricity services for the long term interests of consumers of electricity. Further, in making our </w:t>
      </w:r>
      <w:r w:rsidR="00AE44E1">
        <w:t>preliminary</w:t>
      </w:r>
      <w:r w:rsidRPr="0029284F">
        <w:t xml:space="preserve"> decision, we have specifically considered the impact our decision will have on the safety and reliability of </w:t>
      </w:r>
      <w:r w:rsidR="00A76603">
        <w:t>SA</w:t>
      </w:r>
      <w:r w:rsidR="00463207">
        <w:t xml:space="preserve"> </w:t>
      </w:r>
      <w:r w:rsidR="00A76603">
        <w:t>P</w:t>
      </w:r>
      <w:r w:rsidR="00463207">
        <w:t>ower Networks</w:t>
      </w:r>
      <w:r w:rsidR="00293ADE">
        <w:t>'</w:t>
      </w:r>
      <w:r w:rsidRPr="0029284F">
        <w:t xml:space="preserve"> network. We consider </w:t>
      </w:r>
      <w:r w:rsidR="00EF67EA">
        <w:t xml:space="preserve">our substitute estimate will allow </w:t>
      </w:r>
      <w:r w:rsidR="00787774">
        <w:t>a prudent and efficient</w:t>
      </w:r>
      <w:r w:rsidR="007A7D52">
        <w:t xml:space="preserve"> </w:t>
      </w:r>
      <w:r w:rsidR="00F456A9">
        <w:t xml:space="preserve">distributor </w:t>
      </w:r>
      <w:r w:rsidR="007A7D52">
        <w:t xml:space="preserve">in </w:t>
      </w:r>
      <w:r w:rsidR="00463207">
        <w:t>SA Power Networks</w:t>
      </w:r>
      <w:r w:rsidR="007A7D52">
        <w:t>' circumstances</w:t>
      </w:r>
      <w:r w:rsidR="00463207">
        <w:t xml:space="preserve"> </w:t>
      </w:r>
      <w:r w:rsidRPr="0029284F">
        <w:t>to maintain the safety, service quality</w:t>
      </w:r>
      <w:r w:rsidR="00434937">
        <w:t>, security</w:t>
      </w:r>
      <w:r w:rsidRPr="0029284F">
        <w:t xml:space="preserve"> and reliability of its network consistent with </w:t>
      </w:r>
      <w:r w:rsidR="00EF67EA">
        <w:t xml:space="preserve">its </w:t>
      </w:r>
      <w:r w:rsidRPr="0029284F">
        <w:t>current obligations.</w:t>
      </w:r>
    </w:p>
    <w:p w:rsidR="005531F2" w:rsidRPr="005531F2" w:rsidRDefault="00F52299" w:rsidP="005531F2">
      <w:pPr>
        <w:pStyle w:val="Heading2"/>
      </w:pPr>
      <w:bookmarkStart w:id="16" w:name="_Toc417725371"/>
      <w:r>
        <w:t>SA</w:t>
      </w:r>
      <w:r w:rsidR="00463207">
        <w:t xml:space="preserve"> </w:t>
      </w:r>
      <w:r>
        <w:t>P</w:t>
      </w:r>
      <w:r w:rsidR="00463207">
        <w:t xml:space="preserve">ower </w:t>
      </w:r>
      <w:r>
        <w:t>N</w:t>
      </w:r>
      <w:r w:rsidR="00463207">
        <w:t>etworks</w:t>
      </w:r>
      <w:r w:rsidR="00293ADE">
        <w:t>'</w:t>
      </w:r>
      <w:r w:rsidR="005531F2" w:rsidRPr="005531F2">
        <w:t xml:space="preserve"> proposal</w:t>
      </w:r>
      <w:bookmarkEnd w:id="16"/>
    </w:p>
    <w:p w:rsidR="005531F2" w:rsidRPr="001057AD" w:rsidRDefault="00463207" w:rsidP="001057AD">
      <w:r>
        <w:t>SA Power Networks</w:t>
      </w:r>
      <w:r w:rsidR="005531F2" w:rsidRPr="005531F2">
        <w:t xml:space="preserve"> proposed total forecast capex of $</w:t>
      </w:r>
      <w:r w:rsidR="00B138D3" w:rsidRPr="00B138D3">
        <w:t>2481.0</w:t>
      </w:r>
      <w:r w:rsidR="005531F2" w:rsidRPr="005531F2">
        <w:t xml:space="preserve"> mi</w:t>
      </w:r>
      <w:r w:rsidR="00547427">
        <w:t>llion ($2014–15) for the 2015–</w:t>
      </w:r>
      <w:r w:rsidR="005531F2" w:rsidRPr="005531F2">
        <w:t xml:space="preserve">20 </w:t>
      </w:r>
      <w:r w:rsidR="00547427">
        <w:t xml:space="preserve">regulatory </w:t>
      </w:r>
      <w:r w:rsidR="005531F2" w:rsidRPr="005531F2">
        <w:t xml:space="preserve">period. </w:t>
      </w:r>
      <w:r w:rsidR="005531F2" w:rsidRPr="005531F2">
        <w:fldChar w:fldCharType="begin"/>
      </w:r>
      <w:r w:rsidR="005531F2" w:rsidRPr="005531F2">
        <w:instrText xml:space="preserve"> REF _Ref404421426 \h  \* MERGEFORMAT </w:instrText>
      </w:r>
      <w:r w:rsidR="005531F2" w:rsidRPr="005531F2">
        <w:fldChar w:fldCharType="separate"/>
      </w:r>
      <w:r w:rsidR="00F02131" w:rsidRPr="005531F2">
        <w:t xml:space="preserve">Figure </w:t>
      </w:r>
      <w:r w:rsidR="00F02131">
        <w:t>6</w:t>
      </w:r>
      <w:r w:rsidR="00F02131">
        <w:noBreakHyphen/>
        <w:t>1</w:t>
      </w:r>
      <w:r w:rsidR="005531F2" w:rsidRPr="005531F2">
        <w:fldChar w:fldCharType="end"/>
      </w:r>
      <w:r w:rsidR="005531F2" w:rsidRPr="005531F2">
        <w:t xml:space="preserve"> shows the </w:t>
      </w:r>
      <w:r w:rsidR="00AE632E">
        <w:t>increase</w:t>
      </w:r>
      <w:r w:rsidR="005531F2" w:rsidRPr="005531F2">
        <w:t xml:space="preserve"> between </w:t>
      </w:r>
      <w:r w:rsidR="00F52299">
        <w:t>SA</w:t>
      </w:r>
      <w:r>
        <w:t xml:space="preserve"> Power Networks</w:t>
      </w:r>
      <w:r w:rsidR="00293ADE">
        <w:t>'</w:t>
      </w:r>
      <w:r w:rsidR="00547427">
        <w:t xml:space="preserve"> proposal for the 2015–</w:t>
      </w:r>
      <w:r w:rsidR="005531F2" w:rsidRPr="005531F2">
        <w:t xml:space="preserve">20 </w:t>
      </w:r>
      <w:r w:rsidR="00547427">
        <w:t xml:space="preserve">regulatory </w:t>
      </w:r>
      <w:proofErr w:type="gramStart"/>
      <w:r w:rsidR="005531F2" w:rsidRPr="005531F2">
        <w:t>period</w:t>
      </w:r>
      <w:proofErr w:type="gramEnd"/>
      <w:r w:rsidR="005531F2" w:rsidRPr="005531F2">
        <w:t xml:space="preserve"> and the actual capex </w:t>
      </w:r>
      <w:r w:rsidR="00547427">
        <w:t>that it spent during the 2010–</w:t>
      </w:r>
      <w:r w:rsidR="005531F2" w:rsidRPr="005531F2">
        <w:t xml:space="preserve">15 </w:t>
      </w:r>
      <w:r w:rsidR="005531F2" w:rsidRPr="001057AD">
        <w:t xml:space="preserve">period. </w:t>
      </w:r>
      <w:r w:rsidR="00AE632E" w:rsidRPr="001057AD">
        <w:t>SA</w:t>
      </w:r>
      <w:r>
        <w:t xml:space="preserve"> Power Networks</w:t>
      </w:r>
      <w:r w:rsidR="00AE632E" w:rsidRPr="001057AD">
        <w:t xml:space="preserve"> has stated that this forecast increase </w:t>
      </w:r>
      <w:r w:rsidR="005531F2" w:rsidRPr="001057AD">
        <w:t xml:space="preserve">in capex is mainly attributable </w:t>
      </w:r>
      <w:r w:rsidR="00AE632E" w:rsidRPr="001057AD">
        <w:t>to a need to:</w:t>
      </w:r>
      <w:r w:rsidR="00345DC6">
        <w:rPr>
          <w:rStyle w:val="FootnoteReference"/>
        </w:rPr>
        <w:footnoteReference w:id="3"/>
      </w:r>
    </w:p>
    <w:p w:rsidR="00AE632E" w:rsidRPr="001057AD" w:rsidRDefault="00AE632E" w:rsidP="001057AD">
      <w:pPr>
        <w:pStyle w:val="AERbulletlistfirststyle"/>
      </w:pPr>
      <w:r w:rsidRPr="001057AD">
        <w:t xml:space="preserve">increase replacement of ageing assets to maintain network safety and reliability performance, and return the risk profile of the network assets </w:t>
      </w:r>
      <w:r w:rsidR="003C7CEF">
        <w:t>to acceptable levels</w:t>
      </w:r>
    </w:p>
    <w:p w:rsidR="00AE632E" w:rsidRPr="001057AD" w:rsidRDefault="00AE632E" w:rsidP="001057AD">
      <w:pPr>
        <w:pStyle w:val="AERbulletlistfirststyle"/>
      </w:pPr>
      <w:r w:rsidRPr="001057AD">
        <w:t>improve the resilience of the most vulnerable parts of the network to improve the service experience of the worst served custome</w:t>
      </w:r>
      <w:r w:rsidR="003C7CEF">
        <w:t>rs during severe weather events</w:t>
      </w:r>
    </w:p>
    <w:p w:rsidR="00AE632E" w:rsidRPr="001057AD" w:rsidRDefault="00AE632E" w:rsidP="001057AD">
      <w:pPr>
        <w:pStyle w:val="AERbulletlistfirststyle"/>
      </w:pPr>
      <w:r w:rsidRPr="001057AD">
        <w:t>improve vegetation management practices in line with community preference</w:t>
      </w:r>
      <w:r w:rsidR="003C7CEF">
        <w:t>s</w:t>
      </w:r>
    </w:p>
    <w:p w:rsidR="00AE632E" w:rsidRPr="001057AD" w:rsidRDefault="00AE632E" w:rsidP="001057AD">
      <w:pPr>
        <w:pStyle w:val="AERbulletlistfirststyle"/>
      </w:pPr>
      <w:r w:rsidRPr="001057AD">
        <w:t>reduce the likelihood of starting bushfires</w:t>
      </w:r>
    </w:p>
    <w:p w:rsidR="00AE632E" w:rsidRPr="001057AD" w:rsidRDefault="00AE632E" w:rsidP="001057AD">
      <w:pPr>
        <w:pStyle w:val="AERbulletlistfirststyle"/>
      </w:pPr>
      <w:r w:rsidRPr="001057AD">
        <w:t>improve the service experience of customers</w:t>
      </w:r>
    </w:p>
    <w:p w:rsidR="00AE632E" w:rsidRPr="001057AD" w:rsidRDefault="00AE632E" w:rsidP="001057AD">
      <w:pPr>
        <w:pStyle w:val="AERbulletlistfirststyle"/>
      </w:pPr>
      <w:r w:rsidRPr="001057AD">
        <w:t>commence installation of more advanced meters</w:t>
      </w:r>
      <w:r w:rsidR="00455AC8">
        <w:t>.</w:t>
      </w:r>
    </w:p>
    <w:p w:rsidR="00AE632E" w:rsidRDefault="00AE632E" w:rsidP="001057AD">
      <w:r w:rsidRPr="001057AD">
        <w:t>Only partially offsetting this is reduced investment to augment the capacity of the network, in line with some moderation of customer peak demand growth since 2011.</w:t>
      </w:r>
    </w:p>
    <w:p w:rsidR="00991DC0" w:rsidRDefault="00991DC0" w:rsidP="001057AD"/>
    <w:p w:rsidR="00991DC0" w:rsidRDefault="00991DC0" w:rsidP="001057AD"/>
    <w:p w:rsidR="00991DC0" w:rsidRDefault="00991DC0" w:rsidP="001057AD"/>
    <w:p w:rsidR="00991DC0" w:rsidRDefault="00991DC0" w:rsidP="001057AD"/>
    <w:p w:rsidR="005531F2" w:rsidRPr="005531F2" w:rsidRDefault="005531F2" w:rsidP="005531F2">
      <w:pPr>
        <w:pStyle w:val="Charttitle"/>
      </w:pPr>
      <w:bookmarkStart w:id="17" w:name="_Ref404421426"/>
      <w:bookmarkStart w:id="18" w:name="_Ref402534667"/>
      <w:r w:rsidRPr="005531F2">
        <w:lastRenderedPageBreak/>
        <w:t xml:space="preserve">Figure </w:t>
      </w:r>
      <w:fldSimple w:instr=" STYLEREF 1 \s ">
        <w:r w:rsidR="00F02131">
          <w:rPr>
            <w:noProof/>
          </w:rPr>
          <w:t>6</w:t>
        </w:r>
      </w:fldSimple>
      <w:r w:rsidR="00537EAD">
        <w:noBreakHyphen/>
      </w:r>
      <w:fldSimple w:instr=" SEQ Figure \* ARABIC \s 1 ">
        <w:r w:rsidR="00F02131">
          <w:rPr>
            <w:noProof/>
          </w:rPr>
          <w:t>1</w:t>
        </w:r>
      </w:fldSimple>
      <w:bookmarkEnd w:id="17"/>
      <w:r w:rsidRPr="005531F2">
        <w:tab/>
      </w:r>
      <w:r w:rsidR="00F52299">
        <w:t>SA</w:t>
      </w:r>
      <w:r w:rsidR="00463207">
        <w:t xml:space="preserve"> </w:t>
      </w:r>
      <w:r w:rsidR="00F52299">
        <w:t>P</w:t>
      </w:r>
      <w:r w:rsidR="00463207">
        <w:t xml:space="preserve">ower </w:t>
      </w:r>
      <w:r w:rsidR="00F52299">
        <w:t>N</w:t>
      </w:r>
      <w:r w:rsidR="00463207">
        <w:t>etworks</w:t>
      </w:r>
      <w:r w:rsidR="00293ADE">
        <w:t>'</w:t>
      </w:r>
      <w:r w:rsidRPr="005531F2">
        <w:t xml:space="preserve"> total actual and forecast capex 2010–2020</w:t>
      </w:r>
    </w:p>
    <w:p w:rsidR="005531F2" w:rsidRPr="005531F2" w:rsidRDefault="00FA169D" w:rsidP="005531F2">
      <w:r>
        <w:rPr>
          <w:noProof/>
          <w:lang w:eastAsia="en-AU"/>
        </w:rPr>
        <w:drawing>
          <wp:inline distT="0" distB="0" distL="0" distR="0" wp14:anchorId="7223B9D3" wp14:editId="5F9CC2D8">
            <wp:extent cx="5388270" cy="345809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6470" cy="3456940"/>
                    </a:xfrm>
                    <a:prstGeom prst="rect">
                      <a:avLst/>
                    </a:prstGeom>
                    <a:noFill/>
                  </pic:spPr>
                </pic:pic>
              </a:graphicData>
            </a:graphic>
          </wp:inline>
        </w:drawing>
      </w:r>
    </w:p>
    <w:p w:rsidR="005531F2" w:rsidRPr="005531F2" w:rsidRDefault="005531F2" w:rsidP="005531F2">
      <w:pPr>
        <w:pStyle w:val="AERtablesource"/>
      </w:pPr>
      <w:r w:rsidRPr="005531F2">
        <w:t>Source:</w:t>
      </w:r>
      <w:r w:rsidRPr="005531F2">
        <w:tab/>
        <w:t>AER analysis</w:t>
      </w:r>
    </w:p>
    <w:p w:rsidR="005531F2" w:rsidRDefault="005531F2" w:rsidP="005531F2">
      <w:pPr>
        <w:pStyle w:val="Heading2"/>
      </w:pPr>
      <w:bookmarkStart w:id="19" w:name="_Ref417048914"/>
      <w:bookmarkStart w:id="20" w:name="_Toc417725372"/>
      <w:bookmarkEnd w:id="18"/>
      <w:r w:rsidRPr="005531F2">
        <w:t>AER’s assessment approach</w:t>
      </w:r>
      <w:bookmarkEnd w:id="19"/>
      <w:bookmarkEnd w:id="20"/>
    </w:p>
    <w:p w:rsidR="0029284F" w:rsidRPr="0029284F" w:rsidRDefault="0029284F" w:rsidP="00525DDF">
      <w:pPr>
        <w:numPr>
          <w:ilvl w:val="0"/>
          <w:numId w:val="24"/>
        </w:numPr>
      </w:pPr>
      <w:bookmarkStart w:id="21" w:name="_Toc413071329"/>
      <w:r w:rsidRPr="0029284F">
        <w:t>This section outlines our approach to capex assessments. It sets out the relevant legislative and rule requirements, outlines our assessment techniques, and explains how we build an alternative estimate of total forecast capex against which we compare that proposed by the</w:t>
      </w:r>
      <w:r w:rsidR="00F456A9">
        <w:t xml:space="preserve"> distributor</w:t>
      </w:r>
      <w:r w:rsidRPr="0029284F">
        <w:t xml:space="preserve">. </w:t>
      </w:r>
      <w:r w:rsidR="00787774">
        <w:t xml:space="preserve">Key to </w:t>
      </w:r>
      <w:r w:rsidRPr="0029284F">
        <w:t xml:space="preserve">our assessment is the information provided by the </w:t>
      </w:r>
      <w:r w:rsidR="00EF67EA">
        <w:t>distributor</w:t>
      </w:r>
      <w:r w:rsidRPr="0029284F">
        <w:t xml:space="preserve"> in its proposal. At the same time as </w:t>
      </w:r>
      <w:r>
        <w:t>SA</w:t>
      </w:r>
      <w:r w:rsidR="00463207">
        <w:t xml:space="preserve"> Power Networks</w:t>
      </w:r>
      <w:r w:rsidRPr="0029284F">
        <w:t xml:space="preserve"> submitted its proposal, it also submitted its response to our RIN. We have also sought further clarification from </w:t>
      </w:r>
      <w:r>
        <w:t>SA</w:t>
      </w:r>
      <w:r w:rsidR="00463207">
        <w:t xml:space="preserve"> Power Networks</w:t>
      </w:r>
      <w:r w:rsidRPr="0029284F">
        <w:t xml:space="preserve"> of some aspects of its proposal through information requests.</w:t>
      </w:r>
    </w:p>
    <w:p w:rsidR="00787774" w:rsidRPr="00787774" w:rsidRDefault="00787774" w:rsidP="00525DDF">
      <w:pPr>
        <w:numPr>
          <w:ilvl w:val="0"/>
          <w:numId w:val="24"/>
        </w:numPr>
      </w:pPr>
      <w:r w:rsidRPr="00787774">
        <w:t>Our assessment approach involves two key steps:</w:t>
      </w:r>
    </w:p>
    <w:p w:rsidR="00787774" w:rsidRPr="00787774" w:rsidRDefault="00787774" w:rsidP="00787774">
      <w:pPr>
        <w:pStyle w:val="AERbulletlistfirststyle"/>
      </w:pPr>
      <w:r w:rsidRPr="00787774">
        <w:t xml:space="preserve">First, our starting point for building an alternative estimate is </w:t>
      </w:r>
      <w:r>
        <w:t>SA</w:t>
      </w:r>
      <w:r w:rsidR="00463207">
        <w:t xml:space="preserve"> </w:t>
      </w:r>
      <w:r>
        <w:t>P</w:t>
      </w:r>
      <w:r w:rsidR="00463207">
        <w:t xml:space="preserve">ower </w:t>
      </w:r>
      <w:r>
        <w:t>N</w:t>
      </w:r>
      <w:r w:rsidR="00463207">
        <w:t>etworks</w:t>
      </w:r>
      <w:r w:rsidR="00293ADE">
        <w:t>'</w:t>
      </w:r>
      <w:r w:rsidRPr="00787774">
        <w:t xml:space="preserve"> re</w:t>
      </w:r>
      <w:r w:rsidR="0028521F">
        <w:t>gulatory</w:t>
      </w:r>
      <w:r w:rsidRPr="00787774">
        <w:t xml:space="preserve"> proposal.</w:t>
      </w:r>
      <w:r w:rsidRPr="00787774">
        <w:rPr>
          <w:rStyle w:val="FootnoteReference"/>
        </w:rPr>
        <w:footnoteReference w:id="4"/>
      </w:r>
      <w:r w:rsidRPr="00787774">
        <w:t xml:space="preserve"> We apply our various assessment techniques, both qualitative and quantitative, to assess the different elements of </w:t>
      </w:r>
      <w:r>
        <w:t>SA</w:t>
      </w:r>
      <w:r w:rsidR="00463207">
        <w:t xml:space="preserve"> Power Networks</w:t>
      </w:r>
      <w:r w:rsidR="00293ADE">
        <w:t>'</w:t>
      </w:r>
      <w:r w:rsidRPr="00787774">
        <w:t xml:space="preserve"> proposal at the total level and at the capex driver level such as its proposed augmentation expenditure and replacement expenditure.  This analysis not only informs our view </w:t>
      </w:r>
      <w:r w:rsidRPr="00787774">
        <w:lastRenderedPageBreak/>
        <w:t xml:space="preserve">on whether </w:t>
      </w:r>
      <w:r>
        <w:t>SA</w:t>
      </w:r>
      <w:r w:rsidR="00463207">
        <w:t xml:space="preserve"> Power Networks</w:t>
      </w:r>
      <w:r w:rsidR="00293ADE">
        <w:t>'</w:t>
      </w:r>
      <w:r w:rsidRPr="00787774">
        <w:t xml:space="preserve"> proposal reasonably reflects the capex criteria set out in the NER</w:t>
      </w:r>
      <w:r w:rsidRPr="00787774">
        <w:rPr>
          <w:rStyle w:val="FootnoteReference"/>
        </w:rPr>
        <w:footnoteReference w:id="5"/>
      </w:r>
      <w:r w:rsidRPr="00787774">
        <w:t xml:space="preserve"> but it also provides us with an alternative forecast that does meet the criteria. In arriving at our alternative estimate, we have had to weight the various techniques used in our assessment. </w:t>
      </w:r>
    </w:p>
    <w:p w:rsidR="00787774" w:rsidRPr="00787774" w:rsidRDefault="00787774" w:rsidP="00787774">
      <w:pPr>
        <w:pStyle w:val="AERbulletlistfirststyle"/>
      </w:pPr>
      <w:r w:rsidRPr="00787774">
        <w:t xml:space="preserve">Second, having established our alternative estimate of the </w:t>
      </w:r>
      <w:r w:rsidRPr="00787774">
        <w:rPr>
          <w:rStyle w:val="AERtextitalic"/>
        </w:rPr>
        <w:t>total</w:t>
      </w:r>
      <w:r w:rsidRPr="00787774">
        <w:t xml:space="preserve"> forecast capex, we can test the </w:t>
      </w:r>
      <w:r w:rsidR="00F456A9">
        <w:t>distributor's</w:t>
      </w:r>
      <w:r w:rsidR="00F456A9" w:rsidRPr="00787774">
        <w:t xml:space="preserve"> </w:t>
      </w:r>
      <w:r w:rsidRPr="00787774">
        <w:t xml:space="preserve">proposed total forecast capex. This includes comparing our alternative estimate total with the </w:t>
      </w:r>
      <w:r w:rsidR="00F456A9">
        <w:t>distributor</w:t>
      </w:r>
      <w:r w:rsidRPr="00787774">
        <w:t>'s proposal total.  If there is a difference between the two, we may need to exercise our judgement as to what is a reasonable margin of difference.</w:t>
      </w:r>
    </w:p>
    <w:p w:rsidR="00787774" w:rsidRPr="00787774" w:rsidRDefault="00787774" w:rsidP="00787774">
      <w:r w:rsidRPr="00787774">
        <w:t xml:space="preserve">If we are satisfied that the </w:t>
      </w:r>
      <w:r w:rsidR="00F456A9">
        <w:t>distributor</w:t>
      </w:r>
      <w:r w:rsidRPr="00787774">
        <w:t xml:space="preserve">'s proposal reasonably reflects the capex criteria, we accept it.  If we are not satisfied, the </w:t>
      </w:r>
      <w:r w:rsidR="00A452C0">
        <w:t xml:space="preserve">NER </w:t>
      </w:r>
      <w:r w:rsidRPr="00787774">
        <w:t>require us to put in place a substitute estimate which we are satisfied reasonably reflects the capex criteria.  Where we have done this, our substitute estimate is based on our alternative estimate.</w:t>
      </w:r>
    </w:p>
    <w:p w:rsidR="0029284F" w:rsidRPr="0029284F" w:rsidRDefault="0029284F" w:rsidP="004E7D81">
      <w:r w:rsidRPr="0029284F">
        <w:t>The capex criteria are:</w:t>
      </w:r>
    </w:p>
    <w:p w:rsidR="0029284F" w:rsidRPr="0029284F" w:rsidRDefault="0029284F" w:rsidP="001B43AE">
      <w:pPr>
        <w:pStyle w:val="AERbulletlistfirststyle"/>
      </w:pPr>
      <w:r w:rsidRPr="0029284F">
        <w:t>the efficient costs of achieving the capital expenditure objectives</w:t>
      </w:r>
    </w:p>
    <w:p w:rsidR="0029284F" w:rsidRPr="0029284F" w:rsidRDefault="0029284F" w:rsidP="001B43AE">
      <w:pPr>
        <w:pStyle w:val="AERbulletlistfirststyle"/>
      </w:pPr>
      <w:r w:rsidRPr="0029284F">
        <w:t>the costs that a prudent operator would require to achieve the capital expenditure objectives</w:t>
      </w:r>
    </w:p>
    <w:p w:rsidR="0029284F" w:rsidRPr="0029284F" w:rsidRDefault="0029284F" w:rsidP="001B43AE">
      <w:pPr>
        <w:pStyle w:val="AERbulletlistfirststyle"/>
      </w:pPr>
      <w:r w:rsidRPr="0029284F">
        <w:t>a realistic expectation of the demand forecast and cost inputs required to achieve the capital expenditure objectives.</w:t>
      </w:r>
    </w:p>
    <w:p w:rsidR="0029284F" w:rsidRPr="0029284F" w:rsidRDefault="0029284F" w:rsidP="00525DDF">
      <w:pPr>
        <w:numPr>
          <w:ilvl w:val="0"/>
          <w:numId w:val="24"/>
        </w:numPr>
      </w:pPr>
      <w:r w:rsidRPr="0029284F">
        <w:t>The AEMC noted that '[t]hese criteria broadly reflect the NEO [National Electricity Objective]'.</w:t>
      </w:r>
      <w:r w:rsidR="001B43AE">
        <w:rPr>
          <w:rStyle w:val="FootnoteReference"/>
        </w:rPr>
        <w:footnoteReference w:id="6"/>
      </w:r>
      <w:r w:rsidRPr="0029284F">
        <w:t xml:space="preserve"> The capital expenditure objectives (capex objectives) referred to in the capex criteria, are to:</w:t>
      </w:r>
      <w:r w:rsidR="001B43AE">
        <w:rPr>
          <w:rStyle w:val="FootnoteReference"/>
        </w:rPr>
        <w:footnoteReference w:id="7"/>
      </w:r>
    </w:p>
    <w:p w:rsidR="0029284F" w:rsidRPr="0029284F" w:rsidRDefault="0029284F" w:rsidP="001B43AE">
      <w:pPr>
        <w:pStyle w:val="AERbulletlistfirststyle"/>
      </w:pPr>
      <w:r w:rsidRPr="0029284F">
        <w:t>meet or manage the expected demand for standard control services over the period</w:t>
      </w:r>
    </w:p>
    <w:p w:rsidR="0029284F" w:rsidRPr="0029284F" w:rsidRDefault="0029284F" w:rsidP="001B43AE">
      <w:pPr>
        <w:pStyle w:val="AERbulletlistfirststyle"/>
      </w:pPr>
      <w:r w:rsidRPr="0029284F">
        <w:t xml:space="preserve">comply with all regulatory obligations or requirements associated with the provision of standard control services </w:t>
      </w:r>
    </w:p>
    <w:p w:rsidR="0029284F" w:rsidRPr="0029284F" w:rsidRDefault="0029284F" w:rsidP="001B43AE">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29284F" w:rsidRPr="0029284F" w:rsidRDefault="0029284F" w:rsidP="001B43AE">
      <w:pPr>
        <w:pStyle w:val="AERbulletlistfirststyle"/>
      </w:pPr>
      <w:r w:rsidRPr="0029284F">
        <w:t>maintain the safety of the distribution system through the supply of standard control services.</w:t>
      </w:r>
    </w:p>
    <w:p w:rsidR="0029284F" w:rsidRPr="0029284F" w:rsidRDefault="0029284F" w:rsidP="0029284F">
      <w:r w:rsidRPr="0029284F">
        <w:t xml:space="preserve">Importantly, our assessment is about the total forecast capex and not about particular categories or projects in the capex forecast. AEMC has </w:t>
      </w:r>
      <w:r w:rsidR="007A7D52">
        <w:t>described</w:t>
      </w:r>
      <w:r w:rsidR="007A7D52" w:rsidRPr="0029284F">
        <w:t xml:space="preserve"> </w:t>
      </w:r>
      <w:r w:rsidRPr="0029284F">
        <w:t>our role in these terms:</w:t>
      </w:r>
      <w:r w:rsidR="001B43AE">
        <w:rPr>
          <w:rStyle w:val="FootnoteReference"/>
        </w:rPr>
        <w:footnoteReference w:id="8"/>
      </w:r>
    </w:p>
    <w:p w:rsidR="0029284F" w:rsidRPr="0029284F" w:rsidRDefault="0029284F" w:rsidP="001B43AE">
      <w:pPr>
        <w:pStyle w:val="AERquote"/>
      </w:pPr>
      <w:r w:rsidRPr="0029284F">
        <w:lastRenderedPageBreak/>
        <w:t>It should be noted here that what the AER approves in this context is expenditure allowances, not projects.</w:t>
      </w:r>
    </w:p>
    <w:p w:rsidR="0029284F" w:rsidRPr="0029284F" w:rsidRDefault="0029284F" w:rsidP="0029284F">
      <w:r w:rsidRPr="0029284F">
        <w:t xml:space="preserve">In deciding whether we are satisfied that </w:t>
      </w:r>
      <w:r>
        <w:t>SA</w:t>
      </w:r>
      <w:r w:rsidR="00463207">
        <w:t xml:space="preserve"> </w:t>
      </w:r>
      <w:r>
        <w:t>P</w:t>
      </w:r>
      <w:r w:rsidR="00463207">
        <w:t>ower Networks</w:t>
      </w:r>
      <w:r w:rsidR="00293ADE">
        <w:t>'</w:t>
      </w:r>
      <w:r w:rsidRPr="0029284F">
        <w:t xml:space="preserve"> proposed total forecast capex reasonably reflects the capex criteria, we have regard to the capex factors. The capex factors are:</w:t>
      </w:r>
      <w:r w:rsidR="001B43AE">
        <w:rPr>
          <w:rStyle w:val="FootnoteReference"/>
        </w:rPr>
        <w:footnoteReference w:id="9"/>
      </w:r>
    </w:p>
    <w:p w:rsidR="0029284F" w:rsidRPr="0029284F" w:rsidRDefault="0029284F" w:rsidP="001B43AE">
      <w:pPr>
        <w:pStyle w:val="AERbulletlistfirststyle"/>
      </w:pPr>
      <w:r w:rsidRPr="0029284F">
        <w:t xml:space="preserve">the AER's most recent annual benchmarking report and benchmark capex that would be incurred by an efficient </w:t>
      </w:r>
      <w:r w:rsidR="00EF67EA">
        <w:t>distributor</w:t>
      </w:r>
      <w:r w:rsidRPr="0029284F">
        <w:t xml:space="preserve"> over the relevant regulatory control period</w:t>
      </w:r>
    </w:p>
    <w:p w:rsidR="0029284F" w:rsidRPr="0029284F" w:rsidRDefault="0029284F" w:rsidP="001B43AE">
      <w:pPr>
        <w:pStyle w:val="AERbulletlistfirststyle"/>
      </w:pPr>
      <w:r w:rsidRPr="0029284F">
        <w:t xml:space="preserve">the actual and expected capex of the </w:t>
      </w:r>
      <w:r w:rsidR="00EF67EA">
        <w:t>distributor</w:t>
      </w:r>
      <w:r w:rsidRPr="0029284F">
        <w:t xml:space="preserve"> during the preceding regulatory control periods</w:t>
      </w:r>
    </w:p>
    <w:p w:rsidR="0029284F" w:rsidRPr="0029284F" w:rsidRDefault="0029284F" w:rsidP="001B43AE">
      <w:pPr>
        <w:pStyle w:val="AERbulletlistfirststyle"/>
      </w:pPr>
      <w:r w:rsidRPr="0029284F">
        <w:t xml:space="preserve">the extent to which the capex forecast includes expenditure to address the concerns of electricity consumers as identified by the </w:t>
      </w:r>
      <w:r w:rsidR="00EF67EA">
        <w:t>distributor</w:t>
      </w:r>
      <w:r w:rsidRPr="0029284F">
        <w:t xml:space="preserve"> in the course of its engagement with electricity consumers</w:t>
      </w:r>
    </w:p>
    <w:p w:rsidR="0029284F" w:rsidRPr="0029284F" w:rsidRDefault="0029284F" w:rsidP="001B43AE">
      <w:pPr>
        <w:pStyle w:val="AERbulletlistfirststyle"/>
      </w:pPr>
      <w:r w:rsidRPr="0029284F">
        <w:t>the relative prices of operating and capital inputs</w:t>
      </w:r>
    </w:p>
    <w:p w:rsidR="0029284F" w:rsidRPr="0029284F" w:rsidRDefault="0029284F" w:rsidP="001B43AE">
      <w:pPr>
        <w:pStyle w:val="AERbulletlistfirststyle"/>
      </w:pPr>
      <w:r w:rsidRPr="0029284F">
        <w:t>the substitution possibilities between operating and capital expenditure</w:t>
      </w:r>
    </w:p>
    <w:p w:rsidR="0029284F" w:rsidRPr="0029284F" w:rsidRDefault="0029284F" w:rsidP="001B43AE">
      <w:pPr>
        <w:pStyle w:val="AERbulletlistfirststyle"/>
      </w:pPr>
      <w:r w:rsidRPr="0029284F">
        <w:t xml:space="preserve">whether the capex forecast is consistent with any incentive scheme or schemes that apply to the </w:t>
      </w:r>
      <w:r w:rsidR="00EF67EA">
        <w:t>distributor</w:t>
      </w:r>
    </w:p>
    <w:p w:rsidR="0029284F" w:rsidRPr="0029284F" w:rsidRDefault="0029284F" w:rsidP="001B43AE">
      <w:pPr>
        <w:pStyle w:val="AERbulletlistfirststyle"/>
      </w:pPr>
      <w:r w:rsidRPr="0029284F">
        <w:t xml:space="preserve">the extent to which the capex forecast is referable to arrangements with a person other than the </w:t>
      </w:r>
      <w:r w:rsidR="00EF67EA">
        <w:t>distributor</w:t>
      </w:r>
      <w:r w:rsidRPr="0029284F">
        <w:t xml:space="preserve"> that, in the opinion of the AER, do not reflect arm's length terms</w:t>
      </w:r>
    </w:p>
    <w:p w:rsidR="0029284F" w:rsidRPr="0029284F" w:rsidRDefault="0029284F" w:rsidP="001B43AE">
      <w:pPr>
        <w:pStyle w:val="AERbulletlistfirststyle"/>
      </w:pPr>
      <w:r w:rsidRPr="0029284F">
        <w:t>whether the capex forecast includes an amount relating to a project that should more appropriately be included as a contingent project</w:t>
      </w:r>
    </w:p>
    <w:p w:rsidR="0029284F" w:rsidRPr="0029284F" w:rsidRDefault="0029284F" w:rsidP="001B43AE">
      <w:pPr>
        <w:pStyle w:val="AERbulletlistfirststyle"/>
      </w:pPr>
      <w:r w:rsidRPr="0029284F">
        <w:t xml:space="preserve">the extent to which the </w:t>
      </w:r>
      <w:r w:rsidR="00EF67EA">
        <w:t>distributor</w:t>
      </w:r>
      <w:r w:rsidRPr="0029284F">
        <w:t xml:space="preserve"> has considered, and made provision for, efficient and prudent non-network alternatives.</w:t>
      </w:r>
    </w:p>
    <w:p w:rsidR="0029284F" w:rsidRPr="0029284F" w:rsidRDefault="0029284F" w:rsidP="00EF67EA">
      <w:pPr>
        <w:pStyle w:val="AERbulletlistfirststyle"/>
      </w:pPr>
      <w:r w:rsidRPr="0029284F">
        <w:t xml:space="preserve">In addition, the AER may notify the </w:t>
      </w:r>
      <w:r w:rsidR="00EF67EA">
        <w:t>distributor</w:t>
      </w:r>
      <w:r w:rsidRPr="0029284F">
        <w:t xml:space="preserve"> in writing, prior to the submission of its revised regulatory proposal, of any other factor it considers relevant.</w:t>
      </w:r>
      <w:r w:rsidR="001B43AE">
        <w:rPr>
          <w:rStyle w:val="FootnoteReference"/>
        </w:rPr>
        <w:footnoteReference w:id="10"/>
      </w:r>
      <w:r w:rsidR="00EF67EA" w:rsidRPr="00EF67EA">
        <w:t xml:space="preserve"> We have not had regard to any additional factors in this preliminary decision for </w:t>
      </w:r>
      <w:r w:rsidR="00EF67EA">
        <w:t>SA</w:t>
      </w:r>
      <w:r w:rsidR="00463207">
        <w:t xml:space="preserve"> </w:t>
      </w:r>
      <w:r w:rsidR="00EF67EA">
        <w:t>P</w:t>
      </w:r>
      <w:r w:rsidR="00463207">
        <w:t>ower Networks</w:t>
      </w:r>
      <w:r w:rsidR="00EF67EA">
        <w:t>.</w:t>
      </w:r>
    </w:p>
    <w:p w:rsidR="0029284F" w:rsidRPr="0029284F" w:rsidRDefault="0029284F" w:rsidP="0029284F">
      <w:r w:rsidRPr="0029284F">
        <w:t>In taking these factors into account, the AEMC has noted that:</w:t>
      </w:r>
      <w:r w:rsidR="001B43AE">
        <w:rPr>
          <w:rStyle w:val="FootnoteReference"/>
        </w:rPr>
        <w:footnoteReference w:id="11"/>
      </w:r>
    </w:p>
    <w:p w:rsidR="0029284F" w:rsidRPr="0029284F" w:rsidRDefault="0029284F" w:rsidP="001B43AE">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7428F9" w:rsidRDefault="0029284F" w:rsidP="00525DDF">
      <w:pPr>
        <w:numPr>
          <w:ilvl w:val="0"/>
          <w:numId w:val="24"/>
        </w:numPr>
      </w:pPr>
      <w:r w:rsidRPr="0029284F">
        <w:lastRenderedPageBreak/>
        <w:t xml:space="preserve">For transparency and ease of reference, we have included a summary of how we have had regard to each of the capex factors in our assessment at the end of this attachment. </w:t>
      </w:r>
    </w:p>
    <w:p w:rsidR="0029284F" w:rsidRPr="0029284F" w:rsidRDefault="0029284F" w:rsidP="00525DDF">
      <w:pPr>
        <w:numPr>
          <w:ilvl w:val="0"/>
          <w:numId w:val="24"/>
        </w:numPr>
      </w:pPr>
      <w:r w:rsidRPr="0029284F">
        <w:t xml:space="preserve">More broadly, we also note that in exercising our discretion, we take into account the revenue and pricing principles which are set out in the </w:t>
      </w:r>
      <w:r w:rsidR="007A7D52">
        <w:t>NEL</w:t>
      </w:r>
      <w:r w:rsidRPr="0029284F">
        <w:t>.</w:t>
      </w:r>
      <w:r w:rsidR="001B43AE">
        <w:rPr>
          <w:rStyle w:val="FootnoteReference"/>
        </w:rPr>
        <w:footnoteReference w:id="12"/>
      </w:r>
    </w:p>
    <w:p w:rsidR="0029284F" w:rsidRPr="0029284F" w:rsidRDefault="0029284F" w:rsidP="004E7D81">
      <w:pPr>
        <w:pStyle w:val="HeadingBoldBlue"/>
      </w:pPr>
      <w:r w:rsidRPr="0029284F">
        <w:t xml:space="preserve">Expenditure Assessment Guidelines </w:t>
      </w:r>
    </w:p>
    <w:p w:rsidR="0029284F" w:rsidRPr="0029284F" w:rsidRDefault="0029284F" w:rsidP="00525DDF">
      <w:pPr>
        <w:numPr>
          <w:ilvl w:val="0"/>
          <w:numId w:val="24"/>
        </w:numPr>
      </w:pPr>
      <w:r w:rsidRPr="0029284F">
        <w:t xml:space="preserve">The rule changes the AEMC made in November 2012 require us to make and publish an </w:t>
      </w:r>
      <w:r w:rsidR="00547427">
        <w:t>Expenditure F</w:t>
      </w:r>
      <w:r w:rsidRPr="0029284F">
        <w:t xml:space="preserve">orecast </w:t>
      </w:r>
      <w:r w:rsidR="00547427">
        <w:t>A</w:t>
      </w:r>
      <w:r w:rsidR="00293ADE">
        <w:t>ssessment Guideline for e</w:t>
      </w:r>
      <w:r w:rsidRPr="0029284F">
        <w:t xml:space="preserve">lectricity </w:t>
      </w:r>
      <w:r w:rsidR="00293ADE">
        <w:t>d</w:t>
      </w:r>
      <w:r w:rsidRPr="0029284F">
        <w:t>istribution</w:t>
      </w:r>
      <w:r w:rsidR="00787774">
        <w:t>,</w:t>
      </w:r>
      <w:r w:rsidRPr="0029284F">
        <w:t xml:space="preserve"> released in November 2013</w:t>
      </w:r>
      <w:r w:rsidR="00787774">
        <w:t xml:space="preserve"> (Guideline)</w:t>
      </w:r>
      <w:r w:rsidRPr="0029284F">
        <w:t>.</w:t>
      </w:r>
      <w:r w:rsidR="001B43AE">
        <w:rPr>
          <w:rStyle w:val="FootnoteReference"/>
        </w:rPr>
        <w:footnoteReference w:id="13"/>
      </w:r>
      <w:r w:rsidRPr="0029284F">
        <w:t xml:space="preserve"> The Guideline sets out the AER's proposed general approach to assessing capex (and opex) forecasts. The rule changes also require us to set out our approach to assessing capex in the relevant framework and approach paper. For </w:t>
      </w:r>
      <w:r>
        <w:t>SA</w:t>
      </w:r>
      <w:r w:rsidR="00463207">
        <w:t xml:space="preserve"> </w:t>
      </w:r>
      <w:r>
        <w:t>P</w:t>
      </w:r>
      <w:r w:rsidR="00463207">
        <w:t>ower Networks</w:t>
      </w:r>
      <w:r w:rsidRPr="0029284F">
        <w:t xml:space="preserve">, our framework and approach paper (published in </w:t>
      </w:r>
      <w:r w:rsidR="007428F9">
        <w:t>April</w:t>
      </w:r>
      <w:r w:rsidR="007428F9" w:rsidRPr="0029284F">
        <w:t xml:space="preserve"> </w:t>
      </w:r>
      <w:r w:rsidRPr="0029284F">
        <w:t xml:space="preserve">2014) </w:t>
      </w:r>
      <w:r w:rsidR="00293ADE">
        <w:t>stated that we would apply the G</w:t>
      </w:r>
      <w:r w:rsidRPr="0029284F">
        <w:t>uideline, including the assessment techniques outlined in it.</w:t>
      </w:r>
      <w:r w:rsidR="001B43AE">
        <w:rPr>
          <w:rStyle w:val="FootnoteReference"/>
        </w:rPr>
        <w:footnoteReference w:id="14"/>
      </w:r>
      <w:r w:rsidRPr="0029284F">
        <w:t xml:space="preserve"> We may depart from our </w:t>
      </w:r>
      <w:r w:rsidR="00293ADE">
        <w:t>G</w:t>
      </w:r>
      <w:r w:rsidR="007428F9" w:rsidRPr="0029284F">
        <w:t xml:space="preserve">uideline </w:t>
      </w:r>
      <w:r w:rsidRPr="0029284F">
        <w:t xml:space="preserve">approach and if we do so, </w:t>
      </w:r>
      <w:r w:rsidR="007A7D52">
        <w:t xml:space="preserve">we </w:t>
      </w:r>
      <w:r w:rsidRPr="0029284F">
        <w:t>need to explain why. In this determination we have not departed from the approach set out in our Guideline.</w:t>
      </w:r>
    </w:p>
    <w:p w:rsidR="007428F9" w:rsidRPr="007428F9" w:rsidRDefault="007428F9" w:rsidP="00525DDF">
      <w:pPr>
        <w:pStyle w:val="ListParagraph"/>
        <w:numPr>
          <w:ilvl w:val="0"/>
          <w:numId w:val="24"/>
        </w:numPr>
      </w:pPr>
      <w:r w:rsidRPr="007428F9">
        <w:t>We note that the RIN</w:t>
      </w:r>
      <w:r w:rsidR="00230568">
        <w:t xml:space="preserve"> </w:t>
      </w:r>
      <w:r w:rsidRPr="007428F9">
        <w:t>data forms part of a distributor</w:t>
      </w:r>
      <w:r w:rsidR="006C5512">
        <w:t>'</w:t>
      </w:r>
      <w:r w:rsidRPr="007428F9">
        <w:t>s regulatory proposal.</w:t>
      </w:r>
      <w:r w:rsidRPr="007428F9">
        <w:rPr>
          <w:rStyle w:val="FootnoteReference"/>
        </w:rPr>
        <w:footnoteReference w:id="15"/>
      </w:r>
      <w:r w:rsidRPr="007428F9">
        <w:t xml:space="preserve">  In our Guidelines we set out that we would "require all the data that facilitate the application of our assessment approach and assessment techniques" and the RIN we issued in advance of a </w:t>
      </w:r>
      <w:r w:rsidR="00F456A9">
        <w:t>distributor</w:t>
      </w:r>
      <w:r w:rsidRPr="007428F9">
        <w:t xml:space="preserve"> lodging its regulatory proposal would specify the exact information required.</w:t>
      </w:r>
      <w:r w:rsidRPr="007428F9">
        <w:rPr>
          <w:rStyle w:val="FootnoteReference"/>
        </w:rPr>
        <w:footnoteReference w:id="16"/>
      </w:r>
      <w:r w:rsidRPr="007428F9">
        <w:t xml:space="preserve"> Accordingly, we consider that our intention to materially rely upon the RIN data was made clear as part of the Guideline. </w:t>
      </w:r>
    </w:p>
    <w:p w:rsidR="0029284F" w:rsidRPr="0029284F" w:rsidRDefault="0029284F" w:rsidP="001B43AE">
      <w:pPr>
        <w:pStyle w:val="Heading3"/>
      </w:pPr>
      <w:bookmarkStart w:id="22" w:name="_Toc413855476"/>
      <w:bookmarkStart w:id="23" w:name="_Toc413858626"/>
      <w:bookmarkStart w:id="24" w:name="_Toc414434905"/>
      <w:bookmarkStart w:id="25" w:name="_Toc414615642"/>
      <w:bookmarkStart w:id="26" w:name="_Toc417725373"/>
      <w:r w:rsidRPr="0029284F">
        <w:t>Building an alternative estimate of total forecast capex</w:t>
      </w:r>
      <w:bookmarkEnd w:id="22"/>
      <w:bookmarkEnd w:id="23"/>
      <w:bookmarkEnd w:id="24"/>
      <w:bookmarkEnd w:id="25"/>
      <w:bookmarkEnd w:id="26"/>
    </w:p>
    <w:p w:rsidR="0029284F" w:rsidRPr="0029284F" w:rsidDel="00D91250" w:rsidRDefault="0029284F" w:rsidP="0029284F">
      <w:r w:rsidRPr="0029284F">
        <w:t xml:space="preserve">Our starting point for building an alternative estimate is </w:t>
      </w:r>
      <w:r>
        <w:t>SA</w:t>
      </w:r>
      <w:r w:rsidR="00463207">
        <w:t xml:space="preserve"> </w:t>
      </w:r>
      <w:r>
        <w:t>P</w:t>
      </w:r>
      <w:r w:rsidR="00463207">
        <w:t>ower Networks</w:t>
      </w:r>
      <w:r w:rsidR="00293ADE">
        <w:t>'</w:t>
      </w:r>
      <w:r w:rsidRPr="0029284F">
        <w:t xml:space="preserve"> proposal.</w:t>
      </w:r>
      <w:r w:rsidR="001B43AE">
        <w:rPr>
          <w:rStyle w:val="FootnoteReference"/>
        </w:rPr>
        <w:footnoteReference w:id="17"/>
      </w:r>
      <w:r w:rsidRPr="0029284F">
        <w:t xml:space="preserve"> We then considered its performance in the previous regulatory control period to inform our alternative estimate. </w:t>
      </w:r>
      <w:r w:rsidRPr="0029284F" w:rsidDel="00D91250">
        <w:t xml:space="preserve">We also reviewed the proposed forecast methodology and the </w:t>
      </w:r>
      <w:r w:rsidR="00F456A9">
        <w:t>distributor</w:t>
      </w:r>
      <w:r w:rsidRPr="0029284F" w:rsidDel="00D91250">
        <w:t>'s reliance on key assumptions that underlie its forecast.</w:t>
      </w:r>
      <w:r w:rsidRPr="0029284F">
        <w:t xml:space="preserve"> </w:t>
      </w:r>
    </w:p>
    <w:p w:rsidR="0029284F" w:rsidRPr="0029284F" w:rsidRDefault="0029284F" w:rsidP="00525DDF">
      <w:pPr>
        <w:numPr>
          <w:ilvl w:val="0"/>
          <w:numId w:val="24"/>
        </w:numPr>
      </w:pPr>
      <w:r w:rsidRPr="0029284F">
        <w:t xml:space="preserve">We then applied our specific assessment techniques, to develop and estimate and assess the economic justifications that the </w:t>
      </w:r>
      <w:r w:rsidR="00F456A9">
        <w:t>distributor</w:t>
      </w:r>
      <w:r w:rsidR="00F456A9" w:rsidRPr="0029284F">
        <w:t xml:space="preserve"> </w:t>
      </w:r>
      <w:r w:rsidRPr="0029284F">
        <w:t>put forward.</w:t>
      </w:r>
      <w:r w:rsidR="00D77AF4">
        <w:t xml:space="preserve"> </w:t>
      </w:r>
      <w:r w:rsidRPr="0029284F">
        <w:t xml:space="preserve">Many of our techniques encompass the capex factors that we are required to take into account. </w:t>
      </w:r>
      <w:r w:rsidRPr="0029284F">
        <w:lastRenderedPageBreak/>
        <w:t>Further detai</w:t>
      </w:r>
      <w:r w:rsidR="00547427">
        <w:t>ls on each of these techniques are included in appendix A and a</w:t>
      </w:r>
      <w:r w:rsidRPr="0029284F">
        <w:t>ppendix B.</w:t>
      </w:r>
    </w:p>
    <w:p w:rsidR="0029284F" w:rsidRPr="0029284F" w:rsidRDefault="0029284F" w:rsidP="00525DDF">
      <w:pPr>
        <w:numPr>
          <w:ilvl w:val="0"/>
          <w:numId w:val="24"/>
        </w:numPr>
      </w:pPr>
      <w:r w:rsidRPr="0029284F">
        <w:t xml:space="preserve">Some of these techniques focus on total capex; others focus on high level, standardised sub-categories of capex. Importantly, the techniques that focus on sub-categories are not conducted for the purpose of determining at a detailed level what projects or programs of work the </w:t>
      </w:r>
      <w:r w:rsidR="00F456A9">
        <w:t>distributor</w:t>
      </w:r>
      <w:r w:rsidRPr="0029284F">
        <w:t xml:space="preserve"> should or should not undertake. They are but one means of assessing the overall total forecast capex required by the</w:t>
      </w:r>
      <w:r w:rsidR="00F456A9">
        <w:t xml:space="preserve"> distributor</w:t>
      </w:r>
      <w:r w:rsidRPr="0029284F">
        <w:t xml:space="preserve">. </w:t>
      </w:r>
      <w:r w:rsidR="00787774" w:rsidRPr="00787774">
        <w:t>This is consistent with the regulatory framework and the AEMC's statement that the AER does not approve specific projects but rather an overall revenue requirement that included total capex forecast.</w:t>
      </w:r>
      <w:r w:rsidR="007A7D52">
        <w:rPr>
          <w:rStyle w:val="FootnoteReference"/>
        </w:rPr>
        <w:footnoteReference w:id="18"/>
      </w:r>
      <w:r w:rsidR="00787774" w:rsidRPr="00787774">
        <w:t xml:space="preserve"> </w:t>
      </w:r>
      <w:r w:rsidRPr="0029284F">
        <w:t xml:space="preserve">Once we approve total revenue, which will be determined by reference to </w:t>
      </w:r>
      <w:r w:rsidR="007428F9">
        <w:t xml:space="preserve"> our</w:t>
      </w:r>
      <w:r w:rsidRPr="0029284F">
        <w:t xml:space="preserve"> analysis of the proposed capex, the </w:t>
      </w:r>
      <w:r w:rsidR="00F456A9">
        <w:t xml:space="preserve">distributor </w:t>
      </w:r>
      <w:r w:rsidR="007428F9">
        <w:t xml:space="preserve">is then </w:t>
      </w:r>
      <w:r w:rsidR="00787774">
        <w:t xml:space="preserve">able </w:t>
      </w:r>
      <w:r w:rsidRPr="0029284F">
        <w:t xml:space="preserve">to prioritise its capex program given the prevailing circumstances at the time (such as demand and economic conditions that impact during the regulatory period). </w:t>
      </w:r>
      <w:r w:rsidR="007428F9">
        <w:t>S</w:t>
      </w:r>
      <w:r w:rsidRPr="0029284F">
        <w:t xml:space="preserve">ome projects or programs of work that were not anticipated </w:t>
      </w:r>
      <w:r w:rsidR="007428F9">
        <w:t>may</w:t>
      </w:r>
      <w:r w:rsidRPr="0029284F">
        <w:t xml:space="preserve"> be required. Equally likely, some of the projects or programs of work that the </w:t>
      </w:r>
      <w:r w:rsidR="00F456A9">
        <w:t>distributor</w:t>
      </w:r>
      <w:r w:rsidRPr="0029284F">
        <w:t xml:space="preserve"> has proposed for the regulatory control period </w:t>
      </w:r>
      <w:r w:rsidR="007428F9" w:rsidRPr="007428F9">
        <w:t>may not ultimately be required in the regulatory period</w:t>
      </w:r>
      <w:r w:rsidRPr="0029284F">
        <w:t xml:space="preserve">. We consider that </w:t>
      </w:r>
      <w:r w:rsidR="007A7D52">
        <w:t xml:space="preserve">a prudent and efficient </w:t>
      </w:r>
      <w:r w:rsidR="00F456A9">
        <w:t>distributor</w:t>
      </w:r>
      <w:r w:rsidR="00F456A9" w:rsidRPr="0029284F">
        <w:t xml:space="preserve"> </w:t>
      </w:r>
      <w:r w:rsidRPr="0029284F">
        <w:t>w</w:t>
      </w:r>
      <w:r w:rsidR="007A7D52">
        <w:t>ould</w:t>
      </w:r>
      <w:r w:rsidRPr="0029284F">
        <w:t xml:space="preserve"> consider the changing environment throughout the regulatory period and make sound decisions taking into account their individual circumstances.</w:t>
      </w:r>
    </w:p>
    <w:p w:rsidR="0029284F" w:rsidRPr="0029284F" w:rsidRDefault="0029284F" w:rsidP="00525DDF">
      <w:pPr>
        <w:numPr>
          <w:ilvl w:val="0"/>
          <w:numId w:val="24"/>
        </w:numPr>
      </w:pPr>
      <w:r w:rsidRPr="0029284F">
        <w:t xml:space="preserve">As explained in our Guideline: </w:t>
      </w:r>
    </w:p>
    <w:p w:rsidR="0029284F" w:rsidRPr="0029284F" w:rsidRDefault="0029284F" w:rsidP="001B43AE">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r w:rsidR="001B43AE">
        <w:rPr>
          <w:rStyle w:val="FootnoteReference"/>
        </w:rPr>
        <w:footnoteReference w:id="19"/>
      </w:r>
    </w:p>
    <w:p w:rsidR="0029284F" w:rsidRPr="0029284F" w:rsidRDefault="0029284F" w:rsidP="0029284F">
      <w:r w:rsidRPr="0029284F">
        <w:t>In arriving at our estimate, we have had to weight the various techniques used in our assessment. How we weight these techniques will be determined on a case by case basis using our judgement as to which techniques are more robust</w:t>
      </w:r>
      <w:r w:rsidR="00787774">
        <w:t>, in the particular circumstances of each assessment</w:t>
      </w:r>
      <w:r w:rsidRPr="0029284F">
        <w:t xml:space="preserve">. By relying on a number of techniques and weighting as relevant, we ensure we can take into consideration a wide variety of information and can take a holistic approach to assessing the proposed capex </w:t>
      </w:r>
      <w:r w:rsidR="007A7D52">
        <w:t>forecast</w:t>
      </w:r>
      <w:r w:rsidRPr="0029284F">
        <w:t xml:space="preserve">.   </w:t>
      </w:r>
    </w:p>
    <w:p w:rsidR="0029284F" w:rsidRPr="0029284F" w:rsidRDefault="0029284F" w:rsidP="0029284F">
      <w:r w:rsidRPr="0029284F">
        <w:t xml:space="preserve">Where our techniques involve the use of a consultant, to the extent that we accept our consultants' findings, we have set this out clearly in this </w:t>
      </w:r>
      <w:r w:rsidR="00AE44E1">
        <w:t>preliminary</w:t>
      </w:r>
      <w:r w:rsidR="00AE44E1" w:rsidRPr="0029284F">
        <w:t xml:space="preserve"> </w:t>
      </w:r>
      <w:r w:rsidRPr="0029284F">
        <w:t xml:space="preserve">decision and they form part of our reasons for arriving at our </w:t>
      </w:r>
      <w:r w:rsidR="00AE44E1">
        <w:t xml:space="preserve">preliminary </w:t>
      </w:r>
      <w:r w:rsidRPr="0029284F">
        <w:t xml:space="preserve">decision on overall capex. In all </w:t>
      </w:r>
      <w:r w:rsidRPr="0029284F">
        <w:lastRenderedPageBreak/>
        <w:t xml:space="preserve">cases where we have relied on the findings of our consultants, we have done so only after carefully reviewing their analysis and conclusions, and evaluating these in the light of the outcomes from our other techniques. </w:t>
      </w:r>
    </w:p>
    <w:p w:rsidR="0029284F" w:rsidRPr="0029284F" w:rsidRDefault="0029284F" w:rsidP="00525DDF">
      <w:pPr>
        <w:numPr>
          <w:ilvl w:val="0"/>
          <w:numId w:val="24"/>
        </w:numPr>
      </w:pPr>
      <w:r w:rsidRPr="0029284F">
        <w:t xml:space="preserve">We also need to take into account the various interrelationships between the total forecast capex and other components of a </w:t>
      </w:r>
      <w:r w:rsidR="00F456A9">
        <w:t>distributor</w:t>
      </w:r>
      <w:r w:rsidRPr="0029284F">
        <w:t xml:space="preserve">'s distribution determination. The other components that directly affect the total forecast capex are forecast opex, forecast demand, the service target performance incentive scheme, the capital expenditure sharing scheme, real cost escalation and contingent projects. We discuss how these components </w:t>
      </w:r>
      <w:proofErr w:type="gramStart"/>
      <w:r w:rsidRPr="0029284F">
        <w:t>impact</w:t>
      </w:r>
      <w:proofErr w:type="gramEnd"/>
      <w:r w:rsidRPr="0029284F">
        <w:t xml:space="preserve"> the total forecast capex in </w:t>
      </w:r>
      <w:r w:rsidRPr="0029284F">
        <w:fldChar w:fldCharType="begin"/>
      </w:r>
      <w:r w:rsidRPr="0029284F">
        <w:instrText xml:space="preserve"> REF _Ref402362913 \h </w:instrText>
      </w:r>
      <w:r w:rsidRPr="0029284F">
        <w:fldChar w:fldCharType="separate"/>
      </w:r>
      <w:r w:rsidR="00547427">
        <w:t>t</w:t>
      </w:r>
      <w:r w:rsidR="00F02131" w:rsidRPr="005531F2">
        <w:t xml:space="preserve">able </w:t>
      </w:r>
      <w:r w:rsidR="00F02131">
        <w:rPr>
          <w:noProof/>
        </w:rPr>
        <w:t>6</w:t>
      </w:r>
      <w:r w:rsidR="00F02131" w:rsidRPr="005531F2">
        <w:noBreakHyphen/>
      </w:r>
      <w:r w:rsidR="00F02131">
        <w:rPr>
          <w:noProof/>
        </w:rPr>
        <w:t>4</w:t>
      </w:r>
      <w:r w:rsidRPr="0029284F">
        <w:fldChar w:fldCharType="end"/>
      </w:r>
      <w:r w:rsidRPr="0029284F">
        <w:t>.</w:t>
      </w:r>
    </w:p>
    <w:p w:rsidR="0029284F" w:rsidRPr="0029284F" w:rsidRDefault="0029284F" w:rsidP="00525DDF">
      <w:pPr>
        <w:numPr>
          <w:ilvl w:val="0"/>
          <w:numId w:val="24"/>
        </w:numPr>
      </w:pPr>
      <w:r w:rsidRPr="0029284F">
        <w:t>Underlying our approach are two general assumptions:</w:t>
      </w:r>
    </w:p>
    <w:p w:rsidR="0029284F" w:rsidRPr="0029284F" w:rsidRDefault="007A7D52" w:rsidP="001B43AE">
      <w:pPr>
        <w:pStyle w:val="AERbulletlistfirststyle"/>
      </w:pPr>
      <w:r>
        <w:t>The c</w:t>
      </w:r>
      <w:r w:rsidR="0029284F" w:rsidRPr="0029284F">
        <w:t>apex criteria relating to a prudent operator and efficient costs are complementary such that prudent and efficient expenditure reflects the lowest long-term cost to consumers for the most appropriate investment or activity required to achieve the expenditure objectives:</w:t>
      </w:r>
      <w:r w:rsidR="001B43AE">
        <w:rPr>
          <w:rStyle w:val="FootnoteReference"/>
        </w:rPr>
        <w:footnoteReference w:id="20"/>
      </w:r>
      <w:r w:rsidR="0029284F" w:rsidRPr="0029284F">
        <w:t xml:space="preserve"> </w:t>
      </w:r>
    </w:p>
    <w:p w:rsidR="0029284F" w:rsidRPr="0029284F" w:rsidRDefault="0029284F" w:rsidP="001B43AE">
      <w:pPr>
        <w:pStyle w:val="AERbulletlistfirststyle"/>
      </w:pPr>
      <w:r w:rsidRPr="0029284F">
        <w:t xml:space="preserve">Past expenditure was sufficient for </w:t>
      </w:r>
      <w:r w:rsidR="00463207">
        <w:t>SA Power Networks</w:t>
      </w:r>
      <w:r w:rsidRPr="0029284F">
        <w:t xml:space="preserve"> to manage and operate its network in that previous period, in a manner that achieved the capex objectives.</w:t>
      </w:r>
      <w:r w:rsidR="001B43AE">
        <w:rPr>
          <w:rStyle w:val="FootnoteReference"/>
        </w:rPr>
        <w:footnoteReference w:id="21"/>
      </w:r>
      <w:r w:rsidRPr="0029284F">
        <w:t xml:space="preserve"> </w:t>
      </w:r>
    </w:p>
    <w:p w:rsidR="0029284F" w:rsidRPr="0029284F" w:rsidRDefault="0029284F" w:rsidP="0029284F">
      <w:r w:rsidRPr="0029284F">
        <w:t>After applying the above approach, we arrive at our alternative estimate of the total capex forecast.</w:t>
      </w:r>
    </w:p>
    <w:p w:rsidR="0029284F" w:rsidRPr="0029284F" w:rsidRDefault="0029284F" w:rsidP="001B43AE">
      <w:pPr>
        <w:pStyle w:val="Heading3"/>
      </w:pPr>
      <w:bookmarkStart w:id="27" w:name="_Toc414615643"/>
      <w:bookmarkStart w:id="28" w:name="_Toc417725374"/>
      <w:r w:rsidRPr="0029284F">
        <w:t xml:space="preserve">Comparing the </w:t>
      </w:r>
      <w:r w:rsidR="00F456A9">
        <w:t>distributor</w:t>
      </w:r>
      <w:r w:rsidRPr="0029284F">
        <w:t>'s proposal with our alternative estimate</w:t>
      </w:r>
      <w:bookmarkEnd w:id="21"/>
      <w:bookmarkEnd w:id="27"/>
      <w:bookmarkEnd w:id="28"/>
    </w:p>
    <w:p w:rsidR="0029284F" w:rsidRPr="0029284F" w:rsidRDefault="0029284F" w:rsidP="0029284F">
      <w:r w:rsidRPr="0029284F">
        <w:t xml:space="preserve">Having established our estimate of the total forecast capex, we can test the </w:t>
      </w:r>
      <w:r w:rsidR="00F456A9">
        <w:t xml:space="preserve">distributor's </w:t>
      </w:r>
      <w:r w:rsidRPr="0029284F">
        <w:t xml:space="preserve">proposed total forecast capex. This includes comparing our alternative estimate of forecast total capex with the </w:t>
      </w:r>
      <w:r w:rsidR="00F456A9">
        <w:t>distributor</w:t>
      </w:r>
      <w:r w:rsidRPr="0029284F">
        <w:t xml:space="preserve">'s proposal. The </w:t>
      </w:r>
      <w:r w:rsidR="00F456A9">
        <w:t>distributor's</w:t>
      </w:r>
      <w:r w:rsidRPr="0029284F">
        <w:t xml:space="preserve"> forecast methodology and its key assumptions may explain any differences between our alternative estimate and its proposal. </w:t>
      </w:r>
    </w:p>
    <w:p w:rsidR="0029284F" w:rsidRPr="0029284F" w:rsidRDefault="0029284F" w:rsidP="0029284F">
      <w:r w:rsidRPr="0029284F">
        <w:t>As the AEMC foreshadowed, we may need to exercise our judgement in determining whether any 'margin of difference' is reasonable:</w:t>
      </w:r>
      <w:r w:rsidR="001B43AE">
        <w:rPr>
          <w:rStyle w:val="FootnoteReference"/>
        </w:rPr>
        <w:footnoteReference w:id="22"/>
      </w:r>
    </w:p>
    <w:p w:rsidR="0029284F" w:rsidRPr="0029284F" w:rsidRDefault="0029284F" w:rsidP="001B43AE">
      <w:pPr>
        <w:pStyle w:val="AERquote"/>
      </w:pPr>
      <w:r w:rsidRPr="0029284F">
        <w:t xml:space="preserve">The AER could be expected to approach the assessment of a NSP's expenditure (capex or opex) forecast by determining its own forecast of expenditure based on the material before it. Presumably this will never match </w:t>
      </w:r>
      <w:r w:rsidRPr="0029284F">
        <w:lastRenderedPageBreak/>
        <w:t>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B1200A" w:rsidRPr="00B1200A" w:rsidRDefault="00B1200A" w:rsidP="00B1200A">
      <w:r w:rsidRPr="00B1200A">
        <w:t xml:space="preserve">We have not relied solely on any one technique to assist us in forming a view as to whether we are satisfied that a </w:t>
      </w:r>
      <w:r w:rsidR="00F456A9">
        <w:t>distributor</w:t>
      </w:r>
      <w:r w:rsidRPr="00B1200A">
        <w:t>'s proposed forecast capex reasonably reflects the capex criteria. We have drawn on a range of techniques as well as our assessment of other elements that impact upon capex such as demand and real cost escalators.</w:t>
      </w:r>
    </w:p>
    <w:p w:rsidR="00B1200A" w:rsidRPr="00B1200A" w:rsidRDefault="00B1200A" w:rsidP="00B1200A">
      <w:r w:rsidRPr="00B1200A">
        <w:t>Our decision concerns SA</w:t>
      </w:r>
      <w:r w:rsidR="00463207">
        <w:t xml:space="preserve"> </w:t>
      </w:r>
      <w:r w:rsidRPr="00B1200A">
        <w:t>P</w:t>
      </w:r>
      <w:r w:rsidR="00463207">
        <w:t>ower Networks</w:t>
      </w:r>
      <w:r w:rsidR="00293ADE">
        <w:t>'</w:t>
      </w:r>
      <w:r w:rsidRPr="00B1200A">
        <w:t xml:space="preserve"> total forecast capex and we are not approving specific projects. It is important to recognise that the </w:t>
      </w:r>
      <w:r w:rsidR="00F456A9">
        <w:t>distributor</w:t>
      </w:r>
      <w:r w:rsidR="00F456A9" w:rsidRPr="00B1200A">
        <w:t xml:space="preserve"> </w:t>
      </w:r>
      <w:r w:rsidRPr="00B1200A">
        <w:t xml:space="preserve">is not precluded from undertaking unexpected capex works, if the need arises, and despite the fact that such works did not form part our assessment in this determination. We consider that </w:t>
      </w:r>
      <w:r w:rsidR="007A7D52">
        <w:t xml:space="preserve">a prudent and efficient </w:t>
      </w:r>
      <w:r w:rsidR="00F456A9">
        <w:t>distributor</w:t>
      </w:r>
      <w:r w:rsidRPr="00B1200A">
        <w:t xml:space="preserve"> </w:t>
      </w:r>
      <w:r w:rsidR="007A7D52" w:rsidRPr="00B1200A">
        <w:t>w</w:t>
      </w:r>
      <w:r w:rsidR="007A7D52">
        <w:t>ould</w:t>
      </w:r>
      <w:r w:rsidR="007A7D52" w:rsidRPr="00B1200A">
        <w:t xml:space="preserve"> </w:t>
      </w:r>
      <w:r w:rsidRPr="00B1200A">
        <w:t xml:space="preserve">consider the changing environment throughout the regulatory period and make sound decisions taking into account their individual circumstances to address any unanticipated issues. Our provision of a total capex </w:t>
      </w:r>
      <w:r w:rsidR="004A03A1">
        <w:t xml:space="preserve">forecast </w:t>
      </w:r>
      <w:r w:rsidRPr="00B1200A">
        <w:t xml:space="preserve">does not constrain a </w:t>
      </w:r>
      <w:r w:rsidR="00F456A9">
        <w:t>distributor</w:t>
      </w:r>
      <w:r w:rsidRPr="00B1200A">
        <w:t xml:space="preserve">’s actual spending – either as a cap or as a requirement that the </w:t>
      </w:r>
      <w:r w:rsidR="004A03A1">
        <w:t>forecast</w:t>
      </w:r>
      <w:r w:rsidRPr="00B1200A">
        <w:t xml:space="preserve"> be spent on specific projects or activities. It is conceivable that a </w:t>
      </w:r>
      <w:r w:rsidR="00F456A9">
        <w:t>distributor</w:t>
      </w:r>
      <w:r w:rsidRPr="00B1200A">
        <w:t xml:space="preserve"> might wish to expend particular capital expenditure differently or in excess of the total capex forecast set out in our  decision. Our decision does not constrain it from doing so. </w:t>
      </w:r>
    </w:p>
    <w:p w:rsidR="00B1200A" w:rsidRPr="00B1200A" w:rsidRDefault="00B1200A" w:rsidP="00B1200A">
      <w:r w:rsidRPr="00B1200A">
        <w:t xml:space="preserve">The regulatory framework has a number of mechanisms to deal with unanticipated expenditure needs. Importantly, where unexpected events leads to an overspend of the approved capex forecast, a </w:t>
      </w:r>
      <w:r w:rsidR="00F456A9">
        <w:t>distributor</w:t>
      </w:r>
      <w:r w:rsidRPr="00B1200A">
        <w:t xml:space="preserve"> does not bear the full cost, but rather bears 30 per cent of this cost, if the expenditure is found to be prudent and efficient. Further, for significant unexpected capex, the pass-through provisions provide a means for a </w:t>
      </w:r>
      <w:r w:rsidR="00F456A9">
        <w:t>distributor</w:t>
      </w:r>
      <w:r w:rsidRPr="00B1200A">
        <w:t xml:space="preserve"> to pass on such expenses to customers where appropriate. </w:t>
      </w:r>
    </w:p>
    <w:p w:rsidR="00B1200A" w:rsidRPr="00B1200A" w:rsidRDefault="00B1200A" w:rsidP="00B1200A">
      <w:r w:rsidRPr="00B1200A">
        <w:t>This does not mean that we have set our alternative estimate below the level where SA</w:t>
      </w:r>
      <w:r w:rsidR="00463207">
        <w:t xml:space="preserve"> </w:t>
      </w:r>
      <w:r w:rsidRPr="00B1200A">
        <w:t>P</w:t>
      </w:r>
      <w:r w:rsidR="00463207">
        <w:t>ower Networks</w:t>
      </w:r>
      <w:r w:rsidRPr="00B1200A">
        <w:t xml:space="preserve"> has a reasonable chance to recover its efficient costs. Rather, we note that SA</w:t>
      </w:r>
      <w:r w:rsidR="00463207">
        <w:t xml:space="preserve"> </w:t>
      </w:r>
      <w:r w:rsidRPr="00B1200A">
        <w:t>P</w:t>
      </w:r>
      <w:r w:rsidR="00463207">
        <w:t xml:space="preserve">ower </w:t>
      </w:r>
      <w:r w:rsidRPr="00B1200A">
        <w:t>N</w:t>
      </w:r>
      <w:r w:rsidR="00463207">
        <w:t>etworks</w:t>
      </w:r>
      <w:r w:rsidRPr="00B1200A">
        <w:t xml:space="preserve"> is able to respond to any unanticipated issues that arise during the 2015-20 regulatory </w:t>
      </w:r>
      <w:r w:rsidR="00547427">
        <w:t xml:space="preserve">control </w:t>
      </w:r>
      <w:r w:rsidRPr="00B1200A">
        <w:t>period and in the event that the approved total revenue underestimates the total capex required, SA</w:t>
      </w:r>
      <w:r w:rsidR="003F7CD1">
        <w:t xml:space="preserve"> </w:t>
      </w:r>
      <w:r w:rsidRPr="00B1200A">
        <w:t>P</w:t>
      </w:r>
      <w:r w:rsidR="003F7CD1">
        <w:t xml:space="preserve">ower </w:t>
      </w:r>
      <w:r w:rsidRPr="00B1200A">
        <w:t>N</w:t>
      </w:r>
      <w:r w:rsidR="003F7CD1">
        <w:t>etworks</w:t>
      </w:r>
      <w:r w:rsidRPr="00B1200A">
        <w:t xml:space="preserve"> has significant flexibility to allow it to meet its safety and reliability obligations.  </w:t>
      </w:r>
    </w:p>
    <w:p w:rsidR="00B1200A" w:rsidRPr="00B1200A" w:rsidRDefault="00B1200A" w:rsidP="00B1200A">
      <w:r w:rsidRPr="00B1200A">
        <w:t xml:space="preserve">Conversely, if we overestimate the amount of capex required, the stronger incentives put in place by the AEMC in 2012 should lead to a </w:t>
      </w:r>
      <w:r w:rsidR="007A7D52">
        <w:t>distributor</w:t>
      </w:r>
      <w:r w:rsidR="007A7D52" w:rsidRPr="00B1200A">
        <w:t xml:space="preserve"> </w:t>
      </w:r>
      <w:r w:rsidRPr="00B1200A">
        <w:t xml:space="preserve">spending only what is efficient, with the benefits of the underspend being shared between </w:t>
      </w:r>
      <w:r w:rsidR="007A7D52">
        <w:t xml:space="preserve">the distributor </w:t>
      </w:r>
      <w:r w:rsidRPr="00B1200A">
        <w:t xml:space="preserve">and consumers. </w:t>
      </w:r>
    </w:p>
    <w:p w:rsidR="005531F2" w:rsidRPr="005531F2" w:rsidRDefault="005531F2" w:rsidP="005531F2">
      <w:pPr>
        <w:pStyle w:val="Heading2"/>
      </w:pPr>
      <w:bookmarkStart w:id="29" w:name="_Toc417725375"/>
      <w:r w:rsidRPr="005531F2">
        <w:t xml:space="preserve">Reasons for </w:t>
      </w:r>
      <w:r w:rsidR="00787774">
        <w:t xml:space="preserve">preliminary </w:t>
      </w:r>
      <w:r w:rsidRPr="005531F2">
        <w:t>decision</w:t>
      </w:r>
      <w:bookmarkEnd w:id="29"/>
    </w:p>
    <w:p w:rsidR="001B43AE" w:rsidRDefault="001B43AE" w:rsidP="00525DDF">
      <w:pPr>
        <w:numPr>
          <w:ilvl w:val="0"/>
          <w:numId w:val="24"/>
        </w:numPr>
      </w:pPr>
      <w:r w:rsidRPr="001B43AE">
        <w:t xml:space="preserve">We applied the assessment approach set out in section 6.3 </w:t>
      </w:r>
      <w:r w:rsidR="007A7D52">
        <w:t>to SA Power Networks.</w:t>
      </w:r>
      <w:r w:rsidR="00293ADE">
        <w:t xml:space="preserve"> </w:t>
      </w:r>
      <w:r w:rsidR="007A7D52">
        <w:t>W</w:t>
      </w:r>
      <w:r w:rsidRPr="001B43AE">
        <w:t xml:space="preserve">e are not satisfied that </w:t>
      </w:r>
      <w:r>
        <w:t>SA</w:t>
      </w:r>
      <w:r w:rsidR="003F7CD1">
        <w:t xml:space="preserve"> </w:t>
      </w:r>
      <w:r>
        <w:t>P</w:t>
      </w:r>
      <w:r w:rsidR="003F7CD1">
        <w:t xml:space="preserve">ower </w:t>
      </w:r>
      <w:r>
        <w:t>N</w:t>
      </w:r>
      <w:r w:rsidR="003F7CD1">
        <w:t>etworks</w:t>
      </w:r>
      <w:r w:rsidR="00293ADE">
        <w:t>'</w:t>
      </w:r>
      <w:r w:rsidRPr="001B43AE">
        <w:t xml:space="preserve"> total forecast capex reasonably reflects the capex criteria. We compared </w:t>
      </w:r>
      <w:r>
        <w:t>SA</w:t>
      </w:r>
      <w:r w:rsidR="003F7CD1">
        <w:t xml:space="preserve"> </w:t>
      </w:r>
      <w:r>
        <w:t>P</w:t>
      </w:r>
      <w:r w:rsidR="003F7CD1">
        <w:t xml:space="preserve">ower </w:t>
      </w:r>
      <w:r>
        <w:t>N</w:t>
      </w:r>
      <w:r w:rsidR="003F7CD1">
        <w:t>etworks</w:t>
      </w:r>
      <w:r w:rsidR="00293ADE">
        <w:t>'</w:t>
      </w:r>
      <w:r w:rsidRPr="001B43AE">
        <w:t xml:space="preserve"> capex forecast to </w:t>
      </w:r>
      <w:r w:rsidR="00787774">
        <w:t>our alternative</w:t>
      </w:r>
      <w:r w:rsidR="00787774" w:rsidRPr="001B43AE">
        <w:t xml:space="preserve"> </w:t>
      </w:r>
      <w:r w:rsidRPr="001B43AE">
        <w:lastRenderedPageBreak/>
        <w:t xml:space="preserve">capex forecast we constructed using the approach and techniques outlined in </w:t>
      </w:r>
      <w:r w:rsidR="007428F9">
        <w:t>appendix A and</w:t>
      </w:r>
      <w:r w:rsidRPr="001B43AE">
        <w:t xml:space="preserve"> B. </w:t>
      </w:r>
      <w:r>
        <w:t>SA</w:t>
      </w:r>
      <w:r w:rsidR="003F7CD1">
        <w:t xml:space="preserve"> </w:t>
      </w:r>
      <w:r>
        <w:t>P</w:t>
      </w:r>
      <w:r w:rsidR="003F7CD1">
        <w:t>ower Networks</w:t>
      </w:r>
      <w:r w:rsidR="00293ADE">
        <w:t>'</w:t>
      </w:r>
      <w:r w:rsidRPr="001B43AE">
        <w:t xml:space="preserve"> proposal is materially higher than ours. We are satisfied that our alternative estimate reasonably reflects the capex criteria.</w:t>
      </w:r>
    </w:p>
    <w:p w:rsidR="005531F2" w:rsidRPr="005531F2" w:rsidRDefault="005531F2" w:rsidP="00525DDF">
      <w:pPr>
        <w:numPr>
          <w:ilvl w:val="0"/>
          <w:numId w:val="24"/>
        </w:numPr>
      </w:pPr>
      <w:r w:rsidRPr="005531F2">
        <w:fldChar w:fldCharType="begin"/>
      </w:r>
      <w:r w:rsidRPr="005531F2">
        <w:instrText xml:space="preserve"> REF _Ref403485724 \h </w:instrText>
      </w:r>
      <w:r w:rsidRPr="005531F2">
        <w:fldChar w:fldCharType="separate"/>
      </w:r>
      <w:r w:rsidR="00F02131" w:rsidRPr="005531F2">
        <w:t xml:space="preserve">Table </w:t>
      </w:r>
      <w:r w:rsidR="00F02131">
        <w:rPr>
          <w:noProof/>
        </w:rPr>
        <w:t>6</w:t>
      </w:r>
      <w:r w:rsidR="00F02131" w:rsidRPr="005531F2">
        <w:noBreakHyphen/>
      </w:r>
      <w:r w:rsidR="00F02131">
        <w:rPr>
          <w:noProof/>
        </w:rPr>
        <w:t>3</w:t>
      </w:r>
      <w:r w:rsidRPr="005531F2">
        <w:fldChar w:fldCharType="end"/>
      </w:r>
      <w:r w:rsidRPr="005531F2">
        <w:t xml:space="preserve"> sets out the capex amounts by capex driver that we have included in our alternative estimate of </w:t>
      </w:r>
      <w:r w:rsidR="00F52299">
        <w:t>SA</w:t>
      </w:r>
      <w:r w:rsidR="003F7CD1">
        <w:t xml:space="preserve"> </w:t>
      </w:r>
      <w:r w:rsidR="00F52299">
        <w:t>P</w:t>
      </w:r>
      <w:r w:rsidR="003F7CD1">
        <w:t>ower Networks</w:t>
      </w:r>
      <w:r w:rsidR="00DC7247">
        <w:t>'</w:t>
      </w:r>
      <w:r w:rsidRPr="005531F2">
        <w:t xml:space="preserve"> total forecast capex for the 2015–2020 </w:t>
      </w:r>
      <w:proofErr w:type="gramStart"/>
      <w:r w:rsidRPr="005531F2">
        <w:t>period</w:t>
      </w:r>
      <w:proofErr w:type="gramEnd"/>
      <w:r w:rsidRPr="005531F2">
        <w:t>.</w:t>
      </w:r>
    </w:p>
    <w:p w:rsidR="005531F2" w:rsidRPr="005531F2" w:rsidRDefault="005531F2" w:rsidP="005531F2">
      <w:pPr>
        <w:pStyle w:val="Charttitle"/>
      </w:pPr>
      <w:bookmarkStart w:id="30" w:name="_Ref403485724"/>
      <w:bookmarkStart w:id="31" w:name="_Ref403485719"/>
      <w:r w:rsidRPr="005531F2">
        <w:t xml:space="preserve">Table </w:t>
      </w:r>
      <w:fldSimple w:instr=" STYLEREF 1 \s ">
        <w:r w:rsidR="00F02131">
          <w:rPr>
            <w:noProof/>
          </w:rPr>
          <w:t>6</w:t>
        </w:r>
      </w:fldSimple>
      <w:r w:rsidRPr="005531F2">
        <w:noBreakHyphen/>
      </w:r>
      <w:fldSimple w:instr=" SEQ Table \* ARABIC \s 1 ">
        <w:r w:rsidR="00F02131">
          <w:rPr>
            <w:noProof/>
          </w:rPr>
          <w:t>3</w:t>
        </w:r>
      </w:fldSimple>
      <w:bookmarkEnd w:id="30"/>
      <w:r w:rsidRPr="005531F2">
        <w:tab/>
        <w:t xml:space="preserve">Our assessment of required capex by capex driver </w:t>
      </w:r>
      <w:r w:rsidR="004B575E" w:rsidRPr="005531F2">
        <w:t xml:space="preserve">2015–20 </w:t>
      </w:r>
      <w:r w:rsidRPr="005531F2">
        <w:t>($</w:t>
      </w:r>
      <w:r w:rsidR="004B575E">
        <w:t>2014-15,</w:t>
      </w:r>
      <w:r w:rsidRPr="005531F2">
        <w:t> million)</w:t>
      </w:r>
      <w:bookmarkEnd w:id="31"/>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5531F2" w:rsidRPr="005531F2" w:rsidTr="00B138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531F2" w:rsidRPr="005531F2" w:rsidRDefault="005531F2" w:rsidP="005531F2">
            <w:r w:rsidRPr="005531F2">
              <w:t>Category</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2015-16</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2016-17</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2017-18</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2018-19</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2019-20</w:t>
            </w:r>
          </w:p>
        </w:tc>
        <w:tc>
          <w:tcPr>
            <w:tcW w:w="625" w:type="pct"/>
            <w:hideMark/>
          </w:tcPr>
          <w:p w:rsidR="005531F2" w:rsidRPr="005531F2" w:rsidRDefault="005531F2" w:rsidP="005531F2">
            <w:pPr>
              <w:cnfStyle w:val="100000000000" w:firstRow="1" w:lastRow="0" w:firstColumn="0" w:lastColumn="0" w:oddVBand="0" w:evenVBand="0" w:oddHBand="0" w:evenHBand="0" w:firstRowFirstColumn="0" w:firstRowLastColumn="0" w:lastRowFirstColumn="0" w:lastRowLastColumn="0"/>
            </w:pPr>
            <w:r w:rsidRPr="005531F2">
              <w:t>Total</w:t>
            </w:r>
          </w:p>
        </w:tc>
      </w:tr>
      <w:tr w:rsidR="00B138D3" w:rsidRPr="005531F2" w:rsidTr="00B138D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Augmentation</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78.8</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97.3</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102.6</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96.2</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88.8</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463.6</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Connections</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96.3</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99.5</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101.8</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108.0</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114.6</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520.2</w:t>
            </w:r>
          </w:p>
        </w:tc>
      </w:tr>
      <w:tr w:rsidR="00B138D3" w:rsidRPr="005531F2" w:rsidTr="00B138D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Replacement</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104.3</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121.7</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127.5</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129.6</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126.3</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609.5</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Non-Network</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91.7</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84.2</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80.2</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79.6</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81.8</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417.4</w:t>
            </w:r>
          </w:p>
        </w:tc>
      </w:tr>
      <w:tr w:rsidR="00B138D3" w:rsidRPr="005531F2" w:rsidTr="00B138D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Capitalised overheads</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15.7</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15.9</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16.8</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17.4</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18.2</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pPr>
            <w:r w:rsidRPr="00B138D3">
              <w:t>84.1</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Materials escalation adjustment</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-4.5</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-5.7</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-7.8</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-8.9</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-10.0</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-36.8</w:t>
            </w:r>
          </w:p>
        </w:tc>
      </w:tr>
      <w:tr w:rsidR="00B138D3" w:rsidRPr="005531F2" w:rsidTr="00B138D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pPr>
              <w:rPr>
                <w:rStyle w:val="Strong"/>
              </w:rPr>
            </w:pPr>
            <w:r w:rsidRPr="00B138D3">
              <w:rPr>
                <w:rStyle w:val="Strong"/>
              </w:rPr>
              <w:t>Gross Capex (includes capital contributions)</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382.3</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412.9</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421.0</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422.0</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419.7</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2058.0</w:t>
            </w:r>
          </w:p>
        </w:tc>
      </w:tr>
      <w:tr w:rsidR="00B138D3" w:rsidRPr="005531F2" w:rsidTr="00B138D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r w:rsidRPr="00B138D3">
              <w:t>Capital Contributions</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71.1</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71.2</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72.7</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77.1</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81.9</w:t>
            </w:r>
          </w:p>
        </w:tc>
        <w:tc>
          <w:tcPr>
            <w:tcW w:w="625" w:type="pct"/>
          </w:tcPr>
          <w:p w:rsidR="00B138D3" w:rsidRPr="00B138D3" w:rsidRDefault="00B138D3" w:rsidP="00B138D3">
            <w:pPr>
              <w:cnfStyle w:val="000000010000" w:firstRow="0" w:lastRow="0" w:firstColumn="0" w:lastColumn="0" w:oddVBand="0" w:evenVBand="0" w:oddHBand="0" w:evenHBand="1" w:firstRowFirstColumn="0" w:firstRowLastColumn="0" w:lastRowFirstColumn="0" w:lastRowLastColumn="0"/>
            </w:pPr>
            <w:r w:rsidRPr="00B138D3">
              <w:t>374.0</w:t>
            </w:r>
          </w:p>
        </w:tc>
      </w:tr>
      <w:tr w:rsidR="00B138D3" w:rsidRPr="005531F2" w:rsidTr="00B138D3">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B138D3" w:rsidRPr="00B138D3" w:rsidRDefault="00B138D3">
            <w:pPr>
              <w:rPr>
                <w:rStyle w:val="Strong"/>
              </w:rPr>
            </w:pPr>
            <w:r w:rsidRPr="00B138D3">
              <w:rPr>
                <w:rStyle w:val="Strong"/>
              </w:rPr>
              <w:t>Net Capex (excluding cap</w:t>
            </w:r>
            <w:r w:rsidR="002012B0">
              <w:rPr>
                <w:rStyle w:val="Strong"/>
              </w:rPr>
              <w:t xml:space="preserve">ital </w:t>
            </w:r>
            <w:r w:rsidRPr="00B138D3">
              <w:rPr>
                <w:rStyle w:val="Strong"/>
              </w:rPr>
              <w:t>con</w:t>
            </w:r>
            <w:r w:rsidR="002012B0">
              <w:rPr>
                <w:rStyle w:val="Strong"/>
              </w:rPr>
              <w:t>tribution</w:t>
            </w:r>
            <w:r w:rsidRPr="00B138D3">
              <w:rPr>
                <w:rStyle w:val="Strong"/>
              </w:rPr>
              <w:t>s)</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311.2</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341.7</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348.3</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345.0</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337.8</w:t>
            </w:r>
          </w:p>
        </w:tc>
        <w:tc>
          <w:tcPr>
            <w:tcW w:w="625" w:type="pct"/>
          </w:tcPr>
          <w:p w:rsidR="00B138D3" w:rsidRPr="00B138D3" w:rsidRDefault="00B138D3" w:rsidP="00B138D3">
            <w:pPr>
              <w:cnfStyle w:val="000000000000" w:firstRow="0" w:lastRow="0" w:firstColumn="0" w:lastColumn="0" w:oddVBand="0" w:evenVBand="0" w:oddHBand="0" w:evenHBand="0" w:firstRowFirstColumn="0" w:firstRowLastColumn="0" w:lastRowFirstColumn="0" w:lastRowLastColumn="0"/>
              <w:rPr>
                <w:rStyle w:val="Strong"/>
              </w:rPr>
            </w:pPr>
            <w:r w:rsidRPr="00B138D3">
              <w:rPr>
                <w:rStyle w:val="Strong"/>
              </w:rPr>
              <w:t>1684.0</w:t>
            </w:r>
          </w:p>
        </w:tc>
      </w:tr>
    </w:tbl>
    <w:p w:rsidR="005531F2" w:rsidRPr="005531F2" w:rsidRDefault="005531F2" w:rsidP="005531F2">
      <w:pPr>
        <w:pStyle w:val="AERtablesource"/>
      </w:pPr>
      <w:r w:rsidRPr="005531F2">
        <w:t>Source:</w:t>
      </w:r>
      <w:r w:rsidRPr="005531F2">
        <w:tab/>
        <w:t>AER analysis</w:t>
      </w:r>
      <w:r w:rsidRPr="005531F2">
        <w:tab/>
      </w:r>
    </w:p>
    <w:p w:rsidR="005531F2" w:rsidRPr="005531F2" w:rsidRDefault="005531F2" w:rsidP="005531F2">
      <w:pPr>
        <w:pStyle w:val="AERtablesource"/>
      </w:pPr>
      <w:r w:rsidRPr="005531F2">
        <w:t>Note:</w:t>
      </w:r>
      <w:r w:rsidRPr="005531F2" w:rsidDel="002A0B9F">
        <w:t xml:space="preserve"> </w:t>
      </w:r>
      <w:r w:rsidRPr="005531F2">
        <w:tab/>
        <w:t>Numbers may not add up due to rounding.</w:t>
      </w:r>
    </w:p>
    <w:p w:rsidR="005531F2" w:rsidRPr="005531F2" w:rsidRDefault="005531F2" w:rsidP="00525DDF">
      <w:pPr>
        <w:numPr>
          <w:ilvl w:val="0"/>
          <w:numId w:val="24"/>
        </w:numPr>
      </w:pPr>
      <w:r w:rsidRPr="005531F2">
        <w:t xml:space="preserve">Our </w:t>
      </w:r>
      <w:r w:rsidR="006C0C3E" w:rsidRPr="005531F2">
        <w:t xml:space="preserve">assessment of </w:t>
      </w:r>
      <w:r w:rsidR="006C0C3E">
        <w:t>SA Power Networks'</w:t>
      </w:r>
      <w:r w:rsidR="006C0C3E" w:rsidRPr="005531F2">
        <w:t xml:space="preserve"> forecasting methodology, key assumptions and past capex performance is</w:t>
      </w:r>
      <w:r w:rsidRPr="005531F2">
        <w:t xml:space="preserve"> discussed in the section below. </w:t>
      </w:r>
    </w:p>
    <w:p w:rsidR="005531F2" w:rsidRDefault="005531F2" w:rsidP="00525DDF">
      <w:pPr>
        <w:numPr>
          <w:ilvl w:val="0"/>
          <w:numId w:val="24"/>
        </w:numPr>
      </w:pPr>
      <w:r w:rsidRPr="005531F2">
        <w:t>Our ass</w:t>
      </w:r>
      <w:r w:rsidR="00547427">
        <w:t>essment of capex drivers is in a</w:t>
      </w:r>
      <w:r w:rsidRPr="005531F2">
        <w:t xml:space="preserve">ppendix A. This sets out the application of our assessment techniques to the capex drivers, and the weighting we gave to particular techniques. </w:t>
      </w:r>
      <w:r w:rsidR="007A7D52">
        <w:t xml:space="preserve">We used our </w:t>
      </w:r>
      <w:r w:rsidRPr="005531F2">
        <w:t>reasoning in the appendices</w:t>
      </w:r>
      <w:r w:rsidR="007A7D52">
        <w:t xml:space="preserve"> to</w:t>
      </w:r>
      <w:r w:rsidRPr="005531F2">
        <w:t xml:space="preserve"> form our alternative estimate. </w:t>
      </w:r>
    </w:p>
    <w:p w:rsidR="001B43AE" w:rsidRPr="005531F2" w:rsidRDefault="001B43AE" w:rsidP="001B43AE">
      <w:pPr>
        <w:pStyle w:val="Heading3"/>
      </w:pPr>
      <w:bookmarkStart w:id="32" w:name="_Toc404419586"/>
      <w:bookmarkStart w:id="33" w:name="_Toc404605695"/>
      <w:bookmarkStart w:id="34" w:name="_Toc413071337"/>
      <w:bookmarkStart w:id="35" w:name="_Toc417725376"/>
      <w:r w:rsidRPr="005531F2">
        <w:t>Key assumptions</w:t>
      </w:r>
      <w:bookmarkEnd w:id="32"/>
      <w:bookmarkEnd w:id="33"/>
      <w:bookmarkEnd w:id="34"/>
      <w:bookmarkEnd w:id="35"/>
    </w:p>
    <w:p w:rsidR="001B43AE" w:rsidRPr="005531F2" w:rsidRDefault="001B43AE" w:rsidP="00525DDF">
      <w:pPr>
        <w:numPr>
          <w:ilvl w:val="0"/>
          <w:numId w:val="24"/>
        </w:numPr>
      </w:pPr>
      <w:r w:rsidRPr="005531F2">
        <w:t xml:space="preserve">The NER require </w:t>
      </w:r>
      <w:r>
        <w:t>SA</w:t>
      </w:r>
      <w:r w:rsidR="003F7CD1">
        <w:t xml:space="preserve"> </w:t>
      </w:r>
      <w:r>
        <w:t>P</w:t>
      </w:r>
      <w:r w:rsidR="003F7CD1">
        <w:t xml:space="preserve">ower </w:t>
      </w:r>
      <w:r>
        <w:t>N</w:t>
      </w:r>
      <w:r w:rsidR="003F7CD1">
        <w:t>etworks</w:t>
      </w:r>
      <w:r w:rsidRPr="005531F2">
        <w:t xml:space="preserve"> to include in its regulatory proposal the key assumptions that underlie its proposed forecast capex and a certification by its directors that those key assumptions are reasonable.</w:t>
      </w:r>
      <w:r>
        <w:rPr>
          <w:rStyle w:val="FootnoteReference"/>
        </w:rPr>
        <w:footnoteReference w:id="23"/>
      </w:r>
    </w:p>
    <w:p w:rsidR="001B43AE" w:rsidRPr="005531F2" w:rsidRDefault="001B43AE" w:rsidP="00525DDF">
      <w:pPr>
        <w:numPr>
          <w:ilvl w:val="0"/>
          <w:numId w:val="24"/>
        </w:numPr>
      </w:pPr>
      <w:r>
        <w:t>SA</w:t>
      </w:r>
      <w:r w:rsidR="003F7CD1">
        <w:t xml:space="preserve"> </w:t>
      </w:r>
      <w:r>
        <w:t>P</w:t>
      </w:r>
      <w:r w:rsidR="003F7CD1">
        <w:t xml:space="preserve">ower </w:t>
      </w:r>
      <w:r>
        <w:t>N</w:t>
      </w:r>
      <w:r w:rsidR="003F7CD1">
        <w:t>etworks</w:t>
      </w:r>
      <w:r w:rsidR="00DC7247">
        <w:t>'</w:t>
      </w:r>
      <w:r w:rsidRPr="005531F2">
        <w:t xml:space="preserve"> key assumptions are:</w:t>
      </w:r>
      <w:r>
        <w:rPr>
          <w:rStyle w:val="FootnoteReference"/>
        </w:rPr>
        <w:footnoteReference w:id="24"/>
      </w:r>
    </w:p>
    <w:p w:rsidR="001B43AE" w:rsidRPr="001B43AE" w:rsidRDefault="001B43AE" w:rsidP="001B43AE">
      <w:pPr>
        <w:pStyle w:val="AERbulletlistfirststyle"/>
      </w:pPr>
      <w:r>
        <w:lastRenderedPageBreak/>
        <w:t>Expenditure forecasts are consistent with the strategic review they have undertaken</w:t>
      </w:r>
    </w:p>
    <w:p w:rsidR="001B43AE" w:rsidRDefault="001B43AE" w:rsidP="001B43AE">
      <w:pPr>
        <w:pStyle w:val="AERbulletlistfirststyle"/>
      </w:pPr>
      <w:r>
        <w:t>Forecast expenditure incorporates stakeholder engagement feedback</w:t>
      </w:r>
    </w:p>
    <w:p w:rsidR="001B43AE" w:rsidRDefault="001B43AE" w:rsidP="001B43AE">
      <w:pPr>
        <w:pStyle w:val="AERbulletlistfirststyle"/>
      </w:pPr>
      <w:r>
        <w:t>Past expenditure provides a reasonable indication of likely future expenditure, except where otherwise noted in the Proposal</w:t>
      </w:r>
    </w:p>
    <w:p w:rsidR="001B43AE" w:rsidRPr="001B43AE" w:rsidRDefault="001B43AE" w:rsidP="001B43AE">
      <w:pPr>
        <w:pStyle w:val="AERbulletlistfirststyle"/>
      </w:pPr>
      <w:r>
        <w:t xml:space="preserve">Benchmarking confirms that they are acting as an efficient </w:t>
      </w:r>
      <w:r w:rsidRPr="001B43AE">
        <w:t>distributor</w:t>
      </w:r>
    </w:p>
    <w:p w:rsidR="001B43AE" w:rsidRDefault="001B43AE" w:rsidP="001B43AE">
      <w:pPr>
        <w:pStyle w:val="AERbulletlistfirststyle"/>
      </w:pPr>
      <w:r>
        <w:t>Unit costs of work will remain consistent with historical costs, with the exception of labour, materials and services cost escalation</w:t>
      </w:r>
    </w:p>
    <w:p w:rsidR="001B43AE" w:rsidRPr="001B43AE" w:rsidRDefault="001B43AE" w:rsidP="001B43AE">
      <w:pPr>
        <w:pStyle w:val="AERbulletlistfirststyle"/>
      </w:pPr>
      <w:r>
        <w:t xml:space="preserve">Replacement asset management </w:t>
      </w:r>
      <w:r w:rsidRPr="001B43AE">
        <w:t xml:space="preserve">strategies and the scope of works selected for each asset category are appropriate to meet the capital expenditure objectives of the </w:t>
      </w:r>
      <w:r w:rsidR="00A452C0">
        <w:t>NER</w:t>
      </w:r>
    </w:p>
    <w:p w:rsidR="001B43AE" w:rsidRPr="001B43AE" w:rsidRDefault="001B43AE" w:rsidP="001B43AE">
      <w:pPr>
        <w:pStyle w:val="AERbulletlistfirststyle"/>
      </w:pPr>
      <w:r>
        <w:t xml:space="preserve">Capacity asset management </w:t>
      </w:r>
      <w:r w:rsidRPr="001B43AE">
        <w:t xml:space="preserve">strategies and the scope of works selected for each asset category are appropriate to meet the capital expenditure objectives of the </w:t>
      </w:r>
      <w:r w:rsidR="00A452C0">
        <w:t>NER</w:t>
      </w:r>
    </w:p>
    <w:p w:rsidR="001B43AE" w:rsidRPr="001B43AE" w:rsidRDefault="001B43AE" w:rsidP="001B43AE">
      <w:pPr>
        <w:pStyle w:val="AERbulletlistfirststyle"/>
      </w:pPr>
      <w:r>
        <w:t xml:space="preserve">Peak demand, connections, IT, Fleet and property expenditure are all as forecast. </w:t>
      </w:r>
    </w:p>
    <w:p w:rsidR="00913B8E" w:rsidRPr="00913B8E" w:rsidRDefault="00913B8E" w:rsidP="00913B8E">
      <w:bookmarkStart w:id="36" w:name="_Toc404419585"/>
      <w:bookmarkStart w:id="37" w:name="_Toc404605694"/>
      <w:bookmarkStart w:id="38" w:name="_Toc413071332"/>
      <w:r w:rsidRPr="00913B8E">
        <w:t xml:space="preserve">We have assessed </w:t>
      </w:r>
      <w:r w:rsidR="00096D0A">
        <w:t>SA</w:t>
      </w:r>
      <w:r w:rsidR="003F7CD1">
        <w:t xml:space="preserve"> </w:t>
      </w:r>
      <w:r w:rsidR="00096D0A">
        <w:t>P</w:t>
      </w:r>
      <w:r w:rsidR="003F7CD1">
        <w:t>ower Networks</w:t>
      </w:r>
      <w:r w:rsidR="00DC7247">
        <w:t>'</w:t>
      </w:r>
      <w:r w:rsidRPr="00913B8E">
        <w:t xml:space="preserve"> key assumptions in the appendices to this capex attachment.</w:t>
      </w:r>
    </w:p>
    <w:p w:rsidR="005531F2" w:rsidRPr="005531F2" w:rsidRDefault="005531F2" w:rsidP="00913B8E">
      <w:pPr>
        <w:pStyle w:val="Heading3"/>
      </w:pPr>
      <w:bookmarkStart w:id="39" w:name="_Toc417725377"/>
      <w:r w:rsidRPr="005531F2">
        <w:t>Forecasting methodology</w:t>
      </w:r>
      <w:bookmarkEnd w:id="36"/>
      <w:bookmarkEnd w:id="37"/>
      <w:bookmarkEnd w:id="38"/>
      <w:bookmarkEnd w:id="39"/>
    </w:p>
    <w:p w:rsidR="005531F2" w:rsidRPr="005531F2" w:rsidRDefault="00F52299" w:rsidP="00525DDF">
      <w:pPr>
        <w:numPr>
          <w:ilvl w:val="0"/>
          <w:numId w:val="24"/>
        </w:numPr>
      </w:pPr>
      <w:r>
        <w:t>SA</w:t>
      </w:r>
      <w:r w:rsidR="003F7CD1">
        <w:t xml:space="preserve"> Power Networks</w:t>
      </w:r>
      <w:r w:rsidR="005531F2" w:rsidRPr="005531F2">
        <w:t xml:space="preserve"> is required to inform us about the methodology it proposes to use to prepare its forecast capex allowance before it submits its regulatory proposal.</w:t>
      </w:r>
      <w:r w:rsidR="000D3300">
        <w:rPr>
          <w:rStyle w:val="FootnoteReference"/>
        </w:rPr>
        <w:footnoteReference w:id="25"/>
      </w:r>
      <w:r w:rsidR="005531F2" w:rsidRPr="005531F2">
        <w:t xml:space="preserve"> It is also required to include this information in its regulatory proposal.</w:t>
      </w:r>
      <w:r w:rsidR="000D3300">
        <w:rPr>
          <w:rStyle w:val="FootnoteReference"/>
        </w:rPr>
        <w:footnoteReference w:id="26"/>
      </w:r>
    </w:p>
    <w:p w:rsidR="005531F2" w:rsidRPr="005531F2" w:rsidRDefault="005531F2" w:rsidP="00525DDF">
      <w:pPr>
        <w:numPr>
          <w:ilvl w:val="0"/>
          <w:numId w:val="24"/>
        </w:numPr>
      </w:pPr>
      <w:r w:rsidRPr="005531F2">
        <w:t xml:space="preserve">The main points of </w:t>
      </w:r>
      <w:r w:rsidR="00F52299">
        <w:t>SA</w:t>
      </w:r>
      <w:r w:rsidR="003F7CD1">
        <w:t xml:space="preserve"> </w:t>
      </w:r>
      <w:r w:rsidR="00F52299">
        <w:t>P</w:t>
      </w:r>
      <w:r w:rsidR="003F7CD1">
        <w:t>ower Networks</w:t>
      </w:r>
      <w:r w:rsidR="00DC7247">
        <w:t>'</w:t>
      </w:r>
      <w:r w:rsidRPr="005531F2">
        <w:t xml:space="preserve"> forecasting methodology are</w:t>
      </w:r>
      <w:r w:rsidR="006C5512">
        <w:t xml:space="preserve"> as follows</w:t>
      </w:r>
      <w:r w:rsidRPr="005531F2">
        <w:t>:</w:t>
      </w:r>
      <w:r w:rsidR="000D3300">
        <w:rPr>
          <w:rStyle w:val="FootnoteReference"/>
        </w:rPr>
        <w:footnoteReference w:id="27"/>
      </w:r>
    </w:p>
    <w:p w:rsidR="005531F2" w:rsidRDefault="00142BF0" w:rsidP="00142BF0">
      <w:pPr>
        <w:pStyle w:val="AERbulletlistfirststyle"/>
      </w:pPr>
      <w:r>
        <w:t>C</w:t>
      </w:r>
      <w:r w:rsidRPr="00142BF0">
        <w:t>apital expenditure plan</w:t>
      </w:r>
      <w:r w:rsidR="006C5512">
        <w:t>s</w:t>
      </w:r>
      <w:r w:rsidRPr="00142BF0">
        <w:t xml:space="preserve"> </w:t>
      </w:r>
      <w:r w:rsidR="001C0147">
        <w:t>are</w:t>
      </w:r>
      <w:r w:rsidRPr="00142BF0">
        <w:t xml:space="preserve"> developed by aggregating a large number of generally bottom-up build asset management and/or expenditure plans across a range of expenditure categories.</w:t>
      </w:r>
      <w:r w:rsidR="006C5512">
        <w:t xml:space="preserve"> </w:t>
      </w:r>
      <w:r w:rsidRPr="00142BF0">
        <w:t xml:space="preserve">SA Power Networks </w:t>
      </w:r>
      <w:r w:rsidR="001C0147">
        <w:t>also</w:t>
      </w:r>
      <w:r w:rsidR="001C0147" w:rsidRPr="00142BF0">
        <w:t xml:space="preserve"> </w:t>
      </w:r>
      <w:r w:rsidRPr="00142BF0">
        <w:t>engage</w:t>
      </w:r>
      <w:r w:rsidR="001C0147">
        <w:t>s</w:t>
      </w:r>
      <w:r w:rsidRPr="00142BF0">
        <w:t xml:space="preserve"> independent, expert advice to review and support its plans, processes and expenditure forecasts.</w:t>
      </w:r>
    </w:p>
    <w:p w:rsidR="00142BF0" w:rsidRDefault="00142BF0" w:rsidP="00142BF0">
      <w:pPr>
        <w:pStyle w:val="AERbulletlistfirststyle"/>
      </w:pPr>
      <w:r>
        <w:t>C</w:t>
      </w:r>
      <w:r w:rsidRPr="00142BF0">
        <w:t xml:space="preserve">onsumer and stakeholder engagement program led to the identification and understanding of various stakeholder and consumer issues and concerns. </w:t>
      </w:r>
    </w:p>
    <w:p w:rsidR="00142BF0" w:rsidRDefault="00142BF0" w:rsidP="00142BF0">
      <w:pPr>
        <w:pStyle w:val="AERbulletlistfirststyle"/>
      </w:pPr>
      <w:r w:rsidRPr="00142BF0">
        <w:t xml:space="preserve">Once the scope of a capital expenditure plan has been determined, it </w:t>
      </w:r>
      <w:r w:rsidR="001C0147">
        <w:t>is</w:t>
      </w:r>
      <w:r w:rsidRPr="00142BF0">
        <w:t xml:space="preserve"> costed, generally utilising unit costs based on historical ‘building block’ estimates for similar projects and assembled in SA Power Networks’ standard estimating system.</w:t>
      </w:r>
    </w:p>
    <w:p w:rsidR="00142BF0" w:rsidRPr="00142BF0" w:rsidRDefault="00142BF0" w:rsidP="00142BF0">
      <w:pPr>
        <w:pStyle w:val="AERbulletlistfirststyle"/>
      </w:pPr>
      <w:r w:rsidRPr="00142BF0">
        <w:lastRenderedPageBreak/>
        <w:t xml:space="preserve">The interaction between individual capital expenditure categories </w:t>
      </w:r>
      <w:r w:rsidR="001C0147">
        <w:t xml:space="preserve">is </w:t>
      </w:r>
      <w:r w:rsidRPr="00142BF0">
        <w:t xml:space="preserve">considered by performing a ‘trade-off’ or benefits review. This review </w:t>
      </w:r>
      <w:r w:rsidR="001C0147">
        <w:t>is</w:t>
      </w:r>
      <w:r w:rsidRPr="00142BF0">
        <w:t xml:space="preserve"> conducted prior to aggregation of the capital expenditure categories, whereby each proposed expenditure scope will be examined for potential benefits in other expenditure lines and, where trade-off possibilities are considered prudent and efficient, corresponding adjustments will be made.</w:t>
      </w:r>
    </w:p>
    <w:p w:rsidR="00142BF0" w:rsidRPr="005531F2" w:rsidRDefault="00142BF0" w:rsidP="00142BF0">
      <w:pPr>
        <w:pStyle w:val="AERbulletlistfirststyle"/>
      </w:pPr>
      <w:r w:rsidRPr="00142BF0">
        <w:t>Finally, escalation for forecast changes in the real costs of materials, labour, contract services and l</w:t>
      </w:r>
      <w:r w:rsidR="00547427">
        <w:t>and anticipated over the 2015-</w:t>
      </w:r>
      <w:r w:rsidRPr="00142BF0">
        <w:t>20 regulatory control period will be applied.</w:t>
      </w:r>
    </w:p>
    <w:p w:rsidR="001B43AE" w:rsidRPr="00722006" w:rsidRDefault="005531F2" w:rsidP="00913B8E">
      <w:r w:rsidRPr="00722006">
        <w:t xml:space="preserve">We have identified two aspects of </w:t>
      </w:r>
      <w:r w:rsidR="00F52299" w:rsidRPr="00722006">
        <w:t>SA</w:t>
      </w:r>
      <w:r w:rsidR="003F7CD1">
        <w:t xml:space="preserve"> </w:t>
      </w:r>
      <w:r w:rsidR="00F52299" w:rsidRPr="00722006">
        <w:t>P</w:t>
      </w:r>
      <w:r w:rsidR="003F7CD1">
        <w:t>ower Networks</w:t>
      </w:r>
      <w:r w:rsidR="00DC7247">
        <w:t>'</w:t>
      </w:r>
      <w:r w:rsidRPr="00722006">
        <w:t xml:space="preserve"> forecasting methodology which indicate that its methodology is not a sufficient basis on which to conclude that its proposed total forecast capex reasonably reflects the capex criteria. </w:t>
      </w:r>
      <w:r w:rsidR="001B43AE" w:rsidRPr="00722006">
        <w:t>These are:</w:t>
      </w:r>
    </w:p>
    <w:p w:rsidR="001B43AE" w:rsidRPr="00722006" w:rsidRDefault="00A76603" w:rsidP="00913B8E">
      <w:pPr>
        <w:pStyle w:val="AERbulletlistfirststyle"/>
      </w:pPr>
      <w:r w:rsidRPr="00722006">
        <w:t>SA</w:t>
      </w:r>
      <w:r w:rsidR="003F7CD1">
        <w:t xml:space="preserve"> </w:t>
      </w:r>
      <w:r w:rsidRPr="00722006">
        <w:t>P</w:t>
      </w:r>
      <w:r w:rsidR="003F7CD1">
        <w:t>ower Networks</w:t>
      </w:r>
      <w:r w:rsidR="00DC7247">
        <w:t>'</w:t>
      </w:r>
      <w:r w:rsidR="001B43AE" w:rsidRPr="00722006">
        <w:t xml:space="preserve"> forecasting methodology generally applies a bottom-up build (or bottom-up assessment) to estimate the forecast expenditure for all its capex categories. </w:t>
      </w:r>
    </w:p>
    <w:p w:rsidR="00913B8E" w:rsidRPr="00722006" w:rsidRDefault="00A76603" w:rsidP="00722006">
      <w:pPr>
        <w:pStyle w:val="AERbulletlistfirststyle"/>
      </w:pPr>
      <w:r w:rsidRPr="00722006">
        <w:t>SA</w:t>
      </w:r>
      <w:r w:rsidR="003F7CD1">
        <w:t xml:space="preserve"> </w:t>
      </w:r>
      <w:r w:rsidRPr="00722006">
        <w:t>P</w:t>
      </w:r>
      <w:r w:rsidR="003F7CD1">
        <w:t>ower Networks</w:t>
      </w:r>
      <w:r w:rsidR="00DC7247">
        <w:t>'</w:t>
      </w:r>
      <w:r w:rsidR="001B43AE" w:rsidRPr="00722006">
        <w:t xml:space="preserve"> cost-benefit evaluation of each of its capital projects or programs reveals that its underlying risk assessment is excessively conservative.</w:t>
      </w:r>
    </w:p>
    <w:p w:rsidR="00913B8E" w:rsidRPr="00913B8E" w:rsidRDefault="00913B8E" w:rsidP="00913B8E">
      <w:pPr>
        <w:pStyle w:val="Heading4"/>
      </w:pPr>
      <w:r w:rsidRPr="00913B8E">
        <w:t>Lack of top-down restraint</w:t>
      </w:r>
    </w:p>
    <w:p w:rsidR="00366104" w:rsidRDefault="00366104" w:rsidP="00366104">
      <w:bookmarkStart w:id="40" w:name="_Toc413071336"/>
      <w:r>
        <w:t>SA</w:t>
      </w:r>
      <w:r w:rsidR="003F7CD1">
        <w:t xml:space="preserve"> </w:t>
      </w:r>
      <w:r>
        <w:t>P</w:t>
      </w:r>
      <w:r w:rsidR="003F7CD1">
        <w:t>ower Networks</w:t>
      </w:r>
      <w:r w:rsidR="00DC7247">
        <w:t>'</w:t>
      </w:r>
      <w:r w:rsidRPr="00913B8E">
        <w:t xml:space="preserve"> forecasting methodology is primarily based upon a bottom-up build (or bottom-up assessment) to estimate the forecast expenditure for all its capex categories</w:t>
      </w:r>
      <w:r>
        <w:t>.</w:t>
      </w:r>
      <w:r w:rsidRPr="009558A5">
        <w:t xml:space="preserve"> SA</w:t>
      </w:r>
      <w:r w:rsidR="003F7CD1">
        <w:t xml:space="preserve"> </w:t>
      </w:r>
      <w:r w:rsidRPr="009558A5">
        <w:t>P</w:t>
      </w:r>
      <w:r w:rsidR="003F7CD1">
        <w:t xml:space="preserve">ower </w:t>
      </w:r>
      <w:r w:rsidRPr="009558A5">
        <w:t>N</w:t>
      </w:r>
      <w:r w:rsidR="003F7CD1">
        <w:t>etworks</w:t>
      </w:r>
      <w:r w:rsidRPr="009558A5">
        <w:t xml:space="preserve"> has not undertaken an overarching or t</w:t>
      </w:r>
      <w:r>
        <w:t xml:space="preserve">op down assessment or provided </w:t>
      </w:r>
      <w:r w:rsidRPr="009558A5">
        <w:t xml:space="preserve">information that could be readily used to test the overall capex portfolio in a top down manner. </w:t>
      </w:r>
      <w:r>
        <w:t>F</w:t>
      </w:r>
      <w:r w:rsidRPr="009558A5">
        <w:t>or example network performance and risk have not been considered by SA</w:t>
      </w:r>
      <w:r w:rsidR="003F7CD1">
        <w:t xml:space="preserve"> </w:t>
      </w:r>
      <w:r w:rsidRPr="009558A5">
        <w:t>P</w:t>
      </w:r>
      <w:r w:rsidR="003F7CD1">
        <w:t>ower Networks</w:t>
      </w:r>
      <w:r w:rsidRPr="009558A5">
        <w:t xml:space="preserve"> at a total capex forecast level</w:t>
      </w:r>
      <w:r>
        <w:t xml:space="preserve">. </w:t>
      </w:r>
      <w:r w:rsidR="00787774" w:rsidRPr="00787774">
        <w:t>While SA</w:t>
      </w:r>
      <w:r w:rsidR="003F7CD1">
        <w:t xml:space="preserve"> </w:t>
      </w:r>
      <w:r w:rsidR="00787774" w:rsidRPr="00787774">
        <w:t>P</w:t>
      </w:r>
      <w:r w:rsidR="003F7CD1">
        <w:t>ower Networks</w:t>
      </w:r>
      <w:r w:rsidR="00787774" w:rsidRPr="00787774">
        <w:t xml:space="preserve"> has in some cases considered risk in their asset management plans, business cases and other supporting documents, this information is of limited value as the risk assessment appears to be generally of poor quality, often qualitative in nature and not readily referable to the overall proposed capex portfolio.  We do not consider that senior management review and board sign off provides a sufficient demonstration that a degree of overall restraint has been brought to bear.  </w:t>
      </w:r>
      <w:r w:rsidR="00DE5514" w:rsidRPr="00DE5514">
        <w:t xml:space="preserve">We would expect </w:t>
      </w:r>
      <w:r w:rsidR="00DE5514">
        <w:t>that a comprehensive review would have resulted in top down adjustments</w:t>
      </w:r>
      <w:r w:rsidR="00DE5514" w:rsidRPr="00DE5514">
        <w:t xml:space="preserve">. However, we </w:t>
      </w:r>
      <w:r w:rsidR="00DE5514">
        <w:t>could not identify</w:t>
      </w:r>
      <w:r w:rsidR="00DE5514" w:rsidRPr="00DE5514">
        <w:t xml:space="preserve"> any information that demonstrate</w:t>
      </w:r>
      <w:r w:rsidR="00DE5514">
        <w:t>d that</w:t>
      </w:r>
      <w:r w:rsidR="00DE5514" w:rsidRPr="00DE5514">
        <w:t xml:space="preserve"> this </w:t>
      </w:r>
      <w:r w:rsidR="00DE5514">
        <w:t>had occurred.</w:t>
      </w:r>
    </w:p>
    <w:p w:rsidR="00366104" w:rsidRPr="00913B8E" w:rsidRDefault="00366104" w:rsidP="00366104">
      <w:r>
        <w:t>T</w:t>
      </w:r>
      <w:r w:rsidRPr="00913B8E">
        <w:t xml:space="preserve">he drawback of deriving an estimate of capex by applying a bottom-up assessment is that of itself it does not provide sufficient evidence that the estimate is efficient. Bottom up approaches have a tendency to overstate required allowances as they do not adequately account for inter-relationships and synergies between projects or areas of work. In contrast, reviewing aggregated areas of expenditure or the total expenditure, allows for an overall assessment of efficiency. In certain very limited circumstances, a </w:t>
      </w:r>
      <w:r w:rsidRPr="00913B8E">
        <w:lastRenderedPageBreak/>
        <w:t>bottom up build may be a reasonable starting point to justifying expenditure.</w:t>
      </w:r>
      <w:r>
        <w:rPr>
          <w:rStyle w:val="FootnoteReference"/>
        </w:rPr>
        <w:footnoteReference w:id="28"/>
      </w:r>
      <w:r w:rsidRPr="00913B8E">
        <w:t xml:space="preserve"> However, simply aggregating such estimates is unlikely to result in a total forecast capex allowance that we are satisfied reasonably reflects the capex criteria. </w:t>
      </w:r>
    </w:p>
    <w:p w:rsidR="00366104" w:rsidRPr="00913B8E" w:rsidRDefault="00366104" w:rsidP="00366104">
      <w:r w:rsidRPr="00913B8E">
        <w:t>As we stated in our Expenditure Guideline, we intend to assess forecast capex proposals through a combination of top down and bottom up modelling.</w:t>
      </w:r>
      <w:r>
        <w:rPr>
          <w:rStyle w:val="FootnoteReference"/>
        </w:rPr>
        <w:footnoteReference w:id="29"/>
      </w:r>
      <w:r w:rsidRPr="00913B8E">
        <w:t xml:space="preserve"> Our top-down assessment of </w:t>
      </w:r>
      <w:r>
        <w:t>SA</w:t>
      </w:r>
      <w:r w:rsidR="003F7CD1">
        <w:t xml:space="preserve"> </w:t>
      </w:r>
      <w:r>
        <w:t>P</w:t>
      </w:r>
      <w:r w:rsidR="003F7CD1">
        <w:t>ower Networks</w:t>
      </w:r>
      <w:r w:rsidR="00DC7247">
        <w:t>'</w:t>
      </w:r>
      <w:r w:rsidRPr="00913B8E">
        <w:t xml:space="preserve"> proposed forecast is a material consideration in determining whether we are satisfied if it reasonably reflects the capex criteria. For example, trend analysis is a top-down assessment that can be applied in the context of a distribution network. This technique is able to test whether an estimate that results from a bottom-up assessment might be efficient. We have used this technique in this determination. </w:t>
      </w:r>
    </w:p>
    <w:p w:rsidR="00366104" w:rsidRPr="00913B8E" w:rsidRDefault="00366104" w:rsidP="00366104">
      <w:r w:rsidRPr="00913B8E">
        <w:t>A top-down assessment should also clearly evidence a holistic and strategic consideration or assessment of the entire forecast capex program at a portfolio level. It should also demonstrate how the forecast capex proposal has been subject to governance and risk management arrangements. In turn, these arrangements should demonstrate how the timing and prioritisation of certain capital projects or programs has been determined over both the short and the long-term. It should also demonstrate that the capex drivers, such as asset health and risk levels, are well defined and justified. In particular, asset health and risk level metrics are key elements of capex drivers.</w:t>
      </w:r>
    </w:p>
    <w:p w:rsidR="00366104" w:rsidRPr="00913B8E" w:rsidRDefault="00366104" w:rsidP="00366104">
      <w:pPr>
        <w:pStyle w:val="Heading4"/>
      </w:pPr>
      <w:bookmarkStart w:id="41" w:name="_Toc415557021"/>
      <w:r>
        <w:t>Excessively conservative ri</w:t>
      </w:r>
      <w:r w:rsidRPr="009558A5">
        <w:t xml:space="preserve">sk assessment  </w:t>
      </w:r>
      <w:bookmarkEnd w:id="41"/>
    </w:p>
    <w:p w:rsidR="00366104" w:rsidRDefault="00366104" w:rsidP="00525DDF">
      <w:pPr>
        <w:numPr>
          <w:ilvl w:val="0"/>
          <w:numId w:val="24"/>
        </w:numPr>
      </w:pPr>
      <w:r w:rsidRPr="00913B8E">
        <w:t xml:space="preserve">Secondly, </w:t>
      </w:r>
      <w:r>
        <w:t>SA</w:t>
      </w:r>
      <w:r w:rsidR="00316D97">
        <w:t xml:space="preserve"> </w:t>
      </w:r>
      <w:r>
        <w:t>P</w:t>
      </w:r>
      <w:r w:rsidR="00316D97">
        <w:t>ower Networks</w:t>
      </w:r>
      <w:r w:rsidR="00DC7247">
        <w:t>'</w:t>
      </w:r>
      <w:r w:rsidRPr="00913B8E">
        <w:t xml:space="preserve"> cost-benefit evaluation of </w:t>
      </w:r>
      <w:r>
        <w:t xml:space="preserve">some of </w:t>
      </w:r>
      <w:r w:rsidRPr="00913B8E">
        <w:t xml:space="preserve">its capital projects or programs reveals that its underlying risk assessment is excessively conservative. </w:t>
      </w:r>
      <w:r>
        <w:t xml:space="preserve">A number of </w:t>
      </w:r>
      <w:r w:rsidRPr="009558A5">
        <w:t xml:space="preserve">business cases relied on unjustified assumptions, overstated benefits or </w:t>
      </w:r>
      <w:r w:rsidR="00787774">
        <w:t>did not consider</w:t>
      </w:r>
      <w:r w:rsidR="00787774" w:rsidRPr="009558A5">
        <w:t xml:space="preserve"> </w:t>
      </w:r>
      <w:r w:rsidRPr="009558A5">
        <w:t>relevant costs.</w:t>
      </w:r>
      <w:r>
        <w:rPr>
          <w:rStyle w:val="FootnoteReference"/>
        </w:rPr>
        <w:footnoteReference w:id="30"/>
      </w:r>
      <w:r w:rsidRPr="009558A5">
        <w:t xml:space="preserve"> In other cases the risk analysis did not reasonably justify assumptions</w:t>
      </w:r>
      <w:r>
        <w:t xml:space="preserve"> </w:t>
      </w:r>
      <w:r w:rsidRPr="009558A5">
        <w:t>and hence overstated the risk and the proposed response to the risk</w:t>
      </w:r>
      <w:r>
        <w:t>.</w:t>
      </w:r>
      <w:r>
        <w:rPr>
          <w:rStyle w:val="FootnoteReference"/>
        </w:rPr>
        <w:footnoteReference w:id="31"/>
      </w:r>
      <w:r w:rsidRPr="009558A5">
        <w:t xml:space="preserve"> </w:t>
      </w:r>
      <w:r>
        <w:t>Finally, i</w:t>
      </w:r>
      <w:r w:rsidRPr="009558A5">
        <w:t>n</w:t>
      </w:r>
      <w:r>
        <w:t xml:space="preserve"> some cases, justification for the expenditure is not supported by the cost benefit analysis - </w:t>
      </w:r>
      <w:r w:rsidRPr="009558A5">
        <w:t>that is SA</w:t>
      </w:r>
      <w:r w:rsidR="00316D97">
        <w:t xml:space="preserve"> </w:t>
      </w:r>
      <w:r w:rsidRPr="009558A5">
        <w:t>P</w:t>
      </w:r>
      <w:r w:rsidR="00316D97">
        <w:t>ower Networks</w:t>
      </w:r>
      <w:r w:rsidR="00DC7247">
        <w:t>'</w:t>
      </w:r>
      <w:r w:rsidRPr="009558A5">
        <w:t xml:space="preserve"> own cost benefit analysis showed that the proposed </w:t>
      </w:r>
      <w:r>
        <w:t>expenditure was not justified.</w:t>
      </w:r>
      <w:r>
        <w:rPr>
          <w:rStyle w:val="FootnoteReference"/>
        </w:rPr>
        <w:footnoteReference w:id="32"/>
      </w:r>
    </w:p>
    <w:p w:rsidR="00366104" w:rsidRPr="00913B8E" w:rsidRDefault="00366104" w:rsidP="00525DDF">
      <w:pPr>
        <w:numPr>
          <w:ilvl w:val="0"/>
          <w:numId w:val="24"/>
        </w:numPr>
      </w:pPr>
      <w:r w:rsidRPr="00913B8E">
        <w:t xml:space="preserve">The lack of a rigorous cost-benefit approach, combined with </w:t>
      </w:r>
      <w:r>
        <w:t xml:space="preserve">the absence of a rigorous </w:t>
      </w:r>
      <w:r w:rsidRPr="00913B8E">
        <w:t>to</w:t>
      </w:r>
      <w:r>
        <w:t>p-down assessment</w:t>
      </w:r>
      <w:r w:rsidRPr="00913B8E">
        <w:t xml:space="preserve">, indicates to us that </w:t>
      </w:r>
      <w:r>
        <w:t>SA</w:t>
      </w:r>
      <w:r w:rsidR="003F7CD1">
        <w:t xml:space="preserve"> </w:t>
      </w:r>
      <w:r>
        <w:t>P</w:t>
      </w:r>
      <w:r w:rsidR="003F7CD1">
        <w:t>ower Networks</w:t>
      </w:r>
      <w:r w:rsidR="00DC7247">
        <w:t>'</w:t>
      </w:r>
      <w:r w:rsidRPr="00913B8E">
        <w:t xml:space="preserve"> forecast methodology is likely to result in a capex forecast that does not reasonably reflect the capex criteria. </w:t>
      </w:r>
    </w:p>
    <w:p w:rsidR="005531F2" w:rsidRPr="005531F2" w:rsidRDefault="005531F2" w:rsidP="00F91953">
      <w:pPr>
        <w:pStyle w:val="Heading3"/>
      </w:pPr>
      <w:bookmarkStart w:id="42" w:name="_Toc417725378"/>
      <w:r w:rsidRPr="005531F2">
        <w:lastRenderedPageBreak/>
        <w:t>Interaction with the STPIS</w:t>
      </w:r>
      <w:bookmarkEnd w:id="40"/>
      <w:bookmarkEnd w:id="42"/>
    </w:p>
    <w:p w:rsidR="001C0147" w:rsidRDefault="001C0147" w:rsidP="005531F2">
      <w:r w:rsidRPr="001C0147">
        <w:t xml:space="preserve">We consider that our approved capital expenditure forecast is consistent with the setting of targets under the STPIS. </w:t>
      </w:r>
      <w:r w:rsidR="00EB7EE3">
        <w:t xml:space="preserve"> In particular</w:t>
      </w:r>
      <w:r>
        <w:t xml:space="preserve">, we consider that </w:t>
      </w:r>
      <w:r w:rsidRPr="001C0147">
        <w:t xml:space="preserve">the capex allowance should not be set such that there is an expectation that it will lead to </w:t>
      </w:r>
      <w:r>
        <w:t>SA</w:t>
      </w:r>
      <w:r w:rsidR="003F7CD1">
        <w:t xml:space="preserve"> </w:t>
      </w:r>
      <w:r>
        <w:t>P</w:t>
      </w:r>
      <w:r w:rsidR="003F7CD1">
        <w:t>ower Networks</w:t>
      </w:r>
      <w:r w:rsidRPr="001C0147">
        <w:t xml:space="preserve"> systematically under or over performing against its STPIS targets. We consider our approved capex forecast is sufficient to allow </w:t>
      </w:r>
      <w:r w:rsidR="00787774">
        <w:t>a prudent and efficient SA</w:t>
      </w:r>
      <w:r w:rsidR="003F7CD1">
        <w:t xml:space="preserve"> </w:t>
      </w:r>
      <w:r w:rsidR="00787774">
        <w:t>P</w:t>
      </w:r>
      <w:r w:rsidR="003F7CD1">
        <w:t>ower Networks</w:t>
      </w:r>
      <w:r w:rsidR="00787774">
        <w:t xml:space="preserve"> </w:t>
      </w:r>
      <w:r w:rsidRPr="001C0147">
        <w:t xml:space="preserve">to maintain performance at the targets set under the STPIS. As such, it is appropriate to apply the STPIS as set out in attachment 11. </w:t>
      </w:r>
    </w:p>
    <w:p w:rsidR="001C0147" w:rsidRDefault="001C0147" w:rsidP="005531F2">
      <w:r w:rsidRPr="001C0147">
        <w:t>In making our</w:t>
      </w:r>
      <w:r w:rsidR="00AE44E1">
        <w:t xml:space="preserve"> preliminary</w:t>
      </w:r>
      <w:r w:rsidRPr="001C0147">
        <w:t xml:space="preserve"> decision, we have specifically considered the impact our decision will have on the safety and reliability of SA</w:t>
      </w:r>
      <w:r w:rsidR="003F7CD1">
        <w:t xml:space="preserve"> </w:t>
      </w:r>
      <w:r w:rsidRPr="001C0147">
        <w:t>P</w:t>
      </w:r>
      <w:r w:rsidR="003F7CD1">
        <w:t>ower Networks</w:t>
      </w:r>
      <w:r w:rsidR="00DC7247">
        <w:t>'</w:t>
      </w:r>
      <w:r w:rsidRPr="001C0147">
        <w:t xml:space="preserve"> network. We consider our substitute estimate is sufficient for SA</w:t>
      </w:r>
      <w:r w:rsidR="003F7CD1">
        <w:t xml:space="preserve"> </w:t>
      </w:r>
      <w:r w:rsidRPr="001C0147">
        <w:t>P</w:t>
      </w:r>
      <w:r w:rsidR="003F7CD1">
        <w:t>ower Networks</w:t>
      </w:r>
      <w:r w:rsidRPr="001C0147">
        <w:t xml:space="preserve"> to maintain the safety, service quality and reliability of its network consistent with its obligations. In any event, our provision of a total capex forecast does not constrain a</w:t>
      </w:r>
      <w:r w:rsidR="00F456A9" w:rsidRPr="00F456A9">
        <w:t xml:space="preserve"> </w:t>
      </w:r>
      <w:r w:rsidR="00F456A9">
        <w:t>distributor</w:t>
      </w:r>
      <w:r w:rsidRPr="001C0147">
        <w:t xml:space="preserve">’s actual spending – either as a cap or as a requirement that the forecast be spent on specific projects or activities. It is conceivable that a </w:t>
      </w:r>
      <w:r w:rsidR="00F456A9">
        <w:t>distributor</w:t>
      </w:r>
      <w:r w:rsidR="00F456A9" w:rsidRPr="001C0147">
        <w:t xml:space="preserve"> </w:t>
      </w:r>
      <w:r w:rsidRPr="001C0147">
        <w:t xml:space="preserve">might wish to expend particular capital expenditure differently or in excess of the total capex forecast set out in our </w:t>
      </w:r>
      <w:r w:rsidR="00EB7EE3">
        <w:t>d</w:t>
      </w:r>
      <w:r w:rsidRPr="001C0147">
        <w:t>ecision. Our decision does not constrain it from doing so. Under our analysis of specific capex drivers, we have explained how our analysis and certain assessment techniques factor in safety and reliability requirements.</w:t>
      </w:r>
    </w:p>
    <w:p w:rsidR="005531F2" w:rsidRDefault="00F52299" w:rsidP="005531F2">
      <w:pPr>
        <w:pStyle w:val="Heading3"/>
      </w:pPr>
      <w:bookmarkStart w:id="43" w:name="_Toc404419587"/>
      <w:bookmarkStart w:id="44" w:name="_Toc404605696"/>
      <w:bookmarkStart w:id="45" w:name="_Toc413071338"/>
      <w:bookmarkStart w:id="46" w:name="_Toc417725379"/>
      <w:r>
        <w:t>SA</w:t>
      </w:r>
      <w:r w:rsidR="003F7CD1">
        <w:t xml:space="preserve"> </w:t>
      </w:r>
      <w:r>
        <w:t>P</w:t>
      </w:r>
      <w:r w:rsidR="003F7CD1">
        <w:t xml:space="preserve">ower </w:t>
      </w:r>
      <w:r>
        <w:t>N</w:t>
      </w:r>
      <w:r w:rsidR="003F7CD1">
        <w:t>etworks</w:t>
      </w:r>
      <w:r w:rsidR="00DC7247">
        <w:t>'</w:t>
      </w:r>
      <w:r w:rsidR="005531F2" w:rsidRPr="005531F2">
        <w:t xml:space="preserve"> capex performance</w:t>
      </w:r>
      <w:bookmarkEnd w:id="43"/>
      <w:bookmarkEnd w:id="44"/>
      <w:bookmarkEnd w:id="45"/>
      <w:bookmarkEnd w:id="46"/>
      <w:r w:rsidR="005531F2" w:rsidRPr="005531F2">
        <w:t xml:space="preserve"> </w:t>
      </w:r>
    </w:p>
    <w:p w:rsidR="00345DC6" w:rsidRPr="00345DC6" w:rsidRDefault="00345DC6" w:rsidP="00345DC6">
      <w:r w:rsidRPr="00345DC6">
        <w:t xml:space="preserve">We have looked at a number of historical metrics of </w:t>
      </w:r>
      <w:r>
        <w:t>SA</w:t>
      </w:r>
      <w:r w:rsidR="00604AA1">
        <w:t xml:space="preserve"> </w:t>
      </w:r>
      <w:r>
        <w:t>P</w:t>
      </w:r>
      <w:r w:rsidR="00604AA1">
        <w:t>ower Networks</w:t>
      </w:r>
      <w:r w:rsidR="00DC7247">
        <w:t>'</w:t>
      </w:r>
      <w:r w:rsidRPr="00345DC6">
        <w:t xml:space="preserve"> capex performance against that of other </w:t>
      </w:r>
      <w:r w:rsidR="00EF67EA">
        <w:t>distributor</w:t>
      </w:r>
      <w:r w:rsidRPr="00345DC6">
        <w:t xml:space="preserve">s in the NEM. We also compare </w:t>
      </w:r>
      <w:r>
        <w:t>SA</w:t>
      </w:r>
      <w:r w:rsidR="003F7CD1">
        <w:t xml:space="preserve"> </w:t>
      </w:r>
      <w:r>
        <w:t>P</w:t>
      </w:r>
      <w:r w:rsidR="003F7CD1">
        <w:t xml:space="preserve">ower </w:t>
      </w:r>
      <w:r>
        <w:t>N</w:t>
      </w:r>
      <w:r w:rsidR="003F7CD1">
        <w:t>etworks</w:t>
      </w:r>
      <w:r w:rsidR="00DC7247">
        <w:t>'</w:t>
      </w:r>
      <w:r w:rsidRPr="00345DC6">
        <w:t xml:space="preserve"> proposed forecast capex allowance against historical trends. These metrics are largely based on outputs of the annual benchmarking report and other analysis undertaken using data provided by the </w:t>
      </w:r>
      <w:r w:rsidR="00EF67EA">
        <w:t>distributor</w:t>
      </w:r>
      <w:r w:rsidRPr="00345DC6">
        <w:t xml:space="preserve">s for the annual benchmarking report. This includes </w:t>
      </w:r>
      <w:r>
        <w:t>SA</w:t>
      </w:r>
      <w:r w:rsidR="003F7CD1">
        <w:t xml:space="preserve"> </w:t>
      </w:r>
      <w:r>
        <w:t>P</w:t>
      </w:r>
      <w:r w:rsidR="003F7CD1">
        <w:t>ower Networks</w:t>
      </w:r>
      <w:r w:rsidR="00DC7247">
        <w:t>'</w:t>
      </w:r>
      <w:r w:rsidRPr="00345DC6">
        <w:t xml:space="preserve"> relative partial and multilateral total factor productivity (MTFP) performance, capex per customer and maximum demand, and </w:t>
      </w:r>
      <w:r>
        <w:t>SA</w:t>
      </w:r>
      <w:r w:rsidR="003F7CD1">
        <w:t xml:space="preserve"> </w:t>
      </w:r>
      <w:r>
        <w:t>P</w:t>
      </w:r>
      <w:r w:rsidR="003F7CD1">
        <w:t>ower Networks</w:t>
      </w:r>
      <w:r w:rsidRPr="00345DC6">
        <w:t xml:space="preserve"> historic capex trend.</w:t>
      </w:r>
    </w:p>
    <w:p w:rsidR="00345DC6" w:rsidRDefault="00345DC6" w:rsidP="00525DDF">
      <w:pPr>
        <w:numPr>
          <w:ilvl w:val="0"/>
          <w:numId w:val="24"/>
        </w:numPr>
      </w:pPr>
      <w:r w:rsidRPr="00345DC6">
        <w:t>We note that the NER sets out that we must have regard to our annual benchmarking report.</w:t>
      </w:r>
      <w:r>
        <w:rPr>
          <w:rStyle w:val="FootnoteReference"/>
        </w:rPr>
        <w:footnoteReference w:id="33"/>
      </w:r>
      <w:r w:rsidRPr="00345DC6">
        <w:t xml:space="preserve">  This section shows how we have taken it into account. We consider this high level benchmarking at the overall capex level is suitable to gain an overall understanding of </w:t>
      </w:r>
      <w:r>
        <w:t>SA</w:t>
      </w:r>
      <w:r w:rsidR="003F7CD1">
        <w:t xml:space="preserve"> </w:t>
      </w:r>
      <w:r>
        <w:t>P</w:t>
      </w:r>
      <w:r w:rsidR="003F7CD1">
        <w:t>ower Networks</w:t>
      </w:r>
      <w:r w:rsidR="00DC7247">
        <w:t>'</w:t>
      </w:r>
      <w:r w:rsidRPr="00345DC6">
        <w:t xml:space="preserve"> proposal in a broader context. However, in our capex assessment we have not relied on our high level benchmarking metrics set out below other than to gain a high level insight into </w:t>
      </w:r>
      <w:r>
        <w:t>SA</w:t>
      </w:r>
      <w:r w:rsidR="003F7CD1">
        <w:t xml:space="preserve"> </w:t>
      </w:r>
      <w:r>
        <w:t>P</w:t>
      </w:r>
      <w:r w:rsidR="003F7CD1">
        <w:t>ower Networks</w:t>
      </w:r>
      <w:r w:rsidR="00DC7247">
        <w:t>'</w:t>
      </w:r>
      <w:r w:rsidRPr="00345DC6">
        <w:t xml:space="preserve"> proposal. </w:t>
      </w:r>
      <w:r w:rsidR="00EB7EE3">
        <w:t>W</w:t>
      </w:r>
      <w:r w:rsidRPr="00345DC6">
        <w:t xml:space="preserve">e have not used this analysis </w:t>
      </w:r>
      <w:r w:rsidR="007A7D52">
        <w:t xml:space="preserve">deterministically </w:t>
      </w:r>
      <w:r w:rsidRPr="00345DC6">
        <w:t>in our capex assessment</w:t>
      </w:r>
      <w:r w:rsidR="00A313AA">
        <w:t>.</w:t>
      </w:r>
    </w:p>
    <w:p w:rsidR="00547427" w:rsidRDefault="00547427" w:rsidP="00547427"/>
    <w:p w:rsidR="00345DC6" w:rsidRPr="00345DC6" w:rsidRDefault="00345DC6" w:rsidP="00547427">
      <w:pPr>
        <w:pStyle w:val="HeadingBoldItalic"/>
      </w:pPr>
      <w:r w:rsidRPr="00345DC6">
        <w:lastRenderedPageBreak/>
        <w:t>Partial factor productivity of capital and multilateral total factor productivity</w:t>
      </w:r>
    </w:p>
    <w:p w:rsidR="00345DC6" w:rsidRPr="00345DC6" w:rsidRDefault="00345DC6" w:rsidP="00525DDF">
      <w:pPr>
        <w:numPr>
          <w:ilvl w:val="0"/>
          <w:numId w:val="24"/>
        </w:numPr>
      </w:pPr>
      <w:r w:rsidRPr="00345DC6">
        <w:fldChar w:fldCharType="begin"/>
      </w:r>
      <w:r w:rsidRPr="00345DC6">
        <w:instrText xml:space="preserve"> REF _Ref403555933 \h </w:instrText>
      </w:r>
      <w:r w:rsidRPr="00345DC6">
        <w:fldChar w:fldCharType="separate"/>
      </w:r>
      <w:r w:rsidR="00F02131" w:rsidRPr="00345DC6">
        <w:t xml:space="preserve">Figure </w:t>
      </w:r>
      <w:r w:rsidR="00F02131">
        <w:rPr>
          <w:noProof/>
        </w:rPr>
        <w:t>6</w:t>
      </w:r>
      <w:r w:rsidR="00F02131">
        <w:noBreakHyphen/>
      </w:r>
      <w:r w:rsidR="00F02131">
        <w:rPr>
          <w:noProof/>
        </w:rPr>
        <w:t>2</w:t>
      </w:r>
      <w:r w:rsidRPr="00345DC6">
        <w:fldChar w:fldCharType="end"/>
      </w:r>
      <w:r w:rsidRPr="00345DC6">
        <w:t xml:space="preserve"> shows a measure of partial factor productivity of capital taken from our benchmarking report. This measure incorporated the productivity of transformers, overhead lines and underground cables. </w:t>
      </w:r>
      <w:r>
        <w:t>SA</w:t>
      </w:r>
      <w:r w:rsidR="003F7CD1">
        <w:t xml:space="preserve"> </w:t>
      </w:r>
      <w:r>
        <w:t>P</w:t>
      </w:r>
      <w:r w:rsidR="003F7CD1">
        <w:t>ower Networks</w:t>
      </w:r>
      <w:r w:rsidRPr="00345DC6">
        <w:t xml:space="preserve"> </w:t>
      </w:r>
      <w:r w:rsidR="009C7DCE">
        <w:t>performs relatively well on this measure, only fall</w:t>
      </w:r>
      <w:r w:rsidRPr="00345DC6">
        <w:t xml:space="preserve">ing behind some of the Victorian </w:t>
      </w:r>
      <w:r w:rsidR="00EF67EA">
        <w:t>distributor</w:t>
      </w:r>
      <w:r w:rsidRPr="00345DC6">
        <w:t xml:space="preserve">s. </w:t>
      </w:r>
    </w:p>
    <w:p w:rsidR="00345DC6" w:rsidRPr="00345DC6" w:rsidRDefault="00345DC6" w:rsidP="009C7DCE">
      <w:pPr>
        <w:pStyle w:val="Charttitle"/>
      </w:pPr>
      <w:bookmarkStart w:id="47" w:name="_Ref403555933"/>
      <w:r w:rsidRPr="00345DC6">
        <w:t xml:space="preserve">Figure </w:t>
      </w:r>
      <w:fldSimple w:instr=" STYLEREF 1 \s ">
        <w:r w:rsidR="00F02131">
          <w:rPr>
            <w:noProof/>
          </w:rPr>
          <w:t>6</w:t>
        </w:r>
      </w:fldSimple>
      <w:r w:rsidR="00537EAD">
        <w:noBreakHyphen/>
      </w:r>
      <w:fldSimple w:instr=" SEQ Figure \* ARABIC \s 1 ">
        <w:r w:rsidR="00F02131">
          <w:rPr>
            <w:noProof/>
          </w:rPr>
          <w:t>2</w:t>
        </w:r>
      </w:fldSimple>
      <w:bookmarkEnd w:id="47"/>
      <w:r w:rsidRPr="00345DC6">
        <w:tab/>
        <w:t>Partial factor productivity of capital (transformers, overhead and underground lines)</w:t>
      </w:r>
      <w:r w:rsidRPr="00345DC6">
        <w:rPr>
          <w:noProof/>
          <w:lang w:eastAsia="en-AU"/>
        </w:rPr>
        <w:drawing>
          <wp:inline distT="0" distB="0" distL="0" distR="0" wp14:anchorId="724E2F95" wp14:editId="3C844E4E">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5DC6" w:rsidRPr="00345DC6" w:rsidRDefault="00345DC6" w:rsidP="009C7DCE">
      <w:pPr>
        <w:pStyle w:val="AERtablesource"/>
      </w:pPr>
      <w:r w:rsidRPr="00345DC6">
        <w:t xml:space="preserve">Source: </w:t>
      </w:r>
      <w:r w:rsidR="00DC7247">
        <w:tab/>
      </w:r>
      <w:r w:rsidRPr="00345DC6">
        <w:t>AER annual benchmarking report</w:t>
      </w:r>
    </w:p>
    <w:p w:rsidR="00345DC6" w:rsidRDefault="00345DC6" w:rsidP="00525DDF">
      <w:pPr>
        <w:numPr>
          <w:ilvl w:val="0"/>
          <w:numId w:val="24"/>
        </w:numPr>
      </w:pPr>
      <w:r w:rsidRPr="00345DC6">
        <w:fldChar w:fldCharType="begin"/>
      </w:r>
      <w:r w:rsidRPr="00345DC6">
        <w:instrText xml:space="preserve"> REF _Ref403028357 \h </w:instrText>
      </w:r>
      <w:r w:rsidRPr="00345DC6">
        <w:fldChar w:fldCharType="separate"/>
      </w:r>
      <w:r w:rsidR="00F02131" w:rsidRPr="00345DC6">
        <w:t xml:space="preserve">Figure </w:t>
      </w:r>
      <w:r w:rsidR="00F02131">
        <w:rPr>
          <w:noProof/>
        </w:rPr>
        <w:t>6</w:t>
      </w:r>
      <w:r w:rsidR="00F02131">
        <w:noBreakHyphen/>
      </w:r>
      <w:r w:rsidR="00F02131">
        <w:rPr>
          <w:noProof/>
        </w:rPr>
        <w:t>3</w:t>
      </w:r>
      <w:r w:rsidRPr="00345DC6">
        <w:fldChar w:fldCharType="end"/>
      </w:r>
      <w:r w:rsidRPr="00345DC6">
        <w:t xml:space="preserve"> shows that </w:t>
      </w:r>
      <w:r>
        <w:t>SA</w:t>
      </w:r>
      <w:r w:rsidR="00604AA1">
        <w:t xml:space="preserve"> Power Networks</w:t>
      </w:r>
      <w:r w:rsidRPr="00345DC6">
        <w:t xml:space="preserve"> performs similar on MTFP. MTFP measures how efficient a business is in terms of its inputs (costs) and outputs (energy delivered, customer numbers, ratcheted maximum demand, reliability and circuit line length). </w:t>
      </w:r>
      <w:r w:rsidR="009C7DCE">
        <w:t>SA</w:t>
      </w:r>
      <w:r w:rsidR="003F7CD1">
        <w:t xml:space="preserve"> </w:t>
      </w:r>
      <w:r w:rsidR="009C7DCE">
        <w:t>P</w:t>
      </w:r>
      <w:r w:rsidR="003F7CD1">
        <w:t>ower Networks</w:t>
      </w:r>
      <w:r w:rsidR="009C7DCE">
        <w:t xml:space="preserve"> is one of the top performers on this metric</w:t>
      </w:r>
      <w:r w:rsidRPr="00345DC6">
        <w:t xml:space="preserve">. </w:t>
      </w:r>
    </w:p>
    <w:p w:rsidR="00991DC0" w:rsidRDefault="00991DC0" w:rsidP="00991DC0"/>
    <w:p w:rsidR="00991DC0" w:rsidRDefault="00991DC0" w:rsidP="00991DC0"/>
    <w:p w:rsidR="00A452C0" w:rsidRDefault="00A452C0" w:rsidP="00991DC0"/>
    <w:p w:rsidR="00A452C0" w:rsidRDefault="00A452C0" w:rsidP="00991DC0"/>
    <w:p w:rsidR="00A452C0" w:rsidRDefault="00A452C0" w:rsidP="00991DC0"/>
    <w:p w:rsidR="00991DC0" w:rsidRDefault="00991DC0" w:rsidP="00991DC0"/>
    <w:p w:rsidR="00991DC0" w:rsidRDefault="00991DC0" w:rsidP="00991DC0"/>
    <w:p w:rsidR="00345DC6" w:rsidRPr="00345DC6" w:rsidRDefault="00547427" w:rsidP="009C7DCE">
      <w:pPr>
        <w:pStyle w:val="Charttitle"/>
      </w:pPr>
      <w:bookmarkStart w:id="48" w:name="_Ref403028357"/>
      <w:r>
        <w:lastRenderedPageBreak/>
        <w:t>F</w:t>
      </w:r>
      <w:r w:rsidR="00345DC6" w:rsidRPr="00345DC6">
        <w:t xml:space="preserve">igure </w:t>
      </w:r>
      <w:fldSimple w:instr=" STYLEREF 1 \s ">
        <w:r w:rsidR="00F02131">
          <w:rPr>
            <w:noProof/>
          </w:rPr>
          <w:t>6</w:t>
        </w:r>
      </w:fldSimple>
      <w:r w:rsidR="00537EAD">
        <w:noBreakHyphen/>
      </w:r>
      <w:fldSimple w:instr=" SEQ Figure \* ARABIC \s 1 ">
        <w:r w:rsidR="00F02131">
          <w:rPr>
            <w:noProof/>
          </w:rPr>
          <w:t>3</w:t>
        </w:r>
      </w:fldSimple>
      <w:bookmarkEnd w:id="48"/>
      <w:r w:rsidR="00345DC6" w:rsidRPr="00345DC6">
        <w:tab/>
        <w:t>Multilateral total factor productivity</w:t>
      </w:r>
    </w:p>
    <w:p w:rsidR="00345DC6" w:rsidRPr="00345DC6" w:rsidRDefault="00345DC6" w:rsidP="00525DDF">
      <w:pPr>
        <w:numPr>
          <w:ilvl w:val="0"/>
          <w:numId w:val="24"/>
        </w:numPr>
      </w:pPr>
      <w:r w:rsidRPr="00345DC6">
        <w:rPr>
          <w:noProof/>
          <w:lang w:eastAsia="en-AU"/>
        </w:rPr>
        <w:drawing>
          <wp:inline distT="0" distB="0" distL="0" distR="0" wp14:anchorId="3ABCE4D2" wp14:editId="7BA327FF">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DC6" w:rsidRPr="00345DC6" w:rsidRDefault="00345DC6" w:rsidP="009C7DCE">
      <w:pPr>
        <w:pStyle w:val="AERtablesource"/>
      </w:pPr>
      <w:r w:rsidRPr="00345DC6">
        <w:t xml:space="preserve">Source: </w:t>
      </w:r>
      <w:r w:rsidR="00A452C0">
        <w:tab/>
      </w:r>
      <w:r w:rsidRPr="00345DC6">
        <w:t>AER annual benchmarking report</w:t>
      </w:r>
    </w:p>
    <w:p w:rsidR="00345DC6" w:rsidRPr="00345DC6" w:rsidRDefault="00345DC6" w:rsidP="009C7DCE">
      <w:pPr>
        <w:pStyle w:val="Heading4"/>
      </w:pPr>
      <w:r w:rsidRPr="00345DC6">
        <w:t>Relative capex efficiency metrics</w:t>
      </w:r>
    </w:p>
    <w:p w:rsidR="00345DC6" w:rsidRPr="00345DC6" w:rsidRDefault="00345DC6" w:rsidP="00525DDF">
      <w:pPr>
        <w:numPr>
          <w:ilvl w:val="0"/>
          <w:numId w:val="24"/>
        </w:numPr>
      </w:pPr>
      <w:r w:rsidRPr="00345DC6">
        <w:fldChar w:fldCharType="begin"/>
      </w:r>
      <w:r w:rsidRPr="00345DC6">
        <w:instrText xml:space="preserve"> REF _Ref403569302 \h </w:instrText>
      </w:r>
      <w:r w:rsidRPr="00345DC6">
        <w:fldChar w:fldCharType="separate"/>
      </w:r>
      <w:r w:rsidR="00F02131" w:rsidRPr="00345DC6">
        <w:t xml:space="preserve">Figure </w:t>
      </w:r>
      <w:r w:rsidR="00F02131">
        <w:rPr>
          <w:noProof/>
        </w:rPr>
        <w:t>6</w:t>
      </w:r>
      <w:r w:rsidR="00F02131">
        <w:noBreakHyphen/>
      </w:r>
      <w:r w:rsidR="00F02131">
        <w:rPr>
          <w:noProof/>
        </w:rPr>
        <w:t>4</w:t>
      </w:r>
      <w:r w:rsidRPr="00345DC6">
        <w:fldChar w:fldCharType="end"/>
      </w:r>
      <w:r w:rsidRPr="00345DC6">
        <w:t xml:space="preserve"> and </w:t>
      </w:r>
      <w:r w:rsidRPr="00345DC6">
        <w:fldChar w:fldCharType="begin"/>
      </w:r>
      <w:r w:rsidRPr="00345DC6">
        <w:instrText xml:space="preserve"> REF _Ref403569619 \h </w:instrText>
      </w:r>
      <w:r w:rsidRPr="00345DC6">
        <w:fldChar w:fldCharType="separate"/>
      </w:r>
      <w:r w:rsidR="00547427">
        <w:t>f</w:t>
      </w:r>
      <w:r w:rsidR="00F02131" w:rsidRPr="00345DC6">
        <w:t xml:space="preserve">igure </w:t>
      </w:r>
      <w:r w:rsidR="00F02131">
        <w:rPr>
          <w:noProof/>
        </w:rPr>
        <w:t>6</w:t>
      </w:r>
      <w:r w:rsidR="00F02131">
        <w:noBreakHyphen/>
      </w:r>
      <w:r w:rsidR="00F02131">
        <w:rPr>
          <w:noProof/>
        </w:rPr>
        <w:t>5</w:t>
      </w:r>
      <w:r w:rsidRPr="00345DC6">
        <w:fldChar w:fldCharType="end"/>
      </w:r>
      <w:r w:rsidRPr="00345DC6">
        <w:t xml:space="preserve"> show capex per customer and per maximum demand, against customer density. Capex is taken as a five year average for the years 2008-12. For the QLD and SA </w:t>
      </w:r>
      <w:r w:rsidR="00EF67EA">
        <w:t>distributor</w:t>
      </w:r>
      <w:r w:rsidRPr="00345DC6">
        <w:t>s, we have also included the businesses</w:t>
      </w:r>
      <w:r w:rsidR="00DC7247">
        <w:t>' proposed capex for the 2015–</w:t>
      </w:r>
      <w:r w:rsidRPr="00345DC6">
        <w:t xml:space="preserve">20 </w:t>
      </w:r>
      <w:r w:rsidR="00547427">
        <w:t xml:space="preserve">regulatory control </w:t>
      </w:r>
      <w:r w:rsidRPr="00345DC6">
        <w:t>period. We have considered capex per customer as it reflects the amount consumers are charged for additional capital investments.</w:t>
      </w:r>
    </w:p>
    <w:p w:rsidR="00345DC6" w:rsidRDefault="00345DC6" w:rsidP="00525DDF">
      <w:pPr>
        <w:numPr>
          <w:ilvl w:val="0"/>
          <w:numId w:val="24"/>
        </w:numPr>
      </w:pPr>
      <w:r w:rsidRPr="00345DC6">
        <w:fldChar w:fldCharType="begin"/>
      </w:r>
      <w:r w:rsidRPr="00345DC6">
        <w:instrText xml:space="preserve"> REF _Ref403569302 \h </w:instrText>
      </w:r>
      <w:r w:rsidRPr="00345DC6">
        <w:fldChar w:fldCharType="separate"/>
      </w:r>
      <w:r w:rsidR="00F02131" w:rsidRPr="00345DC6">
        <w:t xml:space="preserve">Figure </w:t>
      </w:r>
      <w:r w:rsidR="00F02131">
        <w:rPr>
          <w:noProof/>
        </w:rPr>
        <w:t>6</w:t>
      </w:r>
      <w:r w:rsidR="00F02131">
        <w:noBreakHyphen/>
      </w:r>
      <w:r w:rsidR="00F02131">
        <w:rPr>
          <w:noProof/>
        </w:rPr>
        <w:t>4</w:t>
      </w:r>
      <w:r w:rsidRPr="00345DC6">
        <w:fldChar w:fldCharType="end"/>
      </w:r>
      <w:r w:rsidRPr="00345DC6">
        <w:t xml:space="preserve"> shows that </w:t>
      </w:r>
      <w:r>
        <w:t>SA</w:t>
      </w:r>
      <w:r w:rsidR="00884BE8">
        <w:t xml:space="preserve"> </w:t>
      </w:r>
      <w:r>
        <w:t>P</w:t>
      </w:r>
      <w:r w:rsidR="00884BE8">
        <w:t>ower Networks</w:t>
      </w:r>
      <w:r w:rsidRPr="00345DC6">
        <w:t xml:space="preserve"> </w:t>
      </w:r>
      <w:r w:rsidR="009C0EA2">
        <w:t xml:space="preserve">performed well in the </w:t>
      </w:r>
      <w:r w:rsidR="00DC7247">
        <w:t>2008-</w:t>
      </w:r>
      <w:r w:rsidRPr="00345DC6">
        <w:t>12 period</w:t>
      </w:r>
      <w:r w:rsidR="009C0EA2">
        <w:t xml:space="preserve"> in terms of capex per customer</w:t>
      </w:r>
      <w:r w:rsidRPr="00345DC6">
        <w:t xml:space="preserve">. </w:t>
      </w:r>
      <w:r w:rsidR="009C0EA2">
        <w:t xml:space="preserve">However, </w:t>
      </w:r>
      <w:r>
        <w:t>SA</w:t>
      </w:r>
      <w:r w:rsidR="00884BE8">
        <w:t xml:space="preserve"> </w:t>
      </w:r>
      <w:r>
        <w:t>P</w:t>
      </w:r>
      <w:r w:rsidR="00884BE8">
        <w:t>ower Networks</w:t>
      </w:r>
      <w:r w:rsidR="00DC7247">
        <w:t>'</w:t>
      </w:r>
      <w:r w:rsidRPr="00345DC6">
        <w:t xml:space="preserve"> capex per customer will </w:t>
      </w:r>
      <w:r w:rsidR="009C0EA2">
        <w:t>increase</w:t>
      </w:r>
      <w:r w:rsidR="00DC7247">
        <w:t xml:space="preserve"> for the 2015–</w:t>
      </w:r>
      <w:r w:rsidRPr="00345DC6">
        <w:t xml:space="preserve">20 period based on their proposed forecast capex. This </w:t>
      </w:r>
      <w:r w:rsidR="009C0EA2">
        <w:t>increase</w:t>
      </w:r>
      <w:r w:rsidRPr="00345DC6">
        <w:t xml:space="preserve"> </w:t>
      </w:r>
      <w:r w:rsidR="009C0EA2">
        <w:t>means that SA</w:t>
      </w:r>
      <w:r w:rsidR="00884BE8">
        <w:t xml:space="preserve"> </w:t>
      </w:r>
      <w:r w:rsidR="009C0EA2">
        <w:t>P</w:t>
      </w:r>
      <w:r w:rsidR="00884BE8">
        <w:t>ower Networks</w:t>
      </w:r>
      <w:r w:rsidR="00DC7247">
        <w:t>'</w:t>
      </w:r>
      <w:r w:rsidR="00884BE8">
        <w:t xml:space="preserve"> </w:t>
      </w:r>
      <w:r w:rsidR="009C0EA2">
        <w:t>capex per customer will b</w:t>
      </w:r>
      <w:r w:rsidR="00DC7247">
        <w:t>e relatively high in the 2015-</w:t>
      </w:r>
      <w:r w:rsidR="009C0EA2">
        <w:t xml:space="preserve">20 </w:t>
      </w:r>
      <w:r w:rsidR="00547427">
        <w:t xml:space="preserve">regulatory control </w:t>
      </w:r>
      <w:r w:rsidR="009C0EA2">
        <w:t xml:space="preserve">period. </w:t>
      </w:r>
      <w:r w:rsidRPr="00345DC6">
        <w:t xml:space="preserve"> </w:t>
      </w:r>
    </w:p>
    <w:p w:rsidR="00991DC0" w:rsidRDefault="00991DC0" w:rsidP="00991DC0"/>
    <w:p w:rsidR="00991DC0" w:rsidRDefault="00991DC0" w:rsidP="00991DC0"/>
    <w:p w:rsidR="00991DC0" w:rsidRDefault="00991DC0" w:rsidP="00991DC0"/>
    <w:p w:rsidR="00991DC0" w:rsidRDefault="00991DC0" w:rsidP="00991DC0"/>
    <w:p w:rsidR="00991DC0" w:rsidRPr="00345DC6" w:rsidRDefault="00991DC0" w:rsidP="00991DC0"/>
    <w:p w:rsidR="00345DC6" w:rsidRPr="00345DC6" w:rsidRDefault="00345DC6" w:rsidP="009C7DCE">
      <w:pPr>
        <w:pStyle w:val="Charttitle"/>
      </w:pPr>
      <w:bookmarkStart w:id="49" w:name="_Ref403569302"/>
      <w:r w:rsidRPr="00345DC6">
        <w:lastRenderedPageBreak/>
        <w:t xml:space="preserve">Figure </w:t>
      </w:r>
      <w:fldSimple w:instr=" STYLEREF 1 \s ">
        <w:r w:rsidR="00F02131">
          <w:rPr>
            <w:noProof/>
          </w:rPr>
          <w:t>6</w:t>
        </w:r>
      </w:fldSimple>
      <w:r w:rsidR="00537EAD">
        <w:noBreakHyphen/>
      </w:r>
      <w:fldSimple w:instr=" SEQ Figure \* ARABIC \s 1 ">
        <w:r w:rsidR="00F02131">
          <w:rPr>
            <w:noProof/>
          </w:rPr>
          <w:t>4</w:t>
        </w:r>
      </w:fldSimple>
      <w:bookmarkEnd w:id="49"/>
      <w:r w:rsidRPr="00345DC6">
        <w:tab/>
        <w:t>Capex per customer (000s, $2013-14), against customer density</w:t>
      </w:r>
    </w:p>
    <w:p w:rsidR="00345DC6" w:rsidRPr="00345DC6" w:rsidRDefault="00345DC6" w:rsidP="00345DC6">
      <w:r w:rsidRPr="00345DC6">
        <w:rPr>
          <w:noProof/>
          <w:lang w:eastAsia="en-AU"/>
        </w:rPr>
        <w:drawing>
          <wp:inline distT="0" distB="0" distL="0" distR="0" wp14:anchorId="3D426E6D" wp14:editId="38933120">
            <wp:extent cx="5453149" cy="3158836"/>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5DC6" w:rsidRPr="00345DC6" w:rsidRDefault="00345DC6" w:rsidP="009C7DCE">
      <w:pPr>
        <w:pStyle w:val="AERquote"/>
      </w:pPr>
      <w:r w:rsidRPr="00345DC6">
        <w:t>Source: AER analysis</w:t>
      </w:r>
    </w:p>
    <w:p w:rsidR="00345DC6" w:rsidRDefault="00345DC6" w:rsidP="00525DDF">
      <w:pPr>
        <w:numPr>
          <w:ilvl w:val="0"/>
          <w:numId w:val="24"/>
        </w:numPr>
      </w:pPr>
      <w:r w:rsidRPr="00345DC6">
        <w:fldChar w:fldCharType="begin"/>
      </w:r>
      <w:r w:rsidRPr="00345DC6">
        <w:instrText xml:space="preserve"> REF _Ref403569619 \h </w:instrText>
      </w:r>
      <w:r w:rsidRPr="00345DC6">
        <w:fldChar w:fldCharType="separate"/>
      </w:r>
      <w:r w:rsidR="00F02131" w:rsidRPr="00345DC6">
        <w:t xml:space="preserve">Figure </w:t>
      </w:r>
      <w:r w:rsidR="00F02131">
        <w:rPr>
          <w:noProof/>
        </w:rPr>
        <w:t>6</w:t>
      </w:r>
      <w:r w:rsidR="00F02131">
        <w:noBreakHyphen/>
      </w:r>
      <w:r w:rsidR="00F02131">
        <w:rPr>
          <w:noProof/>
        </w:rPr>
        <w:t>5</w:t>
      </w:r>
      <w:r w:rsidRPr="00345DC6">
        <w:fldChar w:fldCharType="end"/>
      </w:r>
      <w:r w:rsidRPr="00345DC6">
        <w:t xml:space="preserve"> shows that </w:t>
      </w:r>
      <w:r>
        <w:t>SA</w:t>
      </w:r>
      <w:r w:rsidR="00884BE8">
        <w:t xml:space="preserve"> </w:t>
      </w:r>
      <w:r>
        <w:t>P</w:t>
      </w:r>
      <w:r w:rsidR="00884BE8">
        <w:t>ower Networks</w:t>
      </w:r>
      <w:r w:rsidR="00DC7247">
        <w:t xml:space="preserve"> performed well in 2008-</w:t>
      </w:r>
      <w:r w:rsidR="009C0EA2">
        <w:t xml:space="preserve">12 in terms of </w:t>
      </w:r>
      <w:r w:rsidRPr="00345DC6">
        <w:t xml:space="preserve">capex per maximum demand. </w:t>
      </w:r>
      <w:r w:rsidR="009C0EA2">
        <w:t>Again c</w:t>
      </w:r>
      <w:r w:rsidRPr="00345DC6">
        <w:t xml:space="preserve">apex per maximum demand is forecast to </w:t>
      </w:r>
      <w:r w:rsidR="009C0EA2">
        <w:t xml:space="preserve">increase </w:t>
      </w:r>
      <w:r w:rsidRPr="00345DC6">
        <w:t xml:space="preserve">for </w:t>
      </w:r>
      <w:r>
        <w:t>SA</w:t>
      </w:r>
      <w:r w:rsidR="00884BE8">
        <w:t xml:space="preserve"> </w:t>
      </w:r>
      <w:r>
        <w:t>P</w:t>
      </w:r>
      <w:r w:rsidR="00884BE8">
        <w:t>ower Networks</w:t>
      </w:r>
      <w:r w:rsidRPr="00345DC6">
        <w:t xml:space="preserve"> in the next period</w:t>
      </w:r>
      <w:r w:rsidR="009C0EA2">
        <w:t xml:space="preserve"> and it will be one of the poorer performers next period. </w:t>
      </w:r>
    </w:p>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991DC0" w:rsidRPr="00345DC6" w:rsidRDefault="00991DC0" w:rsidP="00991DC0"/>
    <w:p w:rsidR="00345DC6" w:rsidRPr="00345DC6" w:rsidRDefault="00345DC6" w:rsidP="009C7DCE">
      <w:pPr>
        <w:pStyle w:val="Charttitle"/>
      </w:pPr>
      <w:bookmarkStart w:id="50" w:name="_Ref403569619"/>
      <w:r w:rsidRPr="00345DC6">
        <w:lastRenderedPageBreak/>
        <w:t xml:space="preserve">Figure </w:t>
      </w:r>
      <w:fldSimple w:instr=" STYLEREF 1 \s ">
        <w:r w:rsidR="00F02131">
          <w:rPr>
            <w:noProof/>
          </w:rPr>
          <w:t>6</w:t>
        </w:r>
      </w:fldSimple>
      <w:r w:rsidR="00537EAD">
        <w:noBreakHyphen/>
      </w:r>
      <w:fldSimple w:instr=" SEQ Figure \* ARABIC \s 1 ">
        <w:r w:rsidR="00F02131">
          <w:rPr>
            <w:noProof/>
          </w:rPr>
          <w:t>5</w:t>
        </w:r>
      </w:fldSimple>
      <w:bookmarkEnd w:id="50"/>
      <w:r w:rsidRPr="00345DC6">
        <w:tab/>
        <w:t>Capex per maximum demand (000s, $2013-14), against customer density</w:t>
      </w:r>
    </w:p>
    <w:p w:rsidR="00345DC6" w:rsidRPr="00345DC6" w:rsidRDefault="00345DC6" w:rsidP="00345DC6">
      <w:r w:rsidRPr="00345DC6">
        <w:rPr>
          <w:noProof/>
          <w:lang w:eastAsia="en-AU"/>
        </w:rPr>
        <w:drawing>
          <wp:inline distT="0" distB="0" distL="0" distR="0" wp14:anchorId="01D07730" wp14:editId="357928C1">
            <wp:extent cx="5382895" cy="3520800"/>
            <wp:effectExtent l="0" t="0" r="825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5DC6" w:rsidRPr="00345DC6" w:rsidRDefault="00345DC6" w:rsidP="009C7DCE">
      <w:pPr>
        <w:pStyle w:val="AERtablesource"/>
      </w:pPr>
      <w:r w:rsidRPr="00345DC6">
        <w:t xml:space="preserve">Source: </w:t>
      </w:r>
      <w:r w:rsidR="00A452C0">
        <w:tab/>
      </w:r>
      <w:r w:rsidRPr="00345DC6">
        <w:t>AER analysis</w:t>
      </w:r>
    </w:p>
    <w:p w:rsidR="00345DC6" w:rsidRPr="00345DC6" w:rsidRDefault="00345DC6" w:rsidP="00547427">
      <w:pPr>
        <w:pStyle w:val="HeadingBoldItalic"/>
      </w:pPr>
      <w:r>
        <w:t>SA</w:t>
      </w:r>
      <w:r w:rsidR="00604AA1">
        <w:t xml:space="preserve"> </w:t>
      </w:r>
      <w:r>
        <w:t>P</w:t>
      </w:r>
      <w:r w:rsidR="00604AA1">
        <w:t>ower Networks</w:t>
      </w:r>
      <w:r w:rsidR="00DC7247">
        <w:t>'</w:t>
      </w:r>
      <w:r w:rsidRPr="00345DC6">
        <w:t xml:space="preserve"> historic capex trends</w:t>
      </w:r>
    </w:p>
    <w:p w:rsidR="00F02131" w:rsidRDefault="00345DC6" w:rsidP="00F02131">
      <w:r w:rsidRPr="00345DC6">
        <w:t xml:space="preserve">We have compared </w:t>
      </w:r>
      <w:r>
        <w:t>SA</w:t>
      </w:r>
      <w:r w:rsidR="00884BE8">
        <w:t xml:space="preserve"> </w:t>
      </w:r>
      <w:r>
        <w:t>P</w:t>
      </w:r>
      <w:r w:rsidR="00884BE8">
        <w:t>ower Networks</w:t>
      </w:r>
      <w:r w:rsidR="00DC7247">
        <w:t>'</w:t>
      </w:r>
      <w:r w:rsidRPr="00345DC6">
        <w:t xml:space="preserve"> capex proposal for t</w:t>
      </w:r>
      <w:r w:rsidR="00DC7247">
        <w:t>he 2015–</w:t>
      </w:r>
      <w:r w:rsidRPr="00345DC6">
        <w:t xml:space="preserve">20 </w:t>
      </w:r>
      <w:r w:rsidR="00547427">
        <w:t xml:space="preserve">regulatory control </w:t>
      </w:r>
      <w:r w:rsidRPr="00345DC6">
        <w:t xml:space="preserve">period against the long term historical trend in capex levels. </w:t>
      </w:r>
      <w:r w:rsidRPr="00345DC6">
        <w:fldChar w:fldCharType="begin"/>
      </w:r>
      <w:r w:rsidRPr="00345DC6">
        <w:instrText xml:space="preserve"> REF _Ref414963347 \h </w:instrText>
      </w:r>
      <w:r w:rsidR="00F02131">
        <w:instrText xml:space="preserve"> \* MERGEFORMAT </w:instrText>
      </w:r>
      <w:r w:rsidRPr="00345DC6">
        <w:fldChar w:fldCharType="separate"/>
      </w:r>
    </w:p>
    <w:p w:rsidR="00345DC6" w:rsidRDefault="00F02131" w:rsidP="00F02131">
      <w:r w:rsidRPr="00345DC6">
        <w:t xml:space="preserve">Figure </w:t>
      </w:r>
      <w:r>
        <w:rPr>
          <w:noProof/>
        </w:rPr>
        <w:t>6</w:t>
      </w:r>
      <w:r>
        <w:noBreakHyphen/>
      </w:r>
      <w:r>
        <w:rPr>
          <w:noProof/>
        </w:rPr>
        <w:t>6</w:t>
      </w:r>
      <w:r w:rsidR="00345DC6" w:rsidRPr="00345DC6">
        <w:fldChar w:fldCharType="end"/>
      </w:r>
      <w:r w:rsidR="00345DC6" w:rsidRPr="00345DC6">
        <w:t xml:space="preserve"> shows actual historic capex and proposed capex between 2001-12 and 2018-19. This figure shows that </w:t>
      </w:r>
      <w:r w:rsidR="00345DC6">
        <w:t>SA</w:t>
      </w:r>
      <w:r w:rsidR="00884BE8">
        <w:t xml:space="preserve"> </w:t>
      </w:r>
      <w:r w:rsidR="00345DC6">
        <w:t>P</w:t>
      </w:r>
      <w:r w:rsidR="00884BE8">
        <w:t>ower Networks</w:t>
      </w:r>
      <w:r w:rsidR="00DC7247">
        <w:t>'</w:t>
      </w:r>
      <w:r w:rsidR="00345DC6" w:rsidRPr="00345DC6">
        <w:t xml:space="preserve"> average p</w:t>
      </w:r>
      <w:r w:rsidR="00DC7247">
        <w:t>roposed capex for the 2015–</w:t>
      </w:r>
      <w:r w:rsidR="00345DC6" w:rsidRPr="00345DC6">
        <w:t>20</w:t>
      </w:r>
      <w:r w:rsidR="00547427">
        <w:t xml:space="preserve"> regulatory control </w:t>
      </w:r>
      <w:r w:rsidR="00345DC6" w:rsidRPr="00345DC6">
        <w:t xml:space="preserve">period is </w:t>
      </w:r>
      <w:r w:rsidR="009C0EA2">
        <w:t xml:space="preserve">substantially higher that in the previous regulatory period. Our detailed assessment in appendix B examined whether this increase is reasonably reflective of the capex criteria. </w:t>
      </w:r>
      <w:r w:rsidR="00345DC6" w:rsidRPr="00345DC6">
        <w:t xml:space="preserve"> </w:t>
      </w:r>
    </w:p>
    <w:p w:rsidR="00F02131" w:rsidRDefault="00F02131" w:rsidP="00F02131"/>
    <w:p w:rsidR="00991DC0" w:rsidRDefault="00991DC0" w:rsidP="00991DC0"/>
    <w:p w:rsidR="00991DC0" w:rsidRDefault="00991DC0" w:rsidP="00991DC0"/>
    <w:p w:rsidR="00991DC0" w:rsidRDefault="00991DC0" w:rsidP="00991DC0"/>
    <w:p w:rsidR="00991DC0" w:rsidRDefault="00991DC0" w:rsidP="00991DC0"/>
    <w:p w:rsidR="00991DC0" w:rsidRDefault="00991DC0" w:rsidP="00991DC0"/>
    <w:p w:rsidR="00A452C0" w:rsidRDefault="00A452C0" w:rsidP="009C7DCE">
      <w:pPr>
        <w:pStyle w:val="Charttitle"/>
      </w:pPr>
      <w:bookmarkStart w:id="51" w:name="_Ref414963347"/>
    </w:p>
    <w:p w:rsidR="00345DC6" w:rsidRPr="00345DC6" w:rsidRDefault="00345DC6" w:rsidP="009C7DCE">
      <w:pPr>
        <w:pStyle w:val="Charttitle"/>
      </w:pPr>
      <w:r w:rsidRPr="00345DC6">
        <w:lastRenderedPageBreak/>
        <w:t xml:space="preserve">Figure </w:t>
      </w:r>
      <w:fldSimple w:instr=" STYLEREF 1 \s ">
        <w:r w:rsidR="00F02131">
          <w:rPr>
            <w:noProof/>
          </w:rPr>
          <w:t>6</w:t>
        </w:r>
      </w:fldSimple>
      <w:r w:rsidR="00537EAD">
        <w:noBreakHyphen/>
      </w:r>
      <w:fldSimple w:instr=" SEQ Figure \* ARABIC \s 1 ">
        <w:r w:rsidR="00F02131">
          <w:rPr>
            <w:noProof/>
          </w:rPr>
          <w:t>6</w:t>
        </w:r>
      </w:fldSimple>
      <w:bookmarkEnd w:id="51"/>
      <w:r w:rsidRPr="00345DC6">
        <w:tab/>
      </w:r>
      <w:r>
        <w:t>SA</w:t>
      </w:r>
      <w:r w:rsidR="00884BE8">
        <w:t xml:space="preserve"> </w:t>
      </w:r>
      <w:r>
        <w:t>P</w:t>
      </w:r>
      <w:r w:rsidR="00884BE8">
        <w:t>ower Networks</w:t>
      </w:r>
      <w:r w:rsidR="00DC7247">
        <w:t>'</w:t>
      </w:r>
      <w:r w:rsidRPr="00345DC6">
        <w:t xml:space="preserve"> total capex (including overheads)—historical and forecast for 2015–2020  period</w:t>
      </w:r>
    </w:p>
    <w:p w:rsidR="00345DC6" w:rsidRPr="00345DC6" w:rsidRDefault="009C0EA2" w:rsidP="00525DDF">
      <w:pPr>
        <w:numPr>
          <w:ilvl w:val="0"/>
          <w:numId w:val="24"/>
        </w:numPr>
      </w:pPr>
      <w:r>
        <w:rPr>
          <w:noProof/>
          <w:lang w:eastAsia="en-AU"/>
        </w:rPr>
        <w:drawing>
          <wp:inline distT="0" distB="0" distL="0" distR="0" wp14:anchorId="041D566D" wp14:editId="748943B3">
            <wp:extent cx="5390155" cy="3441469"/>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664" cy="3444348"/>
                    </a:xfrm>
                    <a:prstGeom prst="rect">
                      <a:avLst/>
                    </a:prstGeom>
                    <a:noFill/>
                  </pic:spPr>
                </pic:pic>
              </a:graphicData>
            </a:graphic>
          </wp:inline>
        </w:drawing>
      </w:r>
    </w:p>
    <w:p w:rsidR="00345DC6" w:rsidRPr="00345DC6" w:rsidRDefault="00345DC6" w:rsidP="009C7DCE">
      <w:pPr>
        <w:pStyle w:val="AERtablesource"/>
      </w:pPr>
      <w:r w:rsidRPr="00345DC6">
        <w:t xml:space="preserve">Source: </w:t>
      </w:r>
      <w:r w:rsidR="00A452C0">
        <w:tab/>
      </w:r>
      <w:r w:rsidRPr="00345DC6">
        <w:t>AER analysis</w:t>
      </w:r>
    </w:p>
    <w:p w:rsidR="005531F2" w:rsidRPr="005531F2" w:rsidRDefault="005531F2" w:rsidP="005531F2">
      <w:pPr>
        <w:pStyle w:val="Heading3"/>
      </w:pPr>
      <w:bookmarkStart w:id="52" w:name="_Toc404419588"/>
      <w:bookmarkStart w:id="53" w:name="_Toc404605697"/>
      <w:bookmarkStart w:id="54" w:name="_Toc413071339"/>
      <w:bookmarkStart w:id="55" w:name="_Toc417725380"/>
      <w:bookmarkStart w:id="56" w:name="_Ref402269692"/>
      <w:r w:rsidRPr="005531F2">
        <w:t>Interrelationships</w:t>
      </w:r>
      <w:bookmarkEnd w:id="52"/>
      <w:bookmarkEnd w:id="53"/>
      <w:bookmarkEnd w:id="54"/>
      <w:bookmarkEnd w:id="55"/>
    </w:p>
    <w:p w:rsidR="005531F2" w:rsidRPr="005531F2" w:rsidRDefault="005531F2" w:rsidP="00525DDF">
      <w:pPr>
        <w:numPr>
          <w:ilvl w:val="0"/>
          <w:numId w:val="24"/>
        </w:numPr>
      </w:pPr>
      <w:r w:rsidRPr="005531F2">
        <w:t xml:space="preserve">There are a number of interrelationships between </w:t>
      </w:r>
      <w:r w:rsidR="00F52299">
        <w:t>SA</w:t>
      </w:r>
      <w:r w:rsidR="00884BE8">
        <w:t xml:space="preserve"> </w:t>
      </w:r>
      <w:r w:rsidR="00F52299">
        <w:t>P</w:t>
      </w:r>
      <w:r w:rsidR="00884BE8">
        <w:t>ower Networks</w:t>
      </w:r>
      <w:r w:rsidR="00DC7247">
        <w:t>'</w:t>
      </w:r>
      <w:r w:rsidRPr="005531F2">
        <w:t xml:space="preserve"> total forecast c</w:t>
      </w:r>
      <w:r w:rsidR="00DC7247">
        <w:t>apex for the 2015–</w:t>
      </w:r>
      <w:r w:rsidRPr="005531F2">
        <w:t xml:space="preserve">20 </w:t>
      </w:r>
      <w:r w:rsidR="00547427">
        <w:t xml:space="preserve">regulatory </w:t>
      </w:r>
      <w:r w:rsidR="006C0C3E">
        <w:t>control</w:t>
      </w:r>
      <w:r w:rsidR="006C0C3E" w:rsidRPr="005531F2">
        <w:t xml:space="preserve"> period</w:t>
      </w:r>
      <w:r w:rsidRPr="005531F2">
        <w:t xml:space="preserve"> and other components of its distribution determination that we have taken into account in coming to our </w:t>
      </w:r>
      <w:r w:rsidR="00F42C43">
        <w:t>preliminary</w:t>
      </w:r>
      <w:r w:rsidRPr="005531F2">
        <w:t xml:space="preserve"> decision. </w:t>
      </w:r>
      <w:r w:rsidRPr="005531F2">
        <w:fldChar w:fldCharType="begin"/>
      </w:r>
      <w:r w:rsidRPr="005531F2">
        <w:instrText xml:space="preserve"> REF _Ref402362913 \h </w:instrText>
      </w:r>
      <w:r w:rsidRPr="005531F2">
        <w:fldChar w:fldCharType="separate"/>
      </w:r>
      <w:r w:rsidR="00F02131" w:rsidRPr="005531F2">
        <w:t xml:space="preserve">Table </w:t>
      </w:r>
      <w:r w:rsidR="00F02131">
        <w:rPr>
          <w:noProof/>
        </w:rPr>
        <w:t>6</w:t>
      </w:r>
      <w:r w:rsidR="00F02131" w:rsidRPr="005531F2">
        <w:noBreakHyphen/>
      </w:r>
      <w:r w:rsidR="00F02131">
        <w:rPr>
          <w:noProof/>
        </w:rPr>
        <w:t>4</w:t>
      </w:r>
      <w:r w:rsidRPr="005531F2">
        <w:fldChar w:fldCharType="end"/>
      </w:r>
      <w:r w:rsidRPr="005531F2">
        <w:t xml:space="preserve"> summarises these other components and their interrelationships with </w:t>
      </w:r>
      <w:r w:rsidR="00F52299">
        <w:t>SA</w:t>
      </w:r>
      <w:r w:rsidR="00884BE8">
        <w:t xml:space="preserve"> </w:t>
      </w:r>
      <w:r w:rsidR="00F52299">
        <w:t>P</w:t>
      </w:r>
      <w:r w:rsidR="00884BE8">
        <w:t>ower Networks</w:t>
      </w:r>
      <w:r w:rsidR="00DC7247">
        <w:t>'</w:t>
      </w:r>
      <w:r w:rsidRPr="005531F2">
        <w:t xml:space="preserve"> total forecast capex.</w:t>
      </w:r>
    </w:p>
    <w:p w:rsidR="005531F2" w:rsidRPr="005531F2" w:rsidRDefault="005531F2" w:rsidP="005531F2">
      <w:pPr>
        <w:pStyle w:val="Charttitle"/>
      </w:pPr>
      <w:bookmarkStart w:id="57" w:name="_Ref402362913"/>
      <w:r w:rsidRPr="005531F2">
        <w:t xml:space="preserve">Table </w:t>
      </w:r>
      <w:fldSimple w:instr=" STYLEREF 1 \s ">
        <w:r w:rsidR="00F02131">
          <w:rPr>
            <w:noProof/>
          </w:rPr>
          <w:t>6</w:t>
        </w:r>
      </w:fldSimple>
      <w:r w:rsidRPr="005531F2">
        <w:noBreakHyphen/>
      </w:r>
      <w:fldSimple w:instr=" SEQ Table \* ARABIC \s 1 ">
        <w:r w:rsidR="00F02131">
          <w:rPr>
            <w:noProof/>
          </w:rPr>
          <w:t>4</w:t>
        </w:r>
      </w:fldSimple>
      <w:bookmarkEnd w:id="57"/>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5531F2" w:rsidRPr="005531F2" w:rsidTr="00547427">
        <w:trPr>
          <w:cnfStyle w:val="100000000000" w:firstRow="1" w:lastRow="0" w:firstColumn="0" w:lastColumn="0" w:oddVBand="0" w:evenVBand="0" w:oddHBand="0" w:evenHBand="0" w:firstRowFirstColumn="0" w:firstRowLastColumn="0" w:lastRowFirstColumn="0" w:lastRowLastColumn="0"/>
          <w:tblHeader/>
        </w:trPr>
        <w:tc>
          <w:tcPr>
            <w:tcW w:w="1832" w:type="dxa"/>
          </w:tcPr>
          <w:p w:rsidR="005531F2" w:rsidRPr="005531F2" w:rsidRDefault="005531F2" w:rsidP="00525DDF">
            <w:pPr>
              <w:numPr>
                <w:ilvl w:val="0"/>
                <w:numId w:val="24"/>
              </w:numPr>
            </w:pPr>
            <w:r w:rsidRPr="005531F2">
              <w:t>Other component</w:t>
            </w:r>
          </w:p>
        </w:tc>
        <w:tc>
          <w:tcPr>
            <w:tcW w:w="7410" w:type="dxa"/>
          </w:tcPr>
          <w:p w:rsidR="005531F2" w:rsidRPr="005531F2" w:rsidRDefault="005531F2" w:rsidP="00525DDF">
            <w:pPr>
              <w:numPr>
                <w:ilvl w:val="0"/>
                <w:numId w:val="24"/>
              </w:numPr>
            </w:pPr>
            <w:r w:rsidRPr="005531F2">
              <w:t>Interrelationships with total forecast capex</w:t>
            </w:r>
          </w:p>
        </w:tc>
      </w:tr>
      <w:tr w:rsidR="005531F2" w:rsidRPr="005531F2" w:rsidTr="00256AED">
        <w:tc>
          <w:tcPr>
            <w:tcW w:w="1832" w:type="dxa"/>
          </w:tcPr>
          <w:p w:rsidR="005531F2" w:rsidRPr="005531F2" w:rsidRDefault="005531F2" w:rsidP="005531F2">
            <w:r w:rsidRPr="005531F2">
              <w:t>Total forecast opex</w:t>
            </w:r>
          </w:p>
        </w:tc>
        <w:tc>
          <w:tcPr>
            <w:tcW w:w="7410" w:type="dxa"/>
          </w:tcPr>
          <w:p w:rsidR="005531F2" w:rsidRPr="005531F2" w:rsidRDefault="005531F2" w:rsidP="004A1822">
            <w:r w:rsidRPr="005531F2">
              <w:t xml:space="preserve">There are elements of </w:t>
            </w:r>
            <w:r w:rsidR="00F52299">
              <w:t>SA</w:t>
            </w:r>
            <w:r w:rsidR="00884BE8">
              <w:t xml:space="preserve"> </w:t>
            </w:r>
            <w:r w:rsidR="00F52299">
              <w:t>P</w:t>
            </w:r>
            <w:r w:rsidR="00884BE8">
              <w:t>ower Networks</w:t>
            </w:r>
            <w:r w:rsidR="00DC7247">
              <w:t>'</w:t>
            </w:r>
            <w:r w:rsidRPr="005531F2">
              <w:t xml:space="preserve"> total forecast opex that are related to its total forecast capex. These are:</w:t>
            </w:r>
          </w:p>
          <w:p w:rsidR="005531F2" w:rsidRPr="005531F2" w:rsidRDefault="005531F2" w:rsidP="004A1822">
            <w:pPr>
              <w:pStyle w:val="AERbulletlistfirststyle"/>
            </w:pPr>
            <w:r w:rsidRPr="005531F2">
              <w:t xml:space="preserve">the labour cost escalators that we approved in </w:t>
            </w:r>
            <w:r w:rsidR="007A7D52">
              <w:t>Attachment 7</w:t>
            </w:r>
          </w:p>
          <w:p w:rsidR="005531F2" w:rsidRPr="005531F2" w:rsidRDefault="005531F2" w:rsidP="004A1822">
            <w:pPr>
              <w:pStyle w:val="AERbulletlistfirststyle"/>
            </w:pPr>
            <w:r w:rsidRPr="005531F2">
              <w:t xml:space="preserve">the amount of maintenance opex that is reflected in </w:t>
            </w:r>
            <w:r w:rsidR="00F52299">
              <w:t>SA</w:t>
            </w:r>
            <w:r w:rsidR="00884BE8">
              <w:t xml:space="preserve"> </w:t>
            </w:r>
            <w:r w:rsidR="00F52299">
              <w:t>P</w:t>
            </w:r>
            <w:r w:rsidR="00884BE8">
              <w:t>ower Networks</w:t>
            </w:r>
            <w:r w:rsidR="00DC7247">
              <w:t>'</w:t>
            </w:r>
            <w:r w:rsidRPr="005531F2">
              <w:t xml:space="preserve"> opex base year that we approved in Attachment 7</w:t>
            </w:r>
          </w:p>
          <w:p w:rsidR="005531F2" w:rsidRPr="005531F2" w:rsidRDefault="005531F2" w:rsidP="00102858">
            <w:r w:rsidRPr="005531F2">
              <w:t xml:space="preserve">The labour cost escalators are interrelated </w:t>
            </w:r>
            <w:r w:rsidR="00102858">
              <w:t xml:space="preserve">with capex </w:t>
            </w:r>
            <w:r w:rsidRPr="005531F2">
              <w:t xml:space="preserve">because </w:t>
            </w:r>
            <w:r w:rsidR="00F52299">
              <w:t>SA</w:t>
            </w:r>
            <w:r w:rsidR="00884BE8">
              <w:t xml:space="preserve"> </w:t>
            </w:r>
            <w:r w:rsidR="00F52299">
              <w:t>P</w:t>
            </w:r>
            <w:r w:rsidR="00884BE8">
              <w:t>ower Networks</w:t>
            </w:r>
            <w:r w:rsidR="00DC7247">
              <w:t>'</w:t>
            </w:r>
            <w:r w:rsidRPr="005531F2">
              <w:t xml:space="preserve"> total forecast capex includes expenditure for capitalised labour. </w:t>
            </w:r>
            <w:r w:rsidR="001D5180">
              <w:t>M</w:t>
            </w:r>
            <w:r w:rsidRPr="005531F2">
              <w:t>aintenance opex</w:t>
            </w:r>
            <w:r w:rsidR="00102858">
              <w:t xml:space="preserve"> is also related to capex</w:t>
            </w:r>
            <w:r w:rsidRPr="005531F2">
              <w:t xml:space="preserve">, although we did not approve a specific amount of maintenance opex as part of assessing </w:t>
            </w:r>
            <w:r w:rsidR="00F52299">
              <w:t>SA</w:t>
            </w:r>
            <w:r w:rsidR="00316D97">
              <w:t xml:space="preserve"> </w:t>
            </w:r>
            <w:r w:rsidR="00F52299">
              <w:t>P</w:t>
            </w:r>
            <w:r w:rsidR="00316D97">
              <w:t>ower Networks</w:t>
            </w:r>
            <w:r w:rsidR="00DC7247">
              <w:t>'</w:t>
            </w:r>
            <w:r w:rsidRPr="005531F2">
              <w:t xml:space="preserve"> total forecast opex. This is because the amount of maintenance opex that is reflected in </w:t>
            </w:r>
            <w:r w:rsidR="00F52299">
              <w:t>SA</w:t>
            </w:r>
            <w:r w:rsidR="00884BE8">
              <w:t xml:space="preserve"> </w:t>
            </w:r>
            <w:r w:rsidR="00F52299">
              <w:t>P</w:t>
            </w:r>
            <w:r w:rsidR="00884BE8">
              <w:t>ower Networks</w:t>
            </w:r>
            <w:r w:rsidR="00DC7247">
              <w:t>'</w:t>
            </w:r>
            <w:r w:rsidRPr="005531F2">
              <w:t xml:space="preserve"> opex base in part determines the extent to which </w:t>
            </w:r>
            <w:r w:rsidR="00F52299">
              <w:t>SA</w:t>
            </w:r>
            <w:r w:rsidR="00604AA1">
              <w:t xml:space="preserve"> </w:t>
            </w:r>
            <w:r w:rsidR="00F52299">
              <w:t>P</w:t>
            </w:r>
            <w:r w:rsidR="00604AA1">
              <w:t>ower Networks</w:t>
            </w:r>
            <w:r w:rsidRPr="005531F2">
              <w:t xml:space="preserve"> needs to</w:t>
            </w:r>
            <w:r w:rsidR="00DC7247">
              <w:t xml:space="preserve"> spend repex during the 2015–</w:t>
            </w:r>
            <w:r w:rsidRPr="005531F2">
              <w:t>20 period.</w:t>
            </w:r>
          </w:p>
        </w:tc>
      </w:tr>
      <w:tr w:rsidR="005531F2" w:rsidRPr="005531F2" w:rsidTr="00256AED">
        <w:trPr>
          <w:cnfStyle w:val="000000010000" w:firstRow="0" w:lastRow="0" w:firstColumn="0" w:lastColumn="0" w:oddVBand="0" w:evenVBand="0" w:oddHBand="0" w:evenHBand="1" w:firstRowFirstColumn="0" w:firstRowLastColumn="0" w:lastRowFirstColumn="0" w:lastRowLastColumn="0"/>
        </w:trPr>
        <w:tc>
          <w:tcPr>
            <w:tcW w:w="1832" w:type="dxa"/>
          </w:tcPr>
          <w:p w:rsidR="005531F2" w:rsidRPr="005531F2" w:rsidRDefault="005531F2" w:rsidP="005531F2">
            <w:r w:rsidRPr="005531F2">
              <w:lastRenderedPageBreak/>
              <w:t>Forecast demand</w:t>
            </w:r>
          </w:p>
        </w:tc>
        <w:tc>
          <w:tcPr>
            <w:tcW w:w="7410" w:type="dxa"/>
          </w:tcPr>
          <w:p w:rsidR="005531F2" w:rsidRPr="005531F2" w:rsidRDefault="005531F2" w:rsidP="005C4513">
            <w:r w:rsidRPr="005531F2">
              <w:t xml:space="preserve">Forecast demand is related to </w:t>
            </w:r>
            <w:r w:rsidR="00F52299">
              <w:t>SA</w:t>
            </w:r>
            <w:r w:rsidR="00884BE8">
              <w:t xml:space="preserve"> </w:t>
            </w:r>
            <w:r w:rsidR="00F52299">
              <w:t>P</w:t>
            </w:r>
            <w:r w:rsidR="00884BE8">
              <w:t>ower Networks</w:t>
            </w:r>
            <w:r w:rsidR="00DC7247">
              <w:t>'</w:t>
            </w:r>
            <w:r w:rsidR="00884BE8">
              <w:t xml:space="preserve"> </w:t>
            </w:r>
            <w:r w:rsidRPr="005531F2">
              <w:t>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5531F2" w:rsidRPr="005531F2" w:rsidTr="00256AED">
        <w:tc>
          <w:tcPr>
            <w:tcW w:w="1832" w:type="dxa"/>
          </w:tcPr>
          <w:p w:rsidR="005531F2" w:rsidRPr="005531F2" w:rsidRDefault="005531F2" w:rsidP="005531F2">
            <w:r w:rsidRPr="005531F2">
              <w:t>Capital Expenditure Sharing Scheme (CESS)</w:t>
            </w:r>
          </w:p>
        </w:tc>
        <w:tc>
          <w:tcPr>
            <w:tcW w:w="7410" w:type="dxa"/>
          </w:tcPr>
          <w:p w:rsidR="005531F2" w:rsidRPr="005531F2" w:rsidRDefault="005531F2" w:rsidP="00DC7247">
            <w:r w:rsidRPr="005531F2">
              <w:t xml:space="preserve">The CESS is related to </w:t>
            </w:r>
            <w:r w:rsidR="00F52299">
              <w:t>SA</w:t>
            </w:r>
            <w:r w:rsidR="00884BE8">
              <w:t xml:space="preserve"> </w:t>
            </w:r>
            <w:r w:rsidR="00F52299">
              <w:t>P</w:t>
            </w:r>
            <w:r w:rsidR="00884BE8">
              <w:t>ower Networks</w:t>
            </w:r>
            <w:r w:rsidR="00DC7247">
              <w:t>'</w:t>
            </w:r>
            <w:r w:rsidRPr="005531F2">
              <w:t xml:space="preserve"> total forecast capex. In particular, the effective application of the CESS is contingent on the approved total forecast capex being efficient, </w:t>
            </w:r>
            <w:r w:rsidR="00761FCF">
              <w:t>and</w:t>
            </w:r>
            <w:r w:rsidR="00761FCF" w:rsidRPr="005531F2">
              <w:t xml:space="preserve"> </w:t>
            </w:r>
            <w:r w:rsidRPr="005531F2">
              <w:t xml:space="preserve">that it reasonably reflects the capex criteria. As we noted in [the capex criteria table </w:t>
            </w:r>
            <w:r w:rsidR="002F3FC5">
              <w:t>below</w:t>
            </w:r>
            <w:r w:rsidRPr="005531F2">
              <w:t xml:space="preserve">],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rsidR="00F52299">
              <w:t>SA</w:t>
            </w:r>
            <w:r w:rsidR="00884BE8">
              <w:t xml:space="preserve"> </w:t>
            </w:r>
            <w:r w:rsidR="00F52299">
              <w:t>P</w:t>
            </w:r>
            <w:r w:rsidR="00884BE8">
              <w:t>ower Networks</w:t>
            </w:r>
            <w:r w:rsidR="00DC7247">
              <w:t>'</w:t>
            </w:r>
            <w:r w:rsidRPr="005531F2">
              <w:t xml:space="preserve"> regulatory asset base. In particular, the CESS will ensure that </w:t>
            </w:r>
            <w:r w:rsidR="00F52299">
              <w:t>SA</w:t>
            </w:r>
            <w:r w:rsidR="00884BE8">
              <w:t xml:space="preserve"> </w:t>
            </w:r>
            <w:r w:rsidR="00F52299">
              <w:t>P</w:t>
            </w:r>
            <w:r w:rsidR="00884BE8">
              <w:t>ower Networks</w:t>
            </w:r>
            <w:r w:rsidRPr="005531F2">
              <w:t xml:space="preserve"> bears at least 30 per cent of any overspend against the capex allowance. Similarly, if </w:t>
            </w:r>
            <w:r w:rsidR="00F52299">
              <w:t>SA</w:t>
            </w:r>
            <w:r w:rsidR="00884BE8">
              <w:t xml:space="preserve"> </w:t>
            </w:r>
            <w:r w:rsidR="00F52299">
              <w:t>P</w:t>
            </w:r>
            <w:r w:rsidR="00884BE8">
              <w:t>ower Networks</w:t>
            </w:r>
            <w:r w:rsidRPr="005531F2">
              <w:t xml:space="preserve"> can fulfil their objectives without spending the full capex allowance, it will be able to retain 30 per cent of the benefit of this. In addition, if an overspend is found to be inefficient through the ex post review, </w:t>
            </w:r>
            <w:r w:rsidR="00F52299">
              <w:t>SA</w:t>
            </w:r>
            <w:r w:rsidR="00884BE8">
              <w:t xml:space="preserve"> </w:t>
            </w:r>
            <w:r w:rsidR="00F52299">
              <w:t>P</w:t>
            </w:r>
            <w:r w:rsidR="00884BE8">
              <w:t>ower Networks</w:t>
            </w:r>
            <w:r w:rsidRPr="005531F2">
              <w:t xml:space="preserve"> risks having to bear the entire overspend.</w:t>
            </w:r>
          </w:p>
        </w:tc>
      </w:tr>
      <w:tr w:rsidR="005531F2" w:rsidRPr="005531F2" w:rsidTr="00256AED">
        <w:trPr>
          <w:cnfStyle w:val="000000010000" w:firstRow="0" w:lastRow="0" w:firstColumn="0" w:lastColumn="0" w:oddVBand="0" w:evenVBand="0" w:oddHBand="0" w:evenHBand="1" w:firstRowFirstColumn="0" w:firstRowLastColumn="0" w:lastRowFirstColumn="0" w:lastRowLastColumn="0"/>
        </w:trPr>
        <w:tc>
          <w:tcPr>
            <w:tcW w:w="1832" w:type="dxa"/>
          </w:tcPr>
          <w:p w:rsidR="005531F2" w:rsidRPr="005531F2" w:rsidRDefault="005531F2" w:rsidP="005531F2">
            <w:r w:rsidRPr="005531F2">
              <w:t xml:space="preserve">Service </w:t>
            </w:r>
            <w:r w:rsidR="00F42C43">
              <w:t>Target</w:t>
            </w:r>
            <w:r w:rsidRPr="005531F2">
              <w:t xml:space="preserve"> Performance Incentive Scheme (STPIS)</w:t>
            </w:r>
          </w:p>
        </w:tc>
        <w:tc>
          <w:tcPr>
            <w:tcW w:w="7410" w:type="dxa"/>
          </w:tcPr>
          <w:p w:rsidR="005531F2" w:rsidRDefault="005531F2" w:rsidP="004A1822">
            <w:r w:rsidRPr="005531F2">
              <w:t xml:space="preserve">The STPIS is interrelated to </w:t>
            </w:r>
            <w:r w:rsidR="00F52299">
              <w:t>SA</w:t>
            </w:r>
            <w:r w:rsidR="00884BE8">
              <w:t xml:space="preserve"> </w:t>
            </w:r>
            <w:r w:rsidR="00F52299">
              <w:t>P</w:t>
            </w:r>
            <w:r w:rsidR="00884BE8">
              <w:t>ower Networks</w:t>
            </w:r>
            <w:r w:rsidR="00DC7247">
              <w:t>'</w:t>
            </w:r>
            <w:r w:rsidRPr="005531F2">
              <w:t xml:space="preserve"> total forecast capex, in so far as it is important that it does not include any expenditure for the purposes of improving suppl</w:t>
            </w:r>
            <w:r w:rsidR="00DC7247">
              <w:t>y reliability during the 2015–</w:t>
            </w:r>
            <w:r w:rsidRPr="005531F2">
              <w:t>20 period. This is because such expenditure should be offset by rewards provided through the application of the STPIS.</w:t>
            </w:r>
          </w:p>
          <w:p w:rsidR="001C0147" w:rsidRPr="005531F2" w:rsidRDefault="001C0147" w:rsidP="00EB7EE3">
            <w:r w:rsidRPr="001C0147">
              <w:t xml:space="preserve">Further, the forecast capex should be sufficient to allow </w:t>
            </w:r>
            <w:r>
              <w:t>SA</w:t>
            </w:r>
            <w:r w:rsidR="00604AA1">
              <w:t xml:space="preserve"> </w:t>
            </w:r>
            <w:r>
              <w:t>P</w:t>
            </w:r>
            <w:r w:rsidR="00604AA1">
              <w:t>ower Networks</w:t>
            </w:r>
            <w:r w:rsidRPr="001C0147">
              <w:t xml:space="preserve"> to maintain performance at the targets set under the STPIS.  The capex allowance should not be set such that there is an expectation that it will lead to </w:t>
            </w:r>
            <w:r>
              <w:t>SA</w:t>
            </w:r>
            <w:r w:rsidR="00884BE8">
              <w:t xml:space="preserve"> </w:t>
            </w:r>
            <w:r>
              <w:t>P</w:t>
            </w:r>
            <w:r w:rsidR="00884BE8">
              <w:t>ower Networks</w:t>
            </w:r>
            <w:r w:rsidRPr="001C0147">
              <w:t xml:space="preserve"> systematically under or over performing against its targets.</w:t>
            </w:r>
          </w:p>
        </w:tc>
      </w:tr>
      <w:tr w:rsidR="005531F2" w:rsidRPr="005531F2" w:rsidTr="00256AED">
        <w:tc>
          <w:tcPr>
            <w:tcW w:w="1832" w:type="dxa"/>
          </w:tcPr>
          <w:p w:rsidR="005531F2" w:rsidRPr="005531F2" w:rsidRDefault="005531F2" w:rsidP="005531F2">
            <w:r w:rsidRPr="005531F2">
              <w:t>Contingent project</w:t>
            </w:r>
          </w:p>
        </w:tc>
        <w:tc>
          <w:tcPr>
            <w:tcW w:w="7410" w:type="dxa"/>
          </w:tcPr>
          <w:p w:rsidR="005531F2" w:rsidRPr="005531F2" w:rsidRDefault="005531F2" w:rsidP="004A1822">
            <w:r w:rsidRPr="005531F2">
              <w:t xml:space="preserve">A contingent project is interrelated to </w:t>
            </w:r>
            <w:r w:rsidR="00F52299">
              <w:t>SA</w:t>
            </w:r>
            <w:r w:rsidR="00884BE8">
              <w:t xml:space="preserve"> </w:t>
            </w:r>
            <w:r w:rsidR="00F52299">
              <w:t>P</w:t>
            </w:r>
            <w:r w:rsidR="00884BE8">
              <w:t>ower Networks</w:t>
            </w:r>
            <w:r w:rsidR="00DC7247">
              <w:t>'</w:t>
            </w:r>
            <w:r w:rsidRPr="005531F2">
              <w:t xml:space="preserve"> total forecast capex. This is because an amount of expenditure that should be included as a contingent project should not be included as part of </w:t>
            </w:r>
            <w:r w:rsidR="00F52299">
              <w:t>SA</w:t>
            </w:r>
            <w:r w:rsidR="00884BE8">
              <w:t xml:space="preserve"> Power Networks</w:t>
            </w:r>
            <w:r w:rsidR="00DC7247">
              <w:t>'</w:t>
            </w:r>
            <w:r w:rsidRPr="005531F2">
              <w:t xml:space="preserve"> tota</w:t>
            </w:r>
            <w:r w:rsidR="00DC7247">
              <w:t>l forecast capex for the 2015–</w:t>
            </w:r>
            <w:r w:rsidRPr="005531F2">
              <w:t xml:space="preserve">20 period. </w:t>
            </w:r>
          </w:p>
          <w:p w:rsidR="005531F2" w:rsidRPr="00722006" w:rsidRDefault="005531F2" w:rsidP="00DC7247">
            <w:r w:rsidRPr="00722006">
              <w:t xml:space="preserve">We did not identify any contingent projects for </w:t>
            </w:r>
            <w:r w:rsidR="00F52299" w:rsidRPr="00722006">
              <w:t>SA</w:t>
            </w:r>
            <w:r w:rsidR="00604AA1">
              <w:t xml:space="preserve"> </w:t>
            </w:r>
            <w:r w:rsidR="00F52299" w:rsidRPr="00722006">
              <w:t>P</w:t>
            </w:r>
            <w:r w:rsidR="00604AA1">
              <w:t>ower Networks</w:t>
            </w:r>
            <w:r w:rsidRPr="00722006">
              <w:t xml:space="preserve"> </w:t>
            </w:r>
            <w:r w:rsidR="001558AC">
              <w:t>for</w:t>
            </w:r>
            <w:r w:rsidR="00DC7247">
              <w:t xml:space="preserve"> the 2015–</w:t>
            </w:r>
            <w:r w:rsidRPr="00722006">
              <w:t>20 period.</w:t>
            </w:r>
          </w:p>
        </w:tc>
      </w:tr>
    </w:tbl>
    <w:p w:rsidR="005531F2" w:rsidRPr="005531F2" w:rsidRDefault="005531F2" w:rsidP="005531F2">
      <w:pPr>
        <w:pStyle w:val="AERtablesource"/>
      </w:pPr>
      <w:r w:rsidRPr="005531F2">
        <w:t xml:space="preserve">Source: </w:t>
      </w:r>
      <w:r w:rsidRPr="005531F2">
        <w:tab/>
        <w:t>AER analysis</w:t>
      </w:r>
    </w:p>
    <w:p w:rsidR="007A7D52" w:rsidRPr="007A7D52" w:rsidRDefault="007A7D52" w:rsidP="007A7D52">
      <w:pPr>
        <w:pStyle w:val="Heading3"/>
      </w:pPr>
      <w:bookmarkStart w:id="58" w:name="_Toc417725381"/>
      <w:bookmarkStart w:id="59" w:name="_Toc404419589"/>
      <w:bookmarkStart w:id="60" w:name="_Toc404605698"/>
      <w:bookmarkStart w:id="61" w:name="_Toc413071340"/>
      <w:r w:rsidRPr="007A7D52">
        <w:t>Consideration of the capex factors</w:t>
      </w:r>
      <w:bookmarkEnd w:id="58"/>
    </w:p>
    <w:p w:rsidR="005531F2" w:rsidRPr="005531F2" w:rsidRDefault="005531F2" w:rsidP="00525DDF">
      <w:pPr>
        <w:numPr>
          <w:ilvl w:val="0"/>
          <w:numId w:val="24"/>
        </w:numPr>
      </w:pPr>
      <w:bookmarkStart w:id="62" w:name="_Ref402362367"/>
      <w:bookmarkStart w:id="63" w:name="_Ref402362360"/>
      <w:bookmarkEnd w:id="56"/>
      <w:bookmarkEnd w:id="59"/>
      <w:bookmarkEnd w:id="60"/>
      <w:bookmarkEnd w:id="61"/>
      <w:r w:rsidRPr="005531F2">
        <w:t xml:space="preserve">In applying our assessment techniques to determine whether we are satisfied that </w:t>
      </w:r>
      <w:r w:rsidR="00F52299">
        <w:t>SA</w:t>
      </w:r>
      <w:r w:rsidR="00884BE8">
        <w:t xml:space="preserve"> </w:t>
      </w:r>
      <w:r w:rsidR="00F52299">
        <w:t>P</w:t>
      </w:r>
      <w:r w:rsidR="00884BE8">
        <w:t xml:space="preserve">ower </w:t>
      </w:r>
      <w:r w:rsidR="00F52299">
        <w:t>N</w:t>
      </w:r>
      <w:r w:rsidR="00884BE8">
        <w:t>etworks</w:t>
      </w:r>
      <w:r w:rsidRPr="005531F2">
        <w:t xml:space="preserve"> proposed total forecast capex and our alternative estimate reasonably reflects the capex criteria, we have had regard to the capex factors. Where relevant, we have also had regard to the capex factors in assessing the forecast capex associated with its underlyi</w:t>
      </w:r>
      <w:r w:rsidR="00547427">
        <w:t>ng capex drivers as set out in a</w:t>
      </w:r>
      <w:r w:rsidRPr="005531F2">
        <w:t xml:space="preserve">ppendix A. </w:t>
      </w:r>
      <w:r w:rsidRPr="005531F2">
        <w:fldChar w:fldCharType="begin"/>
      </w:r>
      <w:r w:rsidRPr="005531F2">
        <w:instrText xml:space="preserve"> REF _Ref403666738 \h </w:instrText>
      </w:r>
      <w:r w:rsidRPr="005531F2">
        <w:fldChar w:fldCharType="separate"/>
      </w:r>
      <w:r w:rsidR="00F02131" w:rsidRPr="005531F2">
        <w:t xml:space="preserve">Table </w:t>
      </w:r>
      <w:r w:rsidR="00F02131">
        <w:rPr>
          <w:noProof/>
        </w:rPr>
        <w:t>6</w:t>
      </w:r>
      <w:r w:rsidR="00F02131" w:rsidRPr="005531F2">
        <w:noBreakHyphen/>
      </w:r>
      <w:r w:rsidR="00F02131">
        <w:rPr>
          <w:noProof/>
        </w:rPr>
        <w:t>5</w:t>
      </w:r>
      <w:r w:rsidRPr="005531F2">
        <w:fldChar w:fldCharType="end"/>
      </w:r>
      <w:r w:rsidRPr="005531F2">
        <w:t xml:space="preserve">  summarises how we have taken into account the capex factors.</w:t>
      </w:r>
    </w:p>
    <w:p w:rsidR="005531F2" w:rsidRPr="005531F2" w:rsidRDefault="005531F2" w:rsidP="005531F2">
      <w:pPr>
        <w:pStyle w:val="Charttitle"/>
      </w:pPr>
      <w:bookmarkStart w:id="64" w:name="_Ref403666738"/>
      <w:r w:rsidRPr="005531F2">
        <w:t xml:space="preserve">Table </w:t>
      </w:r>
      <w:fldSimple w:instr=" STYLEREF 1 \s ">
        <w:r w:rsidR="00F02131">
          <w:rPr>
            <w:noProof/>
          </w:rPr>
          <w:t>6</w:t>
        </w:r>
      </w:fldSimple>
      <w:r w:rsidRPr="005531F2">
        <w:noBreakHyphen/>
      </w:r>
      <w:fldSimple w:instr=" SEQ Table \* ARABIC \s 1 ">
        <w:r w:rsidR="00F02131">
          <w:rPr>
            <w:noProof/>
          </w:rPr>
          <w:t>5</w:t>
        </w:r>
      </w:fldSimple>
      <w:bookmarkEnd w:id="62"/>
      <w:bookmarkEnd w:id="64"/>
      <w:r w:rsidRPr="005531F2">
        <w:tab/>
        <w:t>AER consideration of the capex factors</w:t>
      </w:r>
      <w:bookmarkEnd w:id="63"/>
    </w:p>
    <w:tbl>
      <w:tblPr>
        <w:tblStyle w:val="AERtable-text0"/>
        <w:tblW w:w="0" w:type="auto"/>
        <w:tblLook w:val="04A0" w:firstRow="1" w:lastRow="0" w:firstColumn="1" w:lastColumn="0" w:noHBand="0" w:noVBand="1"/>
      </w:tblPr>
      <w:tblGrid>
        <w:gridCol w:w="3860"/>
        <w:gridCol w:w="4833"/>
      </w:tblGrid>
      <w:tr w:rsidR="005531F2" w:rsidRPr="005531F2" w:rsidTr="00547427">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5531F2" w:rsidRPr="005531F2" w:rsidRDefault="005531F2" w:rsidP="005531F2">
            <w:r w:rsidRPr="005531F2">
              <w:t>Capex factor</w:t>
            </w:r>
          </w:p>
        </w:tc>
        <w:tc>
          <w:tcPr>
            <w:tcW w:w="4833" w:type="dxa"/>
            <w:hideMark/>
          </w:tcPr>
          <w:p w:rsidR="005531F2" w:rsidRPr="005531F2" w:rsidRDefault="005531F2" w:rsidP="005531F2">
            <w:r w:rsidRPr="005531F2">
              <w:t>AER consideration</w:t>
            </w:r>
          </w:p>
        </w:tc>
      </w:tr>
      <w:tr w:rsidR="005531F2" w:rsidRPr="005531F2" w:rsidTr="00547427">
        <w:tc>
          <w:tcPr>
            <w:tcW w:w="3860" w:type="dxa"/>
            <w:hideMark/>
          </w:tcPr>
          <w:p w:rsidR="005531F2" w:rsidRPr="005531F2" w:rsidRDefault="005531F2" w:rsidP="005531F2">
            <w:r w:rsidRPr="005531F2">
              <w:t xml:space="preserve">The most recent annual benchmarking report and benchmarking capex that would be incurred by an efficient </w:t>
            </w:r>
            <w:r w:rsidR="00EF67EA">
              <w:t>distributor</w:t>
            </w:r>
            <w:r w:rsidRPr="005531F2">
              <w:t xml:space="preserve"> over the relevant regulatory control period</w:t>
            </w:r>
          </w:p>
        </w:tc>
        <w:tc>
          <w:tcPr>
            <w:tcW w:w="4833" w:type="dxa"/>
            <w:hideMark/>
          </w:tcPr>
          <w:p w:rsidR="005531F2" w:rsidRPr="005531F2" w:rsidRDefault="005531F2" w:rsidP="004A1822">
            <w:r w:rsidRPr="005531F2">
              <w:t xml:space="preserve">We have had regard to our most recent benchmarking report in assessing </w:t>
            </w:r>
            <w:r w:rsidR="00F52299">
              <w:t>SA</w:t>
            </w:r>
            <w:r w:rsidR="00604AA1">
              <w:t xml:space="preserve"> </w:t>
            </w:r>
            <w:r w:rsidR="00F52299">
              <w:t>P</w:t>
            </w:r>
            <w:r w:rsidR="00604AA1">
              <w:t>ower Networks</w:t>
            </w:r>
            <w:r w:rsidR="00DC7247">
              <w:t>'</w:t>
            </w:r>
            <w:r w:rsidRPr="005531F2">
              <w:t xml:space="preserve"> proposed total forecast capex and in determining our alternative estimate for the 2015–2020 period. This can be seen in the metrics we used in our assessment of </w:t>
            </w:r>
            <w:r w:rsidR="00F52299">
              <w:t>SA</w:t>
            </w:r>
            <w:r w:rsidR="00604AA1">
              <w:t xml:space="preserve"> </w:t>
            </w:r>
            <w:r w:rsidR="00F52299">
              <w:t>P</w:t>
            </w:r>
            <w:r w:rsidR="00604AA1">
              <w:t>ower Networks</w:t>
            </w:r>
            <w:r w:rsidR="00DC7247">
              <w:t>'</w:t>
            </w:r>
            <w:r w:rsidRPr="005531F2">
              <w:t xml:space="preserve"> capex performance.</w:t>
            </w:r>
          </w:p>
        </w:tc>
      </w:tr>
      <w:tr w:rsidR="005531F2" w:rsidRPr="005531F2" w:rsidTr="00547427">
        <w:trPr>
          <w:cnfStyle w:val="000000010000" w:firstRow="0" w:lastRow="0" w:firstColumn="0" w:lastColumn="0" w:oddVBand="0" w:evenVBand="0" w:oddHBand="0" w:evenHBand="1" w:firstRowFirstColumn="0" w:firstRowLastColumn="0" w:lastRowFirstColumn="0" w:lastRowLastColumn="0"/>
        </w:trPr>
        <w:tc>
          <w:tcPr>
            <w:tcW w:w="3860" w:type="dxa"/>
            <w:hideMark/>
          </w:tcPr>
          <w:p w:rsidR="005531F2" w:rsidRPr="005531F2" w:rsidRDefault="005531F2" w:rsidP="005531F2">
            <w:r w:rsidRPr="005531F2">
              <w:t xml:space="preserve">The actual and expected capex of </w:t>
            </w:r>
            <w:r w:rsidR="001558AC">
              <w:t>SA</w:t>
            </w:r>
            <w:r w:rsidR="001558AC" w:rsidRPr="001558AC">
              <w:t xml:space="preserve"> Power </w:t>
            </w:r>
            <w:r w:rsidR="001558AC" w:rsidRPr="001558AC">
              <w:lastRenderedPageBreak/>
              <w:t>Networks</w:t>
            </w:r>
            <w:r w:rsidRPr="005531F2">
              <w:t xml:space="preserve">  during any preceding regulatory control periods</w:t>
            </w:r>
          </w:p>
        </w:tc>
        <w:tc>
          <w:tcPr>
            <w:tcW w:w="4833" w:type="dxa"/>
            <w:hideMark/>
          </w:tcPr>
          <w:p w:rsidR="00D717C4" w:rsidRDefault="005531F2" w:rsidP="00D55583">
            <w:r w:rsidRPr="005531F2">
              <w:lastRenderedPageBreak/>
              <w:t xml:space="preserve">We have had regard to </w:t>
            </w:r>
            <w:r w:rsidR="00F52299">
              <w:t>SA</w:t>
            </w:r>
            <w:r w:rsidR="00604AA1">
              <w:t xml:space="preserve"> </w:t>
            </w:r>
            <w:r w:rsidR="00F52299">
              <w:t>P</w:t>
            </w:r>
            <w:r w:rsidR="00604AA1">
              <w:t>ower Networks</w:t>
            </w:r>
            <w:r w:rsidR="00DC7247">
              <w:t>'</w:t>
            </w:r>
            <w:r w:rsidRPr="005531F2">
              <w:t xml:space="preserve"> actual and expected </w:t>
            </w:r>
            <w:r w:rsidRPr="005531F2">
              <w:lastRenderedPageBreak/>
              <w:t>capex during the 2010–2015 and preceding regulatory control periods in assessing its proposed total forecast capex</w:t>
            </w:r>
            <w:r w:rsidR="00D717C4">
              <w:t>.</w:t>
            </w:r>
          </w:p>
          <w:p w:rsidR="005531F2" w:rsidRDefault="005531F2" w:rsidP="00D55583">
            <w:r w:rsidRPr="005531F2">
              <w:t xml:space="preserve">This can be seen in our assessment of </w:t>
            </w:r>
            <w:r w:rsidR="00F52299">
              <w:t>SA</w:t>
            </w:r>
            <w:r w:rsidR="00884BE8">
              <w:t xml:space="preserve"> </w:t>
            </w:r>
            <w:r w:rsidR="00F52299">
              <w:t>P</w:t>
            </w:r>
            <w:r w:rsidR="00884BE8">
              <w:t>ower Networks</w:t>
            </w:r>
            <w:r w:rsidR="00DC7247">
              <w:t>'</w:t>
            </w:r>
            <w:r w:rsidRPr="005531F2">
              <w:t xml:space="preserve"> capex performance. It can also be seen in our assessment of the forecast capex associated with the capex drivers that underlie </w:t>
            </w:r>
            <w:r w:rsidR="00F52299">
              <w:t>SA</w:t>
            </w:r>
            <w:r w:rsidR="00884BE8">
              <w:t xml:space="preserve"> </w:t>
            </w:r>
            <w:r w:rsidR="00F52299">
              <w:t>P</w:t>
            </w:r>
            <w:r w:rsidR="00884BE8">
              <w:t>ower Networks</w:t>
            </w:r>
            <w:r w:rsidR="00DC7247">
              <w:t>'</w:t>
            </w:r>
            <w:r w:rsidRPr="005531F2">
              <w:t xml:space="preserve"> total forecast capex. </w:t>
            </w:r>
          </w:p>
          <w:p w:rsidR="00D717C4" w:rsidRPr="005531F2" w:rsidRDefault="00D717C4" w:rsidP="00D717C4">
            <w:r w:rsidRPr="00D717C4">
              <w:t>For non-network related capex, we rely on trend analysis to arrive at an estimate that meets the capex criteria.</w:t>
            </w:r>
          </w:p>
        </w:tc>
      </w:tr>
      <w:tr w:rsidR="005531F2" w:rsidRPr="005531F2" w:rsidTr="00547427">
        <w:tc>
          <w:tcPr>
            <w:tcW w:w="3860" w:type="dxa"/>
            <w:hideMark/>
          </w:tcPr>
          <w:p w:rsidR="005531F2" w:rsidRPr="005531F2" w:rsidRDefault="005531F2" w:rsidP="005531F2">
            <w:r w:rsidRPr="005531F2">
              <w:lastRenderedPageBreak/>
              <w:t xml:space="preserve">The extent to which the capex forecast includes expenditure to address concerns of electricity consumers as identified by </w:t>
            </w:r>
            <w:r w:rsidR="00F52299">
              <w:t>SA</w:t>
            </w:r>
            <w:r w:rsidR="00884BE8">
              <w:t xml:space="preserve"> </w:t>
            </w:r>
            <w:r w:rsidR="00F52299">
              <w:t>P</w:t>
            </w:r>
            <w:r w:rsidR="00884BE8">
              <w:t>ower Networks</w:t>
            </w:r>
            <w:r w:rsidRPr="005531F2">
              <w:t xml:space="preserve"> in the course of its engagement with electricity consumers</w:t>
            </w:r>
          </w:p>
        </w:tc>
        <w:tc>
          <w:tcPr>
            <w:tcW w:w="4833" w:type="dxa"/>
            <w:hideMark/>
          </w:tcPr>
          <w:p w:rsidR="005531F2" w:rsidRPr="005531F2" w:rsidRDefault="00607F21" w:rsidP="00607F21">
            <w:r w:rsidRPr="00607F21">
              <w:t xml:space="preserve">We have had regard to the extent to which </w:t>
            </w:r>
            <w:r>
              <w:t>SA</w:t>
            </w:r>
            <w:r w:rsidR="00884BE8">
              <w:t xml:space="preserve"> </w:t>
            </w:r>
            <w:r>
              <w:t>P</w:t>
            </w:r>
            <w:r w:rsidR="00884BE8">
              <w:t>ower Networks</w:t>
            </w:r>
            <w:r w:rsidR="00DB23C4">
              <w:t>'</w:t>
            </w:r>
            <w:r w:rsidRPr="00607F21">
              <w:t xml:space="preserve"> proposed total forecast capex includes expenditure to address consumer concerns that have been identified by SA</w:t>
            </w:r>
            <w:r w:rsidR="00884BE8">
              <w:t xml:space="preserve"> </w:t>
            </w:r>
            <w:r w:rsidRPr="00607F21">
              <w:t>P</w:t>
            </w:r>
            <w:r w:rsidR="00884BE8">
              <w:t xml:space="preserve">ower </w:t>
            </w:r>
            <w:r w:rsidRPr="00607F21">
              <w:t>N</w:t>
            </w:r>
            <w:r w:rsidR="00884BE8">
              <w:t>etworks</w:t>
            </w:r>
            <w:r w:rsidRPr="00607F21">
              <w:t>. SA</w:t>
            </w:r>
            <w:r w:rsidR="00884BE8">
              <w:t xml:space="preserve"> </w:t>
            </w:r>
            <w:r w:rsidRPr="00607F21">
              <w:t>P</w:t>
            </w:r>
            <w:r w:rsidR="00884BE8">
              <w:t xml:space="preserve">ower </w:t>
            </w:r>
            <w:r w:rsidR="00B20F4D">
              <w:t>N</w:t>
            </w:r>
            <w:r w:rsidR="00884BE8">
              <w:t>etworks</w:t>
            </w:r>
            <w:r w:rsidRPr="00607F21">
              <w:t xml:space="preserve"> </w:t>
            </w:r>
            <w:r w:rsidR="00B20F4D">
              <w:t>undertook a consumer</w:t>
            </w:r>
            <w:r w:rsidRPr="00607F21">
              <w:t xml:space="preserve"> engagement </w:t>
            </w:r>
            <w:r w:rsidR="00B20F4D">
              <w:t xml:space="preserve">program which included workshops, bilateral engagement with stakeholders and a willingness-to-pay survey. </w:t>
            </w:r>
            <w:r w:rsidRPr="00607F21">
              <w:t>On the information available to us, including submissions received from stakeholders, we have been unable to identify the extent to which SA</w:t>
            </w:r>
            <w:r w:rsidR="00884BE8">
              <w:t xml:space="preserve"> </w:t>
            </w:r>
            <w:r w:rsidRPr="00607F21">
              <w:t>P</w:t>
            </w:r>
            <w:r w:rsidR="00884BE8">
              <w:t>ower Networks</w:t>
            </w:r>
            <w:r w:rsidR="00DB23C4">
              <w:t>'</w:t>
            </w:r>
            <w:r w:rsidRPr="00607F21">
              <w:t xml:space="preserve"> proposed total forecast capex includes capex that address the concerns of its consumers that it has identified.</w:t>
            </w:r>
          </w:p>
        </w:tc>
      </w:tr>
      <w:tr w:rsidR="005531F2" w:rsidRPr="005531F2" w:rsidTr="00547427">
        <w:trPr>
          <w:cnfStyle w:val="000000010000" w:firstRow="0" w:lastRow="0" w:firstColumn="0" w:lastColumn="0" w:oddVBand="0" w:evenVBand="0" w:oddHBand="0" w:evenHBand="1" w:firstRowFirstColumn="0" w:firstRowLastColumn="0" w:lastRowFirstColumn="0" w:lastRowLastColumn="0"/>
        </w:trPr>
        <w:tc>
          <w:tcPr>
            <w:tcW w:w="3860" w:type="dxa"/>
            <w:hideMark/>
          </w:tcPr>
          <w:p w:rsidR="005531F2" w:rsidRPr="005531F2" w:rsidRDefault="005531F2" w:rsidP="005531F2">
            <w:r w:rsidRPr="005531F2">
              <w:t>The relative prices of operating and capital inputs</w:t>
            </w:r>
          </w:p>
        </w:tc>
        <w:tc>
          <w:tcPr>
            <w:tcW w:w="4833" w:type="dxa"/>
            <w:hideMark/>
          </w:tcPr>
          <w:p w:rsidR="005531F2" w:rsidRPr="005531F2" w:rsidRDefault="005531F2" w:rsidP="004A1822">
            <w:r w:rsidRPr="005531F2">
              <w:t xml:space="preserve">We have had regard to the relative prices of operating and capital inputs in assessing </w:t>
            </w:r>
            <w:r w:rsidR="00F52299">
              <w:t>SA</w:t>
            </w:r>
            <w:r w:rsidR="00884BE8">
              <w:t xml:space="preserve"> </w:t>
            </w:r>
            <w:r w:rsidR="00F52299">
              <w:t>P</w:t>
            </w:r>
            <w:r w:rsidR="00884BE8">
              <w:t>ower Networks</w:t>
            </w:r>
            <w:r w:rsidR="00DB23C4">
              <w:t>'</w:t>
            </w:r>
            <w:r w:rsidRPr="005531F2">
              <w:t xml:space="preserve"> proposed real cost escalation factors for materials. In particular, we have accepted </w:t>
            </w:r>
            <w:r w:rsidR="00F52299">
              <w:t>SA</w:t>
            </w:r>
            <w:r w:rsidR="00884BE8">
              <w:t xml:space="preserve"> </w:t>
            </w:r>
            <w:r w:rsidR="00F52299">
              <w:t>P</w:t>
            </w:r>
            <w:r w:rsidR="00884BE8">
              <w:t>ower Networks</w:t>
            </w:r>
            <w:r w:rsidR="00DB23C4">
              <w:t>'</w:t>
            </w:r>
            <w:r w:rsidRPr="005531F2">
              <w:t xml:space="preserve"> proposal to not apply real cost escalation for materials. </w:t>
            </w:r>
          </w:p>
        </w:tc>
      </w:tr>
      <w:tr w:rsidR="005531F2" w:rsidRPr="005531F2" w:rsidTr="00547427">
        <w:tc>
          <w:tcPr>
            <w:tcW w:w="3860" w:type="dxa"/>
            <w:hideMark/>
          </w:tcPr>
          <w:p w:rsidR="005531F2" w:rsidRPr="005531F2" w:rsidRDefault="005531F2" w:rsidP="005531F2">
            <w:r w:rsidRPr="005531F2">
              <w:t>The substitution possibilities between operating and capital expenditure</w:t>
            </w:r>
          </w:p>
        </w:tc>
        <w:tc>
          <w:tcPr>
            <w:tcW w:w="4833" w:type="dxa"/>
            <w:hideMark/>
          </w:tcPr>
          <w:p w:rsidR="005531F2" w:rsidRPr="005531F2" w:rsidRDefault="005531F2" w:rsidP="004A1822">
            <w:r w:rsidRPr="005531F2">
              <w:t xml:space="preserve">We have had regard to the substitution possibilities between opex and capex. We have considered whether there are more efficient and prudent trade-offs in investing more or less in capital in place of ongoing operations. See our discussion about the interrelationships between </w:t>
            </w:r>
            <w:r w:rsidR="00F52299">
              <w:t>SA</w:t>
            </w:r>
            <w:r w:rsidR="00884BE8">
              <w:t xml:space="preserve"> </w:t>
            </w:r>
            <w:r w:rsidR="00F52299">
              <w:t>P</w:t>
            </w:r>
            <w:r w:rsidR="00884BE8">
              <w:t>ower Networks</w:t>
            </w:r>
            <w:r w:rsidR="00DB23C4">
              <w:t>'</w:t>
            </w:r>
            <w:r w:rsidRPr="005531F2">
              <w:t xml:space="preserve"> total forecast capex and total forecast </w:t>
            </w:r>
            <w:proofErr w:type="spellStart"/>
            <w:r w:rsidRPr="005531F2">
              <w:t>opex</w:t>
            </w:r>
            <w:proofErr w:type="spellEnd"/>
            <w:r w:rsidRPr="005531F2">
              <w:t xml:space="preserve"> in </w:t>
            </w:r>
            <w:r w:rsidRPr="005531F2">
              <w:fldChar w:fldCharType="begin"/>
            </w:r>
            <w:r w:rsidRPr="005531F2">
              <w:instrText xml:space="preserve"> REF _Ref402362913 \h  \* MERGEFORMAT </w:instrText>
            </w:r>
            <w:r w:rsidRPr="005531F2">
              <w:fldChar w:fldCharType="separate"/>
            </w:r>
            <w:r w:rsidR="00F02131" w:rsidRPr="005531F2">
              <w:t xml:space="preserve">Table </w:t>
            </w:r>
            <w:r w:rsidR="00F02131">
              <w:t>6</w:t>
            </w:r>
            <w:r w:rsidR="00F02131" w:rsidRPr="005531F2">
              <w:noBreakHyphen/>
            </w:r>
            <w:r w:rsidR="00F02131">
              <w:t>4</w:t>
            </w:r>
            <w:r w:rsidRPr="005531F2">
              <w:fldChar w:fldCharType="end"/>
            </w:r>
            <w:r w:rsidRPr="005531F2">
              <w:t xml:space="preserve"> above.</w:t>
            </w:r>
          </w:p>
        </w:tc>
      </w:tr>
      <w:tr w:rsidR="005531F2" w:rsidRPr="005531F2" w:rsidTr="00547427">
        <w:trPr>
          <w:cnfStyle w:val="000000010000" w:firstRow="0" w:lastRow="0" w:firstColumn="0" w:lastColumn="0" w:oddVBand="0" w:evenVBand="0" w:oddHBand="0" w:evenHBand="1" w:firstRowFirstColumn="0" w:firstRowLastColumn="0" w:lastRowFirstColumn="0" w:lastRowLastColumn="0"/>
        </w:trPr>
        <w:tc>
          <w:tcPr>
            <w:tcW w:w="3860" w:type="dxa"/>
            <w:hideMark/>
          </w:tcPr>
          <w:p w:rsidR="005531F2" w:rsidRPr="005531F2" w:rsidRDefault="005531F2" w:rsidP="005531F2">
            <w:r w:rsidRPr="005531F2">
              <w:t xml:space="preserve">Whether the capex forecast is consistent with any incentive scheme or schemes that apply to </w:t>
            </w:r>
            <w:r w:rsidR="00F52299">
              <w:t>SA</w:t>
            </w:r>
            <w:r w:rsidR="00604AA1">
              <w:t xml:space="preserve"> </w:t>
            </w:r>
            <w:r w:rsidR="00F52299">
              <w:t>P</w:t>
            </w:r>
            <w:r w:rsidR="00604AA1">
              <w:t>ower Networks</w:t>
            </w:r>
          </w:p>
        </w:tc>
        <w:tc>
          <w:tcPr>
            <w:tcW w:w="4833" w:type="dxa"/>
            <w:hideMark/>
          </w:tcPr>
          <w:p w:rsidR="005531F2" w:rsidRPr="005531F2" w:rsidRDefault="005531F2" w:rsidP="004A1822">
            <w:r w:rsidRPr="005531F2">
              <w:t xml:space="preserve">We have had regard to whether </w:t>
            </w:r>
            <w:r w:rsidR="00F52299">
              <w:t>SA</w:t>
            </w:r>
            <w:r w:rsidR="00884BE8">
              <w:t xml:space="preserve"> </w:t>
            </w:r>
            <w:r w:rsidR="00F52299">
              <w:t>P</w:t>
            </w:r>
            <w:r w:rsidR="00884BE8">
              <w:t>ower Networks</w:t>
            </w:r>
            <w:r w:rsidR="00DB23C4">
              <w:t>'</w:t>
            </w:r>
            <w:r w:rsidRPr="005531F2">
              <w:t xml:space="preserve"> proposed total forecast capex is consistent with the CESS and the STPIS. See our discussion about the interrelationships between </w:t>
            </w:r>
            <w:r w:rsidR="00F52299">
              <w:t>SA</w:t>
            </w:r>
            <w:r w:rsidR="00884BE8">
              <w:t xml:space="preserve"> </w:t>
            </w:r>
            <w:r w:rsidR="00F52299">
              <w:t>P</w:t>
            </w:r>
            <w:r w:rsidR="00884BE8">
              <w:t>ower Networks</w:t>
            </w:r>
            <w:r w:rsidR="00DB23C4">
              <w:t>'</w:t>
            </w:r>
            <w:r w:rsidRPr="005531F2">
              <w:t xml:space="preserve"> total forecast capex and the application of the CESS and the STPIS in </w:t>
            </w:r>
            <w:r w:rsidRPr="005531F2">
              <w:fldChar w:fldCharType="begin"/>
            </w:r>
            <w:r w:rsidRPr="005531F2">
              <w:instrText xml:space="preserve"> REF _Ref402362913 \h  \* MERGEFORMAT </w:instrText>
            </w:r>
            <w:r w:rsidRPr="005531F2">
              <w:fldChar w:fldCharType="separate"/>
            </w:r>
            <w:r w:rsidR="00F02131" w:rsidRPr="005531F2">
              <w:t xml:space="preserve">Table </w:t>
            </w:r>
            <w:r w:rsidR="00F02131">
              <w:t>6</w:t>
            </w:r>
            <w:r w:rsidR="00F02131" w:rsidRPr="005531F2">
              <w:noBreakHyphen/>
            </w:r>
            <w:r w:rsidR="00F02131">
              <w:t>4</w:t>
            </w:r>
            <w:r w:rsidRPr="005531F2">
              <w:fldChar w:fldCharType="end"/>
            </w:r>
            <w:r w:rsidRPr="005531F2">
              <w:t xml:space="preserve"> above.</w:t>
            </w:r>
          </w:p>
        </w:tc>
      </w:tr>
      <w:tr w:rsidR="005531F2" w:rsidRPr="005531F2" w:rsidTr="00547427">
        <w:tc>
          <w:tcPr>
            <w:tcW w:w="3860" w:type="dxa"/>
            <w:hideMark/>
          </w:tcPr>
          <w:p w:rsidR="005531F2" w:rsidRPr="005531F2" w:rsidRDefault="005531F2" w:rsidP="005531F2">
            <w:r w:rsidRPr="005531F2">
              <w:t xml:space="preserve">The extent to which the capex forecast is referable to arrangements with a person other than the </w:t>
            </w:r>
            <w:r w:rsidR="00EF67EA">
              <w:t>distributor</w:t>
            </w:r>
            <w:r w:rsidRPr="005531F2">
              <w:t xml:space="preserve"> that do not reflect arm's length terms</w:t>
            </w:r>
          </w:p>
        </w:tc>
        <w:tc>
          <w:tcPr>
            <w:tcW w:w="4833" w:type="dxa"/>
            <w:hideMark/>
          </w:tcPr>
          <w:p w:rsidR="005531F2" w:rsidRPr="005531F2" w:rsidRDefault="005531F2" w:rsidP="001558AC">
            <w:r w:rsidRPr="005531F2">
              <w:t xml:space="preserve">We have had regard to whether any part of </w:t>
            </w:r>
            <w:r w:rsidR="00F52299">
              <w:t>SA</w:t>
            </w:r>
            <w:r w:rsidR="00884BE8">
              <w:t xml:space="preserve"> </w:t>
            </w:r>
            <w:r w:rsidR="00F52299">
              <w:t>P</w:t>
            </w:r>
            <w:r w:rsidR="00884BE8">
              <w:t>ower Networks</w:t>
            </w:r>
            <w:r w:rsidR="00DB23C4">
              <w:t>'</w:t>
            </w:r>
            <w:r w:rsidRPr="005531F2">
              <w:t xml:space="preserve"> proposed total forecast capex or our alternative estimate is referable to arrangements with a person other than </w:t>
            </w:r>
            <w:r w:rsidR="00F52299">
              <w:t>SA</w:t>
            </w:r>
            <w:r w:rsidR="00884BE8">
              <w:t xml:space="preserve"> </w:t>
            </w:r>
            <w:r w:rsidR="00F52299">
              <w:t>P</w:t>
            </w:r>
            <w:r w:rsidR="00884BE8">
              <w:t>ower Networks</w:t>
            </w:r>
            <w:r w:rsidRPr="005531F2">
              <w:t xml:space="preserve"> that do not reflect arm's length terms. We did not identify any parts of </w:t>
            </w:r>
            <w:r w:rsidR="00F52299">
              <w:t>SA</w:t>
            </w:r>
            <w:r w:rsidR="00884BE8">
              <w:t xml:space="preserve"> </w:t>
            </w:r>
            <w:r w:rsidR="00F52299">
              <w:t>P</w:t>
            </w:r>
            <w:r w:rsidR="00884BE8">
              <w:t>ower Networks</w:t>
            </w:r>
            <w:r w:rsidR="00DB23C4">
              <w:t>'</w:t>
            </w:r>
            <w:r w:rsidRPr="005531F2">
              <w:t xml:space="preserve"> proposed total forecast capex or our alternative estimate that is referable in this way.</w:t>
            </w:r>
          </w:p>
        </w:tc>
      </w:tr>
      <w:tr w:rsidR="005531F2" w:rsidRPr="005531F2" w:rsidTr="00547427">
        <w:trPr>
          <w:cnfStyle w:val="000000010000" w:firstRow="0" w:lastRow="0" w:firstColumn="0" w:lastColumn="0" w:oddVBand="0" w:evenVBand="0" w:oddHBand="0" w:evenHBand="1" w:firstRowFirstColumn="0" w:firstRowLastColumn="0" w:lastRowFirstColumn="0" w:lastRowLastColumn="0"/>
        </w:trPr>
        <w:tc>
          <w:tcPr>
            <w:tcW w:w="3860" w:type="dxa"/>
            <w:hideMark/>
          </w:tcPr>
          <w:p w:rsidR="005531F2" w:rsidRPr="005531F2" w:rsidRDefault="005531F2" w:rsidP="005531F2">
            <w:r w:rsidRPr="005531F2">
              <w:t>Whether the capex forecast includes an amount relating to a project that should more appropriately be included as a contingent project</w:t>
            </w:r>
          </w:p>
        </w:tc>
        <w:tc>
          <w:tcPr>
            <w:tcW w:w="4833" w:type="dxa"/>
            <w:hideMark/>
          </w:tcPr>
          <w:p w:rsidR="005531F2" w:rsidRPr="005531F2" w:rsidRDefault="005531F2" w:rsidP="004A1822">
            <w:r w:rsidRPr="005531F2">
              <w:t xml:space="preserve">We have had regard to whether any amount of </w:t>
            </w:r>
            <w:r w:rsidR="00F52299">
              <w:t>SA</w:t>
            </w:r>
            <w:r w:rsidR="00884BE8">
              <w:t xml:space="preserve"> </w:t>
            </w:r>
            <w:r w:rsidR="00F52299">
              <w:t>P</w:t>
            </w:r>
            <w:r w:rsidR="00884BE8">
              <w:t>ower Networks</w:t>
            </w:r>
            <w:r w:rsidR="00DB23C4">
              <w:t>'</w:t>
            </w:r>
            <w:r w:rsidRPr="005531F2">
              <w:t xml:space="preserve"> proposed total forecast capex or our alternative estimate relates to a project that should more appropriately be included as a contingent project. We did not identify any such amounts that should more appropriate</w:t>
            </w:r>
            <w:r w:rsidR="00D46DCC">
              <w:t>ly</w:t>
            </w:r>
            <w:r w:rsidRPr="005531F2">
              <w:t xml:space="preserve"> be included as a contingent project.</w:t>
            </w:r>
          </w:p>
        </w:tc>
      </w:tr>
      <w:tr w:rsidR="005531F2" w:rsidRPr="005531F2" w:rsidTr="00547427">
        <w:tc>
          <w:tcPr>
            <w:tcW w:w="3860" w:type="dxa"/>
          </w:tcPr>
          <w:p w:rsidR="005531F2" w:rsidRPr="005531F2" w:rsidRDefault="005531F2" w:rsidP="005531F2">
            <w:r w:rsidRPr="005531F2">
              <w:t xml:space="preserve">The extent to which </w:t>
            </w:r>
            <w:r w:rsidR="00F52299">
              <w:t>SA</w:t>
            </w:r>
            <w:r w:rsidR="00316D97">
              <w:t xml:space="preserve"> </w:t>
            </w:r>
            <w:r w:rsidR="00F52299">
              <w:t>P</w:t>
            </w:r>
            <w:r w:rsidR="00316D97">
              <w:t>ower Networks</w:t>
            </w:r>
            <w:r w:rsidRPr="005531F2">
              <w:t xml:space="preserve"> has considered and made provision for efficient and prudent non-network alternatives</w:t>
            </w:r>
          </w:p>
        </w:tc>
        <w:tc>
          <w:tcPr>
            <w:tcW w:w="4833" w:type="dxa"/>
            <w:hideMark/>
          </w:tcPr>
          <w:p w:rsidR="005531F2" w:rsidRPr="005531F2" w:rsidRDefault="005531F2" w:rsidP="002F3FC5">
            <w:r w:rsidRPr="005531F2">
              <w:t xml:space="preserve">We have had regard to the extent to which </w:t>
            </w:r>
            <w:r w:rsidR="00F52299">
              <w:t>SA</w:t>
            </w:r>
            <w:r w:rsidR="00884BE8">
              <w:t xml:space="preserve"> </w:t>
            </w:r>
            <w:r w:rsidR="00F52299">
              <w:t>P</w:t>
            </w:r>
            <w:r w:rsidR="00884BE8">
              <w:t>ower Networks</w:t>
            </w:r>
            <w:r w:rsidRPr="005531F2">
              <w:t xml:space="preserve"> made provision for efficient and prudent non-network alternatives as part of our assessment of the capex associated with the non-network capex driver. We discuss this further in Appendix </w:t>
            </w:r>
            <w:r w:rsidR="002F3FC5">
              <w:t>B</w:t>
            </w:r>
            <w:r w:rsidRPr="005531F2">
              <w:t>.</w:t>
            </w:r>
          </w:p>
        </w:tc>
      </w:tr>
      <w:tr w:rsidR="005531F2" w:rsidRPr="005531F2" w:rsidTr="00547427">
        <w:trPr>
          <w:cnfStyle w:val="000000010000" w:firstRow="0" w:lastRow="0" w:firstColumn="0" w:lastColumn="0" w:oddVBand="0" w:evenVBand="0" w:oddHBand="0" w:evenHBand="1" w:firstRowFirstColumn="0" w:firstRowLastColumn="0" w:lastRowFirstColumn="0" w:lastRowLastColumn="0"/>
        </w:trPr>
        <w:tc>
          <w:tcPr>
            <w:tcW w:w="3860" w:type="dxa"/>
            <w:hideMark/>
          </w:tcPr>
          <w:p w:rsidR="005531F2" w:rsidRPr="005531F2" w:rsidRDefault="005531F2" w:rsidP="005531F2">
            <w:r w:rsidRPr="005531F2">
              <w:t xml:space="preserve">Any other factor the AER considers relevant and which the AER has notified </w:t>
            </w:r>
            <w:r w:rsidR="00F52299">
              <w:t>SA</w:t>
            </w:r>
            <w:r w:rsidR="00316D97">
              <w:t xml:space="preserve"> </w:t>
            </w:r>
            <w:r w:rsidR="00F52299">
              <w:t>P</w:t>
            </w:r>
            <w:r w:rsidR="00316D97">
              <w:t>ower Networks</w:t>
            </w:r>
            <w:r w:rsidRPr="005531F2">
              <w:t xml:space="preserve"> in writing, prior to the submission of its revised </w:t>
            </w:r>
            <w:r w:rsidRPr="005531F2">
              <w:lastRenderedPageBreak/>
              <w:t>regulatory proposal, is a capex factor</w:t>
            </w:r>
          </w:p>
        </w:tc>
        <w:tc>
          <w:tcPr>
            <w:tcW w:w="4833" w:type="dxa"/>
            <w:hideMark/>
          </w:tcPr>
          <w:p w:rsidR="005531F2" w:rsidRPr="005531F2" w:rsidRDefault="005531F2" w:rsidP="004A1822">
            <w:r w:rsidRPr="005531F2">
              <w:lastRenderedPageBreak/>
              <w:t>We did not identify any other capex factor that we consider relevant.</w:t>
            </w:r>
          </w:p>
        </w:tc>
      </w:tr>
    </w:tbl>
    <w:p w:rsidR="005531F2" w:rsidRPr="005531F2" w:rsidRDefault="005531F2" w:rsidP="005531F2">
      <w:pPr>
        <w:pStyle w:val="AERtablesource"/>
      </w:pPr>
      <w:r w:rsidRPr="005531F2">
        <w:lastRenderedPageBreak/>
        <w:t xml:space="preserve">Source: </w:t>
      </w:r>
      <w:r w:rsidRPr="005531F2">
        <w:tab/>
        <w:t>AER analysis</w:t>
      </w:r>
    </w:p>
    <w:p w:rsidR="00B138D3" w:rsidRPr="00B138D3" w:rsidRDefault="00B138D3" w:rsidP="00B138D3">
      <w:pPr>
        <w:pStyle w:val="Heading2"/>
      </w:pPr>
      <w:bookmarkStart w:id="65" w:name="_Toc417725382"/>
      <w:r>
        <w:t>Allocation of balancing item</w:t>
      </w:r>
      <w:bookmarkEnd w:id="65"/>
    </w:p>
    <w:p w:rsidR="00B138D3" w:rsidRDefault="00B138D3" w:rsidP="00F41EBB">
      <w:r>
        <w:t>SA</w:t>
      </w:r>
      <w:r w:rsidR="00316D97">
        <w:t xml:space="preserve"> </w:t>
      </w:r>
      <w:r>
        <w:t>P</w:t>
      </w:r>
      <w:r w:rsidR="00316D97">
        <w:t>ower Networks</w:t>
      </w:r>
      <w:r w:rsidR="00DB23C4">
        <w:t>'</w:t>
      </w:r>
      <w:r>
        <w:t xml:space="preserve"> RIN contained a balancing item of -</w:t>
      </w:r>
      <w:r w:rsidR="00F41EBB">
        <w:t>$</w:t>
      </w:r>
      <w:r>
        <w:t xml:space="preserve">47.9 million </w:t>
      </w:r>
      <w:r w:rsidR="00F41EBB" w:rsidRPr="00F41EBB">
        <w:t>($2014-15)</w:t>
      </w:r>
      <w:r w:rsidR="00F41EBB">
        <w:t xml:space="preserve">. </w:t>
      </w:r>
      <w:r w:rsidR="00F41EBB" w:rsidRPr="00F41EBB">
        <w:t xml:space="preserve">The negative adjustment of $47.9 million </w:t>
      </w:r>
      <w:r w:rsidR="001E31BB" w:rsidRPr="001E31BB">
        <w:t xml:space="preserve">($2014-15) </w:t>
      </w:r>
      <w:r w:rsidR="00F41EBB" w:rsidRPr="00F41EBB">
        <w:t>over</w:t>
      </w:r>
      <w:r w:rsidR="00F41EBB">
        <w:t xml:space="preserve"> </w:t>
      </w:r>
      <w:r w:rsidR="00F41EBB" w:rsidRPr="00F41EBB">
        <w:t>the five year period reflects the lower contributions that</w:t>
      </w:r>
      <w:r w:rsidR="00F41EBB">
        <w:t xml:space="preserve"> </w:t>
      </w:r>
      <w:r w:rsidR="00F41EBB" w:rsidRPr="00F41EBB">
        <w:t>comm</w:t>
      </w:r>
      <w:r w:rsidR="00316D97">
        <w:t>enced part way through the 2013-</w:t>
      </w:r>
      <w:r w:rsidR="00F41EBB" w:rsidRPr="00F41EBB">
        <w:t>14 regulatory year.</w:t>
      </w:r>
      <w:r w:rsidR="00F41EBB">
        <w:rPr>
          <w:rStyle w:val="FootnoteReference"/>
        </w:rPr>
        <w:footnoteReference w:id="34"/>
      </w:r>
      <w:r w:rsidR="00F41EBB">
        <w:t xml:space="preserve"> We have allocated this balancing item to driver categories for the purpose of our assessment. </w:t>
      </w:r>
      <w:r w:rsidR="00F41EBB">
        <w:fldChar w:fldCharType="begin"/>
      </w:r>
      <w:r w:rsidR="00F41EBB">
        <w:instrText xml:space="preserve"> REF _Ref414436229 \h </w:instrText>
      </w:r>
      <w:r w:rsidR="00F41EBB">
        <w:fldChar w:fldCharType="separate"/>
      </w:r>
      <w:r w:rsidR="00F02131" w:rsidRPr="00B138D3">
        <w:t xml:space="preserve">Table </w:t>
      </w:r>
      <w:r w:rsidR="00F02131">
        <w:rPr>
          <w:noProof/>
        </w:rPr>
        <w:t>6</w:t>
      </w:r>
      <w:r w:rsidR="00F02131" w:rsidRPr="00B138D3">
        <w:noBreakHyphen/>
      </w:r>
      <w:r w:rsidR="00F02131">
        <w:rPr>
          <w:noProof/>
        </w:rPr>
        <w:t>6</w:t>
      </w:r>
      <w:r w:rsidR="00F41EBB">
        <w:fldChar w:fldCharType="end"/>
      </w:r>
      <w:r w:rsidR="00F41EBB">
        <w:t xml:space="preserve"> sets out ou</w:t>
      </w:r>
      <w:r w:rsidR="00AC76B4">
        <w:t>r</w:t>
      </w:r>
      <w:r w:rsidR="00F41EBB">
        <w:t xml:space="preserve"> allocation of SA</w:t>
      </w:r>
      <w:r w:rsidR="00316D97">
        <w:t xml:space="preserve"> </w:t>
      </w:r>
      <w:r w:rsidR="00F41EBB">
        <w:t>P</w:t>
      </w:r>
      <w:r w:rsidR="00316D97">
        <w:t>ower Networks</w:t>
      </w:r>
      <w:r w:rsidR="00DB23C4">
        <w:t>'</w:t>
      </w:r>
      <w:r w:rsidR="00F41EBB">
        <w:t xml:space="preserve"> balancing item.</w:t>
      </w:r>
    </w:p>
    <w:p w:rsidR="00B138D3" w:rsidRPr="00B138D3" w:rsidRDefault="00B138D3" w:rsidP="00F41EBB">
      <w:pPr>
        <w:pStyle w:val="Charttitle"/>
      </w:pPr>
      <w:bookmarkStart w:id="66" w:name="_Ref414436229"/>
      <w:r w:rsidRPr="00B138D3">
        <w:t xml:space="preserve">Table </w:t>
      </w:r>
      <w:fldSimple w:instr=" STYLEREF 1 \s ">
        <w:r w:rsidR="00F02131">
          <w:rPr>
            <w:noProof/>
          </w:rPr>
          <w:t>6</w:t>
        </w:r>
      </w:fldSimple>
      <w:r w:rsidRPr="00B138D3">
        <w:noBreakHyphen/>
      </w:r>
      <w:fldSimple w:instr=" SEQ Table \* ARABIC \s 1 ">
        <w:r w:rsidR="00F02131">
          <w:rPr>
            <w:noProof/>
          </w:rPr>
          <w:t>6</w:t>
        </w:r>
      </w:fldSimple>
      <w:bookmarkEnd w:id="66"/>
      <w:r w:rsidRPr="00B138D3">
        <w:tab/>
        <w:t>Allocation of balancing item to driver</w:t>
      </w:r>
      <w:r w:rsidR="004B575E">
        <w:t xml:space="preserve"> (</w:t>
      </w:r>
      <w:r w:rsidR="004B575E" w:rsidRPr="005531F2">
        <w:t>$</w:t>
      </w:r>
      <w:r w:rsidR="004B575E">
        <w:t>2014-15,</w:t>
      </w:r>
      <w:r w:rsidR="004B575E" w:rsidRPr="005531F2">
        <w:t> million</w:t>
      </w:r>
      <w:r w:rsidR="004B575E">
        <w:t>)</w:t>
      </w:r>
    </w:p>
    <w:tbl>
      <w:tblPr>
        <w:tblStyle w:val="AERtable-text0"/>
        <w:tblW w:w="5000" w:type="pct"/>
        <w:tblLook w:val="04A0" w:firstRow="1" w:lastRow="0" w:firstColumn="1" w:lastColumn="0" w:noHBand="0" w:noVBand="1"/>
      </w:tblPr>
      <w:tblGrid>
        <w:gridCol w:w="2527"/>
        <w:gridCol w:w="2048"/>
        <w:gridCol w:w="1893"/>
        <w:gridCol w:w="2225"/>
      </w:tblGrid>
      <w:tr w:rsidR="00F41EBB" w:rsidRPr="00B138D3" w:rsidTr="00F41EBB">
        <w:trPr>
          <w:cnfStyle w:val="100000000000" w:firstRow="1" w:lastRow="0" w:firstColumn="0" w:lastColumn="0" w:oddVBand="0" w:evenVBand="0" w:oddHBand="0" w:evenHBand="0" w:firstRowFirstColumn="0" w:firstRowLastColumn="0" w:lastRowFirstColumn="0" w:lastRowLastColumn="0"/>
        </w:trPr>
        <w:tc>
          <w:tcPr>
            <w:tcW w:w="1453" w:type="pct"/>
          </w:tcPr>
          <w:p w:rsidR="00F41EBB" w:rsidRPr="00F41EBB" w:rsidRDefault="004B575E" w:rsidP="004B575E">
            <w:r>
              <w:t>Driver</w:t>
            </w:r>
          </w:p>
        </w:tc>
        <w:tc>
          <w:tcPr>
            <w:tcW w:w="1178" w:type="pct"/>
          </w:tcPr>
          <w:p w:rsidR="00F41EBB" w:rsidRPr="00F41EBB" w:rsidRDefault="00F41EBB">
            <w:r w:rsidRPr="00F41EBB">
              <w:t>Initial Proposal</w:t>
            </w:r>
          </w:p>
        </w:tc>
        <w:tc>
          <w:tcPr>
            <w:tcW w:w="1089" w:type="pct"/>
          </w:tcPr>
          <w:p w:rsidR="00F41EBB" w:rsidRPr="00F41EBB" w:rsidRDefault="00F41EBB" w:rsidP="00F41EBB">
            <w:r w:rsidRPr="00F41EBB">
              <w:t>Initial Proposal</w:t>
            </w:r>
            <w:r w:rsidRPr="00F41EBB">
              <w:br/>
              <w:t>(after allocating balancing item)</w:t>
            </w:r>
          </w:p>
        </w:tc>
        <w:tc>
          <w:tcPr>
            <w:tcW w:w="1280" w:type="pct"/>
          </w:tcPr>
          <w:p w:rsidR="00F41EBB" w:rsidRPr="00F41EBB" w:rsidRDefault="00F41EBB" w:rsidP="00F41EBB">
            <w:r w:rsidRPr="00F41EBB">
              <w:t>Preliminary Decision</w:t>
            </w:r>
          </w:p>
        </w:tc>
      </w:tr>
      <w:tr w:rsidR="00AC76B4" w:rsidRPr="00B138D3" w:rsidTr="00F41EBB">
        <w:tc>
          <w:tcPr>
            <w:tcW w:w="1453" w:type="pct"/>
          </w:tcPr>
          <w:p w:rsidR="00AC76B4" w:rsidRPr="00AC76B4" w:rsidRDefault="00AC76B4" w:rsidP="00AC76B4">
            <w:r w:rsidRPr="00AC76B4">
              <w:t xml:space="preserve">Augmentation </w:t>
            </w:r>
          </w:p>
        </w:tc>
        <w:tc>
          <w:tcPr>
            <w:tcW w:w="1178" w:type="pct"/>
          </w:tcPr>
          <w:p w:rsidR="00AC76B4" w:rsidRPr="00AC76B4" w:rsidRDefault="00AC76B4" w:rsidP="00AC76B4">
            <w:r w:rsidRPr="00AC76B4">
              <w:t>858.4</w:t>
            </w:r>
          </w:p>
        </w:tc>
        <w:tc>
          <w:tcPr>
            <w:tcW w:w="1089" w:type="pct"/>
          </w:tcPr>
          <w:p w:rsidR="00AC76B4" w:rsidRPr="00AC76B4" w:rsidRDefault="00AC76B4" w:rsidP="00AC76B4">
            <w:r w:rsidRPr="00AC76B4">
              <w:t>839.4</w:t>
            </w:r>
          </w:p>
        </w:tc>
        <w:tc>
          <w:tcPr>
            <w:tcW w:w="1280" w:type="pct"/>
          </w:tcPr>
          <w:p w:rsidR="00AC76B4" w:rsidRPr="00AC76B4" w:rsidRDefault="00AC76B4" w:rsidP="00AC76B4">
            <w:r w:rsidRPr="00AC76B4">
              <w:t>463.6</w:t>
            </w:r>
          </w:p>
        </w:tc>
      </w:tr>
      <w:tr w:rsidR="00AC76B4" w:rsidRPr="00B138D3" w:rsidTr="00F41EBB">
        <w:trPr>
          <w:cnfStyle w:val="000000010000" w:firstRow="0" w:lastRow="0" w:firstColumn="0" w:lastColumn="0" w:oddVBand="0" w:evenVBand="0" w:oddHBand="0" w:evenHBand="1" w:firstRowFirstColumn="0" w:firstRowLastColumn="0" w:lastRowFirstColumn="0" w:lastRowLastColumn="0"/>
        </w:trPr>
        <w:tc>
          <w:tcPr>
            <w:tcW w:w="1453" w:type="pct"/>
          </w:tcPr>
          <w:p w:rsidR="00AC76B4" w:rsidRPr="00AC76B4" w:rsidRDefault="00AC76B4" w:rsidP="00AC76B4">
            <w:r w:rsidRPr="00AC76B4">
              <w:t xml:space="preserve">Connections </w:t>
            </w:r>
          </w:p>
        </w:tc>
        <w:tc>
          <w:tcPr>
            <w:tcW w:w="1178" w:type="pct"/>
          </w:tcPr>
          <w:p w:rsidR="00AC76B4" w:rsidRPr="00AC76B4" w:rsidRDefault="00AC76B4" w:rsidP="00AC76B4">
            <w:r w:rsidRPr="00AC76B4">
              <w:t>532.0</w:t>
            </w:r>
          </w:p>
        </w:tc>
        <w:tc>
          <w:tcPr>
            <w:tcW w:w="1089" w:type="pct"/>
          </w:tcPr>
          <w:p w:rsidR="00AC76B4" w:rsidRPr="00AC76B4" w:rsidRDefault="00AC76B4" w:rsidP="00AC76B4">
            <w:r w:rsidRPr="00AC76B4">
              <w:t>520.2</w:t>
            </w:r>
          </w:p>
        </w:tc>
        <w:tc>
          <w:tcPr>
            <w:tcW w:w="1280" w:type="pct"/>
          </w:tcPr>
          <w:p w:rsidR="00AC76B4" w:rsidRPr="00AC76B4" w:rsidRDefault="00AC76B4" w:rsidP="00AC76B4">
            <w:r w:rsidRPr="00AC76B4">
              <w:t>520.2</w:t>
            </w:r>
          </w:p>
        </w:tc>
      </w:tr>
      <w:tr w:rsidR="00AC76B4" w:rsidRPr="00B138D3" w:rsidTr="00F41EBB">
        <w:tc>
          <w:tcPr>
            <w:tcW w:w="1453" w:type="pct"/>
          </w:tcPr>
          <w:p w:rsidR="00AC76B4" w:rsidRPr="00AC76B4" w:rsidRDefault="00AC76B4" w:rsidP="00AC76B4">
            <w:r w:rsidRPr="00AC76B4">
              <w:t xml:space="preserve">Replacement </w:t>
            </w:r>
          </w:p>
        </w:tc>
        <w:tc>
          <w:tcPr>
            <w:tcW w:w="1178" w:type="pct"/>
          </w:tcPr>
          <w:p w:rsidR="00AC76B4" w:rsidRPr="00AC76B4" w:rsidRDefault="00AC76B4" w:rsidP="00AC76B4">
            <w:r w:rsidRPr="00AC76B4">
              <w:t>772.6</w:t>
            </w:r>
          </w:p>
        </w:tc>
        <w:tc>
          <w:tcPr>
            <w:tcW w:w="1089" w:type="pct"/>
          </w:tcPr>
          <w:p w:rsidR="00AC76B4" w:rsidRPr="00AC76B4" w:rsidRDefault="00AC76B4" w:rsidP="00AC76B4">
            <w:r w:rsidRPr="00AC76B4">
              <w:t>755.5</w:t>
            </w:r>
          </w:p>
        </w:tc>
        <w:tc>
          <w:tcPr>
            <w:tcW w:w="1280" w:type="pct"/>
          </w:tcPr>
          <w:p w:rsidR="00AC76B4" w:rsidRPr="00AC76B4" w:rsidRDefault="00AC76B4" w:rsidP="00AC76B4">
            <w:r w:rsidRPr="00AC76B4">
              <w:t>609.5</w:t>
            </w:r>
          </w:p>
        </w:tc>
      </w:tr>
      <w:tr w:rsidR="00AC76B4" w:rsidRPr="00B138D3" w:rsidTr="00F41EBB">
        <w:trPr>
          <w:cnfStyle w:val="000000010000" w:firstRow="0" w:lastRow="0" w:firstColumn="0" w:lastColumn="0" w:oddVBand="0" w:evenVBand="0" w:oddHBand="0" w:evenHBand="1" w:firstRowFirstColumn="0" w:firstRowLastColumn="0" w:lastRowFirstColumn="0" w:lastRowLastColumn="0"/>
        </w:trPr>
        <w:tc>
          <w:tcPr>
            <w:tcW w:w="1453" w:type="pct"/>
          </w:tcPr>
          <w:p w:rsidR="00AC76B4" w:rsidRPr="00AC76B4" w:rsidRDefault="00AC76B4" w:rsidP="00AC76B4">
            <w:r w:rsidRPr="00AC76B4">
              <w:t xml:space="preserve">Non-Network </w:t>
            </w:r>
          </w:p>
        </w:tc>
        <w:tc>
          <w:tcPr>
            <w:tcW w:w="1178" w:type="pct"/>
          </w:tcPr>
          <w:p w:rsidR="00AC76B4" w:rsidRPr="00AC76B4" w:rsidRDefault="00AC76B4" w:rsidP="00AC76B4">
            <w:r w:rsidRPr="00AC76B4">
              <w:t>637.7</w:t>
            </w:r>
          </w:p>
        </w:tc>
        <w:tc>
          <w:tcPr>
            <w:tcW w:w="1089" w:type="pct"/>
          </w:tcPr>
          <w:p w:rsidR="00AC76B4" w:rsidRPr="00AC76B4" w:rsidRDefault="00AC76B4" w:rsidP="00AC76B4">
            <w:r w:rsidRPr="00AC76B4">
              <w:t>637.7</w:t>
            </w:r>
          </w:p>
        </w:tc>
        <w:tc>
          <w:tcPr>
            <w:tcW w:w="1280" w:type="pct"/>
          </w:tcPr>
          <w:p w:rsidR="00AC76B4" w:rsidRPr="00AC76B4" w:rsidRDefault="00AC76B4" w:rsidP="00AC76B4">
            <w:r w:rsidRPr="00AC76B4">
              <w:t>417.4</w:t>
            </w:r>
          </w:p>
        </w:tc>
      </w:tr>
      <w:tr w:rsidR="00AC76B4" w:rsidRPr="00B138D3" w:rsidTr="00F41EBB">
        <w:tc>
          <w:tcPr>
            <w:tcW w:w="1453" w:type="pct"/>
          </w:tcPr>
          <w:p w:rsidR="00AC76B4" w:rsidRPr="00AC76B4" w:rsidRDefault="00AC76B4" w:rsidP="00AC76B4">
            <w:r w:rsidRPr="00AC76B4">
              <w:t xml:space="preserve">Capitalised overheads </w:t>
            </w:r>
          </w:p>
        </w:tc>
        <w:tc>
          <w:tcPr>
            <w:tcW w:w="1178" w:type="pct"/>
          </w:tcPr>
          <w:p w:rsidR="00AC76B4" w:rsidRPr="00AC76B4" w:rsidRDefault="00AC76B4" w:rsidP="00AC76B4">
            <w:r w:rsidRPr="00AC76B4">
              <w:t>102.1</w:t>
            </w:r>
          </w:p>
        </w:tc>
        <w:tc>
          <w:tcPr>
            <w:tcW w:w="1089" w:type="pct"/>
          </w:tcPr>
          <w:p w:rsidR="00AC76B4" w:rsidRPr="00AC76B4" w:rsidRDefault="00AC76B4" w:rsidP="00AC76B4">
            <w:r w:rsidRPr="00AC76B4">
              <w:t>102.1</w:t>
            </w:r>
          </w:p>
        </w:tc>
        <w:tc>
          <w:tcPr>
            <w:tcW w:w="1280" w:type="pct"/>
          </w:tcPr>
          <w:p w:rsidR="00AC76B4" w:rsidRPr="00AC76B4" w:rsidRDefault="00AC76B4" w:rsidP="00AC76B4">
            <w:r w:rsidRPr="00AC76B4">
              <w:t>84.1</w:t>
            </w:r>
          </w:p>
        </w:tc>
      </w:tr>
      <w:tr w:rsidR="00AC76B4" w:rsidRPr="00B138D3" w:rsidTr="00F41EBB">
        <w:trPr>
          <w:cnfStyle w:val="000000010000" w:firstRow="0" w:lastRow="0" w:firstColumn="0" w:lastColumn="0" w:oddVBand="0" w:evenVBand="0" w:oddHBand="0" w:evenHBand="1" w:firstRowFirstColumn="0" w:firstRowLastColumn="0" w:lastRowFirstColumn="0" w:lastRowLastColumn="0"/>
        </w:trPr>
        <w:tc>
          <w:tcPr>
            <w:tcW w:w="1453" w:type="pct"/>
          </w:tcPr>
          <w:p w:rsidR="00AC76B4" w:rsidRPr="00AC76B4" w:rsidRDefault="00AC76B4" w:rsidP="00AC76B4">
            <w:r w:rsidRPr="00AC76B4">
              <w:t>Materials escalation adjustment</w:t>
            </w:r>
          </w:p>
        </w:tc>
        <w:tc>
          <w:tcPr>
            <w:tcW w:w="1178" w:type="pct"/>
          </w:tcPr>
          <w:p w:rsidR="00AC76B4" w:rsidRPr="00AC76B4" w:rsidRDefault="00AC76B4" w:rsidP="00AC76B4">
            <w:r w:rsidRPr="00AC76B4">
              <w:t>0.0</w:t>
            </w:r>
          </w:p>
        </w:tc>
        <w:tc>
          <w:tcPr>
            <w:tcW w:w="1089" w:type="pct"/>
          </w:tcPr>
          <w:p w:rsidR="00AC76B4" w:rsidRPr="00AC76B4" w:rsidRDefault="00AC76B4" w:rsidP="00AC76B4">
            <w:r w:rsidRPr="00AC76B4">
              <w:t>0.0</w:t>
            </w:r>
          </w:p>
        </w:tc>
        <w:tc>
          <w:tcPr>
            <w:tcW w:w="1280" w:type="pct"/>
          </w:tcPr>
          <w:p w:rsidR="00AC76B4" w:rsidRPr="00AC76B4" w:rsidRDefault="00AC76B4" w:rsidP="00AC76B4">
            <w:r w:rsidRPr="00AC76B4">
              <w:t>-36.8</w:t>
            </w:r>
          </w:p>
        </w:tc>
      </w:tr>
      <w:tr w:rsidR="00AC76B4" w:rsidRPr="00B138D3" w:rsidTr="00F41EBB">
        <w:tc>
          <w:tcPr>
            <w:tcW w:w="1453" w:type="pct"/>
          </w:tcPr>
          <w:p w:rsidR="00AC76B4" w:rsidRPr="00AC76B4" w:rsidRDefault="00AC76B4" w:rsidP="00AC76B4">
            <w:r w:rsidRPr="00AC76B4">
              <w:t xml:space="preserve">Balancing item </w:t>
            </w:r>
          </w:p>
        </w:tc>
        <w:tc>
          <w:tcPr>
            <w:tcW w:w="1178" w:type="pct"/>
          </w:tcPr>
          <w:p w:rsidR="00AC76B4" w:rsidRPr="00AC76B4" w:rsidRDefault="00AC76B4" w:rsidP="00AC76B4">
            <w:r w:rsidRPr="00AC76B4">
              <w:t>-47.9</w:t>
            </w:r>
          </w:p>
        </w:tc>
        <w:tc>
          <w:tcPr>
            <w:tcW w:w="1089" w:type="pct"/>
          </w:tcPr>
          <w:p w:rsidR="00AC76B4" w:rsidRPr="00AC76B4" w:rsidRDefault="00AC76B4" w:rsidP="00AC76B4">
            <w:r w:rsidRPr="00AC76B4">
              <w:t>0.0</w:t>
            </w:r>
          </w:p>
        </w:tc>
        <w:tc>
          <w:tcPr>
            <w:tcW w:w="1280" w:type="pct"/>
          </w:tcPr>
          <w:p w:rsidR="00AC76B4" w:rsidRPr="00AC76B4" w:rsidRDefault="00AC76B4" w:rsidP="00AC76B4">
            <w:r w:rsidRPr="00AC76B4">
              <w:t>0.0</w:t>
            </w:r>
          </w:p>
        </w:tc>
      </w:tr>
      <w:tr w:rsidR="00AC76B4" w:rsidRPr="00B138D3" w:rsidTr="00F41EBB">
        <w:trPr>
          <w:cnfStyle w:val="000000010000" w:firstRow="0" w:lastRow="0" w:firstColumn="0" w:lastColumn="0" w:oddVBand="0" w:evenVBand="0" w:oddHBand="0" w:evenHBand="1" w:firstRowFirstColumn="0" w:firstRowLastColumn="0" w:lastRowFirstColumn="0" w:lastRowLastColumn="0"/>
        </w:trPr>
        <w:tc>
          <w:tcPr>
            <w:tcW w:w="1453" w:type="pct"/>
          </w:tcPr>
          <w:p w:rsidR="00AC76B4" w:rsidRPr="00AC76B4" w:rsidRDefault="00AC76B4" w:rsidP="00AC76B4">
            <w:pPr>
              <w:rPr>
                <w:rStyle w:val="Strong"/>
              </w:rPr>
            </w:pPr>
            <w:r w:rsidRPr="00AC76B4">
              <w:rPr>
                <w:rStyle w:val="Strong"/>
              </w:rPr>
              <w:t>TOTAL GROSS CAPEX</w:t>
            </w:r>
          </w:p>
        </w:tc>
        <w:tc>
          <w:tcPr>
            <w:tcW w:w="1178" w:type="pct"/>
          </w:tcPr>
          <w:p w:rsidR="00AC76B4" w:rsidRPr="00AC76B4" w:rsidRDefault="00AC76B4" w:rsidP="00AC76B4">
            <w:pPr>
              <w:rPr>
                <w:rStyle w:val="Strong"/>
              </w:rPr>
            </w:pPr>
            <w:r w:rsidRPr="00AC76B4">
              <w:rPr>
                <w:rStyle w:val="Strong"/>
              </w:rPr>
              <w:t>2,855.0</w:t>
            </w:r>
          </w:p>
        </w:tc>
        <w:tc>
          <w:tcPr>
            <w:tcW w:w="1089" w:type="pct"/>
          </w:tcPr>
          <w:p w:rsidR="00AC76B4" w:rsidRPr="00AC76B4" w:rsidRDefault="00AC76B4" w:rsidP="00AC76B4">
            <w:pPr>
              <w:rPr>
                <w:rStyle w:val="Strong"/>
              </w:rPr>
            </w:pPr>
            <w:r w:rsidRPr="00AC76B4">
              <w:rPr>
                <w:rStyle w:val="Strong"/>
              </w:rPr>
              <w:t>2,854.9</w:t>
            </w:r>
          </w:p>
        </w:tc>
        <w:tc>
          <w:tcPr>
            <w:tcW w:w="1280" w:type="pct"/>
          </w:tcPr>
          <w:p w:rsidR="00AC76B4" w:rsidRPr="00AC76B4" w:rsidRDefault="00AC76B4" w:rsidP="00AC76B4">
            <w:pPr>
              <w:rPr>
                <w:rStyle w:val="Strong"/>
              </w:rPr>
            </w:pPr>
            <w:r w:rsidRPr="00AC76B4">
              <w:rPr>
                <w:rStyle w:val="Strong"/>
              </w:rPr>
              <w:t>2,058.0</w:t>
            </w:r>
          </w:p>
        </w:tc>
      </w:tr>
      <w:tr w:rsidR="00AC76B4" w:rsidRPr="00B138D3" w:rsidTr="00F41EBB">
        <w:tc>
          <w:tcPr>
            <w:tcW w:w="1453" w:type="pct"/>
          </w:tcPr>
          <w:p w:rsidR="00AC76B4" w:rsidRPr="00AC76B4" w:rsidRDefault="00AC76B4" w:rsidP="00AC76B4">
            <w:r w:rsidRPr="00AC76B4">
              <w:t>Cap</w:t>
            </w:r>
            <w:r w:rsidR="00316D97">
              <w:t>ital contributions</w:t>
            </w:r>
          </w:p>
        </w:tc>
        <w:tc>
          <w:tcPr>
            <w:tcW w:w="1178" w:type="pct"/>
          </w:tcPr>
          <w:p w:rsidR="00AC76B4" w:rsidRPr="00AC76B4" w:rsidRDefault="00AC76B4" w:rsidP="00AC76B4">
            <w:r w:rsidRPr="00AC76B4">
              <w:t>374.0</w:t>
            </w:r>
          </w:p>
        </w:tc>
        <w:tc>
          <w:tcPr>
            <w:tcW w:w="1089" w:type="pct"/>
          </w:tcPr>
          <w:p w:rsidR="00AC76B4" w:rsidRPr="00AC76B4" w:rsidRDefault="00AC76B4" w:rsidP="00AC76B4">
            <w:r w:rsidRPr="00AC76B4">
              <w:t>374.0</w:t>
            </w:r>
          </w:p>
        </w:tc>
        <w:tc>
          <w:tcPr>
            <w:tcW w:w="1280" w:type="pct"/>
          </w:tcPr>
          <w:p w:rsidR="00AC76B4" w:rsidRPr="00AC76B4" w:rsidRDefault="00AC76B4" w:rsidP="00AC76B4">
            <w:r w:rsidRPr="00AC76B4">
              <w:t>374.0</w:t>
            </w:r>
          </w:p>
        </w:tc>
      </w:tr>
      <w:tr w:rsidR="00AC76B4" w:rsidRPr="00B138D3" w:rsidTr="00F41EBB">
        <w:trPr>
          <w:cnfStyle w:val="000000010000" w:firstRow="0" w:lastRow="0" w:firstColumn="0" w:lastColumn="0" w:oddVBand="0" w:evenVBand="0" w:oddHBand="0" w:evenHBand="1" w:firstRowFirstColumn="0" w:firstRowLastColumn="0" w:lastRowFirstColumn="0" w:lastRowLastColumn="0"/>
        </w:trPr>
        <w:tc>
          <w:tcPr>
            <w:tcW w:w="1453" w:type="pct"/>
          </w:tcPr>
          <w:p w:rsidR="00AC76B4" w:rsidRPr="00AC76B4" w:rsidRDefault="00AC76B4" w:rsidP="00AC76B4">
            <w:pPr>
              <w:rPr>
                <w:rStyle w:val="Strong"/>
              </w:rPr>
            </w:pPr>
            <w:r w:rsidRPr="00AC76B4">
              <w:rPr>
                <w:rStyle w:val="Strong"/>
              </w:rPr>
              <w:t>TOTAL NET CAPEX</w:t>
            </w:r>
          </w:p>
        </w:tc>
        <w:tc>
          <w:tcPr>
            <w:tcW w:w="1178" w:type="pct"/>
          </w:tcPr>
          <w:p w:rsidR="00AC76B4" w:rsidRPr="00AC76B4" w:rsidRDefault="00AC76B4" w:rsidP="00AC76B4">
            <w:pPr>
              <w:rPr>
                <w:rStyle w:val="Strong"/>
              </w:rPr>
            </w:pPr>
            <w:r w:rsidRPr="00AC76B4">
              <w:rPr>
                <w:rStyle w:val="Strong"/>
              </w:rPr>
              <w:t>2,481.0</w:t>
            </w:r>
          </w:p>
        </w:tc>
        <w:tc>
          <w:tcPr>
            <w:tcW w:w="1089" w:type="pct"/>
          </w:tcPr>
          <w:p w:rsidR="00AC76B4" w:rsidRPr="00AC76B4" w:rsidRDefault="00AC76B4" w:rsidP="00AC76B4">
            <w:pPr>
              <w:rPr>
                <w:rStyle w:val="Strong"/>
              </w:rPr>
            </w:pPr>
            <w:r w:rsidRPr="00AC76B4">
              <w:rPr>
                <w:rStyle w:val="Strong"/>
              </w:rPr>
              <w:t>2,480.9</w:t>
            </w:r>
          </w:p>
        </w:tc>
        <w:tc>
          <w:tcPr>
            <w:tcW w:w="1280" w:type="pct"/>
          </w:tcPr>
          <w:p w:rsidR="00AC76B4" w:rsidRPr="00AC76B4" w:rsidRDefault="00AC76B4" w:rsidP="00AC76B4">
            <w:pPr>
              <w:rPr>
                <w:rStyle w:val="Strong"/>
              </w:rPr>
            </w:pPr>
            <w:r w:rsidRPr="00AC76B4">
              <w:rPr>
                <w:rStyle w:val="Strong"/>
              </w:rPr>
              <w:t>1,684.0</w:t>
            </w:r>
          </w:p>
        </w:tc>
      </w:tr>
    </w:tbl>
    <w:p w:rsidR="00B138D3" w:rsidRPr="00B138D3" w:rsidRDefault="00B138D3" w:rsidP="000C33B3">
      <w:pPr>
        <w:pStyle w:val="AERtablesource"/>
      </w:pPr>
      <w:r w:rsidRPr="00B138D3">
        <w:t>Source: AER analysis</w:t>
      </w:r>
    </w:p>
    <w:p w:rsidR="00B138D3" w:rsidRPr="00B138D3" w:rsidRDefault="00B138D3" w:rsidP="00B138D3"/>
    <w:p w:rsidR="005531F2" w:rsidRPr="005531F2" w:rsidRDefault="005531F2" w:rsidP="005531F2"/>
    <w:p w:rsidR="00D0477C" w:rsidRPr="00A76603" w:rsidRDefault="00A76603" w:rsidP="00A76603">
      <w:pPr>
        <w:pStyle w:val="Heading7"/>
      </w:pPr>
      <w:bookmarkStart w:id="67" w:name="_Toc413858636"/>
      <w:bookmarkStart w:id="68" w:name="_Ref414355807"/>
      <w:bookmarkStart w:id="69" w:name="_Ref414372604"/>
      <w:bookmarkStart w:id="70" w:name="_Toc414434916"/>
      <w:bookmarkStart w:id="71" w:name="_Toc414615651"/>
      <w:bookmarkStart w:id="72" w:name="_Ref414615671"/>
      <w:bookmarkStart w:id="73" w:name="_Toc414711890"/>
      <w:bookmarkStart w:id="74" w:name="_Ref414711994"/>
      <w:bookmarkStart w:id="75" w:name="_Ref415039762"/>
      <w:bookmarkStart w:id="76" w:name="_Toc417725383"/>
      <w:r w:rsidRPr="00A76603">
        <w:lastRenderedPageBreak/>
        <w:t>Assessment</w:t>
      </w:r>
      <w:bookmarkEnd w:id="67"/>
      <w:bookmarkEnd w:id="68"/>
      <w:bookmarkEnd w:id="69"/>
      <w:bookmarkEnd w:id="70"/>
      <w:r w:rsidRPr="00A76603">
        <w:t xml:space="preserve"> Techniques</w:t>
      </w:r>
      <w:bookmarkEnd w:id="71"/>
      <w:bookmarkEnd w:id="72"/>
      <w:bookmarkEnd w:id="73"/>
      <w:bookmarkEnd w:id="74"/>
      <w:bookmarkEnd w:id="75"/>
      <w:bookmarkEnd w:id="76"/>
    </w:p>
    <w:p w:rsidR="001C0147" w:rsidRPr="00EB724C" w:rsidRDefault="001C0147" w:rsidP="00525DDF">
      <w:pPr>
        <w:numPr>
          <w:ilvl w:val="0"/>
          <w:numId w:val="24"/>
        </w:numPr>
      </w:pPr>
      <w:bookmarkStart w:id="77" w:name="_Ref414372614"/>
      <w:bookmarkStart w:id="78" w:name="_Toc414434922"/>
      <w:r w:rsidRPr="00EB724C">
        <w:t xml:space="preserve">This appendix describes the assessment approaches we have applied in assessing </w:t>
      </w:r>
      <w:r>
        <w:t>SA</w:t>
      </w:r>
      <w:r w:rsidR="00604AA1">
        <w:t xml:space="preserve"> </w:t>
      </w:r>
      <w:r>
        <w:t>P</w:t>
      </w:r>
      <w:r w:rsidR="00604AA1">
        <w:t>ower Networks</w:t>
      </w:r>
      <w:r w:rsidR="00DB23C4">
        <w:t>'</w:t>
      </w:r>
      <w:r w:rsidRPr="00EB724C">
        <w:t xml:space="preserve"> proposed forecast capex.  We use a variety of techniques to determine whether the proposed capex reasonably reflects the capex criteria. The extent to which we rely on each of the asses</w:t>
      </w:r>
      <w:r w:rsidR="00547427">
        <w:t>sment techniques is set out in a</w:t>
      </w:r>
      <w:r w:rsidRPr="00EB724C">
        <w:t>ppendix B.</w:t>
      </w:r>
    </w:p>
    <w:p w:rsidR="001C0147" w:rsidRPr="00EB724C" w:rsidRDefault="001C0147" w:rsidP="00525DDF">
      <w:pPr>
        <w:numPr>
          <w:ilvl w:val="0"/>
          <w:numId w:val="24"/>
        </w:numPr>
      </w:pPr>
      <w:r w:rsidRPr="00EB724C">
        <w:t>The assessment techniques that we apply in capex are necessarily different from those we apply in the assessment of opex. This is reflective of differences in the nature of the expenditure being assessed. As such, we use some assessment techniques in our capex assessment that are not suitable for assessing opex and vice versa. We set this out in our expenditure assessment guideline, where we stated:</w:t>
      </w:r>
      <w:r>
        <w:rPr>
          <w:rStyle w:val="FootnoteReference"/>
        </w:rPr>
        <w:footnoteReference w:id="35"/>
      </w:r>
    </w:p>
    <w:p w:rsidR="001C0147" w:rsidRPr="00EB724C" w:rsidRDefault="001C0147" w:rsidP="001C0147">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1C0147" w:rsidRPr="00EB724C" w:rsidRDefault="001C0147" w:rsidP="001C0147">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1C0147" w:rsidRPr="00EB724C" w:rsidRDefault="001C0147" w:rsidP="001C0147">
      <w:r w:rsidRPr="00EB724C">
        <w:t xml:space="preserve">The assessment techniques that we have used to asses </w:t>
      </w:r>
      <w:r>
        <w:t>SA</w:t>
      </w:r>
      <w:r w:rsidR="00604AA1">
        <w:t xml:space="preserve"> </w:t>
      </w:r>
      <w:r>
        <w:t>P</w:t>
      </w:r>
      <w:r w:rsidR="00604AA1">
        <w:t>ower Networks</w:t>
      </w:r>
      <w:r w:rsidR="00DB23C4">
        <w:t>'</w:t>
      </w:r>
      <w:r w:rsidRPr="00EB724C">
        <w:t xml:space="preserve"> capex are set out below.  </w:t>
      </w:r>
    </w:p>
    <w:p w:rsidR="00D0477C" w:rsidRPr="00A76603" w:rsidRDefault="00A76603" w:rsidP="00A76603">
      <w:pPr>
        <w:pStyle w:val="Heading8"/>
      </w:pPr>
      <w:bookmarkStart w:id="79" w:name="_Toc413855490"/>
      <w:bookmarkStart w:id="80" w:name="_Toc413858637"/>
      <w:bookmarkStart w:id="81" w:name="_Toc414615652"/>
      <w:bookmarkStart w:id="82" w:name="_Toc414711891"/>
      <w:bookmarkStart w:id="83" w:name="_Toc417725384"/>
      <w:r w:rsidRPr="00A76603">
        <w:t>Economic benchmarking</w:t>
      </w:r>
      <w:bookmarkEnd w:id="79"/>
      <w:bookmarkEnd w:id="80"/>
      <w:bookmarkEnd w:id="81"/>
      <w:bookmarkEnd w:id="82"/>
      <w:bookmarkEnd w:id="83"/>
    </w:p>
    <w:p w:rsidR="00A76603" w:rsidRPr="00A76603" w:rsidRDefault="00A76603" w:rsidP="007A7D52">
      <w:pPr>
        <w:numPr>
          <w:ilvl w:val="0"/>
          <w:numId w:val="24"/>
        </w:numPr>
      </w:pPr>
      <w:r w:rsidRPr="00A76603">
        <w:t xml:space="preserve">Economic benchmarking is one of the key outputs of our annual benchmarking report. </w:t>
      </w:r>
      <w:r w:rsidR="007A7D52" w:rsidRPr="007A7D52">
        <w:t xml:space="preserve">We are required to consider economic benchmarking as it is one of the </w:t>
      </w:r>
      <w:r w:rsidRPr="00A76603">
        <w:t xml:space="preserve">capex factors </w:t>
      </w:r>
      <w:r w:rsidR="007A7D52">
        <w:t>under the NER</w:t>
      </w:r>
      <w:r w:rsidRPr="00A76603">
        <w:t>.</w:t>
      </w:r>
      <w:r>
        <w:rPr>
          <w:rStyle w:val="FootnoteReference"/>
        </w:rPr>
        <w:footnoteReference w:id="36"/>
      </w:r>
      <w:r w:rsidRPr="00A76603">
        <w:t xml:space="preserve"> Economic benchmarking applies economic theory to measure the efficiency of a </w:t>
      </w:r>
      <w:r w:rsidR="00EF67EA">
        <w:t>distributor</w:t>
      </w:r>
      <w:r w:rsidRPr="00A76603">
        <w:t>'s use of inputs to produce outputs, having regard to environmental factors.</w:t>
      </w:r>
      <w:r>
        <w:rPr>
          <w:rStyle w:val="FootnoteReference"/>
        </w:rPr>
        <w:footnoteReference w:id="37"/>
      </w:r>
      <w:r w:rsidRPr="00A76603">
        <w:t xml:space="preserve"> It allows us to compare the performance of a </w:t>
      </w:r>
      <w:r w:rsidR="00EF67EA">
        <w:t>distributor</w:t>
      </w:r>
      <w:r w:rsidRPr="00A76603">
        <w:t xml:space="preserve"> against its own past performance, and the performance of other </w:t>
      </w:r>
      <w:r w:rsidR="00EF67EA">
        <w:t>distributor</w:t>
      </w:r>
      <w:r w:rsidRPr="00A76603">
        <w:t xml:space="preserve">s. Economic benchmarking helps us to assess whether a </w:t>
      </w:r>
      <w:r w:rsidR="00EF67EA">
        <w:t>distributor</w:t>
      </w:r>
      <w:r w:rsidRPr="00A76603">
        <w:t>'s capex forecast represents efficient costs.</w:t>
      </w:r>
      <w:r>
        <w:rPr>
          <w:rStyle w:val="FootnoteReference"/>
        </w:rPr>
        <w:footnoteReference w:id="38"/>
      </w:r>
      <w:r w:rsidRPr="00A76603">
        <w:t xml:space="preserve"> As stated by the AEMC, 'benchmarking is a critical exercise in assessing the efficiency of a NSP'.</w:t>
      </w:r>
      <w:r>
        <w:rPr>
          <w:rStyle w:val="FootnoteReference"/>
        </w:rPr>
        <w:footnoteReference w:id="39"/>
      </w:r>
      <w:r w:rsidRPr="00A76603">
        <w:t xml:space="preserve"> </w:t>
      </w:r>
    </w:p>
    <w:p w:rsidR="00A76603" w:rsidRPr="00A76603" w:rsidRDefault="00A76603" w:rsidP="00525DDF">
      <w:pPr>
        <w:numPr>
          <w:ilvl w:val="0"/>
          <w:numId w:val="24"/>
        </w:numPr>
      </w:pPr>
      <w:r w:rsidRPr="00A76603">
        <w:t xml:space="preserve">A number of economic benchmarks from the annual benchmarking report are relevant to our assessment of capex. These include measures of total cost efficiency and </w:t>
      </w:r>
      <w:r w:rsidRPr="00A76603">
        <w:lastRenderedPageBreak/>
        <w:t xml:space="preserve">overall capex efficiency. In general, these measures calculate a </w:t>
      </w:r>
      <w:r w:rsidR="00EF67EA">
        <w:t>distributor</w:t>
      </w:r>
      <w:r w:rsidRPr="00A76603">
        <w:t xml:space="preserve">'s efficiency with consideration given to its inputs, outputs and its operating environment. We have considered each </w:t>
      </w:r>
      <w:r w:rsidR="00EF67EA">
        <w:t>distributor</w:t>
      </w:r>
      <w:r w:rsidRPr="00A76603">
        <w:t xml:space="preserve">'s operating environment in so far as there are factors that are outside of a </w:t>
      </w:r>
      <w:r w:rsidR="00EF67EA">
        <w:t>distributor</w:t>
      </w:r>
      <w:r w:rsidRPr="00A76603">
        <w:t xml:space="preserve">'s control but which affect a </w:t>
      </w:r>
      <w:r w:rsidR="00EF67EA">
        <w:t>distributor</w:t>
      </w:r>
      <w:r w:rsidRPr="00A76603">
        <w:t>'s ability to convert inputs into outputs.</w:t>
      </w:r>
      <w:r>
        <w:rPr>
          <w:rStyle w:val="FootnoteReference"/>
        </w:rPr>
        <w:footnoteReference w:id="40"/>
      </w:r>
      <w:r w:rsidRPr="00A76603">
        <w:t xml:space="preserve"> Once such exogenous factors are taken into account, we expect </w:t>
      </w:r>
      <w:r w:rsidR="00EF67EA">
        <w:t>distributor</w:t>
      </w:r>
      <w:r w:rsidRPr="00A76603">
        <w:t>s to operate at similar levels of efficiency. One example of an exogenous factor that we have taken into account is customer density. For more on how we have forecast these measures, see our annual benchmarking report.</w:t>
      </w:r>
      <w:r>
        <w:rPr>
          <w:rStyle w:val="FootnoteReference"/>
        </w:rPr>
        <w:footnoteReference w:id="41"/>
      </w:r>
    </w:p>
    <w:p w:rsidR="00A76603" w:rsidRPr="00A76603" w:rsidRDefault="00A76603" w:rsidP="00525DDF">
      <w:pPr>
        <w:numPr>
          <w:ilvl w:val="0"/>
          <w:numId w:val="24"/>
        </w:numPr>
      </w:pPr>
      <w:r w:rsidRPr="00A76603">
        <w:t xml:space="preserve">In addition to the measures in the annual benchmarking report, we have considered how </w:t>
      </w:r>
      <w:r w:rsidR="00EF67EA">
        <w:t>distributor</w:t>
      </w:r>
      <w:r w:rsidRPr="00A76603">
        <w:t xml:space="preserve">s have performed on a number of overall capex metrics, including capex per customer, and capex per maximum demand. We have calculated these economic benchmarks based on actual data from the previous regulatory control period. </w:t>
      </w:r>
    </w:p>
    <w:p w:rsidR="00A76603" w:rsidRPr="00A76603" w:rsidRDefault="00A76603" w:rsidP="00525DDF">
      <w:pPr>
        <w:numPr>
          <w:ilvl w:val="0"/>
          <w:numId w:val="24"/>
        </w:numPr>
      </w:pPr>
      <w:r w:rsidRPr="00A76603">
        <w:t xml:space="preserve">The results from the economic benchmarking give an indication of the relative efficiency of each of the </w:t>
      </w:r>
      <w:r w:rsidR="00EF67EA">
        <w:t>distributor</w:t>
      </w:r>
      <w:r w:rsidRPr="00A76603">
        <w:t xml:space="preserve">s, and how this has changed over time. </w:t>
      </w:r>
    </w:p>
    <w:p w:rsidR="00D0477C" w:rsidRPr="00A76603" w:rsidRDefault="00A76603" w:rsidP="00A76603">
      <w:pPr>
        <w:pStyle w:val="Heading8"/>
      </w:pPr>
      <w:bookmarkStart w:id="84" w:name="_Toc413855491"/>
      <w:bookmarkStart w:id="85" w:name="_Toc413858638"/>
      <w:bookmarkStart w:id="86" w:name="_Toc414615653"/>
      <w:bookmarkStart w:id="87" w:name="_Toc414711892"/>
      <w:bookmarkStart w:id="88" w:name="_Toc417725385"/>
      <w:r w:rsidRPr="00A76603">
        <w:t>Trend analysis</w:t>
      </w:r>
      <w:bookmarkEnd w:id="84"/>
      <w:bookmarkEnd w:id="85"/>
      <w:bookmarkEnd w:id="86"/>
      <w:bookmarkEnd w:id="87"/>
      <w:bookmarkEnd w:id="88"/>
    </w:p>
    <w:p w:rsidR="00A76603" w:rsidRPr="00A76603" w:rsidRDefault="00A76603" w:rsidP="00525DDF">
      <w:pPr>
        <w:numPr>
          <w:ilvl w:val="0"/>
          <w:numId w:val="24"/>
        </w:numPr>
      </w:pPr>
      <w:r w:rsidRPr="00A76603">
        <w:t>We have considered past trends in actual and forecast capex. This is one of the capex factors to which we are required to have regard.</w:t>
      </w:r>
      <w:r>
        <w:rPr>
          <w:rStyle w:val="FootnoteReference"/>
        </w:rPr>
        <w:footnoteReference w:id="42"/>
      </w:r>
    </w:p>
    <w:p w:rsidR="00A76603" w:rsidRPr="00A76603" w:rsidRDefault="00A76603" w:rsidP="00525DDF">
      <w:pPr>
        <w:numPr>
          <w:ilvl w:val="0"/>
          <w:numId w:val="24"/>
        </w:numPr>
      </w:pPr>
      <w:r w:rsidRPr="00A76603">
        <w:t xml:space="preserve">Trend analysis involves comparing NSPs' forecast capex and work volumes against historic levels. Where forecast capex and volumes are materially different to historic levels, we have sought to understand what has caused these differences. In doing so, we have considered the reasons given by the </w:t>
      </w:r>
      <w:r w:rsidR="00EF67EA">
        <w:t>distributor</w:t>
      </w:r>
      <w:r w:rsidRPr="00A76603">
        <w:t xml:space="preserve">s in their proposals, as well as changes in the circumstances of the </w:t>
      </w:r>
      <w:r w:rsidR="00EF67EA">
        <w:t>distributor</w:t>
      </w:r>
      <w:r w:rsidRPr="00A76603">
        <w:t>.</w:t>
      </w:r>
    </w:p>
    <w:p w:rsidR="00A76603" w:rsidRPr="00A76603" w:rsidRDefault="00A76603" w:rsidP="00525DDF">
      <w:pPr>
        <w:numPr>
          <w:ilvl w:val="0"/>
          <w:numId w:val="24"/>
        </w:numPr>
      </w:pPr>
      <w:r w:rsidRPr="00A76603">
        <w:t>In considering whether a business' capex forecast reasonably reflects the capex criteria, we need to consider whether the forecast will allow the business to meet expected demand, and comply with relevant regulatory obligations.</w:t>
      </w:r>
      <w:r>
        <w:rPr>
          <w:rStyle w:val="FootnoteReference"/>
        </w:rPr>
        <w:footnoteReference w:id="43"/>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required by a </w:t>
      </w:r>
      <w:r w:rsidR="00EF67EA">
        <w:t>distributor</w:t>
      </w:r>
      <w:r w:rsidRPr="00A76603">
        <w:t xml:space="preserve">. </w:t>
      </w:r>
    </w:p>
    <w:p w:rsidR="00A76603" w:rsidRPr="00A76603" w:rsidRDefault="00A76603" w:rsidP="00525DDF">
      <w:pPr>
        <w:numPr>
          <w:ilvl w:val="0"/>
          <w:numId w:val="24"/>
        </w:numPr>
      </w:pPr>
      <w:r w:rsidRPr="00A76603">
        <w:t xml:space="preserve">Maximum demand is a key driver of augmentation or demand driven expenditure. As augmentation often needs to occur prior to demand growth being realised, forecast rather than actual demand is relevant when a business is deciding what augmentation projects will be required in an upcoming regulatory control period. However, to the extent that actual demand differs from forecast, a business should reassess the need for the projects. Growth in a business' network will also drive augmentation and </w:t>
      </w:r>
      <w:r w:rsidRPr="00A76603">
        <w:lastRenderedPageBreak/>
        <w:t>connections related capex. For these reasons it is important to consider how trends in capex (and in particular, augex and connections) compare with trends in demand (both maximum demand and customer numbers).</w:t>
      </w:r>
    </w:p>
    <w:p w:rsidR="00A76603" w:rsidRPr="00A76603" w:rsidRDefault="00A76603" w:rsidP="00525DDF">
      <w:pPr>
        <w:numPr>
          <w:ilvl w:val="0"/>
          <w:numId w:val="24"/>
        </w:numPr>
      </w:pPr>
      <w:r w:rsidRPr="00A76603">
        <w:t xml:space="preserve">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NSP's capex requirements. </w:t>
      </w:r>
    </w:p>
    <w:p w:rsidR="00A76603" w:rsidRPr="00A76603" w:rsidRDefault="00A76603" w:rsidP="00525DDF">
      <w:pPr>
        <w:numPr>
          <w:ilvl w:val="0"/>
          <w:numId w:val="24"/>
        </w:numPr>
      </w:pPr>
      <w:r w:rsidRPr="00A76603">
        <w:t>We have looked at trends in capex across a range of levels including at the total capex level, for growth related capex, for replacement capex, and for each of the categories of capex, as relevant. We have also compared these with trends in demand and changes in service standards over time.</w:t>
      </w:r>
    </w:p>
    <w:p w:rsidR="00D0477C" w:rsidRPr="00A76603" w:rsidRDefault="00A76603" w:rsidP="00A76603">
      <w:pPr>
        <w:pStyle w:val="Heading8"/>
      </w:pPr>
      <w:bookmarkStart w:id="89" w:name="_Toc413855492"/>
      <w:bookmarkStart w:id="90" w:name="_Toc413858639"/>
      <w:bookmarkStart w:id="91" w:name="_Toc414615654"/>
      <w:bookmarkStart w:id="92" w:name="_Toc414711893"/>
      <w:bookmarkStart w:id="93" w:name="_Toc417725386"/>
      <w:r w:rsidRPr="00A76603">
        <w:t>Category analysis</w:t>
      </w:r>
      <w:bookmarkEnd w:id="89"/>
      <w:bookmarkEnd w:id="90"/>
      <w:bookmarkEnd w:id="91"/>
      <w:bookmarkEnd w:id="92"/>
      <w:bookmarkEnd w:id="93"/>
    </w:p>
    <w:p w:rsidR="00A76603" w:rsidRPr="00A76603" w:rsidRDefault="00A76603" w:rsidP="00525DDF">
      <w:pPr>
        <w:numPr>
          <w:ilvl w:val="0"/>
          <w:numId w:val="24"/>
        </w:numPr>
      </w:pPr>
      <w:r w:rsidRPr="00A76603">
        <w:t>Expenditure category level analysis allows us to compare expenditure across NSPs, and over time, for various levels of capex:</w:t>
      </w:r>
    </w:p>
    <w:p w:rsidR="00D0477C" w:rsidRPr="00A76603" w:rsidRDefault="00A76603" w:rsidP="00A76603">
      <w:pPr>
        <w:pStyle w:val="AERbulletlistfirststyle"/>
      </w:pPr>
      <w:r w:rsidRPr="00A76603">
        <w:t xml:space="preserve">overall costs within each category of capex </w:t>
      </w:r>
    </w:p>
    <w:p w:rsidR="00D0477C" w:rsidRPr="00A76603" w:rsidRDefault="00A76603" w:rsidP="00A76603">
      <w:pPr>
        <w:pStyle w:val="AERbulletlistfirststyle"/>
      </w:pPr>
      <w:r w:rsidRPr="00A76603">
        <w:t>unit costs, across a range of activities</w:t>
      </w:r>
    </w:p>
    <w:p w:rsidR="00D0477C" w:rsidRPr="00A76603" w:rsidRDefault="00A76603" w:rsidP="00A76603">
      <w:pPr>
        <w:pStyle w:val="AERbulletlistfirststyle"/>
      </w:pPr>
      <w:r w:rsidRPr="00A76603">
        <w:t>volumes, across a range of activities</w:t>
      </w:r>
    </w:p>
    <w:p w:rsidR="00D0477C" w:rsidRPr="00A76603" w:rsidRDefault="00A76603" w:rsidP="00A76603">
      <w:pPr>
        <w:pStyle w:val="AERbulletlistfirststyle"/>
      </w:pPr>
      <w:r w:rsidRPr="00A76603">
        <w:t>asset lives, across a range of asset classes which we have used in assessing repex.</w:t>
      </w:r>
    </w:p>
    <w:p w:rsidR="00A76603" w:rsidRPr="00A76603" w:rsidRDefault="00A76603" w:rsidP="00525DDF">
      <w:pPr>
        <w:numPr>
          <w:ilvl w:val="0"/>
          <w:numId w:val="24"/>
        </w:numPr>
      </w:pPr>
      <w:r w:rsidRPr="00A76603">
        <w:t>Using standardised reporting templates, we have collected data on augex, repex, connections, non</w:t>
      </w:r>
      <w:r w:rsidRPr="00A76603">
        <w:noBreakHyphen/>
        <w:t xml:space="preserve">network capex, overheads and demand forecasts for all </w:t>
      </w:r>
      <w:r w:rsidR="00EF67EA">
        <w:t>distributor</w:t>
      </w:r>
      <w:r w:rsidRPr="00A76603">
        <w:t xml:space="preserve">s in the NEM. The use of standardised category data allows us to make direct comparisons across </w:t>
      </w:r>
      <w:r w:rsidR="00EF67EA">
        <w:t>distributor</w:t>
      </w:r>
      <w:r w:rsidRPr="00A76603">
        <w:t xml:space="preserve">s. Standardised category data also allows us to identify and scrutinise different operating and environmental factors that affect the amount and cost of works performed by </w:t>
      </w:r>
      <w:r w:rsidR="00EF67EA">
        <w:t>distributor</w:t>
      </w:r>
      <w:r w:rsidRPr="00A76603">
        <w:t xml:space="preserve">s, and how these factors may change over time. </w:t>
      </w:r>
    </w:p>
    <w:p w:rsidR="00D0477C" w:rsidRPr="00A76603" w:rsidRDefault="00A76603" w:rsidP="00A76603">
      <w:pPr>
        <w:pStyle w:val="Heading8"/>
      </w:pPr>
      <w:bookmarkStart w:id="94" w:name="_Toc413855493"/>
      <w:bookmarkStart w:id="95" w:name="_Toc413858640"/>
      <w:bookmarkStart w:id="96" w:name="_Toc414615655"/>
      <w:bookmarkStart w:id="97" w:name="_Toc414711894"/>
      <w:bookmarkStart w:id="98" w:name="_Toc417725387"/>
      <w:r w:rsidRPr="00A76603">
        <w:t>Predictive modelling</w:t>
      </w:r>
      <w:bookmarkEnd w:id="94"/>
      <w:bookmarkEnd w:id="95"/>
      <w:bookmarkEnd w:id="96"/>
      <w:bookmarkEnd w:id="97"/>
      <w:bookmarkEnd w:id="98"/>
    </w:p>
    <w:p w:rsidR="00A76603" w:rsidRPr="00A76603" w:rsidRDefault="00A76603" w:rsidP="00525DDF">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D0477C" w:rsidRPr="00A76603" w:rsidRDefault="00A76603" w:rsidP="00A76603">
      <w:pPr>
        <w:pStyle w:val="AERbulletlistfirststyle"/>
      </w:pPr>
      <w:r w:rsidRPr="00A76603">
        <w:t>the repex model</w:t>
      </w:r>
    </w:p>
    <w:p w:rsidR="00D0477C" w:rsidRPr="00A76603" w:rsidRDefault="00A76603" w:rsidP="00A76603">
      <w:pPr>
        <w:pStyle w:val="AERbulletlistfirststyle"/>
      </w:pPr>
      <w:r w:rsidRPr="00A76603">
        <w:t>the augex model (used in a qualitative sense)</w:t>
      </w:r>
    </w:p>
    <w:p w:rsidR="00A76603" w:rsidRPr="00A76603" w:rsidRDefault="00A76603" w:rsidP="00525DDF">
      <w:pPr>
        <w:numPr>
          <w:ilvl w:val="0"/>
          <w:numId w:val="24"/>
        </w:numPr>
      </w:pPr>
      <w:r w:rsidRPr="00A76603">
        <w:t xml:space="preserve">The use of the repex and augex models is directly relevant to assessing whether a </w:t>
      </w:r>
      <w:r w:rsidR="00EF67EA">
        <w:t>distributor</w:t>
      </w:r>
      <w:r w:rsidRPr="00A76603">
        <w:t>'s capex forecast reasonably reflects the capex criteria.</w:t>
      </w:r>
      <w:r>
        <w:rPr>
          <w:rStyle w:val="FootnoteReference"/>
        </w:rPr>
        <w:footnoteReference w:id="44"/>
      </w:r>
      <w:r w:rsidRPr="00A76603">
        <w:t xml:space="preserve"> The models draw </w:t>
      </w:r>
      <w:r w:rsidRPr="00A76603">
        <w:lastRenderedPageBreak/>
        <w:t xml:space="preserve">on actual capex incurred by a </w:t>
      </w:r>
      <w:r w:rsidR="00EF67EA">
        <w:t>distributor</w:t>
      </w:r>
      <w:r w:rsidRPr="00A76603">
        <w:t xml:space="preserve"> during the preceding regulatory control period.  This past capex is a factor that we must take into account.</w:t>
      </w:r>
      <w:r>
        <w:rPr>
          <w:rStyle w:val="FootnoteReference"/>
        </w:rPr>
        <w:footnoteReference w:id="45"/>
      </w:r>
    </w:p>
    <w:p w:rsidR="00A76603" w:rsidRPr="00A76603" w:rsidRDefault="00A76603" w:rsidP="00525DDF">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In instances where we consider a </w:t>
      </w:r>
      <w:r w:rsidR="00EF67EA">
        <w:t>distributor</w:t>
      </w:r>
      <w:r w:rsidRPr="00A76603">
        <w:t xml:space="preserve">’s proposed repex does not conform to the capex criteria, we have used this (in combination with other techniques where appropriate) to generate a substitute forecast. </w:t>
      </w:r>
    </w:p>
    <w:p w:rsidR="00A76603" w:rsidRPr="00A76603" w:rsidRDefault="00A76603" w:rsidP="00963F7F">
      <w:pPr>
        <w:numPr>
          <w:ilvl w:val="0"/>
          <w:numId w:val="24"/>
        </w:numPr>
      </w:pPr>
      <w:r w:rsidRPr="00A76603">
        <w:t>The augex model compares utilisation thresholds with forecasts of maximum demand to identify the parts of a network segment that may require augmentation.</w:t>
      </w:r>
      <w:r>
        <w:rPr>
          <w:rStyle w:val="FootnoteReference"/>
        </w:rPr>
        <w:footnoteReference w:id="46"/>
      </w:r>
      <w:r w:rsidRPr="00A76603">
        <w:t xml:space="preserve"> The model then uses capacity factors to calculate required augmentation, and unit costs to derive an augex forecast for the </w:t>
      </w:r>
      <w:r w:rsidR="00EF67EA">
        <w:t>distributor</w:t>
      </w:r>
      <w:r w:rsidRPr="00A76603">
        <w:t xml:space="preserve"> over a given period.</w:t>
      </w:r>
      <w:r>
        <w:rPr>
          <w:rStyle w:val="FootnoteReference"/>
        </w:rPr>
        <w:footnoteReference w:id="47"/>
      </w:r>
      <w:r w:rsidRPr="00A76603">
        <w:t xml:space="preserve"> In this way, the augex model accounts for the main internal drivers of augex that may differ between </w:t>
      </w:r>
      <w:r w:rsidR="00EF67EA">
        <w:t>distributor</w:t>
      </w:r>
      <w:r w:rsidRPr="00A76603">
        <w:t xml:space="preserve">s, namely peak demand growth and its impact on asset utilisation. We can use the augex model to identify general trends in asset utilisation over time as well as to identify outliers in a </w:t>
      </w:r>
      <w:r w:rsidR="00EF67EA">
        <w:t>distributor</w:t>
      </w:r>
      <w:r w:rsidRPr="00A76603">
        <w:t>'s augex forecast.</w:t>
      </w:r>
      <w:r>
        <w:rPr>
          <w:rStyle w:val="FootnoteReference"/>
        </w:rPr>
        <w:footnoteReference w:id="48"/>
      </w:r>
      <w:r w:rsidRPr="00A76603">
        <w:t xml:space="preserve"> </w:t>
      </w:r>
      <w:bookmarkStart w:id="99" w:name="_Toc413855494"/>
      <w:bookmarkStart w:id="100" w:name="_Toc413858641"/>
      <w:r w:rsidR="00963F7F" w:rsidRPr="00963F7F">
        <w:t>However, we have not relied heavily on the augex model for this reset. This is because SA Power Networks experienced negative demand growth and positive growth in augex in some network segments during the 2010-15 period. This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p>
    <w:p w:rsidR="00D0477C" w:rsidRPr="00A76603" w:rsidRDefault="00A76603" w:rsidP="00A76603">
      <w:pPr>
        <w:pStyle w:val="Heading8"/>
      </w:pPr>
      <w:bookmarkStart w:id="101" w:name="_Toc414615656"/>
      <w:bookmarkStart w:id="102" w:name="_Toc414711895"/>
      <w:bookmarkStart w:id="103" w:name="_Toc417725388"/>
      <w:r w:rsidRPr="00A76603">
        <w:t>Engineering review</w:t>
      </w:r>
      <w:bookmarkEnd w:id="99"/>
      <w:bookmarkEnd w:id="100"/>
      <w:bookmarkEnd w:id="101"/>
      <w:bookmarkEnd w:id="102"/>
      <w:bookmarkEnd w:id="103"/>
    </w:p>
    <w:p w:rsidR="001842E4" w:rsidRDefault="001842E4" w:rsidP="00525DDF">
      <w:pPr>
        <w:numPr>
          <w:ilvl w:val="0"/>
          <w:numId w:val="24"/>
        </w:numPr>
      </w:pPr>
      <w:r>
        <w:t>We have relied on internal engineering expertise to assist with our review of SA Power Networks' capex proposals. This has involved reviewing SA Power Networks' processes, and specific projects and programs of work.</w:t>
      </w:r>
    </w:p>
    <w:p w:rsidR="00D0477C" w:rsidRPr="00A76603" w:rsidRDefault="00A76603" w:rsidP="00A76603">
      <w:pPr>
        <w:pStyle w:val="Heading7"/>
      </w:pPr>
      <w:bookmarkStart w:id="104" w:name="_Toc414615657"/>
      <w:bookmarkStart w:id="105" w:name="_Ref414615676"/>
      <w:bookmarkStart w:id="106" w:name="_Toc414711896"/>
      <w:bookmarkStart w:id="107" w:name="_Ref414711995"/>
      <w:bookmarkStart w:id="108" w:name="_Ref415039769"/>
      <w:bookmarkStart w:id="109" w:name="_Toc417725389"/>
      <w:r w:rsidRPr="00A76603">
        <w:lastRenderedPageBreak/>
        <w:t>Assessment of capex drivers</w:t>
      </w:r>
      <w:bookmarkEnd w:id="77"/>
      <w:bookmarkEnd w:id="78"/>
      <w:bookmarkEnd w:id="104"/>
      <w:bookmarkEnd w:id="105"/>
      <w:bookmarkEnd w:id="106"/>
      <w:bookmarkEnd w:id="107"/>
      <w:bookmarkEnd w:id="108"/>
      <w:bookmarkEnd w:id="109"/>
    </w:p>
    <w:p w:rsidR="00A76603" w:rsidRPr="00A76603" w:rsidRDefault="00A76603" w:rsidP="00525DDF">
      <w:pPr>
        <w:numPr>
          <w:ilvl w:val="0"/>
          <w:numId w:val="24"/>
        </w:numPr>
      </w:pPr>
      <w:r w:rsidRPr="00A76603">
        <w:t xml:space="preserve">We present our detailed analysis of the sub-categories of </w:t>
      </w:r>
      <w:r>
        <w:t>SA</w:t>
      </w:r>
      <w:r w:rsidR="00604AA1">
        <w:t xml:space="preserve"> </w:t>
      </w:r>
      <w:r>
        <w:t>P</w:t>
      </w:r>
      <w:r w:rsidR="00604AA1">
        <w:t>ower Networks</w:t>
      </w:r>
      <w:r w:rsidR="00DB23C4">
        <w:t>'</w:t>
      </w:r>
      <w:r w:rsidRPr="00A76603">
        <w:t xml:space="preserve"> forecast capex for the 201</w:t>
      </w:r>
      <w:r w:rsidR="007F21A7">
        <w:t>5</w:t>
      </w:r>
      <w:r w:rsidR="00DB23C4">
        <w:t>–</w:t>
      </w:r>
      <w:r w:rsidR="007F21A7">
        <w:t>20</w:t>
      </w:r>
      <w:r w:rsidRPr="00A76603">
        <w:t xml:space="preserve"> </w:t>
      </w:r>
      <w:r w:rsidR="00547427">
        <w:t>regulatory control period in this a</w:t>
      </w:r>
      <w:r w:rsidRPr="00A76603">
        <w:t>ppendix. These sub-categories reflect the drivers of forecast capex over the 201</w:t>
      </w:r>
      <w:r w:rsidR="007F21A7">
        <w:t>5</w:t>
      </w:r>
      <w:r w:rsidR="00DB23C4">
        <w:t>–</w:t>
      </w:r>
      <w:r w:rsidR="007F21A7">
        <w:t>20</w:t>
      </w:r>
      <w:r w:rsidRPr="00A76603">
        <w:t xml:space="preserve"> period. These drivers are augmentation capex (augex), customer connections capex, replacement capex (repex), reliability improvement capex, capitalised overheads and non-network capex.</w:t>
      </w:r>
    </w:p>
    <w:p w:rsidR="00A76603" w:rsidRPr="00A76603" w:rsidRDefault="00A76603" w:rsidP="00525DDF">
      <w:pPr>
        <w:numPr>
          <w:ilvl w:val="0"/>
          <w:numId w:val="24"/>
        </w:numPr>
      </w:pPr>
      <w:r w:rsidRPr="00A76603">
        <w:t xml:space="preserve">As we discuss in the capex attachment, we are not satisfied that </w:t>
      </w:r>
      <w:r>
        <w:t>SA</w:t>
      </w:r>
      <w:r w:rsidR="00604AA1">
        <w:t xml:space="preserve"> </w:t>
      </w:r>
      <w:r>
        <w:t>P</w:t>
      </w:r>
      <w:r w:rsidR="00604AA1">
        <w:t>ower Networks</w:t>
      </w:r>
      <w:r w:rsidR="00DB23C4">
        <w:t>'</w:t>
      </w:r>
      <w:r w:rsidRPr="00A76603">
        <w:t xml:space="preserve"> proposed total forecast capex reasonably reflects the capex criteria. In this appendix we set out further analysis in support of this view. This further analysis also explains the basis for our alternative estimate of </w:t>
      </w:r>
      <w:r>
        <w:t>SA</w:t>
      </w:r>
      <w:r w:rsidR="00604AA1">
        <w:t xml:space="preserve"> </w:t>
      </w:r>
      <w:r>
        <w:t>P</w:t>
      </w:r>
      <w:r w:rsidR="00604AA1">
        <w:t>ower Networks</w:t>
      </w:r>
      <w:r w:rsidRPr="00A76603">
        <w:t xml:space="preserve"> total forecast capex that we are satisfied reasonably reflects the capex criteria. In coming to our views and our alternative estimate we have applied the assessment </w:t>
      </w:r>
      <w:r w:rsidR="00DC3B98">
        <w:t>techniques that we discuss in appendix A</w:t>
      </w:r>
      <w:r w:rsidRPr="00A76603">
        <w:t>.</w:t>
      </w:r>
    </w:p>
    <w:p w:rsidR="00A76603" w:rsidRPr="00A76603" w:rsidRDefault="00A76603" w:rsidP="00525DDF">
      <w:pPr>
        <w:numPr>
          <w:ilvl w:val="0"/>
          <w:numId w:val="24"/>
        </w:numPr>
      </w:pPr>
      <w:r w:rsidRPr="00A76603">
        <w:t>This appendix sets out our findings and views on each sub-category of capex. The structure of this appendix is:</w:t>
      </w:r>
    </w:p>
    <w:p w:rsidR="00D0477C" w:rsidRPr="00A76603" w:rsidRDefault="00A76603" w:rsidP="00A76603">
      <w:pPr>
        <w:pStyle w:val="AERbulletlistfirststyle"/>
      </w:pPr>
      <w:r w:rsidRPr="00A76603">
        <w:t>Section B.1: alternative estimate</w:t>
      </w:r>
    </w:p>
    <w:p w:rsidR="00D0477C" w:rsidRPr="00A76603" w:rsidRDefault="00A76603" w:rsidP="00A76603">
      <w:pPr>
        <w:pStyle w:val="AERbulletlistfirststyle"/>
      </w:pPr>
      <w:r w:rsidRPr="00A76603">
        <w:t>Section B.2: forecast augex</w:t>
      </w:r>
    </w:p>
    <w:p w:rsidR="00D0477C" w:rsidRPr="00A76603" w:rsidRDefault="00A76603" w:rsidP="00A76603">
      <w:pPr>
        <w:pStyle w:val="AERbulletlistfirststyle"/>
      </w:pPr>
      <w:r w:rsidRPr="00A76603">
        <w:t>Section B.</w:t>
      </w:r>
      <w:r w:rsidR="00787774">
        <w:t>3</w:t>
      </w:r>
      <w:r w:rsidRPr="00A76603">
        <w:t>: forecast customer connections capex, including capital contributions</w:t>
      </w:r>
    </w:p>
    <w:p w:rsidR="00D0477C" w:rsidRPr="00A76603" w:rsidRDefault="00A76603" w:rsidP="00A76603">
      <w:pPr>
        <w:pStyle w:val="AERbulletlistfirststyle"/>
      </w:pPr>
      <w:r w:rsidRPr="00A76603">
        <w:t>Section B.</w:t>
      </w:r>
      <w:r w:rsidR="00787774">
        <w:t>4</w:t>
      </w:r>
      <w:r w:rsidRPr="00A76603">
        <w:t>: forecast repex</w:t>
      </w:r>
    </w:p>
    <w:p w:rsidR="00D0477C" w:rsidRPr="00A76603" w:rsidRDefault="00A76603" w:rsidP="00A76603">
      <w:pPr>
        <w:pStyle w:val="AERbulletlistfirststyle"/>
      </w:pPr>
      <w:r w:rsidRPr="00A76603">
        <w:t>Section B.</w:t>
      </w:r>
      <w:r w:rsidR="00054917">
        <w:t>5</w:t>
      </w:r>
      <w:r w:rsidRPr="00A76603">
        <w:t>: forecast capitalised overheads</w:t>
      </w:r>
    </w:p>
    <w:p w:rsidR="00D0477C" w:rsidRPr="00A76603" w:rsidRDefault="00A76603" w:rsidP="00A76603">
      <w:pPr>
        <w:pStyle w:val="AERbulletlistfirststyle"/>
      </w:pPr>
      <w:r w:rsidRPr="00A76603">
        <w:t>Section B.</w:t>
      </w:r>
      <w:r w:rsidR="00054917">
        <w:t>6</w:t>
      </w:r>
      <w:r w:rsidRPr="00A76603">
        <w:t xml:space="preserve">: </w:t>
      </w:r>
      <w:r w:rsidR="00AD0191" w:rsidRPr="00AD0191">
        <w:t>forecast</w:t>
      </w:r>
      <w:r w:rsidR="00AD0191">
        <w:t xml:space="preserve"> </w:t>
      </w:r>
      <w:r w:rsidRPr="00A76603">
        <w:t>non-network capex</w:t>
      </w:r>
    </w:p>
    <w:p w:rsidR="00930E11" w:rsidRPr="00A76603" w:rsidRDefault="00A76603" w:rsidP="00930E11">
      <w:pPr>
        <w:pStyle w:val="AERbulletlistfirststyle"/>
      </w:pPr>
      <w:r w:rsidRPr="00A76603">
        <w:t>Section B.</w:t>
      </w:r>
      <w:r w:rsidR="00054917">
        <w:t>7</w:t>
      </w:r>
      <w:r w:rsidRPr="00A76603">
        <w:t>: demand management.</w:t>
      </w:r>
    </w:p>
    <w:p w:rsidR="00A76603" w:rsidRPr="00A76603" w:rsidRDefault="00547427" w:rsidP="00A76603">
      <w:r>
        <w:t xml:space="preserve">In each of sections B.1 to </w:t>
      </w:r>
      <w:r w:rsidR="00A76603" w:rsidRPr="00A76603">
        <w:t xml:space="preserve">B.7 </w:t>
      </w:r>
      <w:r w:rsidR="007A7D52" w:rsidRPr="007A7D52">
        <w:t>we examine seven sub-categories of capex which we include in our alternative estimate.  For each such sub-category, we explain why we are satisfied the amount of capex that we include in our alternative estimate reasonably reflects the capex criteria.</w:t>
      </w:r>
    </w:p>
    <w:p w:rsidR="00D0477C" w:rsidRPr="00A76603" w:rsidRDefault="00A76603" w:rsidP="00EC4683">
      <w:pPr>
        <w:pStyle w:val="Heading8"/>
        <w:numPr>
          <w:ilvl w:val="1"/>
          <w:numId w:val="44"/>
        </w:numPr>
      </w:pPr>
      <w:bookmarkStart w:id="110" w:name="_Toc414434923"/>
      <w:bookmarkStart w:id="111" w:name="_Toc414615658"/>
      <w:bookmarkStart w:id="112" w:name="_Toc414711897"/>
      <w:bookmarkStart w:id="113" w:name="_Toc417725390"/>
      <w:r w:rsidRPr="00A76603">
        <w:t>Alternative estimate</w:t>
      </w:r>
      <w:bookmarkEnd w:id="110"/>
      <w:bookmarkEnd w:id="111"/>
      <w:bookmarkEnd w:id="112"/>
      <w:bookmarkEnd w:id="113"/>
    </w:p>
    <w:p w:rsidR="00A76603" w:rsidRPr="00A76603" w:rsidRDefault="00A76603" w:rsidP="00A76603">
      <w:r w:rsidRPr="00A76603">
        <w:t xml:space="preserve">Having examined </w:t>
      </w:r>
      <w:r>
        <w:t>SA</w:t>
      </w:r>
      <w:r w:rsidR="00DC3B98">
        <w:t xml:space="preserve"> </w:t>
      </w:r>
      <w:r>
        <w:t>P</w:t>
      </w:r>
      <w:r w:rsidR="00DC3B98">
        <w:t>ower Networks</w:t>
      </w:r>
      <w:r w:rsidR="00DB23C4">
        <w:t>'</w:t>
      </w:r>
      <w:r w:rsidRPr="00A76603">
        <w:t xml:space="preserve"> proposal, we formed a view on our alternative estimate of the capex required to reasonably reflect the capex criteria. Our alternative estimate </w:t>
      </w:r>
      <w:proofErr w:type="gramStart"/>
      <w:r w:rsidRPr="00A76603">
        <w:t>is based</w:t>
      </w:r>
      <w:proofErr w:type="gramEnd"/>
      <w:r w:rsidRPr="00A76603">
        <w:t xml:space="preserve"> on our assessment techniques, explained in section </w:t>
      </w:r>
      <w:r w:rsidR="00525DDF">
        <w:fldChar w:fldCharType="begin"/>
      </w:r>
      <w:r w:rsidR="00525DDF">
        <w:instrText xml:space="preserve"> REF _Ref417048914 \r \h </w:instrText>
      </w:r>
      <w:r w:rsidR="00525DDF">
        <w:fldChar w:fldCharType="separate"/>
      </w:r>
      <w:r w:rsidR="00F02131">
        <w:t>6.3</w:t>
      </w:r>
      <w:r w:rsidR="00525DDF">
        <w:fldChar w:fldCharType="end"/>
      </w:r>
      <w:r w:rsidR="001C0B41">
        <w:t xml:space="preserve"> and a</w:t>
      </w:r>
      <w:r w:rsidRPr="00A76603">
        <w:t xml:space="preserve">ppendix </w:t>
      </w:r>
      <w:r w:rsidR="00525DDF">
        <w:t>B</w:t>
      </w:r>
      <w:r w:rsidRPr="00A76603">
        <w:t xml:space="preserve">.  Our weighting of each of these techniques, and our response to </w:t>
      </w:r>
      <w:r>
        <w:t>SA</w:t>
      </w:r>
      <w:r w:rsidR="00DC3B98">
        <w:t xml:space="preserve"> </w:t>
      </w:r>
      <w:r>
        <w:t>P</w:t>
      </w:r>
      <w:r w:rsidR="00DC3B98">
        <w:t>ower Networks</w:t>
      </w:r>
      <w:r w:rsidRPr="00A76603">
        <w:t xml:space="preserve"> submissions on the weighting should be given to particular techniques, is set out under the c</w:t>
      </w:r>
      <w:r w:rsidR="001C0B41">
        <w:t>apex drivers in a</w:t>
      </w:r>
      <w:r w:rsidRPr="00A76603">
        <w:t xml:space="preserve">ppendix </w:t>
      </w:r>
      <w:r w:rsidR="00525DDF">
        <w:t>B</w:t>
      </w:r>
      <w:r w:rsidRPr="00A76603">
        <w:t xml:space="preserve">. </w:t>
      </w:r>
    </w:p>
    <w:p w:rsidR="00525DDF" w:rsidRDefault="00A76603" w:rsidP="00525DDF">
      <w:r w:rsidRPr="00A76603">
        <w:t xml:space="preserve">We are satisfied that our alternative estimate reasonably reflects the capex criteria.  </w:t>
      </w:r>
    </w:p>
    <w:p w:rsidR="00991DC0" w:rsidRDefault="00991DC0" w:rsidP="00525DDF"/>
    <w:p w:rsidR="00525DDF" w:rsidRPr="00525DDF" w:rsidRDefault="00EC4683" w:rsidP="00EC4683">
      <w:pPr>
        <w:pStyle w:val="Heading8"/>
      </w:pPr>
      <w:bookmarkStart w:id="114" w:name="_Ref416794632"/>
      <w:bookmarkStart w:id="115" w:name="_Toc417725391"/>
      <w:r>
        <w:lastRenderedPageBreak/>
        <w:t>AER findings and estimates for a</w:t>
      </w:r>
      <w:r w:rsidR="00525DDF" w:rsidRPr="00525DDF">
        <w:t>ug</w:t>
      </w:r>
      <w:bookmarkEnd w:id="114"/>
      <w:r w:rsidR="00525DDF" w:rsidRPr="00525DDF">
        <w:t xml:space="preserve">mentation </w:t>
      </w:r>
      <w:r>
        <w:t>expenditure</w:t>
      </w:r>
      <w:bookmarkEnd w:id="115"/>
    </w:p>
    <w:p w:rsidR="00525DDF" w:rsidRPr="00525DDF" w:rsidRDefault="00525DDF" w:rsidP="00525DDF">
      <w:pPr>
        <w:rPr>
          <w:rStyle w:val="AERbody"/>
        </w:rPr>
      </w:pPr>
      <w:r w:rsidRPr="00525DDF">
        <w:rPr>
          <w:rStyle w:val="AERbody"/>
        </w:rPr>
        <w:t>SA Power Networks propose</w:t>
      </w:r>
      <w:r w:rsidR="00DB23C4">
        <w:rPr>
          <w:rStyle w:val="AERbody"/>
        </w:rPr>
        <w:t>d</w:t>
      </w:r>
      <w:r w:rsidRPr="00525DDF">
        <w:rPr>
          <w:rStyle w:val="AERbody"/>
        </w:rPr>
        <w:t xml:space="preserve"> a forecast of $839.4</w:t>
      </w:r>
      <w:r w:rsidR="0055042A">
        <w:rPr>
          <w:rStyle w:val="AERbody"/>
        </w:rPr>
        <w:t xml:space="preserve"> million ($2014–</w:t>
      </w:r>
      <w:r w:rsidRPr="00525DDF">
        <w:rPr>
          <w:rStyle w:val="AERbody"/>
        </w:rPr>
        <w:t>15) for augmentation capex (augex), excluding overheads. This is a 40 per cent increase compared t</w:t>
      </w:r>
      <w:r w:rsidR="00DB23C4">
        <w:rPr>
          <w:rStyle w:val="AERbody"/>
        </w:rPr>
        <w:t>o its actual augex in the 2010–</w:t>
      </w:r>
      <w:r w:rsidRPr="00525DDF">
        <w:rPr>
          <w:rStyle w:val="AERbody"/>
        </w:rPr>
        <w:t xml:space="preserve">15 regulatory control period. </w:t>
      </w:r>
    </w:p>
    <w:p w:rsidR="00525DDF" w:rsidRPr="00525DDF" w:rsidRDefault="00525DDF" w:rsidP="00525DDF">
      <w:pPr>
        <w:rPr>
          <w:rStyle w:val="AERbody"/>
        </w:rPr>
      </w:pPr>
      <w:r w:rsidRPr="00525DDF">
        <w:rPr>
          <w:rStyle w:val="AERbody"/>
        </w:rPr>
        <w:t>Augmentation is typically triggered by the need to build or upgrade the network to address changes in demand and network utilisation. However, it can also triggered by the need to upgrade the network to comply with quality, safety, reliability and security of supply requirements. SA Power Networks' augex forecast is comprised of a number of different components, each of which is driven by a different driver for augmentation.</w:t>
      </w:r>
    </w:p>
    <w:p w:rsidR="00525DDF" w:rsidRPr="00525DDF" w:rsidRDefault="00525DDF" w:rsidP="00525DDF">
      <w:pPr>
        <w:rPr>
          <w:rStyle w:val="AERbody"/>
        </w:rPr>
      </w:pPr>
      <w:r w:rsidRPr="00525DDF">
        <w:rPr>
          <w:rStyle w:val="AERbody"/>
        </w:rPr>
        <w:t>We do not accept SA Power Networks' proposal. We instead include an amount of $463 million ($2014</w:t>
      </w:r>
      <w:r w:rsidR="0055042A">
        <w:rPr>
          <w:rStyle w:val="AERbody"/>
        </w:rPr>
        <w:t>–</w:t>
      </w:r>
      <w:r w:rsidRPr="00525DDF">
        <w:rPr>
          <w:rStyle w:val="AERbody"/>
        </w:rPr>
        <w:t xml:space="preserve">15) for forecast augex in our alternative estimate, a reduction of 45 per cent from </w:t>
      </w:r>
      <w:r w:rsidR="001558AC">
        <w:t xml:space="preserve">SA Power Networks' </w:t>
      </w:r>
      <w:r w:rsidRPr="00525DDF">
        <w:rPr>
          <w:rStyle w:val="AERbody"/>
        </w:rPr>
        <w:t xml:space="preserve">proposal. </w:t>
      </w:r>
      <w:r w:rsidRPr="00525DDF">
        <w:t xml:space="preserve">This amount is sufficient to provide SA Power Networks with a reasonable opportunity to recover at least the efficient costs to build its network to meet demand and meet its </w:t>
      </w:r>
      <w:r w:rsidRPr="00525DDF">
        <w:rPr>
          <w:rStyle w:val="AERbody"/>
        </w:rPr>
        <w:t>quality, safety, reliability and security of supply requirements.  We are satisfied that this amount reasonably reflects the capex criteria.</w:t>
      </w:r>
    </w:p>
    <w:p w:rsidR="00525DDF" w:rsidRPr="00525DDF" w:rsidRDefault="00525DDF" w:rsidP="00525DDF">
      <w:r w:rsidRPr="00525DDF">
        <w:rPr>
          <w:rStyle w:val="AERbody"/>
        </w:rPr>
        <w:t xml:space="preserve">In coming to our view on the total augex forecast, we have considered each augex component as proposed by SA Power Networks and formed a view on whether it reasonably reflects the capex criteria. </w:t>
      </w:r>
      <w:r w:rsidRPr="00525DDF">
        <w:t>As part of our analysis, we applied:</w:t>
      </w:r>
    </w:p>
    <w:p w:rsidR="00525DDF" w:rsidRPr="00525DDF" w:rsidRDefault="00525DDF" w:rsidP="00525DDF">
      <w:pPr>
        <w:pStyle w:val="AERbulletlistfirststyle"/>
      </w:pPr>
      <w:r w:rsidRPr="00525DDF">
        <w:t>trend analysis, comparing the proposed augex (and its components) with historic expenditure levels, taking into account changes in demand, network capacity, and security, safety and reliability obligations to assess whether the forecast is within a reasonable range to allow SA Power Networks to meet expected demand, and comply with relevant regulatory obligations</w:t>
      </w:r>
    </w:p>
    <w:p w:rsidR="00525DDF" w:rsidRPr="00525DDF" w:rsidRDefault="00525DDF" w:rsidP="00525DDF">
      <w:pPr>
        <w:pStyle w:val="AERbulletlistfirststyle"/>
      </w:pPr>
      <w:r w:rsidRPr="00525DDF">
        <w:t xml:space="preserve">an engineering and economic review of major programs and projects proposed by SA Power Networks </w:t>
      </w:r>
    </w:p>
    <w:p w:rsidR="00525DDF" w:rsidRPr="00525DDF" w:rsidRDefault="00525DDF" w:rsidP="00525DDF">
      <w:pPr>
        <w:pStyle w:val="AERbulletlistfirststyle"/>
      </w:pPr>
      <w:r w:rsidRPr="00525DDF">
        <w:t>the augex model to generate trends in asset utilisation, to assess SA Power Networks' need for demand-related network augmentation.</w:t>
      </w:r>
      <w:r w:rsidRPr="00525DDF">
        <w:rPr>
          <w:rStyle w:val="FootnoteReference"/>
        </w:rPr>
        <w:footnoteReference w:id="49"/>
      </w:r>
    </w:p>
    <w:p w:rsidR="00525DDF" w:rsidRDefault="00525DDF" w:rsidP="00525DDF">
      <w:r w:rsidRPr="00525DDF">
        <w:fldChar w:fldCharType="begin"/>
      </w:r>
      <w:r w:rsidRPr="00525DDF">
        <w:instrText xml:space="preserve"> REF _Ref416957009 \h </w:instrText>
      </w:r>
      <w:r w:rsidRPr="00525DDF">
        <w:fldChar w:fldCharType="separate"/>
      </w:r>
      <w:r w:rsidR="00F02131" w:rsidRPr="00525DDF">
        <w:t xml:space="preserve">Table </w:t>
      </w:r>
      <w:r w:rsidR="00F02131">
        <w:rPr>
          <w:noProof/>
        </w:rPr>
        <w:t>B</w:t>
      </w:r>
      <w:r w:rsidR="00F02131" w:rsidRPr="00525DDF">
        <w:noBreakHyphen/>
      </w:r>
      <w:r w:rsidR="00F02131">
        <w:rPr>
          <w:noProof/>
        </w:rPr>
        <w:t>1</w:t>
      </w:r>
      <w:r w:rsidRPr="00525DDF">
        <w:fldChar w:fldCharType="end"/>
      </w:r>
      <w:r w:rsidRPr="00525DDF">
        <w:t xml:space="preserve"> sets out the proposed capex and our preliminary decision for each of SA Power Networks' proposed augex components.</w:t>
      </w:r>
    </w:p>
    <w:p w:rsidR="00991DC0" w:rsidRPr="00525DDF" w:rsidRDefault="00991DC0" w:rsidP="00525DDF"/>
    <w:p w:rsidR="00525DDF" w:rsidRPr="00525DDF" w:rsidRDefault="00525DDF" w:rsidP="00525DDF">
      <w:pPr>
        <w:pStyle w:val="Caption"/>
      </w:pPr>
      <w:bookmarkStart w:id="116" w:name="_Ref416957009"/>
      <w:r w:rsidRPr="00525DDF">
        <w:lastRenderedPageBreak/>
        <w:t xml:space="preserve">Table </w:t>
      </w:r>
      <w:fldSimple w:instr=" STYLEREF 7 \s ">
        <w:r w:rsidR="00F02131">
          <w:rPr>
            <w:noProof/>
          </w:rPr>
          <w:t>B</w:t>
        </w:r>
      </w:fldSimple>
      <w:r w:rsidRPr="00525DDF">
        <w:noBreakHyphen/>
      </w:r>
      <w:fldSimple w:instr=" SEQ Table \* ARABIC \s 7 ">
        <w:r w:rsidR="00F02131">
          <w:rPr>
            <w:noProof/>
          </w:rPr>
          <w:t>1</w:t>
        </w:r>
      </w:fldSimple>
      <w:bookmarkEnd w:id="116"/>
      <w:r w:rsidRPr="00525DDF">
        <w:tab/>
        <w:t>SA Power Networks' augex forecast components and AER preliminary decision ($2014</w:t>
      </w:r>
      <w:r w:rsidR="0055042A">
        <w:t>–</w:t>
      </w:r>
      <w:r w:rsidRPr="00525DDF">
        <w:t xml:space="preserve">15, </w:t>
      </w:r>
      <w:r w:rsidR="004B575E" w:rsidRPr="00525DDF">
        <w:t xml:space="preserve">million, </w:t>
      </w:r>
      <w:r w:rsidRPr="00525DDF">
        <w:t>excluding overheads)</w:t>
      </w:r>
    </w:p>
    <w:tbl>
      <w:tblPr>
        <w:tblStyle w:val="AERtable-numbers"/>
        <w:tblW w:w="0" w:type="auto"/>
        <w:tblLook w:val="04A0" w:firstRow="1" w:lastRow="0" w:firstColumn="1" w:lastColumn="0" w:noHBand="0" w:noVBand="1"/>
      </w:tblPr>
      <w:tblGrid>
        <w:gridCol w:w="1242"/>
        <w:gridCol w:w="1134"/>
        <w:gridCol w:w="1276"/>
        <w:gridCol w:w="4961"/>
      </w:tblGrid>
      <w:tr w:rsidR="00525DDF" w:rsidTr="007F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pPr>
              <w:rPr>
                <w:rStyle w:val="Bold"/>
              </w:rPr>
            </w:pPr>
            <w:r w:rsidRPr="00525DDF">
              <w:rPr>
                <w:rStyle w:val="Bold"/>
              </w:rPr>
              <w:br/>
              <w:t>Component</w:t>
            </w:r>
          </w:p>
        </w:tc>
        <w:tc>
          <w:tcPr>
            <w:tcW w:w="1134"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rPr>
                <w:rStyle w:val="Bold"/>
              </w:rPr>
            </w:pPr>
            <w:r w:rsidRPr="00525DDF">
              <w:rPr>
                <w:rStyle w:val="Bold"/>
              </w:rPr>
              <w:t xml:space="preserve">Proposed capex </w:t>
            </w:r>
          </w:p>
        </w:tc>
        <w:tc>
          <w:tcPr>
            <w:tcW w:w="1276"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rPr>
                <w:rStyle w:val="Bold"/>
              </w:rPr>
            </w:pPr>
            <w:r w:rsidRPr="00525DDF">
              <w:rPr>
                <w:rStyle w:val="Bold"/>
              </w:rPr>
              <w:t>Preliminary decision</w:t>
            </w:r>
          </w:p>
        </w:tc>
        <w:tc>
          <w:tcPr>
            <w:tcW w:w="4961"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rPr>
                <w:rStyle w:val="Bold"/>
              </w:rPr>
            </w:pPr>
            <w:r w:rsidRPr="00525DDF">
              <w:rPr>
                <w:rStyle w:val="Bold"/>
              </w:rPr>
              <w:t>AER reasons</w:t>
            </w:r>
          </w:p>
        </w:tc>
      </w:tr>
      <w:tr w:rsidR="00525DDF" w:rsidTr="007F21A7">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Demand and power quality</w:t>
            </w:r>
          </w:p>
        </w:tc>
        <w:tc>
          <w:tcPr>
            <w:tcW w:w="1134"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331</w:t>
            </w:r>
          </w:p>
        </w:tc>
        <w:tc>
          <w:tcPr>
            <w:tcW w:w="12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311.4</w:t>
            </w:r>
          </w:p>
        </w:tc>
        <w:tc>
          <w:tcPr>
            <w:tcW w:w="4961" w:type="dxa"/>
            <w:vAlign w:val="bottom"/>
          </w:tcPr>
          <w:p w:rsidR="00525DDF" w:rsidRPr="00525DDF" w:rsidRDefault="00525DDF" w:rsidP="00525DD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We accept the proposed $186 million for network augmentation to meet localised demand growth and existing capacity constraints. This is based on our review of SA Power Networks</w:t>
            </w:r>
            <w:r w:rsidR="00DB23C4">
              <w:rPr>
                <w:rStyle w:val="AERtextsize8"/>
              </w:rPr>
              <w:t>'</w:t>
            </w:r>
            <w:r w:rsidRPr="00525DDF">
              <w:rPr>
                <w:rStyle w:val="AERtextsize8"/>
              </w:rPr>
              <w:t xml:space="preserve"> demand forecasts and forecast network utilisation from our augex model.</w:t>
            </w:r>
          </w:p>
          <w:p w:rsidR="00525DDF" w:rsidRPr="00525DDF" w:rsidRDefault="00525DDF" w:rsidP="00525DD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 xml:space="preserve">We also accept the proposed $52.7 million to remediate power quality issues across its network. However, we do not consider that SA Power Networks has provided sufficient evidence to demonstrate it will be unable to maintain power quality levels, within the 2015-20 period, without an additional $19.6 million to invest in network monitoring. </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Safety</w:t>
            </w:r>
          </w:p>
        </w:tc>
        <w:tc>
          <w:tcPr>
            <w:tcW w:w="1134" w:type="dxa"/>
            <w:vAlign w:val="bottom"/>
          </w:tcPr>
          <w:p w:rsidR="00525DDF" w:rsidRPr="00525DDF" w:rsidRDefault="00525DDF" w:rsidP="00525DD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307.8</w:t>
            </w:r>
          </w:p>
        </w:tc>
        <w:tc>
          <w:tcPr>
            <w:tcW w:w="1276" w:type="dxa"/>
            <w:vAlign w:val="bottom"/>
          </w:tcPr>
          <w:p w:rsidR="00525DDF" w:rsidRPr="00525DDF" w:rsidRDefault="00525DDF" w:rsidP="00525DD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21.1</w:t>
            </w:r>
          </w:p>
        </w:tc>
        <w:tc>
          <w:tcPr>
            <w:tcW w:w="4961" w:type="dxa"/>
            <w:vAlign w:val="bottom"/>
          </w:tcPr>
          <w:p w:rsidR="00525DDF" w:rsidRPr="00525DDF" w:rsidRDefault="00525DDF" w:rsidP="00525DDF">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We do not accept the proposed $212.5 million for bushfire mitigation and $74.2 million for road safety. We acknowledge SA Power Networks' initiatives to review its current practices and procedures for network safety, and its efforts to engage with its customers. However, we are not satisfied that these programs are reflective of the efficient costs that a prudent operator would require to maintain the safety of the distribution system</w:t>
            </w:r>
            <w:r w:rsidR="00271700">
              <w:rPr>
                <w:rStyle w:val="AERtextsize8"/>
              </w:rPr>
              <w:t>.</w:t>
            </w:r>
          </w:p>
        </w:tc>
      </w:tr>
      <w:tr w:rsidR="00525DDF" w:rsidTr="007F21A7">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Strategic projects</w:t>
            </w:r>
          </w:p>
        </w:tc>
        <w:tc>
          <w:tcPr>
            <w:tcW w:w="1134"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92.9</w:t>
            </w:r>
          </w:p>
        </w:tc>
        <w:tc>
          <w:tcPr>
            <w:tcW w:w="12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45.2</w:t>
            </w:r>
          </w:p>
        </w:tc>
        <w:tc>
          <w:tcPr>
            <w:tcW w:w="4961" w:type="dxa"/>
            <w:vAlign w:val="bottom"/>
          </w:tcPr>
          <w:p w:rsidR="00525DDF" w:rsidRPr="00525DDF" w:rsidRDefault="00525DDF" w:rsidP="00525DD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 xml:space="preserve">We accept the proposed $45.2 million for the strategic project to install a second cable to Kangaroo Island. However, we do not accept the proposed strategic projects of $15.4 million to install network monitoring in select smart metres and $24.7 million for network control. </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Reliability</w:t>
            </w:r>
          </w:p>
        </w:tc>
        <w:tc>
          <w:tcPr>
            <w:tcW w:w="1134"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56.4</w:t>
            </w:r>
          </w:p>
        </w:tc>
        <w:tc>
          <w:tcPr>
            <w:tcW w:w="1276"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27</w:t>
            </w:r>
          </w:p>
        </w:tc>
        <w:tc>
          <w:tcPr>
            <w:tcW w:w="4961" w:type="dxa"/>
            <w:vAlign w:val="bottom"/>
          </w:tcPr>
          <w:p w:rsidR="00525DDF" w:rsidRPr="00525DDF" w:rsidRDefault="00525DDF" w:rsidP="00525DDF">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 xml:space="preserve">We accept the proposed $27 million to maintain network reliability. However, we do not accept the additional $29.4 million to improve network reliability. We are not satisfied based on the information provided by SA Power Networks that the STPIS regime will not fund these programs over the 2015-20 period. </w:t>
            </w:r>
          </w:p>
        </w:tc>
      </w:tr>
      <w:tr w:rsidR="00525DDF" w:rsidTr="007F21A7">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Environmental</w:t>
            </w:r>
          </w:p>
        </w:tc>
        <w:tc>
          <w:tcPr>
            <w:tcW w:w="1134"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14.9</w:t>
            </w:r>
          </w:p>
        </w:tc>
        <w:tc>
          <w:tcPr>
            <w:tcW w:w="12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14.9</w:t>
            </w:r>
          </w:p>
        </w:tc>
        <w:tc>
          <w:tcPr>
            <w:tcW w:w="4961" w:type="dxa"/>
            <w:vAlign w:val="bottom"/>
          </w:tcPr>
          <w:p w:rsidR="00525DDF" w:rsidRPr="00525DDF" w:rsidRDefault="00525DDF" w:rsidP="00525DD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We accept the proposed $14.9 million for environmental capex because we are satisfied that these amounts reasonably reflect the efficient cost to comply with the applicable regulatory obligations.</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r w:rsidRPr="00525DDF">
              <w:t>Other — PLEC</w:t>
            </w:r>
          </w:p>
        </w:tc>
        <w:tc>
          <w:tcPr>
            <w:tcW w:w="1134"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44.3</w:t>
            </w:r>
          </w:p>
        </w:tc>
        <w:tc>
          <w:tcPr>
            <w:tcW w:w="1276"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44.3</w:t>
            </w:r>
          </w:p>
        </w:tc>
        <w:tc>
          <w:tcPr>
            <w:tcW w:w="4961" w:type="dxa"/>
            <w:vAlign w:val="bottom"/>
          </w:tcPr>
          <w:p w:rsidR="00525DDF" w:rsidRPr="00525DDF" w:rsidRDefault="00525DDF" w:rsidP="00525DDF">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We accept the proposed $44.3 million to underground power lines as part of the Power Line Environment Committee (PLEC) program because we are satisfied that these amounts reasonably reflect the efficient cost to comply with the applicable regulatory obligations</w:t>
            </w:r>
            <w:r w:rsidR="00844E31">
              <w:rPr>
                <w:rStyle w:val="AERtextsize8"/>
              </w:rPr>
              <w:t>.</w:t>
            </w:r>
          </w:p>
        </w:tc>
      </w:tr>
      <w:tr w:rsidR="00525DDF" w:rsidTr="007F21A7">
        <w:tc>
          <w:tcPr>
            <w:cnfStyle w:val="001000000000" w:firstRow="0" w:lastRow="0" w:firstColumn="1" w:lastColumn="0" w:oddVBand="0" w:evenVBand="0" w:oddHBand="0" w:evenHBand="0" w:firstRowFirstColumn="0" w:firstRowLastColumn="0" w:lastRowFirstColumn="0" w:lastRowLastColumn="0"/>
            <w:tcW w:w="1242" w:type="dxa"/>
          </w:tcPr>
          <w:p w:rsidR="00525DDF" w:rsidRPr="00525DDF" w:rsidRDefault="00525DDF" w:rsidP="00525DDF">
            <w:pPr>
              <w:rPr>
                <w:rStyle w:val="AERtextsize8"/>
              </w:rPr>
            </w:pPr>
            <w:r w:rsidRPr="00525DDF">
              <w:rPr>
                <w:rStyle w:val="AERtextsize8"/>
              </w:rPr>
              <w:t>Total</w:t>
            </w:r>
          </w:p>
        </w:tc>
        <w:tc>
          <w:tcPr>
            <w:tcW w:w="1134"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839.4</w:t>
            </w:r>
          </w:p>
        </w:tc>
        <w:tc>
          <w:tcPr>
            <w:tcW w:w="12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463.6</w:t>
            </w:r>
          </w:p>
        </w:tc>
        <w:tc>
          <w:tcPr>
            <w:tcW w:w="496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p>
        </w:tc>
      </w:tr>
    </w:tbl>
    <w:p w:rsidR="00525DDF" w:rsidRPr="00DC3B98" w:rsidRDefault="00525DDF" w:rsidP="00DB23C4">
      <w:pPr>
        <w:pStyle w:val="AERtablesource"/>
        <w:rPr>
          <w:rStyle w:val="AERbody"/>
          <w:sz w:val="16"/>
        </w:rPr>
      </w:pPr>
      <w:r w:rsidRPr="00DC3B98">
        <w:rPr>
          <w:rStyle w:val="AERbody"/>
          <w:sz w:val="16"/>
        </w:rPr>
        <w:t>Source:</w:t>
      </w:r>
      <w:r w:rsidRPr="00DC3B98">
        <w:rPr>
          <w:rStyle w:val="AERbody"/>
          <w:sz w:val="16"/>
        </w:rPr>
        <w:tab/>
        <w:t>AER analysis, SA Power Networks</w:t>
      </w:r>
      <w:r w:rsidR="00DB23C4" w:rsidRPr="00DB23C4">
        <w:rPr>
          <w:rStyle w:val="AERbody"/>
          <w:sz w:val="16"/>
        </w:rPr>
        <w:t>'</w:t>
      </w:r>
      <w:r w:rsidRPr="00DB23C4">
        <w:rPr>
          <w:rStyle w:val="AERbody"/>
          <w:sz w:val="16"/>
        </w:rPr>
        <w:t xml:space="preserve"> </w:t>
      </w:r>
      <w:r w:rsidRPr="00DC3B98">
        <w:rPr>
          <w:rStyle w:val="AERbody"/>
          <w:sz w:val="16"/>
        </w:rPr>
        <w:t>reset RIN, SA Power Networks</w:t>
      </w:r>
      <w:r w:rsidR="00DB23C4" w:rsidRPr="00DB23C4">
        <w:rPr>
          <w:rStyle w:val="AERbody"/>
          <w:sz w:val="16"/>
        </w:rPr>
        <w:t>'</w:t>
      </w:r>
      <w:r w:rsidRPr="00DC3B98">
        <w:rPr>
          <w:rStyle w:val="AERbody"/>
          <w:sz w:val="16"/>
        </w:rPr>
        <w:t xml:space="preserve"> response to AER SAPN 005</w:t>
      </w:r>
    </w:p>
    <w:p w:rsidR="00525DDF" w:rsidRPr="00525DDF" w:rsidRDefault="00525DDF" w:rsidP="00525DDF">
      <w:pPr>
        <w:pStyle w:val="AERtablesource"/>
      </w:pPr>
      <w:r w:rsidRPr="00525DDF">
        <w:t xml:space="preserve">Note: </w:t>
      </w:r>
      <w:r w:rsidRPr="00525DDF">
        <w:tab/>
        <w:t xml:space="preserve">The combined total of each augex component is $848 million, rather than $839.4 million as set out in this table. </w:t>
      </w:r>
      <w:r w:rsidR="007B2C7E">
        <w:t xml:space="preserve">As set out in </w:t>
      </w:r>
      <w:r w:rsidR="007B2C7E">
        <w:fldChar w:fldCharType="begin"/>
      </w:r>
      <w:r w:rsidR="007B2C7E">
        <w:instrText xml:space="preserve"> REF _Ref414436229 \h </w:instrText>
      </w:r>
      <w:r w:rsidR="007B2C7E">
        <w:fldChar w:fldCharType="separate"/>
      </w:r>
      <w:r w:rsidR="00F02131" w:rsidRPr="00B138D3">
        <w:t xml:space="preserve">Table </w:t>
      </w:r>
      <w:r w:rsidR="00F02131">
        <w:rPr>
          <w:noProof/>
        </w:rPr>
        <w:t>6</w:t>
      </w:r>
      <w:r w:rsidR="00F02131" w:rsidRPr="00B138D3">
        <w:noBreakHyphen/>
      </w:r>
      <w:r w:rsidR="00F02131">
        <w:rPr>
          <w:noProof/>
        </w:rPr>
        <w:t>6</w:t>
      </w:r>
      <w:r w:rsidR="007B2C7E">
        <w:fldChar w:fldCharType="end"/>
      </w:r>
      <w:r w:rsidR="007B2C7E">
        <w:t>, w</w:t>
      </w:r>
      <w:r w:rsidRPr="00525DDF">
        <w:t>e allocated the superannuation capex item within SA Power Networks</w:t>
      </w:r>
      <w:r w:rsidR="007B2C7E">
        <w:t>'</w:t>
      </w:r>
      <w:r w:rsidRPr="00525DDF">
        <w:t xml:space="preserve"> reset RIN balancing item across the network capex drivers. This reduces the total augex proposal to $839.4 million.</w:t>
      </w:r>
    </w:p>
    <w:p w:rsidR="00525DDF" w:rsidRPr="00525DDF" w:rsidRDefault="00525DDF" w:rsidP="00525DDF">
      <w:pPr>
        <w:rPr>
          <w:rStyle w:val="AERbody"/>
        </w:rPr>
      </w:pPr>
      <w:r w:rsidRPr="00525DDF">
        <w:rPr>
          <w:rStyle w:val="AERbody"/>
        </w:rPr>
        <w:fldChar w:fldCharType="begin"/>
      </w:r>
      <w:r w:rsidRPr="00525DDF">
        <w:rPr>
          <w:rStyle w:val="AERbody"/>
        </w:rPr>
        <w:instrText xml:space="preserve"> REF _Ref415664522 \h </w:instrText>
      </w:r>
      <w:r w:rsidRPr="00525DDF">
        <w:rPr>
          <w:rStyle w:val="AERbody"/>
        </w:rPr>
      </w:r>
      <w:r w:rsidRPr="00525DDF">
        <w:rPr>
          <w:rStyle w:val="AERbody"/>
        </w:rPr>
        <w:fldChar w:fldCharType="separate"/>
      </w:r>
      <w:r w:rsidR="00F02131" w:rsidRPr="00525DDF">
        <w:t xml:space="preserve">Table </w:t>
      </w:r>
      <w:r w:rsidR="00F02131">
        <w:rPr>
          <w:noProof/>
        </w:rPr>
        <w:t>B</w:t>
      </w:r>
      <w:r w:rsidR="00F02131" w:rsidRPr="00525DDF">
        <w:noBreakHyphen/>
      </w:r>
      <w:r w:rsidR="00F02131">
        <w:rPr>
          <w:noProof/>
        </w:rPr>
        <w:t>2</w:t>
      </w:r>
      <w:r w:rsidRPr="00525DDF">
        <w:rPr>
          <w:rStyle w:val="AERbody"/>
        </w:rPr>
        <w:fldChar w:fldCharType="end"/>
      </w:r>
      <w:r w:rsidRPr="00525DDF">
        <w:rPr>
          <w:rStyle w:val="AERbody"/>
        </w:rPr>
        <w:t xml:space="preserve"> sets out SA Power Networks' augex proposal and our preliminary decision for each year of the 2015</w:t>
      </w:r>
      <w:r w:rsidR="00D82405">
        <w:rPr>
          <w:rStyle w:val="AERbody"/>
        </w:rPr>
        <w:t>–</w:t>
      </w:r>
      <w:r w:rsidRPr="00525DDF">
        <w:rPr>
          <w:rStyle w:val="AERbody"/>
        </w:rPr>
        <w:t xml:space="preserve">20 </w:t>
      </w:r>
      <w:r w:rsidR="001C0B41">
        <w:rPr>
          <w:rStyle w:val="AERbody"/>
        </w:rPr>
        <w:t xml:space="preserve">regulatory control </w:t>
      </w:r>
      <w:proofErr w:type="gramStart"/>
      <w:r w:rsidRPr="00525DDF">
        <w:rPr>
          <w:rStyle w:val="AERbody"/>
        </w:rPr>
        <w:t>period</w:t>
      </w:r>
      <w:proofErr w:type="gramEnd"/>
      <w:r w:rsidRPr="00525DDF">
        <w:rPr>
          <w:rStyle w:val="AERbody"/>
        </w:rPr>
        <w:t>. Our detailed findings are set out in the remainder of this section.</w:t>
      </w:r>
    </w:p>
    <w:p w:rsidR="00525DDF" w:rsidRPr="00525DDF" w:rsidRDefault="00525DDF" w:rsidP="00525DDF">
      <w:pPr>
        <w:pStyle w:val="Caption"/>
        <w:rPr>
          <w:rStyle w:val="Strong"/>
        </w:rPr>
      </w:pPr>
      <w:bookmarkStart w:id="117" w:name="_Ref415664522"/>
      <w:r w:rsidRPr="00525DDF">
        <w:lastRenderedPageBreak/>
        <w:t xml:space="preserve">Table </w:t>
      </w:r>
      <w:fldSimple w:instr=" STYLEREF 7 \s ">
        <w:r w:rsidR="00F02131">
          <w:rPr>
            <w:noProof/>
          </w:rPr>
          <w:t>B</w:t>
        </w:r>
      </w:fldSimple>
      <w:r w:rsidRPr="00525DDF">
        <w:noBreakHyphen/>
      </w:r>
      <w:fldSimple w:instr=" SEQ Table \* ARABIC \s 7 ">
        <w:r w:rsidR="00F02131">
          <w:rPr>
            <w:noProof/>
          </w:rPr>
          <w:t>2</w:t>
        </w:r>
      </w:fldSimple>
      <w:bookmarkEnd w:id="117"/>
      <w:r w:rsidRPr="00525DDF">
        <w:tab/>
        <w:t>AER's alternative estimate of augex ($2014–2015, million</w:t>
      </w:r>
      <w:r w:rsidR="00120266">
        <w:t>, excluding overheads</w:t>
      </w:r>
      <w:r w:rsidRPr="00525DDF">
        <w:t>)</w:t>
      </w:r>
    </w:p>
    <w:tbl>
      <w:tblPr>
        <w:tblStyle w:val="AERtable-numbers"/>
        <w:tblW w:w="0" w:type="auto"/>
        <w:tblLook w:val="04A0" w:firstRow="1" w:lastRow="0" w:firstColumn="1" w:lastColumn="0" w:noHBand="0" w:noVBand="1"/>
      </w:tblPr>
      <w:tblGrid>
        <w:gridCol w:w="1809"/>
        <w:gridCol w:w="1032"/>
        <w:gridCol w:w="1376"/>
        <w:gridCol w:w="1271"/>
        <w:gridCol w:w="1146"/>
        <w:gridCol w:w="1073"/>
        <w:gridCol w:w="986"/>
      </w:tblGrid>
      <w:tr w:rsidR="00525DDF" w:rsidTr="007F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tc>
        <w:tc>
          <w:tcPr>
            <w:tcW w:w="1032"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2015/16</w:t>
            </w:r>
          </w:p>
        </w:tc>
        <w:tc>
          <w:tcPr>
            <w:tcW w:w="1376"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2016/17</w:t>
            </w:r>
          </w:p>
        </w:tc>
        <w:tc>
          <w:tcPr>
            <w:tcW w:w="1271"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2017/18</w:t>
            </w:r>
          </w:p>
        </w:tc>
        <w:tc>
          <w:tcPr>
            <w:tcW w:w="1146"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2018/19</w:t>
            </w:r>
          </w:p>
        </w:tc>
        <w:tc>
          <w:tcPr>
            <w:tcW w:w="1073"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2019/20</w:t>
            </w:r>
          </w:p>
        </w:tc>
        <w:tc>
          <w:tcPr>
            <w:tcW w:w="986"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Total</w:t>
            </w:r>
          </w:p>
        </w:tc>
      </w:tr>
      <w:tr w:rsidR="00525DDF" w:rsidTr="007F21A7">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rPr>
                <w:rStyle w:val="AERtextsize8"/>
              </w:rPr>
            </w:pPr>
            <w:r w:rsidRPr="00525DDF">
              <w:rPr>
                <w:rStyle w:val="AERtextsize8"/>
              </w:rPr>
              <w:t>Proposal</w:t>
            </w:r>
          </w:p>
        </w:tc>
        <w:tc>
          <w:tcPr>
            <w:tcW w:w="1032"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142.6</w:t>
            </w:r>
          </w:p>
        </w:tc>
        <w:tc>
          <w:tcPr>
            <w:tcW w:w="13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176.1</w:t>
            </w:r>
          </w:p>
        </w:tc>
        <w:tc>
          <w:tcPr>
            <w:tcW w:w="127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185.7</w:t>
            </w:r>
          </w:p>
        </w:tc>
        <w:tc>
          <w:tcPr>
            <w:tcW w:w="114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174.3</w:t>
            </w:r>
          </w:p>
        </w:tc>
        <w:tc>
          <w:tcPr>
            <w:tcW w:w="1073"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160.8</w:t>
            </w:r>
          </w:p>
        </w:tc>
        <w:tc>
          <w:tcPr>
            <w:tcW w:w="98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839.4</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rPr>
                <w:rStyle w:val="AERtextsize8"/>
              </w:rPr>
            </w:pPr>
            <w:r w:rsidRPr="00525DDF">
              <w:rPr>
                <w:rStyle w:val="AERtextsize8"/>
              </w:rPr>
              <w:t>AER alternative estimate</w:t>
            </w:r>
          </w:p>
        </w:tc>
        <w:tc>
          <w:tcPr>
            <w:tcW w:w="1032"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78.8</w:t>
            </w:r>
          </w:p>
        </w:tc>
        <w:tc>
          <w:tcPr>
            <w:tcW w:w="1376"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97.3</w:t>
            </w:r>
          </w:p>
        </w:tc>
        <w:tc>
          <w:tcPr>
            <w:tcW w:w="1271"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102.6</w:t>
            </w:r>
          </w:p>
        </w:tc>
        <w:tc>
          <w:tcPr>
            <w:tcW w:w="1146"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96.2</w:t>
            </w:r>
          </w:p>
        </w:tc>
        <w:tc>
          <w:tcPr>
            <w:tcW w:w="1073"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88.8</w:t>
            </w:r>
          </w:p>
        </w:tc>
        <w:tc>
          <w:tcPr>
            <w:tcW w:w="986"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463.6</w:t>
            </w:r>
          </w:p>
        </w:tc>
      </w:tr>
      <w:tr w:rsidR="00525DDF" w:rsidTr="007F21A7">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rPr>
                <w:rStyle w:val="AERtextsize8"/>
              </w:rPr>
            </w:pPr>
            <w:r w:rsidRPr="00525DDF">
              <w:rPr>
                <w:rStyle w:val="AERtextsize8"/>
              </w:rPr>
              <w:t>Difference</w:t>
            </w:r>
          </w:p>
        </w:tc>
        <w:tc>
          <w:tcPr>
            <w:tcW w:w="1032"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63.8</w:t>
            </w:r>
          </w:p>
        </w:tc>
        <w:tc>
          <w:tcPr>
            <w:tcW w:w="137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78.9</w:t>
            </w:r>
          </w:p>
        </w:tc>
        <w:tc>
          <w:tcPr>
            <w:tcW w:w="127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83.1</w:t>
            </w:r>
          </w:p>
        </w:tc>
        <w:tc>
          <w:tcPr>
            <w:tcW w:w="114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78.0</w:t>
            </w:r>
          </w:p>
        </w:tc>
        <w:tc>
          <w:tcPr>
            <w:tcW w:w="1073"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72.0</w:t>
            </w:r>
          </w:p>
        </w:tc>
        <w:tc>
          <w:tcPr>
            <w:tcW w:w="986"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375.8</w:t>
            </w:r>
          </w:p>
        </w:tc>
      </w:tr>
    </w:tbl>
    <w:p w:rsidR="00525DDF" w:rsidRPr="00DC3B98" w:rsidRDefault="00525DDF" w:rsidP="00DB23C4">
      <w:pPr>
        <w:pStyle w:val="AERtablesource"/>
        <w:rPr>
          <w:rStyle w:val="AERbody"/>
          <w:sz w:val="16"/>
        </w:rPr>
      </w:pPr>
      <w:r w:rsidRPr="00DC3B98">
        <w:rPr>
          <w:rStyle w:val="AERbody"/>
          <w:sz w:val="16"/>
        </w:rPr>
        <w:t xml:space="preserve">Source: </w:t>
      </w:r>
      <w:r w:rsidRPr="00DC3B98">
        <w:rPr>
          <w:rStyle w:val="AERbody"/>
          <w:sz w:val="16"/>
        </w:rPr>
        <w:tab/>
        <w:t xml:space="preserve">AER analysis, SA Power </w:t>
      </w:r>
      <w:r w:rsidRPr="00DB23C4">
        <w:rPr>
          <w:rStyle w:val="AERbody"/>
          <w:sz w:val="16"/>
        </w:rPr>
        <w:t>Networks</w:t>
      </w:r>
      <w:r w:rsidR="00DB23C4" w:rsidRPr="00DB23C4">
        <w:rPr>
          <w:rStyle w:val="AERbody"/>
          <w:sz w:val="16"/>
        </w:rPr>
        <w:t>'</w:t>
      </w:r>
      <w:r w:rsidRPr="00DB23C4">
        <w:rPr>
          <w:rStyle w:val="AERbody"/>
          <w:sz w:val="16"/>
        </w:rPr>
        <w:t xml:space="preserve"> reset RIN, SA Power Networks</w:t>
      </w:r>
      <w:r w:rsidR="00DB23C4" w:rsidRPr="00DB23C4">
        <w:rPr>
          <w:rStyle w:val="AERbody"/>
          <w:sz w:val="16"/>
        </w:rPr>
        <w:t>'</w:t>
      </w:r>
      <w:r w:rsidRPr="00DB23C4">
        <w:rPr>
          <w:rStyle w:val="AERbody"/>
          <w:sz w:val="16"/>
        </w:rPr>
        <w:t xml:space="preserve"> response</w:t>
      </w:r>
      <w:r w:rsidRPr="00DC3B98">
        <w:rPr>
          <w:rStyle w:val="AERbody"/>
          <w:sz w:val="16"/>
        </w:rPr>
        <w:t xml:space="preserve"> to AER SAPN 005</w:t>
      </w:r>
    </w:p>
    <w:p w:rsidR="00525DDF" w:rsidRPr="00DC3B98" w:rsidRDefault="00525DDF" w:rsidP="00DC3B98">
      <w:pPr>
        <w:pStyle w:val="AERtablesource"/>
        <w:rPr>
          <w:rStyle w:val="AERbody"/>
          <w:sz w:val="16"/>
        </w:rPr>
      </w:pPr>
      <w:r w:rsidRPr="00DC3B98">
        <w:rPr>
          <w:rStyle w:val="AERbody"/>
          <w:sz w:val="16"/>
        </w:rPr>
        <w:t xml:space="preserve">Note: </w:t>
      </w:r>
      <w:r w:rsidRPr="00DC3B98">
        <w:rPr>
          <w:rStyle w:val="AERbody"/>
          <w:sz w:val="16"/>
        </w:rPr>
        <w:tab/>
        <w:t>To reach our alternative estimate for each year we first calculated our total estimate for the 2015-20 period based on our assessment of the individual augex components within SA Power Networks' regulatory proposal. We then allocated our total alternative estimate across year based on SA Power Networks' allocations in the regulatory proposal.</w:t>
      </w:r>
    </w:p>
    <w:p w:rsidR="00525DDF" w:rsidRPr="00525DDF" w:rsidRDefault="00525DDF" w:rsidP="00525DDF">
      <w:pPr>
        <w:pStyle w:val="AERtablesource"/>
        <w:rPr>
          <w:rStyle w:val="AERbody"/>
        </w:rPr>
      </w:pPr>
      <w:r w:rsidRPr="00525DDF">
        <w:rPr>
          <w:rStyle w:val="AERbody"/>
        </w:rPr>
        <w:tab/>
      </w:r>
      <w:r w:rsidRPr="00525DDF">
        <w:t>Numbers may not add up due to rounding.</w:t>
      </w:r>
    </w:p>
    <w:p w:rsidR="00525DDF" w:rsidRPr="00525DDF" w:rsidRDefault="00525DDF" w:rsidP="00525DDF">
      <w:pPr>
        <w:pStyle w:val="Heading9"/>
      </w:pPr>
      <w:bookmarkStart w:id="118" w:name="_Ref414199438"/>
      <w:bookmarkStart w:id="119" w:name="_Toc417725392"/>
      <w:r w:rsidRPr="00525DDF">
        <w:t>Demand-driven augmentation</w:t>
      </w:r>
      <w:bookmarkEnd w:id="118"/>
      <w:bookmarkEnd w:id="119"/>
    </w:p>
    <w:p w:rsidR="00525DDF" w:rsidRPr="00525DDF" w:rsidRDefault="00470C43" w:rsidP="00525DDF">
      <w:pPr>
        <w:rPr>
          <w:rStyle w:val="AERbody"/>
        </w:rPr>
      </w:pPr>
      <w:r>
        <w:rPr>
          <w:rStyle w:val="AERbody"/>
        </w:rPr>
        <w:t>SA Power Networks proposed</w:t>
      </w:r>
      <w:r w:rsidR="00525DDF" w:rsidRPr="00525DDF">
        <w:rPr>
          <w:rStyle w:val="AERbody"/>
        </w:rPr>
        <w:t xml:space="preserve"> a forecast of $331 million ($2014</w:t>
      </w:r>
      <w:r w:rsidR="00844E31">
        <w:rPr>
          <w:rStyle w:val="AERbody"/>
        </w:rPr>
        <w:t>–</w:t>
      </w:r>
      <w:r w:rsidR="00525DDF" w:rsidRPr="00525DDF">
        <w:rPr>
          <w:rStyle w:val="AERbody"/>
        </w:rPr>
        <w:t xml:space="preserve">15) for demand-driven augex (excluding overheads). As shown in </w:t>
      </w:r>
      <w:r w:rsidR="00525DDF" w:rsidRPr="00525DDF">
        <w:rPr>
          <w:rStyle w:val="AERbody"/>
        </w:rPr>
        <w:fldChar w:fldCharType="begin"/>
      </w:r>
      <w:r w:rsidR="00525DDF" w:rsidRPr="00525DDF">
        <w:rPr>
          <w:rStyle w:val="AERbody"/>
        </w:rPr>
        <w:instrText xml:space="preserve"> REF _Ref409430182 \h </w:instrText>
      </w:r>
      <w:r w:rsidR="00525DDF" w:rsidRPr="00525DDF">
        <w:rPr>
          <w:rStyle w:val="AERbody"/>
        </w:rPr>
      </w:r>
      <w:r w:rsidR="00525DDF" w:rsidRPr="00525DDF">
        <w:rPr>
          <w:rStyle w:val="AERbody"/>
        </w:rPr>
        <w:fldChar w:fldCharType="separate"/>
      </w:r>
      <w:r w:rsidR="00F02131">
        <w:t xml:space="preserve">Figure </w:t>
      </w:r>
      <w:r w:rsidR="00F02131">
        <w:rPr>
          <w:noProof/>
        </w:rPr>
        <w:t>B</w:t>
      </w:r>
      <w:r w:rsidR="00F02131">
        <w:noBreakHyphen/>
      </w:r>
      <w:r w:rsidR="00F02131">
        <w:rPr>
          <w:noProof/>
        </w:rPr>
        <w:t>1</w:t>
      </w:r>
      <w:r w:rsidR="00525DDF" w:rsidRPr="00525DDF">
        <w:rPr>
          <w:rStyle w:val="AERbody"/>
        </w:rPr>
        <w:fldChar w:fldCharType="end"/>
      </w:r>
      <w:r w:rsidR="00525DDF" w:rsidRPr="00525DDF">
        <w:rPr>
          <w:rStyle w:val="AERbody"/>
        </w:rPr>
        <w:t>, this is a 21 per cent decrease compared to SA Power Networks' actual de</w:t>
      </w:r>
      <w:r>
        <w:rPr>
          <w:rStyle w:val="AERbody"/>
        </w:rPr>
        <w:t>mand-driven augex in the 2010–</w:t>
      </w:r>
      <w:r w:rsidR="00525DDF" w:rsidRPr="00525DDF">
        <w:rPr>
          <w:rStyle w:val="AERbody"/>
        </w:rPr>
        <w:t>15 regulatory control period, and approximately equal to the long-term average.</w:t>
      </w:r>
    </w:p>
    <w:p w:rsidR="00525DDF" w:rsidRPr="00DC3B98" w:rsidRDefault="00EB78CC" w:rsidP="00470C43">
      <w:pPr>
        <w:pStyle w:val="Caption"/>
      </w:pPr>
      <w:bookmarkStart w:id="120" w:name="_Ref409430182"/>
      <w:r>
        <w:t xml:space="preserve">Figure </w:t>
      </w:r>
      <w:fldSimple w:instr=" STYLEREF 7 \s ">
        <w:r w:rsidR="00F02131">
          <w:rPr>
            <w:noProof/>
          </w:rPr>
          <w:t>B</w:t>
        </w:r>
      </w:fldSimple>
      <w:r>
        <w:noBreakHyphen/>
      </w:r>
      <w:fldSimple w:instr=" SEQ AFigure \* ARABIC \s 7 ">
        <w:r w:rsidR="00F02131">
          <w:rPr>
            <w:noProof/>
          </w:rPr>
          <w:t>1</w:t>
        </w:r>
      </w:fldSimple>
      <w:bookmarkEnd w:id="120"/>
      <w:r w:rsidR="00525DDF" w:rsidRPr="00DC3B98">
        <w:tab/>
      </w:r>
      <w:r w:rsidR="00525DDF" w:rsidRPr="00DC3B98">
        <w:rPr>
          <w:rStyle w:val="AERtextorange"/>
          <w:color w:val="076A92" w:themeColor="text1"/>
        </w:rPr>
        <w:t>SA Power Networks' demand-</w:t>
      </w:r>
      <w:r w:rsidR="00525DDF" w:rsidRPr="002B3BD0">
        <w:rPr>
          <w:rStyle w:val="AERtextorange"/>
          <w:color w:val="076A92" w:themeColor="text1"/>
        </w:rPr>
        <w:t xml:space="preserve">driven capex </w:t>
      </w:r>
      <w:r w:rsidR="002B3BD0" w:rsidRPr="002B3BD0">
        <w:rPr>
          <w:rStyle w:val="AERtextorange"/>
          <w:color w:val="076A92" w:themeColor="text1"/>
        </w:rPr>
        <w:t>h</w:t>
      </w:r>
      <w:r w:rsidR="00525DDF" w:rsidRPr="002B3BD0">
        <w:rPr>
          <w:rStyle w:val="AERtextorange"/>
          <w:color w:val="076A92" w:themeColor="text1"/>
        </w:rPr>
        <w:t>istori</w:t>
      </w:r>
      <w:r w:rsidR="00470C43">
        <w:rPr>
          <w:rStyle w:val="AERtextorange"/>
          <w:color w:val="076A92" w:themeColor="text1"/>
        </w:rPr>
        <w:t>c actual and proposed for 2015–</w:t>
      </w:r>
      <w:r w:rsidR="00525DDF" w:rsidRPr="002B3BD0">
        <w:rPr>
          <w:rStyle w:val="AERtextorange"/>
          <w:color w:val="076A92" w:themeColor="text1"/>
        </w:rPr>
        <w:t xml:space="preserve">20 period ($2014–15, </w:t>
      </w:r>
      <w:r w:rsidR="00525DDF" w:rsidRPr="00470C43">
        <w:rPr>
          <w:rStyle w:val="AERtextorange"/>
          <w:color w:val="076A92" w:themeColor="text1"/>
        </w:rPr>
        <w:t>million</w:t>
      </w:r>
      <w:r w:rsidR="00470C43" w:rsidRPr="00470C43">
        <w:rPr>
          <w:rStyle w:val="AERtextorange"/>
          <w:color w:val="076A92" w:themeColor="text1"/>
        </w:rPr>
        <w:t>,</w:t>
      </w:r>
      <w:r w:rsidR="002B3BD0" w:rsidRPr="00470C43">
        <w:rPr>
          <w:rStyle w:val="AERtextorange"/>
          <w:color w:val="076A92" w:themeColor="text1"/>
        </w:rPr>
        <w:t xml:space="preserve"> including</w:t>
      </w:r>
      <w:r w:rsidR="002B3BD0" w:rsidRPr="002B3BD0">
        <w:rPr>
          <w:rStyle w:val="AERtextorange"/>
          <w:color w:val="076A92" w:themeColor="text1"/>
        </w:rPr>
        <w:t xml:space="preserve"> overheads</w:t>
      </w:r>
      <w:r w:rsidR="00525DDF" w:rsidRPr="002B3BD0">
        <w:rPr>
          <w:rStyle w:val="AERtextorange"/>
          <w:color w:val="076A92" w:themeColor="text1"/>
        </w:rPr>
        <w:t>)</w:t>
      </w:r>
    </w:p>
    <w:p w:rsidR="00525DDF" w:rsidRPr="00525DDF" w:rsidRDefault="00525DDF" w:rsidP="00525DDF">
      <w:pPr>
        <w:rPr>
          <w:rStyle w:val="AERbody"/>
        </w:rPr>
      </w:pPr>
      <w:r w:rsidRPr="00525DDF">
        <w:rPr>
          <w:noProof/>
          <w:lang w:eastAsia="en-AU"/>
        </w:rPr>
        <w:drawing>
          <wp:inline distT="0" distB="0" distL="0" distR="0" wp14:anchorId="7710A3E4" wp14:editId="546C4E8C">
            <wp:extent cx="5450182" cy="34122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738" cy="3412621"/>
                    </a:xfrm>
                    <a:prstGeom prst="rect">
                      <a:avLst/>
                    </a:prstGeom>
                    <a:noFill/>
                  </pic:spPr>
                </pic:pic>
              </a:graphicData>
            </a:graphic>
          </wp:inline>
        </w:drawing>
      </w:r>
    </w:p>
    <w:p w:rsidR="00525DDF" w:rsidRPr="00DC3B98" w:rsidRDefault="00525DDF" w:rsidP="006A75FD">
      <w:pPr>
        <w:pStyle w:val="AERtablesource"/>
        <w:rPr>
          <w:rStyle w:val="AERbody"/>
          <w:sz w:val="16"/>
        </w:rPr>
      </w:pPr>
      <w:r w:rsidRPr="00DC3B98">
        <w:rPr>
          <w:rStyle w:val="AERbody"/>
          <w:sz w:val="16"/>
        </w:rPr>
        <w:t>Source:</w:t>
      </w:r>
      <w:r w:rsidRPr="00525DDF">
        <w:rPr>
          <w:rStyle w:val="AERbody"/>
        </w:rPr>
        <w:t xml:space="preserve"> </w:t>
      </w:r>
      <w:r w:rsidRPr="00525DDF">
        <w:rPr>
          <w:rStyle w:val="AERbody"/>
        </w:rPr>
        <w:tab/>
      </w:r>
      <w:r w:rsidRPr="00DC3B98">
        <w:rPr>
          <w:rStyle w:val="AERbody"/>
          <w:sz w:val="16"/>
        </w:rPr>
        <w:t xml:space="preserve">SA Power </w:t>
      </w:r>
      <w:r w:rsidRPr="00470C43">
        <w:rPr>
          <w:rStyle w:val="AERbody"/>
          <w:sz w:val="16"/>
        </w:rPr>
        <w:t>Networks</w:t>
      </w:r>
      <w:r w:rsidR="00470C43" w:rsidRPr="00470C43">
        <w:rPr>
          <w:rStyle w:val="AERbody"/>
          <w:sz w:val="16"/>
        </w:rPr>
        <w:t>'</w:t>
      </w:r>
      <w:r w:rsidR="006A75FD">
        <w:rPr>
          <w:rStyle w:val="AERbody"/>
        </w:rPr>
        <w:t xml:space="preserve">, </w:t>
      </w:r>
      <w:r w:rsidR="006A75FD" w:rsidRPr="007854B5">
        <w:rPr>
          <w:rStyle w:val="AERtextitalic"/>
        </w:rPr>
        <w:t>Regulatory Proposal 2015-20</w:t>
      </w:r>
      <w:r w:rsidR="006A75FD">
        <w:t>, 31 October 2014</w:t>
      </w:r>
      <w:r w:rsidRPr="00DC3B98">
        <w:rPr>
          <w:rStyle w:val="AERbody"/>
          <w:sz w:val="16"/>
        </w:rPr>
        <w:t xml:space="preserve">, </w:t>
      </w:r>
      <w:r w:rsidR="006A75FD" w:rsidRPr="006A75FD">
        <w:rPr>
          <w:rStyle w:val="AERbody"/>
          <w:sz w:val="16"/>
        </w:rPr>
        <w:t xml:space="preserve">and </w:t>
      </w:r>
      <w:r w:rsidRPr="006A75FD">
        <w:rPr>
          <w:rStyle w:val="AERbody"/>
          <w:sz w:val="16"/>
        </w:rPr>
        <w:t>h</w:t>
      </w:r>
      <w:r w:rsidRPr="00DC3B98">
        <w:rPr>
          <w:rStyle w:val="AERbody"/>
          <w:sz w:val="16"/>
        </w:rPr>
        <w:t>istorical regulatory reports</w:t>
      </w:r>
    </w:p>
    <w:p w:rsidR="00525DDF" w:rsidRPr="00525DDF" w:rsidRDefault="00525DDF" w:rsidP="00525DDF">
      <w:pPr>
        <w:pStyle w:val="AERtablesource"/>
      </w:pPr>
      <w:r w:rsidRPr="00525DDF">
        <w:lastRenderedPageBreak/>
        <w:t>Note:</w:t>
      </w:r>
      <w:r w:rsidRPr="00525DDF">
        <w:tab/>
        <w:t>Historical demand-driven augex is reported inclusive of overheads. The annual augex figures presented in this chart are inclusive of overheads so that a comparison with historical augex is possible. Our assessment of SA Power Networks' demand-driven augex forecast for 2015-20 is performed on the proposal excluding overheads.</w:t>
      </w:r>
    </w:p>
    <w:p w:rsidR="00525DDF" w:rsidRPr="00525DDF" w:rsidRDefault="00525DDF" w:rsidP="00525DDF">
      <w:pPr>
        <w:rPr>
          <w:rStyle w:val="AERbody"/>
        </w:rPr>
      </w:pPr>
      <w:r w:rsidRPr="00525DDF">
        <w:rPr>
          <w:rStyle w:val="AERbody"/>
        </w:rPr>
        <w:t>The major drivers of SA Power Networks' demand-driven augex proposal are</w:t>
      </w:r>
      <w:r w:rsidR="001179C0">
        <w:rPr>
          <w:rStyle w:val="AERbody"/>
        </w:rPr>
        <w:t xml:space="preserve"> $186 million ($2014-15) to augment network capacity for</w:t>
      </w:r>
      <w:r w:rsidRPr="00525DDF">
        <w:rPr>
          <w:rStyle w:val="AERbody"/>
        </w:rPr>
        <w:t xml:space="preserve"> localised demand</w:t>
      </w:r>
      <w:r w:rsidR="001179C0">
        <w:rPr>
          <w:rStyle w:val="AERbody"/>
        </w:rPr>
        <w:t xml:space="preserve">, </w:t>
      </w:r>
      <w:r w:rsidRPr="00525DDF">
        <w:rPr>
          <w:rStyle w:val="AERbody"/>
        </w:rPr>
        <w:t xml:space="preserve">greenfields </w:t>
      </w:r>
      <w:r w:rsidR="001179C0" w:rsidRPr="00525DDF">
        <w:rPr>
          <w:rStyle w:val="AERbody"/>
        </w:rPr>
        <w:t>growth,</w:t>
      </w:r>
      <w:r w:rsidR="001179C0">
        <w:rPr>
          <w:rStyle w:val="AERbody"/>
        </w:rPr>
        <w:t xml:space="preserve"> and </w:t>
      </w:r>
      <w:r w:rsidRPr="00525DDF">
        <w:rPr>
          <w:rStyle w:val="AERbody"/>
        </w:rPr>
        <w:t xml:space="preserve"> existing capacity constraints</w:t>
      </w:r>
      <w:r w:rsidR="001179C0">
        <w:rPr>
          <w:rStyle w:val="AERbody"/>
        </w:rPr>
        <w:t>,</w:t>
      </w:r>
      <w:r w:rsidRPr="00525DDF">
        <w:rPr>
          <w:rStyle w:val="AERbody"/>
        </w:rPr>
        <w:t xml:space="preserve"> and</w:t>
      </w:r>
      <w:r w:rsidR="001179C0">
        <w:rPr>
          <w:rStyle w:val="AERbody"/>
        </w:rPr>
        <w:t xml:space="preserve"> $72.3 million ($2014-15)</w:t>
      </w:r>
      <w:r w:rsidRPr="00525DDF">
        <w:rPr>
          <w:rStyle w:val="AERbody"/>
        </w:rPr>
        <w:t xml:space="preserve"> </w:t>
      </w:r>
      <w:r w:rsidR="001179C0">
        <w:rPr>
          <w:rStyle w:val="AERbody"/>
        </w:rPr>
        <w:t xml:space="preserve">to address </w:t>
      </w:r>
      <w:r w:rsidRPr="00525DDF">
        <w:rPr>
          <w:rStyle w:val="AERbody"/>
        </w:rPr>
        <w:t>quality of supply issues as a result of existing demand (e.g. voltage fluctuations).</w:t>
      </w:r>
      <w:r w:rsidR="001179C0">
        <w:rPr>
          <w:rStyle w:val="AERbody"/>
        </w:rPr>
        <w:t xml:space="preserve"> The remaining augex is for a number of small projects relating to security, land and easements, and compliance requirements. </w:t>
      </w:r>
    </w:p>
    <w:p w:rsidR="00525DDF" w:rsidRPr="00525DDF" w:rsidRDefault="00525DDF" w:rsidP="00525DDF">
      <w:pPr>
        <w:rPr>
          <w:rStyle w:val="AERbody"/>
        </w:rPr>
      </w:pPr>
      <w:r w:rsidRPr="00525DDF">
        <w:t>We do not accept SA Power Networks' proposed $331 million</w:t>
      </w:r>
      <w:r w:rsidR="00844E31">
        <w:t xml:space="preserve"> </w:t>
      </w:r>
      <w:r w:rsidR="00844E31" w:rsidRPr="00525DDF">
        <w:rPr>
          <w:rStyle w:val="AERbody"/>
        </w:rPr>
        <w:t>($2014</w:t>
      </w:r>
      <w:r w:rsidR="00844E31">
        <w:rPr>
          <w:rStyle w:val="AERbody"/>
        </w:rPr>
        <w:t>–</w:t>
      </w:r>
      <w:r w:rsidR="00844E31" w:rsidRPr="00525DDF">
        <w:rPr>
          <w:rStyle w:val="AERbody"/>
        </w:rPr>
        <w:t>15)</w:t>
      </w:r>
      <w:r w:rsidRPr="00525DDF">
        <w:t xml:space="preserve"> forecast and instead include $311.4 million</w:t>
      </w:r>
      <w:r w:rsidR="00844E31">
        <w:t xml:space="preserve"> </w:t>
      </w:r>
      <w:r w:rsidR="00844E31" w:rsidRPr="00525DDF">
        <w:rPr>
          <w:rStyle w:val="AERbody"/>
        </w:rPr>
        <w:t>($2014</w:t>
      </w:r>
      <w:r w:rsidR="00844E31">
        <w:rPr>
          <w:rStyle w:val="AERbody"/>
        </w:rPr>
        <w:t>–</w:t>
      </w:r>
      <w:r w:rsidR="00844E31" w:rsidRPr="00525DDF">
        <w:rPr>
          <w:rStyle w:val="AERbody"/>
        </w:rPr>
        <w:t>15)</w:t>
      </w:r>
      <w:r w:rsidRPr="00525DDF">
        <w:t xml:space="preserve"> in our alternative estimate. In coming to this view, we have assessed the</w:t>
      </w:r>
      <w:r w:rsidR="001179C0">
        <w:t xml:space="preserve"> two</w:t>
      </w:r>
      <w:r w:rsidRPr="00525DDF">
        <w:t xml:space="preserve"> </w:t>
      </w:r>
      <w:r w:rsidR="001179C0">
        <w:t>largest</w:t>
      </w:r>
      <w:r w:rsidRPr="00525DDF">
        <w:t xml:space="preserve"> drivers of the demand augex proposal</w:t>
      </w:r>
      <w:r w:rsidR="001179C0">
        <w:t>, as set out below.</w:t>
      </w:r>
    </w:p>
    <w:p w:rsidR="00525DDF" w:rsidRPr="00525DDF" w:rsidRDefault="00525DDF" w:rsidP="00624A53">
      <w:pPr>
        <w:pStyle w:val="HeadingBoldBlue"/>
      </w:pPr>
      <w:r w:rsidRPr="00525DDF">
        <w:t>Forecast demand growth and capacity constraints</w:t>
      </w:r>
    </w:p>
    <w:p w:rsidR="00525DDF" w:rsidRPr="00525DDF" w:rsidRDefault="00525DDF" w:rsidP="00525DDF">
      <w:pPr>
        <w:rPr>
          <w:rStyle w:val="AERbody"/>
        </w:rPr>
      </w:pPr>
      <w:r w:rsidRPr="00525DDF">
        <w:rPr>
          <w:rStyle w:val="AERbody"/>
        </w:rPr>
        <w:t>SA Power Netw</w:t>
      </w:r>
      <w:r w:rsidR="00470C43">
        <w:rPr>
          <w:rStyle w:val="AERbody"/>
        </w:rPr>
        <w:t>orks proposed</w:t>
      </w:r>
      <w:r w:rsidRPr="00525DDF">
        <w:rPr>
          <w:rStyle w:val="AERbody"/>
        </w:rPr>
        <w:t xml:space="preserve"> $186 million ($2014</w:t>
      </w:r>
      <w:r w:rsidR="00844E31">
        <w:rPr>
          <w:rStyle w:val="AERbody"/>
        </w:rPr>
        <w:t>–</w:t>
      </w:r>
      <w:r w:rsidRPr="00525DDF">
        <w:rPr>
          <w:rStyle w:val="AERbody"/>
        </w:rPr>
        <w:t>15) for network augmentation in response to localised demand growth and existing capacity constraints on its network.</w:t>
      </w:r>
      <w:r w:rsidRPr="00525DDF">
        <w:rPr>
          <w:rStyle w:val="FootnoteReference"/>
        </w:rPr>
        <w:footnoteReference w:id="50"/>
      </w:r>
      <w:r w:rsidR="00470C43">
        <w:rPr>
          <w:rStyle w:val="AERbody"/>
        </w:rPr>
        <w:t xml:space="preserve"> SA Power Networks stated</w:t>
      </w:r>
      <w:r w:rsidRPr="00525DDF">
        <w:rPr>
          <w:rStyle w:val="AERbody"/>
        </w:rPr>
        <w:t xml:space="preserve"> that demand-driven capex is forecast to be similar to the current regulatory period because system-wide demand is forecast to remain relatively flat.</w:t>
      </w:r>
      <w:r w:rsidRPr="00525DDF">
        <w:rPr>
          <w:rStyle w:val="FootnoteReference"/>
        </w:rPr>
        <w:footnoteReference w:id="51"/>
      </w:r>
      <w:r w:rsidRPr="00525DDF">
        <w:rPr>
          <w:rStyle w:val="AERbody"/>
        </w:rPr>
        <w:t xml:space="preserve"> Network augmentation will be driven localised areas of growth, such as the northern and southern suburbs of Adelaide.</w:t>
      </w:r>
      <w:r w:rsidRPr="00525DDF">
        <w:rPr>
          <w:rStyle w:val="FootnoteReference"/>
        </w:rPr>
        <w:footnoteReference w:id="52"/>
      </w:r>
    </w:p>
    <w:p w:rsidR="00525DDF" w:rsidRPr="00525DDF" w:rsidRDefault="00525DDF" w:rsidP="00525DDF">
      <w:pPr>
        <w:rPr>
          <w:rStyle w:val="AERbody"/>
        </w:rPr>
      </w:pPr>
      <w:r w:rsidRPr="00525DDF">
        <w:rPr>
          <w:rStyle w:val="AERbody"/>
        </w:rPr>
        <w:t>We have assessed SA Power Networks</w:t>
      </w:r>
      <w:r w:rsidR="00470C43">
        <w:rPr>
          <w:rStyle w:val="AERbody"/>
        </w:rPr>
        <w:t>'</w:t>
      </w:r>
      <w:r w:rsidRPr="00525DDF">
        <w:rPr>
          <w:rStyle w:val="AERbody"/>
        </w:rPr>
        <w:t xml:space="preserve"> demand-driven augex based on forecast trends in maximum demand and network utilisation as these are the key drivers of augmentation. As outlined in Appendix </w:t>
      </w:r>
      <w:r w:rsidRPr="00525DDF">
        <w:rPr>
          <w:rStyle w:val="AERbody"/>
        </w:rPr>
        <w:fldChar w:fldCharType="begin"/>
      </w:r>
      <w:r w:rsidRPr="00525DDF">
        <w:rPr>
          <w:rStyle w:val="AERbody"/>
        </w:rPr>
        <w:instrText xml:space="preserve"> REF _Ref416180210 \r \h </w:instrText>
      </w:r>
      <w:r w:rsidRPr="00525DDF">
        <w:rPr>
          <w:rStyle w:val="AERbody"/>
        </w:rPr>
      </w:r>
      <w:r w:rsidRPr="00525DDF">
        <w:rPr>
          <w:rStyle w:val="AERbody"/>
        </w:rPr>
        <w:fldChar w:fldCharType="separate"/>
      </w:r>
      <w:r w:rsidR="00F02131">
        <w:rPr>
          <w:rStyle w:val="AERbody"/>
        </w:rPr>
        <w:t>C</w:t>
      </w:r>
      <w:r w:rsidRPr="00525DDF">
        <w:rPr>
          <w:rStyle w:val="AERbody"/>
        </w:rPr>
        <w:fldChar w:fldCharType="end"/>
      </w:r>
      <w:r w:rsidRPr="00525DDF">
        <w:rPr>
          <w:rStyle w:val="AERbody"/>
        </w:rPr>
        <w:t xml:space="preserve">, the available evidence points to flat peak demand growth for this period. </w:t>
      </w:r>
    </w:p>
    <w:p w:rsidR="00525DDF" w:rsidRPr="00525DDF" w:rsidRDefault="00525DDF" w:rsidP="00525DDF">
      <w:pPr>
        <w:rPr>
          <w:rStyle w:val="AERbody"/>
        </w:rPr>
      </w:pPr>
      <w:r w:rsidRPr="00525DDF">
        <w:rPr>
          <w:rStyle w:val="AERbody"/>
        </w:rPr>
        <w:t xml:space="preserve">This forecast for flat peak demand growth follows declining demand in the previous period. Consistent with this fall in demand, our analysis highlights a decline in network utilisation between 2009–10 and 2013–14. Network utilisation is a measure of the installed network capacity that is in use (or is forecast to be). Where utilisation rates are shown to be declining over time, it is expected that total augex requirements would similarly fall. </w:t>
      </w:r>
    </w:p>
    <w:p w:rsidR="00525DDF" w:rsidRPr="00525DDF" w:rsidRDefault="00525DDF" w:rsidP="00525DDF">
      <w:pPr>
        <w:rPr>
          <w:rStyle w:val="AERbody"/>
        </w:rPr>
      </w:pPr>
      <w:r w:rsidRPr="00525DDF">
        <w:rPr>
          <w:rStyle w:val="AERbody"/>
        </w:rPr>
        <w:fldChar w:fldCharType="begin"/>
      </w:r>
      <w:r w:rsidRPr="00525DDF">
        <w:rPr>
          <w:rStyle w:val="AERbody"/>
        </w:rPr>
        <w:instrText xml:space="preserve"> REF _Ref409432046 \h  \* MERGEFORMAT </w:instrText>
      </w:r>
      <w:r w:rsidRPr="00525DDF">
        <w:rPr>
          <w:rStyle w:val="AERbody"/>
        </w:rPr>
      </w:r>
      <w:r w:rsidRPr="00525DDF">
        <w:rPr>
          <w:rStyle w:val="AERbody"/>
        </w:rPr>
        <w:fldChar w:fldCharType="separate"/>
      </w:r>
      <w:r w:rsidR="00F02131" w:rsidRPr="00F02131">
        <w:rPr>
          <w:rStyle w:val="AERbody"/>
        </w:rPr>
        <w:t>Figure B</w:t>
      </w:r>
      <w:r w:rsidR="00F02131" w:rsidRPr="00F02131">
        <w:rPr>
          <w:rStyle w:val="AERbody"/>
        </w:rPr>
        <w:noBreakHyphen/>
        <w:t>2</w:t>
      </w:r>
      <w:r w:rsidRPr="00525DDF">
        <w:rPr>
          <w:rStyle w:val="AERbody"/>
        </w:rPr>
        <w:fldChar w:fldCharType="end"/>
      </w:r>
      <w:r w:rsidRPr="00525DDF">
        <w:rPr>
          <w:rStyle w:val="AERbody"/>
        </w:rPr>
        <w:t xml:space="preserve"> shows that a large number of zone substations decreased in utilisation between 2009</w:t>
      </w:r>
      <w:r w:rsidR="00844E31">
        <w:rPr>
          <w:rStyle w:val="AERbody"/>
        </w:rPr>
        <w:t>–</w:t>
      </w:r>
      <w:r w:rsidRPr="00525DDF">
        <w:rPr>
          <w:rStyle w:val="AERbody"/>
        </w:rPr>
        <w:t>10 and 2013</w:t>
      </w:r>
      <w:r w:rsidR="00844E31">
        <w:rPr>
          <w:rStyle w:val="AERbody"/>
        </w:rPr>
        <w:t>–</w:t>
      </w:r>
      <w:r w:rsidRPr="00525DDF">
        <w:rPr>
          <w:rStyle w:val="AERbody"/>
        </w:rPr>
        <w:t xml:space="preserve">14, including a substantial decrease in highly utilised substations. </w:t>
      </w:r>
    </w:p>
    <w:p w:rsidR="00525DDF" w:rsidRPr="00DC3B98" w:rsidRDefault="00EB78CC" w:rsidP="00EB78CC">
      <w:pPr>
        <w:pStyle w:val="Caption"/>
        <w:rPr>
          <w:rStyle w:val="AERtextorange"/>
          <w:color w:val="076A92" w:themeColor="text1"/>
        </w:rPr>
      </w:pPr>
      <w:bookmarkStart w:id="121" w:name="_Ref409432046"/>
      <w:r>
        <w:lastRenderedPageBreak/>
        <w:t xml:space="preserve">Figure </w:t>
      </w:r>
      <w:fldSimple w:instr=" STYLEREF 7 \s ">
        <w:r w:rsidR="00F02131">
          <w:rPr>
            <w:noProof/>
          </w:rPr>
          <w:t>B</w:t>
        </w:r>
      </w:fldSimple>
      <w:r>
        <w:noBreakHyphen/>
      </w:r>
      <w:fldSimple w:instr=" SEQ AFigure \* ARABIC \s 7 ">
        <w:r w:rsidR="00F02131">
          <w:rPr>
            <w:noProof/>
          </w:rPr>
          <w:t>2</w:t>
        </w:r>
      </w:fldSimple>
      <w:bookmarkEnd w:id="121"/>
      <w:r w:rsidR="00525DDF" w:rsidRPr="00DC3B98">
        <w:tab/>
      </w:r>
      <w:r w:rsidR="00525DDF" w:rsidRPr="00DC3B98">
        <w:rPr>
          <w:rStyle w:val="AERtextorange"/>
          <w:color w:val="076A92" w:themeColor="text1"/>
        </w:rPr>
        <w:t>Zone substation utilisation 2009-10 and 2013-14</w:t>
      </w:r>
    </w:p>
    <w:p w:rsidR="00525DDF" w:rsidRPr="00525DDF" w:rsidRDefault="00525DDF" w:rsidP="00525DDF">
      <w:pPr>
        <w:pStyle w:val="Tabletitle"/>
      </w:pPr>
      <w:bookmarkStart w:id="122" w:name="_Ref409432050"/>
      <w:r w:rsidRPr="00525DDF">
        <w:rPr>
          <w:noProof/>
          <w:lang w:eastAsia="en-AU"/>
        </w:rPr>
        <w:drawing>
          <wp:inline distT="0" distB="0" distL="0" distR="0" wp14:anchorId="6FD1A572" wp14:editId="58C4F48F">
            <wp:extent cx="5405031" cy="3458095"/>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8891" cy="3460564"/>
                    </a:xfrm>
                    <a:prstGeom prst="rect">
                      <a:avLst/>
                    </a:prstGeom>
                    <a:noFill/>
                  </pic:spPr>
                </pic:pic>
              </a:graphicData>
            </a:graphic>
          </wp:inline>
        </w:drawing>
      </w:r>
    </w:p>
    <w:p w:rsidR="00525DDF" w:rsidRPr="00525DDF" w:rsidRDefault="00525DDF" w:rsidP="00525DDF">
      <w:pPr>
        <w:pStyle w:val="AERtablesource"/>
      </w:pPr>
      <w:r w:rsidRPr="00525DDF">
        <w:t xml:space="preserve">Source: </w:t>
      </w:r>
      <w:r w:rsidRPr="00525DDF">
        <w:tab/>
        <w:t>AER analysis; augex model, SA Power Networks</w:t>
      </w:r>
      <w:r w:rsidR="00470C43">
        <w:t>'</w:t>
      </w:r>
      <w:r w:rsidRPr="00525DDF">
        <w:t xml:space="preserve"> reset RIN</w:t>
      </w:r>
    </w:p>
    <w:p w:rsidR="00525DDF" w:rsidRPr="00525DDF" w:rsidRDefault="00525DDF" w:rsidP="00525DDF">
      <w:pPr>
        <w:pStyle w:val="AERtablesource"/>
      </w:pPr>
      <w:r w:rsidRPr="00525DDF">
        <w:t>Note:</w:t>
      </w:r>
      <w:r w:rsidRPr="00525DDF">
        <w:tab/>
        <w:t>Utilisation is the ratio of maximum demand and the normal cyclic rating of each substation for the specified years.</w:t>
      </w:r>
      <w:r w:rsidRPr="00525DDF">
        <w:rPr>
          <w:rStyle w:val="FootnoteReference"/>
        </w:rPr>
        <w:footnoteReference w:id="53"/>
      </w:r>
      <w:r w:rsidRPr="00525DDF">
        <w:t xml:space="preserve"> </w:t>
      </w:r>
      <w:r w:rsidRPr="00525DDF">
        <w:fldChar w:fldCharType="begin"/>
      </w:r>
      <w:r w:rsidRPr="00525DDF">
        <w:instrText xml:space="preserve"> REF _Ref409432046 \h </w:instrText>
      </w:r>
      <w:r w:rsidRPr="00525DDF">
        <w:fldChar w:fldCharType="separate"/>
      </w:r>
      <w:r w:rsidR="00F02131">
        <w:t xml:space="preserve">Figure </w:t>
      </w:r>
      <w:r w:rsidR="00F02131">
        <w:rPr>
          <w:noProof/>
        </w:rPr>
        <w:t>B</w:t>
      </w:r>
      <w:r w:rsidR="00F02131">
        <w:noBreakHyphen/>
      </w:r>
      <w:r w:rsidR="00F02131">
        <w:rPr>
          <w:noProof/>
        </w:rPr>
        <w:t>2</w:t>
      </w:r>
      <w:r w:rsidRPr="00525DDF">
        <w:fldChar w:fldCharType="end"/>
      </w:r>
      <w:r w:rsidRPr="00525DDF">
        <w:t xml:space="preserve"> shows the number of SA Power Networks' total zone substations at each utilisation band.</w:t>
      </w:r>
    </w:p>
    <w:p w:rsidR="00525DDF" w:rsidRPr="00525DDF" w:rsidRDefault="00525DDF" w:rsidP="00525DDF">
      <w:pPr>
        <w:rPr>
          <w:rStyle w:val="AERbody"/>
        </w:rPr>
      </w:pPr>
      <w:r w:rsidRPr="00525DDF">
        <w:rPr>
          <w:rStyle w:val="AERbody"/>
        </w:rPr>
        <w:t>While system-wide demand is forecast to be flat over the 2015</w:t>
      </w:r>
      <w:r w:rsidR="00844E31">
        <w:rPr>
          <w:rStyle w:val="AERbody"/>
        </w:rPr>
        <w:t>–</w:t>
      </w:r>
      <w:r w:rsidRPr="00525DDF">
        <w:rPr>
          <w:rStyle w:val="AERbody"/>
        </w:rPr>
        <w:t>20 period, SA Power Networks</w:t>
      </w:r>
      <w:r w:rsidR="00470C43">
        <w:rPr>
          <w:rStyle w:val="AERbody"/>
        </w:rPr>
        <w:t>'</w:t>
      </w:r>
      <w:r w:rsidRPr="00525DDF">
        <w:rPr>
          <w:rStyle w:val="AERbody"/>
        </w:rPr>
        <w:t xml:space="preserve"> proposed augmentation of some substations is necessary as they reach capacity due to forecast localised demand growth. SA Power Networks also proposed that new substations are required to meet demand in new housing estates.</w:t>
      </w:r>
    </w:p>
    <w:p w:rsidR="00525DDF" w:rsidRPr="00525DDF" w:rsidRDefault="00525DDF" w:rsidP="00525DDF">
      <w:r w:rsidRPr="00525DDF">
        <w:fldChar w:fldCharType="begin"/>
      </w:r>
      <w:r w:rsidRPr="00525DDF">
        <w:instrText xml:space="preserve"> REF _Ref409443978 \h </w:instrText>
      </w:r>
      <w:r w:rsidRPr="00525DDF">
        <w:fldChar w:fldCharType="separate"/>
      </w:r>
      <w:r w:rsidR="00F02131">
        <w:t xml:space="preserve">Figure </w:t>
      </w:r>
      <w:r w:rsidR="00F02131">
        <w:rPr>
          <w:noProof/>
        </w:rPr>
        <w:t>B</w:t>
      </w:r>
      <w:r w:rsidR="00F02131">
        <w:noBreakHyphen/>
      </w:r>
      <w:r w:rsidR="00F02131">
        <w:rPr>
          <w:noProof/>
        </w:rPr>
        <w:t>3</w:t>
      </w:r>
      <w:r w:rsidRPr="00525DDF">
        <w:fldChar w:fldCharType="end"/>
      </w:r>
      <w:r w:rsidRPr="00525DDF">
        <w:t xml:space="preserve"> shows forecast zone substation utilisation for the 2015</w:t>
      </w:r>
      <w:r w:rsidR="00844E31">
        <w:t>–</w:t>
      </w:r>
      <w:r w:rsidRPr="00525DDF">
        <w:t>20 period based on forecast demand at each substation and existing levels of capacity. This figure shows that the number of substations with relatively high levels of utilisation (e.g. between 60 and 90 per cent utilised) are expected to grow over the 2015</w:t>
      </w:r>
      <w:r w:rsidR="001044D7">
        <w:t>–</w:t>
      </w:r>
      <w:r w:rsidRPr="00525DDF">
        <w:t xml:space="preserve">20 period. While this growth is not </w:t>
      </w:r>
      <w:r w:rsidRPr="00525DDF">
        <w:rPr>
          <w:rStyle w:val="AERbody"/>
        </w:rPr>
        <w:t>significant, it suggests that some levels of augmentation capex is required to alleviate forecast capacity constraints in the network over 2015</w:t>
      </w:r>
      <w:r w:rsidR="001044D7">
        <w:rPr>
          <w:rStyle w:val="AERbody"/>
        </w:rPr>
        <w:t>–</w:t>
      </w:r>
      <w:r w:rsidRPr="00525DDF">
        <w:rPr>
          <w:rStyle w:val="AERbody"/>
        </w:rPr>
        <w:t>20.</w:t>
      </w:r>
    </w:p>
    <w:p w:rsidR="00525DDF" w:rsidRPr="00DC3B98" w:rsidRDefault="00EB78CC" w:rsidP="00EB78CC">
      <w:pPr>
        <w:pStyle w:val="Caption"/>
      </w:pPr>
      <w:bookmarkStart w:id="123" w:name="_Ref409443978"/>
      <w:r>
        <w:lastRenderedPageBreak/>
        <w:t xml:space="preserve">Figure </w:t>
      </w:r>
      <w:fldSimple w:instr=" STYLEREF 7 \s ">
        <w:r w:rsidR="00F02131">
          <w:rPr>
            <w:noProof/>
          </w:rPr>
          <w:t>B</w:t>
        </w:r>
      </w:fldSimple>
      <w:r>
        <w:noBreakHyphen/>
      </w:r>
      <w:fldSimple w:instr=" SEQ AFigure \* ARABIC \s 7 ">
        <w:r w:rsidR="00F02131">
          <w:rPr>
            <w:noProof/>
          </w:rPr>
          <w:t>3</w:t>
        </w:r>
      </w:fldSimple>
      <w:bookmarkEnd w:id="122"/>
      <w:bookmarkEnd w:id="123"/>
      <w:r w:rsidR="00525DDF" w:rsidRPr="00DC3B98">
        <w:tab/>
      </w:r>
      <w:r w:rsidR="00525DDF" w:rsidRPr="00DC3B98">
        <w:rPr>
          <w:rStyle w:val="AERtextorange"/>
          <w:color w:val="076A92" w:themeColor="text1"/>
        </w:rPr>
        <w:t>Zone substation forecast utilisation 2014-15 to 2019-20</w:t>
      </w:r>
    </w:p>
    <w:p w:rsidR="00525DDF" w:rsidRPr="00525DDF" w:rsidRDefault="00525DDF" w:rsidP="00537691">
      <w:pPr>
        <w:pStyle w:val="AERbulletlistfirststyle"/>
        <w:numPr>
          <w:ilvl w:val="0"/>
          <w:numId w:val="0"/>
        </w:numPr>
        <w:ind w:left="357" w:hanging="357"/>
        <w:rPr>
          <w:rStyle w:val="AERbody"/>
        </w:rPr>
      </w:pPr>
      <w:r w:rsidRPr="00525DDF">
        <w:rPr>
          <w:noProof/>
          <w:lang w:eastAsia="en-AU"/>
        </w:rPr>
        <w:drawing>
          <wp:inline distT="0" distB="0" distL="0" distR="0" wp14:anchorId="16E6EC3E" wp14:editId="3401B548">
            <wp:extent cx="5422790" cy="337930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186" cy="3382043"/>
                    </a:xfrm>
                    <a:prstGeom prst="rect">
                      <a:avLst/>
                    </a:prstGeom>
                    <a:noFill/>
                  </pic:spPr>
                </pic:pic>
              </a:graphicData>
            </a:graphic>
          </wp:inline>
        </w:drawing>
      </w:r>
    </w:p>
    <w:p w:rsidR="00525DDF" w:rsidRPr="00525DDF" w:rsidRDefault="00525DDF" w:rsidP="00525DDF">
      <w:pPr>
        <w:pStyle w:val="AERtablesource"/>
      </w:pPr>
      <w:r w:rsidRPr="00525DDF">
        <w:t xml:space="preserve">Source: </w:t>
      </w:r>
      <w:r w:rsidRPr="00525DDF">
        <w:tab/>
        <w:t>AER analysis, augex model, SA Power Networks</w:t>
      </w:r>
      <w:r w:rsidR="00470C43">
        <w:t>'</w:t>
      </w:r>
      <w:r w:rsidRPr="00525DDF">
        <w:t xml:space="preserve"> reset RIN</w:t>
      </w:r>
    </w:p>
    <w:p w:rsidR="00525DDF" w:rsidRPr="00525DDF" w:rsidRDefault="00525DDF" w:rsidP="00525DDF">
      <w:pPr>
        <w:pStyle w:val="AERtablesource"/>
      </w:pPr>
      <w:r w:rsidRPr="00525DDF">
        <w:t>Notes:</w:t>
      </w:r>
      <w:r w:rsidRPr="00525DDF">
        <w:tab/>
        <w:t>Utilisation is the ratio of maximum demand and the thermal rating of each feeder for the specified years. Forecast utilisation in this figure is based on forecast weather corrected 50% POE maximum demand at each substation and existing capacity without additional augmentation over 2015-20.</w:t>
      </w:r>
    </w:p>
    <w:p w:rsidR="00525DDF" w:rsidRPr="00525DDF" w:rsidRDefault="00470C43" w:rsidP="00525DDF">
      <w:pPr>
        <w:rPr>
          <w:rStyle w:val="AERbody"/>
        </w:rPr>
      </w:pPr>
      <w:r>
        <w:rPr>
          <w:rStyle w:val="AERbody"/>
        </w:rPr>
        <w:t>SA Power Networks identified</w:t>
      </w:r>
      <w:r w:rsidR="00525DDF" w:rsidRPr="00525DDF">
        <w:rPr>
          <w:rStyle w:val="AERbody"/>
        </w:rPr>
        <w:t xml:space="preserve"> the specific substations that it proposes to augment in the 2015</w:t>
      </w:r>
      <w:r w:rsidR="001044D7">
        <w:rPr>
          <w:rStyle w:val="AERbody"/>
        </w:rPr>
        <w:t>–</w:t>
      </w:r>
      <w:r w:rsidR="00525DDF" w:rsidRPr="00525DDF">
        <w:rPr>
          <w:rStyle w:val="AERbody"/>
        </w:rPr>
        <w:t>20 per</w:t>
      </w:r>
      <w:r>
        <w:rPr>
          <w:rStyle w:val="AERbody"/>
        </w:rPr>
        <w:t>iod. SA Power Networks' proposed</w:t>
      </w:r>
      <w:r w:rsidR="00525DDF" w:rsidRPr="00525DDF">
        <w:rPr>
          <w:rStyle w:val="AERbody"/>
        </w:rPr>
        <w:t xml:space="preserve"> major projects to augment the Campbelltown, Clare and Aldinga substations.</w:t>
      </w:r>
      <w:r w:rsidR="00525DDF" w:rsidRPr="00525DDF">
        <w:rPr>
          <w:rStyle w:val="FootnoteReference"/>
        </w:rPr>
        <w:footnoteReference w:id="54"/>
      </w:r>
      <w:r w:rsidR="00525DDF" w:rsidRPr="00525DDF">
        <w:rPr>
          <w:rStyle w:val="AERbody"/>
        </w:rPr>
        <w:t xml:space="preserve"> We have reviewed the forecast utilisation at these substations to assess whether augmentation is prudent based on alleviating capacity constraints.</w:t>
      </w:r>
    </w:p>
    <w:p w:rsidR="00525DDF" w:rsidRDefault="00525DDF" w:rsidP="00525DDF">
      <w:pPr>
        <w:rPr>
          <w:rStyle w:val="AERbody"/>
        </w:rPr>
      </w:pPr>
      <w:r w:rsidRPr="00525DDF">
        <w:rPr>
          <w:rStyle w:val="AERbody"/>
        </w:rPr>
        <w:fldChar w:fldCharType="begin"/>
      </w:r>
      <w:r w:rsidRPr="00525DDF">
        <w:rPr>
          <w:rStyle w:val="AERbody"/>
        </w:rPr>
        <w:instrText xml:space="preserve"> REF _Ref413786198 \h </w:instrText>
      </w:r>
      <w:r w:rsidRPr="00525DDF">
        <w:rPr>
          <w:rStyle w:val="AERbody"/>
        </w:rPr>
      </w:r>
      <w:r w:rsidRPr="00525DDF">
        <w:rPr>
          <w:rStyle w:val="AERbody"/>
        </w:rPr>
        <w:fldChar w:fldCharType="separate"/>
      </w:r>
      <w:r w:rsidR="00F02131" w:rsidRPr="00525DDF">
        <w:t xml:space="preserve">Table </w:t>
      </w:r>
      <w:r w:rsidR="00F02131">
        <w:rPr>
          <w:noProof/>
        </w:rPr>
        <w:t>B</w:t>
      </w:r>
      <w:r w:rsidR="00F02131" w:rsidRPr="00525DDF">
        <w:noBreakHyphen/>
      </w:r>
      <w:r w:rsidR="00F02131">
        <w:rPr>
          <w:noProof/>
        </w:rPr>
        <w:t>3</w:t>
      </w:r>
      <w:r w:rsidRPr="00525DDF">
        <w:rPr>
          <w:rStyle w:val="AERbody"/>
        </w:rPr>
        <w:fldChar w:fldCharType="end"/>
      </w:r>
      <w:r w:rsidRPr="00525DDF">
        <w:rPr>
          <w:rStyle w:val="AERbody"/>
        </w:rPr>
        <w:t xml:space="preserve"> below shows the forecast utilisation (without augmentation) for the Campbelltown, Clare and Aldinga substations over the 2015</w:t>
      </w:r>
      <w:r w:rsidR="001044D7">
        <w:rPr>
          <w:rStyle w:val="AERbody"/>
        </w:rPr>
        <w:t>–</w:t>
      </w:r>
      <w:r w:rsidRPr="00525DDF">
        <w:rPr>
          <w:rStyle w:val="AERbody"/>
        </w:rPr>
        <w:t xml:space="preserve">20 </w:t>
      </w:r>
      <w:r w:rsidR="001C0B41">
        <w:rPr>
          <w:rStyle w:val="AERbody"/>
        </w:rPr>
        <w:t xml:space="preserve">regulatory control </w:t>
      </w:r>
      <w:r w:rsidRPr="00525DDF">
        <w:rPr>
          <w:rStyle w:val="AERbody"/>
        </w:rPr>
        <w:t>period. These show that utilisation is proposed to increase over the period for each substation towards higher levels of utilisation, supporting the need for some augmentation.</w:t>
      </w:r>
    </w:p>
    <w:p w:rsidR="001C0B41" w:rsidRDefault="001C0B41" w:rsidP="00525DDF">
      <w:pPr>
        <w:rPr>
          <w:rStyle w:val="AERbody"/>
        </w:rPr>
      </w:pPr>
    </w:p>
    <w:p w:rsidR="001C0B41" w:rsidRDefault="001C0B41" w:rsidP="00525DDF">
      <w:pPr>
        <w:rPr>
          <w:rStyle w:val="AERbody"/>
        </w:rPr>
      </w:pPr>
    </w:p>
    <w:p w:rsidR="001C0B41" w:rsidRPr="00525DDF" w:rsidRDefault="001C0B41" w:rsidP="00525DDF">
      <w:pPr>
        <w:rPr>
          <w:rStyle w:val="AERbody"/>
        </w:rPr>
      </w:pPr>
    </w:p>
    <w:p w:rsidR="00525DDF" w:rsidRPr="00525DDF" w:rsidRDefault="00525DDF" w:rsidP="00525DDF">
      <w:pPr>
        <w:pStyle w:val="Caption"/>
        <w:rPr>
          <w:rStyle w:val="AERbody"/>
        </w:rPr>
      </w:pPr>
      <w:bookmarkStart w:id="124" w:name="_Ref413786198"/>
      <w:r w:rsidRPr="00525DDF">
        <w:lastRenderedPageBreak/>
        <w:t xml:space="preserve">Table </w:t>
      </w:r>
      <w:fldSimple w:instr=" STYLEREF 7 \s ">
        <w:r w:rsidR="00F02131">
          <w:rPr>
            <w:noProof/>
          </w:rPr>
          <w:t>B</w:t>
        </w:r>
      </w:fldSimple>
      <w:r w:rsidRPr="00525DDF">
        <w:noBreakHyphen/>
      </w:r>
      <w:fldSimple w:instr=" SEQ Table \* ARABIC \s 7 ">
        <w:r w:rsidR="00F02131">
          <w:rPr>
            <w:noProof/>
          </w:rPr>
          <w:t>3</w:t>
        </w:r>
      </w:fldSimple>
      <w:bookmarkEnd w:id="124"/>
      <w:r w:rsidRPr="00525DDF">
        <w:tab/>
        <w:t xml:space="preserve">Utilisation of sample of zone substations to be augmented </w:t>
      </w:r>
    </w:p>
    <w:tbl>
      <w:tblPr>
        <w:tblStyle w:val="AERtable-numbers"/>
        <w:tblW w:w="0" w:type="auto"/>
        <w:tblLook w:val="04A0" w:firstRow="1" w:lastRow="0" w:firstColumn="1" w:lastColumn="0" w:noHBand="0" w:noVBand="1"/>
      </w:tblPr>
      <w:tblGrid>
        <w:gridCol w:w="1809"/>
        <w:gridCol w:w="1032"/>
        <w:gridCol w:w="1662"/>
        <w:gridCol w:w="1417"/>
        <w:gridCol w:w="1418"/>
        <w:gridCol w:w="1275"/>
      </w:tblGrid>
      <w:tr w:rsidR="00525DDF" w:rsidTr="007F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r w:rsidRPr="00525DDF">
              <w:t>Substation</w:t>
            </w:r>
          </w:p>
        </w:tc>
        <w:tc>
          <w:tcPr>
            <w:tcW w:w="1032"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2014/15</w:t>
            </w:r>
          </w:p>
        </w:tc>
        <w:tc>
          <w:tcPr>
            <w:tcW w:w="1662"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2015/16</w:t>
            </w:r>
          </w:p>
        </w:tc>
        <w:tc>
          <w:tcPr>
            <w:tcW w:w="1417"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2016/17</w:t>
            </w:r>
          </w:p>
        </w:tc>
        <w:tc>
          <w:tcPr>
            <w:tcW w:w="1418"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2017/18</w:t>
            </w:r>
          </w:p>
        </w:tc>
        <w:tc>
          <w:tcPr>
            <w:tcW w:w="1275"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2018/19</w:t>
            </w:r>
          </w:p>
        </w:tc>
      </w:tr>
      <w:tr w:rsidR="00525DDF" w:rsidTr="007F21A7">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pStyle w:val="AERtabletextleft"/>
              <w:rPr>
                <w:rStyle w:val="AERtextsize8"/>
              </w:rPr>
            </w:pPr>
            <w:r w:rsidRPr="00525DDF">
              <w:rPr>
                <w:rStyle w:val="AERtextsize8"/>
              </w:rPr>
              <w:t>Clare</w:t>
            </w:r>
          </w:p>
        </w:tc>
        <w:tc>
          <w:tcPr>
            <w:tcW w:w="1032"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0.79</w:t>
            </w:r>
          </w:p>
        </w:tc>
        <w:tc>
          <w:tcPr>
            <w:tcW w:w="1662"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0.79</w:t>
            </w:r>
          </w:p>
        </w:tc>
        <w:tc>
          <w:tcPr>
            <w:tcW w:w="1417"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0.80</w:t>
            </w:r>
          </w:p>
        </w:tc>
        <w:tc>
          <w:tcPr>
            <w:tcW w:w="1418"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0.80</w:t>
            </w:r>
          </w:p>
        </w:tc>
        <w:tc>
          <w:tcPr>
            <w:tcW w:w="1275"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0.80</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pStyle w:val="AERtabletextleft"/>
              <w:rPr>
                <w:rStyle w:val="AERtextsize8"/>
              </w:rPr>
            </w:pPr>
            <w:r w:rsidRPr="00525DDF">
              <w:rPr>
                <w:rStyle w:val="AERtextsize8"/>
              </w:rPr>
              <w:t>Campbelltown</w:t>
            </w:r>
          </w:p>
        </w:tc>
        <w:tc>
          <w:tcPr>
            <w:tcW w:w="1032" w:type="dxa"/>
            <w:vAlign w:val="top"/>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0.80</w:t>
            </w:r>
          </w:p>
        </w:tc>
        <w:tc>
          <w:tcPr>
            <w:tcW w:w="1662" w:type="dxa"/>
            <w:vAlign w:val="top"/>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0.81</w:t>
            </w:r>
          </w:p>
        </w:tc>
        <w:tc>
          <w:tcPr>
            <w:tcW w:w="1417" w:type="dxa"/>
            <w:vAlign w:val="top"/>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0.82</w:t>
            </w:r>
          </w:p>
        </w:tc>
        <w:tc>
          <w:tcPr>
            <w:tcW w:w="1418" w:type="dxa"/>
            <w:vAlign w:val="top"/>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0.83</w:t>
            </w:r>
          </w:p>
        </w:tc>
        <w:tc>
          <w:tcPr>
            <w:tcW w:w="1275" w:type="dxa"/>
            <w:vAlign w:val="top"/>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0.85</w:t>
            </w:r>
          </w:p>
        </w:tc>
      </w:tr>
      <w:tr w:rsidR="00525DDF" w:rsidTr="007F21A7">
        <w:tc>
          <w:tcPr>
            <w:cnfStyle w:val="001000000000" w:firstRow="0" w:lastRow="0" w:firstColumn="1" w:lastColumn="0" w:oddVBand="0" w:evenVBand="0" w:oddHBand="0" w:evenHBand="0" w:firstRowFirstColumn="0" w:firstRowLastColumn="0" w:lastRowFirstColumn="0" w:lastRowLastColumn="0"/>
            <w:tcW w:w="1809" w:type="dxa"/>
          </w:tcPr>
          <w:p w:rsidR="00525DDF" w:rsidRPr="00525DDF" w:rsidRDefault="00525DDF" w:rsidP="00525DDF">
            <w:pPr>
              <w:pStyle w:val="AERtabletextleft"/>
              <w:rPr>
                <w:rStyle w:val="AERtextsize8"/>
              </w:rPr>
            </w:pPr>
            <w:r w:rsidRPr="00525DDF">
              <w:rPr>
                <w:rStyle w:val="AERtextsize8"/>
              </w:rPr>
              <w:t>Aldinga</w:t>
            </w:r>
          </w:p>
        </w:tc>
        <w:tc>
          <w:tcPr>
            <w:tcW w:w="1032"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0.51</w:t>
            </w:r>
          </w:p>
        </w:tc>
        <w:tc>
          <w:tcPr>
            <w:tcW w:w="1662"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0.54</w:t>
            </w:r>
          </w:p>
        </w:tc>
        <w:tc>
          <w:tcPr>
            <w:tcW w:w="1417"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0.56</w:t>
            </w:r>
          </w:p>
        </w:tc>
        <w:tc>
          <w:tcPr>
            <w:tcW w:w="1418"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0.58</w:t>
            </w:r>
          </w:p>
        </w:tc>
        <w:tc>
          <w:tcPr>
            <w:tcW w:w="1275"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rPr>
                <w:rStyle w:val="AERtextsize8"/>
              </w:rPr>
            </w:pPr>
            <w:r w:rsidRPr="00525DDF">
              <w:rPr>
                <w:rStyle w:val="AERtextsize8"/>
              </w:rPr>
              <w:t>0.61</w:t>
            </w:r>
          </w:p>
        </w:tc>
      </w:tr>
    </w:tbl>
    <w:p w:rsidR="00525DDF" w:rsidRPr="00DC3B98" w:rsidRDefault="00525DDF" w:rsidP="00470C43">
      <w:pPr>
        <w:pStyle w:val="AERtablesource"/>
        <w:rPr>
          <w:rStyle w:val="AERbody"/>
          <w:sz w:val="16"/>
        </w:rPr>
      </w:pPr>
      <w:r w:rsidRPr="00DC3B98">
        <w:rPr>
          <w:rStyle w:val="AERbody"/>
          <w:sz w:val="16"/>
        </w:rPr>
        <w:t xml:space="preserve">Source: AER analysis, SA Power </w:t>
      </w:r>
      <w:r w:rsidRPr="00470C43">
        <w:rPr>
          <w:rStyle w:val="AERbody"/>
          <w:sz w:val="16"/>
        </w:rPr>
        <w:t>Networks</w:t>
      </w:r>
      <w:r w:rsidR="00470C43" w:rsidRPr="00470C43">
        <w:rPr>
          <w:rStyle w:val="AERbody"/>
          <w:sz w:val="16"/>
        </w:rPr>
        <w:t>'</w:t>
      </w:r>
      <w:r w:rsidRPr="00470C43">
        <w:rPr>
          <w:rStyle w:val="AERbody"/>
          <w:sz w:val="16"/>
        </w:rPr>
        <w:t xml:space="preserve"> reset RIN</w:t>
      </w:r>
    </w:p>
    <w:p w:rsidR="00525DDF" w:rsidRPr="00525DDF" w:rsidRDefault="00525DDF" w:rsidP="00525DDF">
      <w:pPr>
        <w:rPr>
          <w:rStyle w:val="AERbody"/>
        </w:rPr>
      </w:pPr>
      <w:r w:rsidRPr="00525DDF">
        <w:t>The augmentation of the Aldinga substation is based on a forecast overloading of 'contingent' capacity rather than normal available capacity at this substation.</w:t>
      </w:r>
      <w:r w:rsidRPr="00525DDF">
        <w:rPr>
          <w:rStyle w:val="FootnoteReference"/>
        </w:rPr>
        <w:footnoteReference w:id="55"/>
      </w:r>
      <w:r w:rsidRPr="00525DDF">
        <w:t xml:space="preserve"> Also</w:t>
      </w:r>
      <w:r w:rsidR="00D951A4">
        <w:t>,</w:t>
      </w:r>
      <w:r w:rsidRPr="00525DDF">
        <w:t xml:space="preserve"> two of the four 11kV feeders supplied from this site are forecast to be overloaded by 2020, with the remaining two feeders forecast to become overloaded in 2021 and 2023</w:t>
      </w:r>
      <w:r w:rsidR="001044D7">
        <w:t>,</w:t>
      </w:r>
      <w:r w:rsidRPr="00525DDF">
        <w:t xml:space="preserve"> respectively. On this basis, SA Power Networks considers that the construction of a new substation at Maslin Beach is necessary to alleviate these forecast constraints at the Aldinga substation. </w:t>
      </w:r>
    </w:p>
    <w:p w:rsidR="00525DDF" w:rsidRDefault="00525DDF" w:rsidP="00525DDF">
      <w:pPr>
        <w:rPr>
          <w:rStyle w:val="AERbody"/>
        </w:rPr>
      </w:pPr>
      <w:r w:rsidRPr="00525DDF">
        <w:rPr>
          <w:rStyle w:val="AERbody"/>
        </w:rPr>
        <w:t>Based on the forecast trends in network utilisation discussed above, we consider that SA Power Networks' proposed demand-driven augex forecast is reasonably explained by the need to meet expected localised demand growth and alleviate forecast capacity constraint</w:t>
      </w:r>
      <w:r w:rsidR="001671E2">
        <w:rPr>
          <w:rStyle w:val="AERbody"/>
        </w:rPr>
        <w:t>s. We accept the proposed $186</w:t>
      </w:r>
      <w:r w:rsidRPr="00525DDF">
        <w:rPr>
          <w:rStyle w:val="AERbody"/>
        </w:rPr>
        <w:t xml:space="preserve"> million ($2014</w:t>
      </w:r>
      <w:r w:rsidR="001044D7">
        <w:rPr>
          <w:rStyle w:val="AERbody"/>
        </w:rPr>
        <w:t>–</w:t>
      </w:r>
      <w:r w:rsidRPr="00525DDF">
        <w:rPr>
          <w:rStyle w:val="AERbody"/>
        </w:rPr>
        <w:t>15) forecast for network augmentation and will include it in our substitute estimate of total capex.</w:t>
      </w:r>
    </w:p>
    <w:p w:rsidR="00525DDF" w:rsidRPr="00624A53" w:rsidRDefault="00525DDF" w:rsidP="00624A53">
      <w:pPr>
        <w:pStyle w:val="HeadingBoldBlue"/>
        <w:rPr>
          <w:rStyle w:val="AERtextitalic"/>
          <w:i w:val="0"/>
        </w:rPr>
      </w:pPr>
      <w:r w:rsidRPr="00624A53">
        <w:rPr>
          <w:rStyle w:val="AERtextitalic"/>
          <w:i w:val="0"/>
        </w:rPr>
        <w:t>Quality of supply</w:t>
      </w:r>
    </w:p>
    <w:p w:rsidR="00525DDF" w:rsidRPr="00525DDF" w:rsidRDefault="00470C43" w:rsidP="00525DDF">
      <w:pPr>
        <w:rPr>
          <w:rStyle w:val="AERbody"/>
        </w:rPr>
      </w:pPr>
      <w:r>
        <w:rPr>
          <w:rStyle w:val="AERbody"/>
        </w:rPr>
        <w:t>SA Power Networks proposed</w:t>
      </w:r>
      <w:r w:rsidR="00525DDF" w:rsidRPr="00525DDF">
        <w:rPr>
          <w:rStyle w:val="AERbody"/>
        </w:rPr>
        <w:t xml:space="preserve"> $72.3 million </w:t>
      </w:r>
      <w:r w:rsidR="00525DDF" w:rsidRPr="00525DDF">
        <w:t>($2014</w:t>
      </w:r>
      <w:r w:rsidR="001044D7">
        <w:t>–</w:t>
      </w:r>
      <w:r w:rsidR="00525DDF" w:rsidRPr="00525DDF">
        <w:t xml:space="preserve">15) </w:t>
      </w:r>
      <w:r w:rsidR="00525DDF" w:rsidRPr="00525DDF">
        <w:rPr>
          <w:rStyle w:val="AERbody"/>
        </w:rPr>
        <w:t>to address quality of supply constraints on its low voltage network (excluding overheads). Of this amount, SA Power Networks propose</w:t>
      </w:r>
      <w:r>
        <w:rPr>
          <w:rStyle w:val="AERbody"/>
        </w:rPr>
        <w:t>d</w:t>
      </w:r>
      <w:r w:rsidR="00525DDF" w:rsidRPr="00525DDF">
        <w:rPr>
          <w:rStyle w:val="AERbody"/>
        </w:rPr>
        <w:t>:</w:t>
      </w:r>
    </w:p>
    <w:p w:rsidR="00525DDF" w:rsidRPr="00525DDF" w:rsidRDefault="00525DDF" w:rsidP="00525DDF">
      <w:pPr>
        <w:pStyle w:val="AERbulletlistfirststyle"/>
        <w:rPr>
          <w:rStyle w:val="AERbody"/>
        </w:rPr>
      </w:pPr>
      <w:r w:rsidRPr="00525DDF">
        <w:rPr>
          <w:rStyle w:val="AERbody"/>
        </w:rPr>
        <w:t>$52.7 million to address forecast power quality issues using traditional techniques in response to customer complaints (as set out below)</w:t>
      </w:r>
    </w:p>
    <w:p w:rsidR="00525DDF" w:rsidRPr="00525DDF" w:rsidRDefault="00525DDF" w:rsidP="00525DDF">
      <w:pPr>
        <w:pStyle w:val="AERbulletlistfirststyle"/>
        <w:rPr>
          <w:rStyle w:val="AERbody"/>
        </w:rPr>
      </w:pPr>
      <w:r w:rsidRPr="00525DDF">
        <w:rPr>
          <w:rStyle w:val="AERbody"/>
        </w:rPr>
        <w:t xml:space="preserve">$19.6 million to install monitors on its network </w:t>
      </w:r>
      <w:r w:rsidR="00C76FB7">
        <w:rPr>
          <w:rStyle w:val="AERbody"/>
        </w:rPr>
        <w:t xml:space="preserve">to </w:t>
      </w:r>
      <w:r w:rsidRPr="00525DDF">
        <w:rPr>
          <w:rStyle w:val="AERbody"/>
        </w:rPr>
        <w:t>improve capacity planning and power quality management in rural areas of the network in the context of projected increases in solar system installations.</w:t>
      </w:r>
      <w:r w:rsidRPr="00525DDF">
        <w:rPr>
          <w:rStyle w:val="FootnoteReference"/>
        </w:rPr>
        <w:footnoteReference w:id="56"/>
      </w:r>
    </w:p>
    <w:p w:rsidR="00525DDF" w:rsidRPr="00525DDF" w:rsidRDefault="00525DDF" w:rsidP="00525DDF">
      <w:r w:rsidRPr="00525DDF">
        <w:rPr>
          <w:rStyle w:val="AERbody"/>
        </w:rPr>
        <w:t>Power quality issues are driven primarily by voltage fluctuations across the network. SA Power Networks submit that the rapid growth of solar panels in South Australia in the 2010</w:t>
      </w:r>
      <w:r w:rsidR="001044D7">
        <w:rPr>
          <w:rStyle w:val="AERbody"/>
        </w:rPr>
        <w:t>–</w:t>
      </w:r>
      <w:r w:rsidRPr="00525DDF">
        <w:rPr>
          <w:rStyle w:val="AERbody"/>
        </w:rPr>
        <w:t>15 period drove an increasing number of 'two way' power flows across the low voltage network, leading to high-voltage fluctuations.</w:t>
      </w:r>
      <w:r w:rsidRPr="00525DDF">
        <w:rPr>
          <w:rStyle w:val="FootnoteReference"/>
        </w:rPr>
        <w:footnoteReference w:id="57"/>
      </w:r>
      <w:r w:rsidRPr="00525DDF">
        <w:rPr>
          <w:rStyle w:val="AERbody"/>
        </w:rPr>
        <w:t xml:space="preserve"> SA Power Networks forecasts a doubling in the uptake of solar panels in South Australia by 2020 and </w:t>
      </w:r>
      <w:r w:rsidRPr="00525DDF">
        <w:rPr>
          <w:rStyle w:val="AERbody"/>
        </w:rPr>
        <w:lastRenderedPageBreak/>
        <w:t>considers that improved voltage regulation is required to prevent widespread customer power quality issues.</w:t>
      </w:r>
      <w:r w:rsidRPr="00525DDF">
        <w:rPr>
          <w:rStyle w:val="FootnoteReference"/>
        </w:rPr>
        <w:footnoteReference w:id="58"/>
      </w:r>
      <w:r w:rsidRPr="00525DDF">
        <w:t xml:space="preserve"> </w:t>
      </w:r>
    </w:p>
    <w:p w:rsidR="00525DDF" w:rsidRPr="00525DDF" w:rsidRDefault="00525DDF" w:rsidP="00525DDF">
      <w:r w:rsidRPr="00525DDF">
        <w:t>We do not accept SA Power Networks' proposed $72.3 million ($2014</w:t>
      </w:r>
      <w:r w:rsidR="001044D7">
        <w:t>–</w:t>
      </w:r>
      <w:r w:rsidRPr="00525DDF">
        <w:t>15) forecast and have instead included $52.7 million ($2014</w:t>
      </w:r>
      <w:r w:rsidR="001044D7">
        <w:t>–</w:t>
      </w:r>
      <w:r w:rsidRPr="00525DDF">
        <w:t>15) in our alternative estimate. In coming to this view, we considered that:</w:t>
      </w:r>
    </w:p>
    <w:p w:rsidR="00525DDF" w:rsidRPr="00525DDF" w:rsidRDefault="00525DDF" w:rsidP="00525DDF">
      <w:pPr>
        <w:pStyle w:val="AERbulletlistfirststyle"/>
      </w:pPr>
      <w:r w:rsidRPr="00525DDF">
        <w:t>SA Power Networks' projected doubling of solar panel connections by 2020 is likely overstated based on a comparison to AEMO’s independent forecast of South Australian solar generation by 2020. AEMO is currently preparing updated solar generation forecasts for South Australia as part of its National Electricity Forecasting Report for 2015. We expect SA Power Networks to take AEMO's most recent forecasts into account when preparing its submission on the revocation and substitution of our preliminary decision.</w:t>
      </w:r>
    </w:p>
    <w:p w:rsidR="00525DDF" w:rsidRPr="00525DDF" w:rsidRDefault="00525DDF" w:rsidP="00525DDF">
      <w:pPr>
        <w:pStyle w:val="AERbulletlistfirststyle"/>
      </w:pPr>
      <w:r w:rsidRPr="00525DDF">
        <w:t>Through the use of traditional reactive techniques, SA Power Networks was able to effectively respond to a rapid increase in high-voltage problems over the 2010</w:t>
      </w:r>
      <w:r w:rsidR="001044D7">
        <w:t>–</w:t>
      </w:r>
      <w:r w:rsidRPr="00525DDF">
        <w:t>15 period. SA Power Networks has not demonstrated that it will be unable to effectively and efficiently manage power quality issues using traditional industry standard approaches, without network monitoring.</w:t>
      </w:r>
    </w:p>
    <w:p w:rsidR="00525DDF" w:rsidRPr="00525DDF" w:rsidRDefault="00525DDF" w:rsidP="00525DDF">
      <w:r w:rsidRPr="00525DDF">
        <w:t>Our alternative estimate of $52.7 million ($2014</w:t>
      </w:r>
      <w:r w:rsidR="001044D7">
        <w:t>–</w:t>
      </w:r>
      <w:r w:rsidRPr="00525DDF">
        <w:t>15) will allow SA Power Networks to maintain power quality using existing approaches that have proven to be effective. While power quality issues will likely remain (as forecast by SA Power Networks), given the uncertainty surrounding the forecasting of future solar installations we consider that it is prudent to adopt a ‘wait and see’ approach rather than provide an additional $19.6 million ($2014</w:t>
      </w:r>
      <w:r w:rsidR="001044D7">
        <w:t>–</w:t>
      </w:r>
      <w:r w:rsidRPr="00525DDF">
        <w:t xml:space="preserve">15) capex for network monitoring. This will allow SA Power Networks to consider the actual quantum and impact of additional solar panel installation on power quality problems, and its ability to manage these problems using existing industry standard approaches.  </w:t>
      </w:r>
    </w:p>
    <w:p w:rsidR="00525DDF" w:rsidRPr="00624A53" w:rsidRDefault="00525DDF" w:rsidP="00624A53">
      <w:pPr>
        <w:pStyle w:val="HeadingBoldItalic"/>
        <w:rPr>
          <w:rStyle w:val="Emphasis"/>
          <w:i/>
          <w:iCs/>
        </w:rPr>
      </w:pPr>
      <w:r w:rsidRPr="00624A53">
        <w:rPr>
          <w:rStyle w:val="Emphasis"/>
          <w:i/>
          <w:iCs/>
        </w:rPr>
        <w:t>Forecast increases in solar panel installations</w:t>
      </w:r>
    </w:p>
    <w:p w:rsidR="00525DDF" w:rsidRPr="00525DDF" w:rsidRDefault="00525DDF" w:rsidP="00525DDF">
      <w:pPr>
        <w:rPr>
          <w:rStyle w:val="AERbody"/>
        </w:rPr>
      </w:pPr>
      <w:r w:rsidRPr="00525DDF">
        <w:rPr>
          <w:rStyle w:val="AERbody"/>
        </w:rPr>
        <w:t xml:space="preserve">As noted, the key driver of this two-way network capex is SA Power Networks' expectation that solar panel installation will double by 2020 to 40 per cent network penetration. </w:t>
      </w:r>
    </w:p>
    <w:p w:rsidR="00525DDF" w:rsidRPr="00525DDF" w:rsidRDefault="00525DDF" w:rsidP="00525DDF">
      <w:r w:rsidRPr="00525DDF">
        <w:t>AEMO provides an independent forecast of solar panel generation in South Australia in its South Australian Electricity Report published in August 2014.</w:t>
      </w:r>
      <w:r w:rsidRPr="00525DDF">
        <w:rPr>
          <w:rStyle w:val="FootnoteReference"/>
        </w:rPr>
        <w:footnoteReference w:id="59"/>
      </w:r>
      <w:r w:rsidRPr="00525DDF">
        <w:t xml:space="preserve"> We have compared AEMO’s forecast of solar generation with SA Power Networks' forecast doubling of solar installations by 2020. While trends in generation and connections are not necessarily identical (as solar installations can differ based on capacity installed) any increase in solar generation will likely be driven by increases in the number of solar generators from new installations. </w:t>
      </w:r>
    </w:p>
    <w:p w:rsidR="00525DDF" w:rsidRPr="00525DDF" w:rsidRDefault="00525DDF" w:rsidP="00525DDF">
      <w:r w:rsidRPr="00525DDF">
        <w:lastRenderedPageBreak/>
        <w:t>AEMO's forecasts an increase in solar generation of 70 per cent by 2020.</w:t>
      </w:r>
      <w:r w:rsidRPr="00525DDF">
        <w:rPr>
          <w:rStyle w:val="FootnoteReference"/>
        </w:rPr>
        <w:footnoteReference w:id="60"/>
      </w:r>
      <w:r w:rsidRPr="00525DDF">
        <w:t xml:space="preserve">  While this translates into an increase in the number of solar connections, it does indicate that SA Power Networks' forecast of a 100</w:t>
      </w:r>
      <w:r w:rsidR="00AD3E36">
        <w:t xml:space="preserve"> per cent</w:t>
      </w:r>
      <w:r w:rsidRPr="00525DDF">
        <w:t xml:space="preserve"> increase in solar connections may be overestimated by 30 per cent. However, it is still reasonable to assume that there will be some increases in high-voltage issues associated with the increase in solar panel installations over the 2015</w:t>
      </w:r>
      <w:r w:rsidR="0080582B">
        <w:t>–</w:t>
      </w:r>
      <w:r w:rsidRPr="00525DDF">
        <w:t xml:space="preserve">20 </w:t>
      </w:r>
      <w:r w:rsidR="001C0B41">
        <w:t xml:space="preserve">regulatory control </w:t>
      </w:r>
      <w:r w:rsidRPr="00525DDF">
        <w:t>period.</w:t>
      </w:r>
    </w:p>
    <w:p w:rsidR="00525DDF" w:rsidRPr="00525DDF" w:rsidRDefault="00525DDF" w:rsidP="00525DDF">
      <w:r w:rsidRPr="00525DDF">
        <w:t>AEMO is currently preparing its National Electricity Forecasting Report 2015, which will be published in June 2015. As part of this report, AEMO will prepare updated forecasts for solar generation for each region of the NEM, including South Australia. Given the differences between SA Power Networks and AEMO’s existing solar forecasts for 2015</w:t>
      </w:r>
      <w:r w:rsidR="00AD3E36">
        <w:t>–</w:t>
      </w:r>
      <w:r w:rsidRPr="00525DDF">
        <w:t xml:space="preserve">10, we consider that it is prudent to consider these forecasts when we </w:t>
      </w:r>
      <w:r w:rsidR="00C76FB7">
        <w:t>make our decision on the revocation and substitution of this preliminary determination.</w:t>
      </w:r>
    </w:p>
    <w:p w:rsidR="00525DDF" w:rsidRPr="00624A53" w:rsidRDefault="00525DDF" w:rsidP="00624A53">
      <w:pPr>
        <w:pStyle w:val="HeadingBoldItalic"/>
        <w:rPr>
          <w:rStyle w:val="Emphasis"/>
          <w:i/>
          <w:iCs/>
        </w:rPr>
      </w:pPr>
      <w:r w:rsidRPr="00624A53">
        <w:rPr>
          <w:rStyle w:val="Emphasis"/>
          <w:i/>
          <w:iCs/>
        </w:rPr>
        <w:t>Managing power quality complaints</w:t>
      </w:r>
    </w:p>
    <w:p w:rsidR="00525DDF" w:rsidRPr="00525DDF" w:rsidRDefault="00525DDF" w:rsidP="00525DDF">
      <w:r w:rsidRPr="00525DDF">
        <w:t xml:space="preserve">SA Power Networks currently manages power quality by relying on customer complaints of localised power quality problems. In response to customer complaints, SA Power Networks identifies the nature of the issue and upgrades distribution transformers, HV or LV mains, and voltage regulators. These are industry standard approaches to managing power quality. SA Power Networks submits that this reactive approach is effective and efficient to manage the historically small number and nature of the issues. </w:t>
      </w:r>
    </w:p>
    <w:p w:rsidR="00525DDF" w:rsidRPr="00525DDF" w:rsidRDefault="00525DDF" w:rsidP="00525DDF">
      <w:r w:rsidRPr="00525DDF">
        <w:t>SA Power Networks propose</w:t>
      </w:r>
      <w:r w:rsidR="00470C43">
        <w:t>d</w:t>
      </w:r>
      <w:r w:rsidRPr="00525DDF">
        <w:t xml:space="preserve"> $52.7 million</w:t>
      </w:r>
      <w:r w:rsidR="00AD3E36">
        <w:t xml:space="preserve"> </w:t>
      </w:r>
      <w:r w:rsidR="00AD3E36" w:rsidRPr="00525DDF">
        <w:t>($2014</w:t>
      </w:r>
      <w:r w:rsidR="00AD3E36">
        <w:t>–</w:t>
      </w:r>
      <w:r w:rsidR="00AD3E36" w:rsidRPr="00525DDF">
        <w:t>15)</w:t>
      </w:r>
      <w:r w:rsidRPr="00525DDF">
        <w:t xml:space="preserve"> capex over 2015</w:t>
      </w:r>
      <w:r w:rsidR="00AD3E36">
        <w:t>–</w:t>
      </w:r>
      <w:r w:rsidRPr="00525DDF">
        <w:t>20 to manage power quality issues based on its traditional reactive approach. SA Power Networks estimates the same number of power quality complaints and remediation projects over 2015</w:t>
      </w:r>
      <w:r w:rsidR="00AD3E36">
        <w:t>–</w:t>
      </w:r>
      <w:r w:rsidRPr="00525DDF">
        <w:t xml:space="preserve">20 and has not forecast any additional capex from the current period to address power quality issues. </w:t>
      </w:r>
    </w:p>
    <w:p w:rsidR="00525DDF" w:rsidRPr="00525DDF" w:rsidRDefault="00525DDF" w:rsidP="00525DDF">
      <w:r w:rsidRPr="00525DDF">
        <w:fldChar w:fldCharType="begin"/>
      </w:r>
      <w:r w:rsidRPr="00525DDF">
        <w:instrText xml:space="preserve"> REF _Ref415653439 \h </w:instrText>
      </w:r>
      <w:r w:rsidRPr="00525DDF">
        <w:fldChar w:fldCharType="separate"/>
      </w:r>
      <w:r w:rsidR="00F02131">
        <w:t xml:space="preserve">Figure </w:t>
      </w:r>
      <w:r w:rsidR="00F02131">
        <w:rPr>
          <w:noProof/>
        </w:rPr>
        <w:t>B</w:t>
      </w:r>
      <w:r w:rsidR="00F02131">
        <w:noBreakHyphen/>
      </w:r>
      <w:r w:rsidR="00F02131">
        <w:rPr>
          <w:noProof/>
        </w:rPr>
        <w:t>4</w:t>
      </w:r>
      <w:r w:rsidRPr="00525DDF">
        <w:fldChar w:fldCharType="end"/>
      </w:r>
      <w:r w:rsidRPr="00525DDF">
        <w:t xml:space="preserve"> shows the annual number of customer complaints by power quality issue over the current period. This shows that the number of high-voltage complaints increased over the 2010</w:t>
      </w:r>
      <w:r w:rsidR="00AD3E36">
        <w:t>–</w:t>
      </w:r>
      <w:r w:rsidRPr="00525DDF">
        <w:t>13 period due to the rapid growth in solar panel installation, and then decreased in 2013</w:t>
      </w:r>
      <w:r w:rsidR="00AD3E36">
        <w:t>–</w:t>
      </w:r>
      <w:r w:rsidRPr="00525DDF">
        <w:t>14. The number of lower-voltage complaints and flickering decreased over the period.</w:t>
      </w:r>
    </w:p>
    <w:p w:rsidR="00525DDF" w:rsidRPr="00DC3B98" w:rsidRDefault="00EB78CC" w:rsidP="001C0B41">
      <w:pPr>
        <w:pStyle w:val="Caption"/>
        <w:rPr>
          <w:rStyle w:val="AERtextorange"/>
          <w:color w:val="076A92" w:themeColor="text1"/>
        </w:rPr>
      </w:pPr>
      <w:bookmarkStart w:id="125" w:name="_Ref415653439"/>
      <w:bookmarkStart w:id="126" w:name="_Ref415492405"/>
      <w:r w:rsidRPr="001C0B41">
        <w:lastRenderedPageBreak/>
        <w:t xml:space="preserve">Figure </w:t>
      </w:r>
      <w:fldSimple w:instr=" STYLEREF 7 \s ">
        <w:r w:rsidR="00F02131" w:rsidRPr="001C0B41">
          <w:t>B</w:t>
        </w:r>
      </w:fldSimple>
      <w:r w:rsidRPr="001C0B41">
        <w:noBreakHyphen/>
      </w:r>
      <w:fldSimple w:instr=" SEQ AFigure \* ARABIC \s 7 ">
        <w:r w:rsidR="00F02131" w:rsidRPr="001C0B41">
          <w:t>4</w:t>
        </w:r>
      </w:fldSimple>
      <w:bookmarkEnd w:id="125"/>
      <w:r w:rsidR="00525DDF" w:rsidRPr="001C0B41">
        <w:tab/>
      </w:r>
      <w:r w:rsidR="00525DDF" w:rsidRPr="001C0B41">
        <w:rPr>
          <w:rStyle w:val="AERtextorange"/>
          <w:color w:val="076A92" w:themeColor="text1"/>
        </w:rPr>
        <w:t>SA Power Networks' power quality complaints 2009</w:t>
      </w:r>
      <w:r w:rsidR="00AD3E36" w:rsidRPr="001C0B41">
        <w:rPr>
          <w:rStyle w:val="AERtextorange"/>
          <w:color w:val="076A92" w:themeColor="text1"/>
        </w:rPr>
        <w:t>–</w:t>
      </w:r>
      <w:r w:rsidR="00525DDF" w:rsidRPr="001C0B41">
        <w:rPr>
          <w:rStyle w:val="AERtextorange"/>
          <w:color w:val="076A92" w:themeColor="text1"/>
        </w:rPr>
        <w:t>10 and 2013</w:t>
      </w:r>
      <w:r w:rsidR="001C0B41" w:rsidRPr="001C0B41">
        <w:rPr>
          <w:rStyle w:val="AERtextorange"/>
          <w:color w:val="076A92" w:themeColor="text1"/>
        </w:rPr>
        <w:t>−</w:t>
      </w:r>
      <w:r w:rsidR="00525DDF" w:rsidRPr="001C0B41">
        <w:rPr>
          <w:rStyle w:val="AERtextorange"/>
          <w:color w:val="076A92" w:themeColor="text1"/>
        </w:rPr>
        <w:t>1</w:t>
      </w:r>
      <w:r w:rsidR="00525DDF" w:rsidRPr="00DC3B98">
        <w:rPr>
          <w:rStyle w:val="AERtextorange"/>
          <w:color w:val="076A92" w:themeColor="text1"/>
        </w:rPr>
        <w:t>4</w:t>
      </w:r>
      <w:bookmarkEnd w:id="126"/>
    </w:p>
    <w:p w:rsidR="00525DDF" w:rsidRPr="00525DDF" w:rsidRDefault="00525DDF" w:rsidP="00525DDF">
      <w:pPr>
        <w:rPr>
          <w:rStyle w:val="AERbody"/>
        </w:rPr>
      </w:pPr>
      <w:r w:rsidRPr="00525DDF">
        <w:rPr>
          <w:noProof/>
          <w:lang w:eastAsia="en-AU"/>
        </w:rPr>
        <w:drawing>
          <wp:inline distT="0" distB="0" distL="0" distR="0" wp14:anchorId="3C134744" wp14:editId="4AA1D59E">
            <wp:extent cx="5359179" cy="323387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695" cy="3237803"/>
                    </a:xfrm>
                    <a:prstGeom prst="rect">
                      <a:avLst/>
                    </a:prstGeom>
                    <a:noFill/>
                  </pic:spPr>
                </pic:pic>
              </a:graphicData>
            </a:graphic>
          </wp:inline>
        </w:drawing>
      </w:r>
    </w:p>
    <w:p w:rsidR="00525DDF" w:rsidRPr="00DC3B98" w:rsidRDefault="00525DDF" w:rsidP="00470C43">
      <w:pPr>
        <w:pStyle w:val="AERtablesource"/>
      </w:pPr>
      <w:r w:rsidRPr="00DC3B98">
        <w:rPr>
          <w:rStyle w:val="AERbody"/>
          <w:rFonts w:eastAsiaTheme="majorEastAsia"/>
          <w:sz w:val="16"/>
        </w:rPr>
        <w:t xml:space="preserve">Source: </w:t>
      </w:r>
      <w:r w:rsidR="006A75FD">
        <w:rPr>
          <w:rStyle w:val="AERbody"/>
          <w:rFonts w:eastAsiaTheme="majorEastAsia"/>
        </w:rPr>
        <w:tab/>
      </w:r>
      <w:r w:rsidRPr="00DC3B98">
        <w:rPr>
          <w:rStyle w:val="AERbody"/>
          <w:rFonts w:eastAsiaTheme="majorEastAsia"/>
          <w:sz w:val="16"/>
        </w:rPr>
        <w:t xml:space="preserve">AER analysis, SA Power </w:t>
      </w:r>
      <w:r w:rsidRPr="00470C43">
        <w:rPr>
          <w:rStyle w:val="AERbody"/>
          <w:rFonts w:eastAsiaTheme="majorEastAsia"/>
          <w:sz w:val="16"/>
        </w:rPr>
        <w:t>Networks</w:t>
      </w:r>
      <w:r w:rsidR="00470C43" w:rsidRPr="00470C43">
        <w:rPr>
          <w:rStyle w:val="AERbody"/>
          <w:rFonts w:eastAsiaTheme="majorEastAsia"/>
          <w:sz w:val="16"/>
        </w:rPr>
        <w:t>'</w:t>
      </w:r>
      <w:r w:rsidRPr="00470C43">
        <w:rPr>
          <w:rStyle w:val="AERbody"/>
          <w:rFonts w:eastAsiaTheme="majorEastAsia"/>
          <w:sz w:val="16"/>
        </w:rPr>
        <w:t xml:space="preserve"> response</w:t>
      </w:r>
      <w:r w:rsidRPr="00DC3B98">
        <w:rPr>
          <w:rStyle w:val="AERbody"/>
          <w:rFonts w:eastAsiaTheme="majorEastAsia"/>
          <w:sz w:val="16"/>
        </w:rPr>
        <w:t xml:space="preserve"> to AER SAPN015 </w:t>
      </w:r>
    </w:p>
    <w:p w:rsidR="00525DDF" w:rsidRPr="00525DDF" w:rsidRDefault="00525DDF" w:rsidP="00525DDF">
      <w:r w:rsidRPr="00525DDF">
        <w:t>SA Power Networks considers that it will be unable to rely on a purely reactive approach without network monitoring if the number of high-voltage issues increases based on projects growth in solar installations.</w:t>
      </w:r>
      <w:r w:rsidRPr="00525DDF">
        <w:rPr>
          <w:rStyle w:val="FootnoteReference"/>
        </w:rPr>
        <w:footnoteReference w:id="61"/>
      </w:r>
      <w:r w:rsidRPr="00525DDF">
        <w:t xml:space="preserve">  </w:t>
      </w:r>
      <w:r w:rsidRPr="00525DDF">
        <w:rPr>
          <w:rStyle w:val="AERbody"/>
        </w:rPr>
        <w:t xml:space="preserve">In support of its proposal, </w:t>
      </w:r>
      <w:r w:rsidRPr="00525DDF">
        <w:t>SA Power Networks references a report by Power Systems Consulting (PSC) which found that for some older areas of the low voltage network, infrastructure and voltage regulation limit acceptable solar panel penetration to around 25</w:t>
      </w:r>
      <w:r w:rsidR="00DC3B98">
        <w:t xml:space="preserve"> per cent</w:t>
      </w:r>
      <w:r w:rsidRPr="00525DDF">
        <w:t xml:space="preserve"> of customers before voltage regulation issues emerge.</w:t>
      </w:r>
      <w:r w:rsidRPr="00525DDF">
        <w:rPr>
          <w:rStyle w:val="FootnoteReference"/>
        </w:rPr>
        <w:footnoteReference w:id="62"/>
      </w:r>
      <w:r w:rsidRPr="00525DDF">
        <w:t xml:space="preserve"> Based on the projected increase in solar connections over 2015</w:t>
      </w:r>
      <w:r w:rsidR="00AD3E36">
        <w:t>–</w:t>
      </w:r>
      <w:r w:rsidRPr="00525DDF">
        <w:t>20, SA Power Networks expects that particular areas of the network where solar p</w:t>
      </w:r>
      <w:r w:rsidR="00DC3B98">
        <w:t>anel penetration will exceed 25 per cent</w:t>
      </w:r>
      <w:r w:rsidRPr="00525DDF">
        <w:t xml:space="preserve"> will increase.</w:t>
      </w:r>
    </w:p>
    <w:p w:rsidR="00525DDF" w:rsidRPr="00525DDF" w:rsidRDefault="00525DDF" w:rsidP="00525DDF">
      <w:r w:rsidRPr="00525DDF">
        <w:t>We have carefully reviewed the findings of the PSC report and SA Power Networks' proposal. While the PSC report finds that some minimal power quality issues are likely to arise through additional growth in solar panel installations in older areas of the network, in our view the report generally finds these could be managed using generally accepted responses typical in the industry and currently adopted by SA Power Networks (e.g. retaping distribution transformers, management of float voltages, targeted augmentation).</w:t>
      </w:r>
      <w:r w:rsidRPr="00525DDF">
        <w:rPr>
          <w:rStyle w:val="FootnoteReference"/>
        </w:rPr>
        <w:footnoteReference w:id="63"/>
      </w:r>
      <w:r w:rsidRPr="00525DDF">
        <w:t xml:space="preserve"> We consider that the report does not identify specific issues </w:t>
      </w:r>
      <w:r w:rsidRPr="00525DDF">
        <w:lastRenderedPageBreak/>
        <w:t>that are likely to adversely impact on power quality performance or arise from two-way power flow which cannot be reasonably addressed through current strategies and expenditures.</w:t>
      </w:r>
    </w:p>
    <w:p w:rsidR="00525DDF" w:rsidRPr="00525DDF" w:rsidRDefault="00525DDF" w:rsidP="00525DDF">
      <w:r w:rsidRPr="00525DDF">
        <w:t xml:space="preserve">Further, through the use of traditional reactive techniques, SA Power Networks was able to effectively respond to a rapid increase in high-voltage problems over the </w:t>
      </w:r>
      <w:r w:rsidR="004B6209">
        <w:br/>
      </w:r>
      <w:r w:rsidRPr="00525DDF">
        <w:t>2010</w:t>
      </w:r>
      <w:r w:rsidR="004B6209">
        <w:t>–</w:t>
      </w:r>
      <w:r w:rsidRPr="00525DDF">
        <w:t xml:space="preserve">13 period. Given the downwards movement in high-voltage problems in </w:t>
      </w:r>
      <w:r w:rsidR="004B6209">
        <w:br/>
      </w:r>
      <w:r w:rsidRPr="00525DDF">
        <w:t>2013</w:t>
      </w:r>
      <w:r w:rsidR="004B6209">
        <w:t>–</w:t>
      </w:r>
      <w:r w:rsidRPr="00525DDF">
        <w:t>14, and the uncertainty about the projected increase in solar panel installations, it is not clear that there will be a rapid increase in high-voltage problems above what SA Power Networks has already managed. Based on the information available to us, SA Power Networks has not sufficiently justified why additional expenditure over and above using its traditional reactive approach would be in the long term interests of consumers</w:t>
      </w:r>
    </w:p>
    <w:p w:rsidR="00525DDF" w:rsidRPr="00525DDF" w:rsidRDefault="00525DDF" w:rsidP="00525DDF">
      <w:r w:rsidRPr="00525DDF">
        <w:t xml:space="preserve">While power quality issues will likely remain (as forecast by SA Power Networks), given the uncertainty surrounding the forecasting of future solar installations, we consider that there is insufficient evidence that investing in network monitoring in </w:t>
      </w:r>
      <w:r w:rsidR="004B6209">
        <w:br/>
      </w:r>
      <w:r w:rsidRPr="00525DDF">
        <w:t>2015</w:t>
      </w:r>
      <w:r w:rsidR="004B6209">
        <w:t>–</w:t>
      </w:r>
      <w:r w:rsidRPr="00525DDF">
        <w:t>20 is prudent and efficient. While we support innovation and new technology that allows a business to more efficiently and effectively maintain service levels, we consider that it is more prudent to adopt a 'wait and see' approach which will allow SA Power Networks to consider the actual quantum and impact of additional solar panel installation on power quality problems, and its ability to manage these problems using existing industry standard approaches. Therefore we have not included the additional $19.6 million ($2014</w:t>
      </w:r>
      <w:r w:rsidR="004B6209">
        <w:t>–</w:t>
      </w:r>
      <w:r w:rsidRPr="00525DDF">
        <w:t>15) capex for network monitoring in our alternative estimate.</w:t>
      </w:r>
    </w:p>
    <w:p w:rsidR="00525DDF" w:rsidRPr="00525DDF" w:rsidRDefault="00525DDF" w:rsidP="00525DDF">
      <w:pPr>
        <w:pStyle w:val="Heading9"/>
      </w:pPr>
      <w:bookmarkStart w:id="127" w:name="_Ref417643930"/>
      <w:bookmarkStart w:id="128" w:name="_Toc417725393"/>
      <w:r w:rsidRPr="00525DDF">
        <w:t>Safety-related augmentation</w:t>
      </w:r>
      <w:bookmarkEnd w:id="127"/>
      <w:bookmarkEnd w:id="128"/>
    </w:p>
    <w:p w:rsidR="00525DDF" w:rsidRPr="00525DDF" w:rsidRDefault="00525DDF" w:rsidP="00525DDF">
      <w:r w:rsidRPr="00525DDF">
        <w:rPr>
          <w:rStyle w:val="AERbody"/>
        </w:rPr>
        <w:t>SA Power Networks propose</w:t>
      </w:r>
      <w:r w:rsidR="00470C43">
        <w:rPr>
          <w:rStyle w:val="AERbody"/>
        </w:rPr>
        <w:t>d</w:t>
      </w:r>
      <w:r w:rsidRPr="00525DDF">
        <w:rPr>
          <w:rStyle w:val="AERbody"/>
        </w:rPr>
        <w:t xml:space="preserve"> a forecast of $307.8 million ($2014</w:t>
      </w:r>
      <w:r w:rsidR="004B6209">
        <w:rPr>
          <w:rStyle w:val="AERbody"/>
        </w:rPr>
        <w:t>–</w:t>
      </w:r>
      <w:r w:rsidRPr="00525DDF">
        <w:rPr>
          <w:rStyle w:val="AERbody"/>
        </w:rPr>
        <w:t xml:space="preserve">15) for safety-related augex (excluding overheads). This is </w:t>
      </w:r>
      <w:r w:rsidRPr="00525DDF">
        <w:t>driven primarily by two new safety programs for the 2015</w:t>
      </w:r>
      <w:r w:rsidR="004B6209">
        <w:t>–</w:t>
      </w:r>
      <w:r w:rsidRPr="00525DDF">
        <w:t xml:space="preserve">20 period — a bushfire mitigation program, and a road-safety program. </w:t>
      </w:r>
    </w:p>
    <w:p w:rsidR="00525DDF" w:rsidRPr="00525DDF" w:rsidRDefault="00525DDF" w:rsidP="00525DDF">
      <w:r w:rsidRPr="00525DDF">
        <w:t>SA Power Networks submits that these proposed investments are supported by the results of customer willingness-to-pay studies that show that SA Power Networks' customers support and are willing to pay for these investments through their electricity bills. W</w:t>
      </w:r>
      <w:r w:rsidRPr="00525DDF">
        <w:rPr>
          <w:rStyle w:val="AERbody"/>
        </w:rPr>
        <w:t>e commissioned consultants Oakley Greenwood to review SA</w:t>
      </w:r>
      <w:r w:rsidR="00FA3FC1">
        <w:rPr>
          <w:rStyle w:val="AERbody"/>
        </w:rPr>
        <w:t xml:space="preserve"> </w:t>
      </w:r>
      <w:r w:rsidRPr="00525DDF">
        <w:rPr>
          <w:rStyle w:val="AERbody"/>
        </w:rPr>
        <w:t>P</w:t>
      </w:r>
      <w:r w:rsidR="00FA3FC1">
        <w:rPr>
          <w:rStyle w:val="AERbody"/>
        </w:rPr>
        <w:t>ower Networks</w:t>
      </w:r>
      <w:r w:rsidR="00470C43">
        <w:rPr>
          <w:rStyle w:val="AERbody"/>
        </w:rPr>
        <w:t>'</w:t>
      </w:r>
      <w:r w:rsidRPr="00525DDF">
        <w:rPr>
          <w:rStyle w:val="AERbody"/>
        </w:rPr>
        <w:t xml:space="preserve"> willingness-to-pay study.</w:t>
      </w:r>
      <w:r w:rsidRPr="00525DDF">
        <w:rPr>
          <w:rStyle w:val="FootnoteReference"/>
        </w:rPr>
        <w:footnoteReference w:id="64"/>
      </w:r>
      <w:r w:rsidRPr="00525DDF">
        <w:rPr>
          <w:rStyle w:val="AERbody"/>
        </w:rPr>
        <w:t xml:space="preserve"> We consider its findings it the specific sections below.</w:t>
      </w:r>
    </w:p>
    <w:p w:rsidR="00525DDF" w:rsidRPr="00525DDF" w:rsidRDefault="00525DDF" w:rsidP="00525DDF">
      <w:r w:rsidRPr="00525DDF">
        <w:t>We do not accept SA Power Networks' proposed $307.8 million</w:t>
      </w:r>
      <w:r w:rsidR="004B6209">
        <w:t xml:space="preserve"> </w:t>
      </w:r>
      <w:r w:rsidR="004B6209" w:rsidRPr="00525DDF">
        <w:rPr>
          <w:rStyle w:val="AERbody"/>
        </w:rPr>
        <w:t>($2014</w:t>
      </w:r>
      <w:r w:rsidR="004B6209">
        <w:rPr>
          <w:rStyle w:val="AERbody"/>
        </w:rPr>
        <w:t>–</w:t>
      </w:r>
      <w:r w:rsidR="004B6209" w:rsidRPr="00525DDF">
        <w:rPr>
          <w:rStyle w:val="AERbody"/>
        </w:rPr>
        <w:t>15)</w:t>
      </w:r>
      <w:r w:rsidRPr="00525DDF">
        <w:t xml:space="preserve"> forecast and have instead included $21.1 million </w:t>
      </w:r>
      <w:r w:rsidR="004B6209" w:rsidRPr="00525DDF">
        <w:rPr>
          <w:rStyle w:val="AERbody"/>
        </w:rPr>
        <w:t>($2014</w:t>
      </w:r>
      <w:r w:rsidR="004B6209">
        <w:rPr>
          <w:rStyle w:val="AERbody"/>
        </w:rPr>
        <w:t>–</w:t>
      </w:r>
      <w:r w:rsidR="004B6209" w:rsidRPr="00525DDF">
        <w:rPr>
          <w:rStyle w:val="AERbody"/>
        </w:rPr>
        <w:t>15)</w:t>
      </w:r>
      <w:r w:rsidR="004B6209">
        <w:rPr>
          <w:rStyle w:val="AERbody"/>
        </w:rPr>
        <w:t xml:space="preserve"> </w:t>
      </w:r>
      <w:r w:rsidRPr="00525DDF">
        <w:t xml:space="preserve">in our alternative estimate. In coming to this view, we have assessed the proposed bushfire and road safety capex proposals. Based on our assessment, we find that the proposed capex for the bushfire and road-safety programs do not reasonably reflect the capex objectives and therefore </w:t>
      </w:r>
      <w:r w:rsidRPr="00525DDF">
        <w:lastRenderedPageBreak/>
        <w:t xml:space="preserve">we have not included the proposed capex in our alternative estimate of SA Power Networks' capex requirements. </w:t>
      </w:r>
    </w:p>
    <w:p w:rsidR="00525DDF" w:rsidRPr="00525DDF" w:rsidRDefault="00525DDF" w:rsidP="00525DDF">
      <w:r w:rsidRPr="00525DDF">
        <w:t xml:space="preserve">Our assessment of these two programs is contained is contained in </w:t>
      </w:r>
      <w:r w:rsidR="00F02131">
        <w:t xml:space="preserve">the </w:t>
      </w:r>
      <w:r w:rsidRPr="00525DDF">
        <w:t>section</w:t>
      </w:r>
      <w:r w:rsidR="00F02131">
        <w:t xml:space="preserve">s below. </w:t>
      </w:r>
    </w:p>
    <w:p w:rsidR="00525DDF" w:rsidRPr="00525DDF" w:rsidRDefault="00525DDF" w:rsidP="00624A53">
      <w:pPr>
        <w:pStyle w:val="HeadingBoldBlue"/>
      </w:pPr>
      <w:bookmarkStart w:id="129" w:name="_Ref416686678"/>
      <w:r w:rsidRPr="00525DDF">
        <w:t>Bushfire mitigation</w:t>
      </w:r>
      <w:bookmarkEnd w:id="129"/>
    </w:p>
    <w:p w:rsidR="00525DDF" w:rsidRPr="00525DDF" w:rsidRDefault="00525DDF" w:rsidP="00525DDF">
      <w:r w:rsidRPr="00525DDF">
        <w:t xml:space="preserve">SA Power Networks </w:t>
      </w:r>
      <w:r w:rsidR="00367FF3">
        <w:t>has</w:t>
      </w:r>
      <w:r w:rsidRPr="00525DDF">
        <w:t xml:space="preserve"> proposed forecast capex of $212.5 million</w:t>
      </w:r>
      <w:r w:rsidR="004B6209">
        <w:t xml:space="preserve"> </w:t>
      </w:r>
      <w:r w:rsidR="004B6209" w:rsidRPr="00525DDF">
        <w:rPr>
          <w:rStyle w:val="AERbody"/>
        </w:rPr>
        <w:t>($2014</w:t>
      </w:r>
      <w:r w:rsidR="004B6209">
        <w:rPr>
          <w:rStyle w:val="AERbody"/>
        </w:rPr>
        <w:t>–</w:t>
      </w:r>
      <w:r w:rsidR="004B6209" w:rsidRPr="00525DDF">
        <w:rPr>
          <w:rStyle w:val="AERbody"/>
        </w:rPr>
        <w:t>15)</w:t>
      </w:r>
      <w:r w:rsidRPr="00525DDF">
        <w:t xml:space="preserve"> for a bushfire mitigation program for the 2015</w:t>
      </w:r>
      <w:r w:rsidR="004B6209">
        <w:t>–</w:t>
      </w:r>
      <w:r w:rsidRPr="00525DDF">
        <w:t>20 regulatory</w:t>
      </w:r>
      <w:r w:rsidR="001C0B41">
        <w:t xml:space="preserve"> control</w:t>
      </w:r>
      <w:r w:rsidRPr="00525DDF">
        <w:t xml:space="preserve"> period, excluding overheads. This proposed capex amount for the program is incremental to SA Power Networks’ business as usual capex and opex related to bushfire risk management. </w:t>
      </w:r>
      <w:r w:rsidRPr="00525DDF">
        <w:fldChar w:fldCharType="begin"/>
      </w:r>
      <w:r w:rsidRPr="00525DDF">
        <w:instrText xml:space="preserve"> REF _Ref417044105 \h </w:instrText>
      </w:r>
      <w:r w:rsidRPr="00525DDF">
        <w:fldChar w:fldCharType="separate"/>
      </w:r>
      <w:proofErr w:type="gramStart"/>
      <w:r w:rsidR="00F02131" w:rsidRPr="00525DDF">
        <w:t xml:space="preserve">Table </w:t>
      </w:r>
      <w:r w:rsidR="00F02131">
        <w:rPr>
          <w:noProof/>
        </w:rPr>
        <w:t>B</w:t>
      </w:r>
      <w:r w:rsidR="00F02131" w:rsidRPr="00525DDF">
        <w:noBreakHyphen/>
      </w:r>
      <w:r w:rsidR="00F02131">
        <w:rPr>
          <w:noProof/>
        </w:rPr>
        <w:t>4</w:t>
      </w:r>
      <w:r w:rsidRPr="00525DDF">
        <w:fldChar w:fldCharType="end"/>
      </w:r>
      <w:r w:rsidRPr="00525DDF">
        <w:t xml:space="preserve"> sets out the proposed components of the program.</w:t>
      </w:r>
      <w:proofErr w:type="gramEnd"/>
      <w:r w:rsidRPr="00525DDF">
        <w:t xml:space="preserve"> </w:t>
      </w:r>
    </w:p>
    <w:p w:rsidR="00525DDF" w:rsidRPr="00525DDF" w:rsidRDefault="00525DDF" w:rsidP="00525DDF">
      <w:pPr>
        <w:pStyle w:val="Caption"/>
      </w:pPr>
      <w:bookmarkStart w:id="130" w:name="_Ref417044105"/>
      <w:r w:rsidRPr="00525DDF">
        <w:t xml:space="preserve">Table </w:t>
      </w:r>
      <w:fldSimple w:instr=" STYLEREF 7 \s ">
        <w:r w:rsidR="00F02131">
          <w:rPr>
            <w:noProof/>
          </w:rPr>
          <w:t>B</w:t>
        </w:r>
      </w:fldSimple>
      <w:r w:rsidRPr="00525DDF">
        <w:noBreakHyphen/>
      </w:r>
      <w:fldSimple w:instr=" SEQ Table \* ARABIC \s 7 ">
        <w:r w:rsidR="00F02131">
          <w:rPr>
            <w:noProof/>
          </w:rPr>
          <w:t>4</w:t>
        </w:r>
      </w:fldSimple>
      <w:bookmarkEnd w:id="130"/>
      <w:r w:rsidRPr="00525DDF">
        <w:tab/>
        <w:t>SA</w:t>
      </w:r>
      <w:r w:rsidR="00FA3FC1">
        <w:t xml:space="preserve"> </w:t>
      </w:r>
      <w:r w:rsidRPr="00525DDF">
        <w:t>P</w:t>
      </w:r>
      <w:r w:rsidR="00FA3FC1">
        <w:t>ower Networks</w:t>
      </w:r>
      <w:r w:rsidR="00470C43">
        <w:t>'</w:t>
      </w:r>
      <w:r w:rsidRPr="00525DDF">
        <w:t xml:space="preserve"> proposed capex for a bushfire mitigation program ($2014</w:t>
      </w:r>
      <w:r w:rsidR="004B6209">
        <w:t>–</w:t>
      </w:r>
      <w:r w:rsidRPr="00525DDF">
        <w:t>15, million, including overheads)</w:t>
      </w:r>
    </w:p>
    <w:tbl>
      <w:tblPr>
        <w:tblStyle w:val="AERtable-numbers"/>
        <w:tblW w:w="0" w:type="auto"/>
        <w:tblLook w:val="04A0" w:firstRow="1" w:lastRow="0" w:firstColumn="1" w:lastColumn="0" w:noHBand="0" w:noVBand="1"/>
      </w:tblPr>
      <w:tblGrid>
        <w:gridCol w:w="6912"/>
        <w:gridCol w:w="1781"/>
      </w:tblGrid>
      <w:tr w:rsidR="00525DDF" w:rsidRPr="00A571BF" w:rsidTr="007F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 xml:space="preserve">Strategy </w:t>
            </w:r>
          </w:p>
        </w:tc>
        <w:tc>
          <w:tcPr>
            <w:tcW w:w="1781"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525DDF" w:rsidRPr="00A571BF" w:rsidTr="007F21A7">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 xml:space="preserve">Replace aged manual 33kV, 19kV and 11kV reclosers with fast-operating SCADA controlled units </w:t>
            </w:r>
          </w:p>
        </w:tc>
        <w:tc>
          <w:tcPr>
            <w:tcW w:w="178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17.9</w:t>
            </w:r>
          </w:p>
        </w:tc>
      </w:tr>
      <w:tr w:rsidR="00525DDF" w:rsidRPr="00A571B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Replace high risk power lines with modern construction (Bushfire Safer Places)</w:t>
            </w:r>
          </w:p>
        </w:tc>
        <w:tc>
          <w:tcPr>
            <w:tcW w:w="1781"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26.6</w:t>
            </w:r>
          </w:p>
        </w:tc>
      </w:tr>
      <w:tr w:rsidR="00525DDF" w:rsidRPr="00A571BF" w:rsidTr="007F21A7">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Replace high risk power lines with modern construction (targeted undergrounding supported by willingness-to-pay findings)</w:t>
            </w:r>
          </w:p>
        </w:tc>
        <w:tc>
          <w:tcPr>
            <w:tcW w:w="178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102</w:t>
            </w:r>
          </w:p>
        </w:tc>
      </w:tr>
      <w:tr w:rsidR="00525DDF" w:rsidRPr="00A571B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 xml:space="preserve">Replace road air gaps and current limiting arc horns with surge arrestors </w:t>
            </w:r>
          </w:p>
        </w:tc>
        <w:tc>
          <w:tcPr>
            <w:tcW w:w="1781"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12.3</w:t>
            </w:r>
          </w:p>
        </w:tc>
      </w:tr>
      <w:tr w:rsidR="00525DDF" w:rsidRPr="00A571BF" w:rsidTr="007F21A7">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Undertake field simulation, testing and trial installation of Ground Fault Neutralisation Technology</w:t>
            </w:r>
          </w:p>
        </w:tc>
        <w:tc>
          <w:tcPr>
            <w:tcW w:w="178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11.9</w:t>
            </w:r>
          </w:p>
        </w:tc>
      </w:tr>
      <w:tr w:rsidR="00525DDF" w:rsidRPr="00A571B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 xml:space="preserve">Reconstruct metered mains </w:t>
            </w:r>
          </w:p>
        </w:tc>
        <w:tc>
          <w:tcPr>
            <w:tcW w:w="1781"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32.7</w:t>
            </w:r>
          </w:p>
        </w:tc>
      </w:tr>
      <w:tr w:rsidR="00525DDF" w:rsidRPr="00A571BF" w:rsidTr="007F21A7">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r w:rsidRPr="00525DDF">
              <w:t>Backup protection</w:t>
            </w:r>
          </w:p>
        </w:tc>
        <w:tc>
          <w:tcPr>
            <w:tcW w:w="1781" w:type="dxa"/>
            <w:vAlign w:val="bottom"/>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18.4</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525DDF" w:rsidRPr="00525DDF" w:rsidRDefault="00525DDF" w:rsidP="00525DDF">
            <w:pPr>
              <w:rPr>
                <w:rStyle w:val="Strong"/>
              </w:rPr>
            </w:pPr>
            <w:r w:rsidRPr="00525DDF">
              <w:rPr>
                <w:rStyle w:val="Strong"/>
              </w:rPr>
              <w:t xml:space="preserve">Total </w:t>
            </w:r>
          </w:p>
        </w:tc>
        <w:tc>
          <w:tcPr>
            <w:tcW w:w="1781" w:type="dxa"/>
            <w:vAlign w:val="bottom"/>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rPr>
                <w:rStyle w:val="Strong"/>
              </w:rPr>
            </w:pPr>
            <w:r w:rsidRPr="00525DDF">
              <w:rPr>
                <w:rStyle w:val="Strong"/>
              </w:rPr>
              <w:t>221.7</w:t>
            </w:r>
          </w:p>
        </w:tc>
      </w:tr>
    </w:tbl>
    <w:p w:rsidR="00525DDF" w:rsidRPr="00525DDF" w:rsidRDefault="00525DDF" w:rsidP="00525DDF">
      <w:pPr>
        <w:pStyle w:val="AERtablesource"/>
        <w:rPr>
          <w:rFonts w:eastAsia="Calibri"/>
        </w:rPr>
      </w:pPr>
      <w:r w:rsidRPr="00525DDF">
        <w:t>Source:</w:t>
      </w:r>
      <w:r w:rsidRPr="00525DDF">
        <w:tab/>
        <w:t>Jacobs, Recommended Bushfire Risk Reduction Strategies for SA Power Networks, Final Report, October 2014; AER, Information request AER SAPN035, 12 March 2015, p. 7-8.</w:t>
      </w:r>
    </w:p>
    <w:p w:rsidR="00525DDF" w:rsidRPr="00525DDF" w:rsidRDefault="00525DDF" w:rsidP="00525DDF">
      <w:r w:rsidRPr="00525DDF">
        <w:t>Based on the evidence submitted by SA Power Networks and other information before us, we are not satisfied that the bushfire mitigation program is required to maintain the reliability and safety of the network and would be a prudent and efficient investment in the network. As such, we do not accept SA Power Networks</w:t>
      </w:r>
      <w:r w:rsidR="00E9328A">
        <w:t>’ capex proposal to spend $212.7</w:t>
      </w:r>
      <w:r w:rsidRPr="00525DDF">
        <w:t xml:space="preserve"> million ($2014-15, excluding overheads) on a bushfire mitigation program. SA Power Networks’ regulatory proposal, and our alternative estimate, already factor in expenditure related to SA Power Networks’ business as usual bushfire risk management. </w:t>
      </w:r>
    </w:p>
    <w:p w:rsidR="00525DDF" w:rsidRPr="00525DDF" w:rsidRDefault="00525DDF" w:rsidP="00525DDF">
      <w:r w:rsidRPr="00525DDF">
        <w:t xml:space="preserve">We acknowledge SA Power Networks’ initiatives to date in reviewing its current practices and procedures for bushfire risk management following the release of the recommendations of the Victorian Bushfire Royal Commission (VBRC) and the strategies proposed by the Powerline Bushfire Safety Taskforce (PBST). We also note SA Power Networks’ efforts to engage with its customers to identify and determine </w:t>
      </w:r>
      <w:r w:rsidRPr="00525DDF">
        <w:lastRenderedPageBreak/>
        <w:t xml:space="preserve">preferences on the undergrounding aspects of the program. However, our evaluation also takes into consideration submissions received from other stakeholders that were not supportive of the program and which queried the cost to consumers and other information.  These submissions supported our finding that SA Power Networks has not properly evaluated the program costs or shown that the nature and scope of the program reasonably reflects what a prudent and efficient distributor would require to achieve the capex objectives. </w:t>
      </w:r>
    </w:p>
    <w:p w:rsidR="00525DDF" w:rsidRPr="00525DDF" w:rsidRDefault="00525DDF" w:rsidP="00525DDF">
      <w:r w:rsidRPr="00525DDF">
        <w:t xml:space="preserve">It is open to SA Power Networks in its revised proposal to address the issues raised in this preliminary decision and provide the necessary supporting material to show that its proposed capex for the bushfire mitigation program satisfies the capex criteria, and would be in the long term interests of consumers. </w:t>
      </w:r>
    </w:p>
    <w:p w:rsidR="00525DDF" w:rsidRPr="00525DDF" w:rsidRDefault="00367FF3" w:rsidP="00525DDF">
      <w:r>
        <w:t xml:space="preserve">We note, in our </w:t>
      </w:r>
      <w:r w:rsidR="00525DDF" w:rsidRPr="00525DDF">
        <w:t xml:space="preserve">reasons below, the specific areas where sufficient supporting material was not provided or the evidence submitted did not reasonably demonstrate the program satisfied the criteria. </w:t>
      </w:r>
    </w:p>
    <w:p w:rsidR="00525DDF" w:rsidRPr="00525DDF" w:rsidRDefault="00525DDF" w:rsidP="00525DDF">
      <w:r w:rsidRPr="00525DDF">
        <w:t>In summary, we consider that:</w:t>
      </w:r>
    </w:p>
    <w:p w:rsidR="00525DDF" w:rsidRPr="00525DDF" w:rsidRDefault="00525DDF" w:rsidP="00525DDF">
      <w:pPr>
        <w:pStyle w:val="AERbulletlistfirststyle"/>
      </w:pPr>
      <w:r w:rsidRPr="00525DDF">
        <w:t xml:space="preserve">SA Power Networks’ proposed capex is not required to maintain the reliability and safety of its network. </w:t>
      </w:r>
    </w:p>
    <w:p w:rsidR="00525DDF" w:rsidRPr="00525DDF" w:rsidRDefault="00525DDF" w:rsidP="00525DDF">
      <w:pPr>
        <w:pStyle w:val="AERbulletlistfirststyle"/>
      </w:pPr>
      <w:r w:rsidRPr="00525DDF">
        <w:t>SA Power Network</w:t>
      </w:r>
      <w:r w:rsidR="00367FF3">
        <w:t>s</w:t>
      </w:r>
      <w:r w:rsidRPr="00525DDF">
        <w:t xml:space="preserve"> has not provided sufficient evidence of increased bushfire risk from ignition by power lines in SA. There has also been no change to regulations and/or safety standards related to bushfire risk that would justify additional expenditure.</w:t>
      </w:r>
    </w:p>
    <w:p w:rsidR="00525DDF" w:rsidRPr="00525DDF" w:rsidRDefault="00525DDF" w:rsidP="00525DDF">
      <w:pPr>
        <w:pStyle w:val="AERbulletlistfirststyle"/>
      </w:pPr>
      <w:r w:rsidRPr="00525DDF">
        <w:t>SA Power Networks’ proposed capex is not a prudent and efficient investment.</w:t>
      </w:r>
    </w:p>
    <w:p w:rsidR="00525DDF" w:rsidRPr="00525DDF" w:rsidRDefault="00525DDF" w:rsidP="00525DDF">
      <w:pPr>
        <w:pStyle w:val="AERbulletlistfirststyle"/>
      </w:pPr>
      <w:r w:rsidRPr="00525DDF">
        <w:t xml:space="preserve">SA Power Networks have not undertaken a cost benefit analysis of the program. SA Power Networks’ business case is qualitative and other supporting material it has provided does not properly evaluate the costs versus the benefits of the program. This includes information it provided on consumers’ willingness-to-pay for undergrounding powerlines in High Bushfire Risk Areas (HBRAs).  </w:t>
      </w:r>
    </w:p>
    <w:p w:rsidR="00525DDF" w:rsidRPr="00525DDF" w:rsidRDefault="00525DDF" w:rsidP="00525DDF">
      <w:r w:rsidRPr="00525DDF">
        <w:t xml:space="preserve">For these reasons, we do not accept SA Power Networks’ proposed capex for the bushfire mitigation program satisfies the capex criteria. Each of these reasons is discussed further below. </w:t>
      </w:r>
    </w:p>
    <w:p w:rsidR="00525DDF" w:rsidRPr="00525DDF" w:rsidRDefault="00525DDF" w:rsidP="00525DDF">
      <w:r w:rsidRPr="00525DDF">
        <w:t xml:space="preserve">We also undertook a preliminary analysis of some of the costs and the benefits of the </w:t>
      </w:r>
      <w:r w:rsidRPr="00525DDF">
        <w:rPr>
          <w:rStyle w:val="AERbody"/>
        </w:rPr>
        <w:t>program in order</w:t>
      </w:r>
      <w:r w:rsidRPr="00525DDF">
        <w:t xml:space="preserve"> to cross check our conclusions. Our preliminary analysis based on the limited information before us, suggests that the costs of the proposed bushfire mitigation program outweighs the calculated benefits. </w:t>
      </w:r>
      <w:r w:rsidR="003C027B">
        <w:t>Our preliminary analysis is based on confidential material, and is set out in more detail in the capex confidential appendix.</w:t>
      </w:r>
    </w:p>
    <w:p w:rsidR="00525DDF" w:rsidRPr="00525DDF" w:rsidRDefault="00367FF3" w:rsidP="00525DDF">
      <w:r>
        <w:t>We also note</w:t>
      </w:r>
      <w:r w:rsidR="00525DDF" w:rsidRPr="00525DDF">
        <w:t xml:space="preserve"> that there are alternative funding options for the program, namely as a Power Line Environment Committee (PLEC) project, and this would likely involve a more consultative, collaborative approach then what was taken in developing SA Power Networks’ current proposal. SA Power Networks is required to fund undergrounding work for PLEC projects on an annual basis where this is considered </w:t>
      </w:r>
      <w:r w:rsidR="00525DDF" w:rsidRPr="00525DDF">
        <w:lastRenderedPageBreak/>
        <w:t xml:space="preserve">justified under the PLEC provisions. The AER considers that there is scope for SA Power Networks to pursue the undergrounding aspects of the bushfire mitigation program as a PLEC project. </w:t>
      </w:r>
    </w:p>
    <w:p w:rsidR="00525DDF" w:rsidRPr="00525DDF" w:rsidRDefault="00525DDF" w:rsidP="00525DDF">
      <w:r w:rsidRPr="00525DDF">
        <w:t xml:space="preserve">In addition, if during the </w:t>
      </w:r>
      <w:r w:rsidR="00A752A4">
        <w:t xml:space="preserve">2015–20 </w:t>
      </w:r>
      <w:r w:rsidRPr="00525DDF">
        <w:t xml:space="preserve">regulatory period, there is a regulatory change that reflects new industry standards, then the NER provides that </w:t>
      </w:r>
      <w:r w:rsidR="00F456A9">
        <w:t>distributor</w:t>
      </w:r>
      <w:r w:rsidRPr="00525DDF">
        <w:t>s can apply to us to pass through costs associated with such a change.  In this way, SA Power Networks would be able to apply to recover the costs of complying with any new obligations as soon as they come into effect.  We note that this occurred with some new standards that were introduced in Victoria as a result of the outcomes from the VBRC recommendations and the PBST’s strategies.</w:t>
      </w:r>
      <w:r w:rsidRPr="00525DDF">
        <w:rPr>
          <w:rStyle w:val="FootnoteReference"/>
        </w:rPr>
        <w:footnoteReference w:id="65"/>
      </w:r>
      <w:r w:rsidRPr="00525DDF">
        <w:t xml:space="preserve"> </w:t>
      </w:r>
    </w:p>
    <w:p w:rsidR="00525DDF" w:rsidRPr="00624A53" w:rsidRDefault="00525DDF" w:rsidP="00624A53">
      <w:pPr>
        <w:pStyle w:val="HeadingBoldItalic"/>
        <w:rPr>
          <w:rStyle w:val="Emphasis"/>
          <w:i/>
          <w:iCs/>
        </w:rPr>
      </w:pPr>
      <w:r w:rsidRPr="00624A53">
        <w:rPr>
          <w:rStyle w:val="Emphasis"/>
          <w:i/>
          <w:iCs/>
        </w:rPr>
        <w:t>Reliability and safety of the network</w:t>
      </w:r>
    </w:p>
    <w:p w:rsidR="00525DDF" w:rsidRPr="00525DDF" w:rsidRDefault="00525DDF" w:rsidP="00525DDF">
      <w:r w:rsidRPr="00525DDF">
        <w:t xml:space="preserve">SA Power Networks submits that the proposed capex for the bushfire mitigation program is in addition to capex proposed for routine capex and opex for bushfire and non-bush fire risk areas. In support of the program, SA Power Networks submits that the risk of bushfire ignition by power lines is increasing and that the VBRC and PBST have set an industry standard for bushfire management. </w:t>
      </w:r>
    </w:p>
    <w:p w:rsidR="00525DDF" w:rsidRPr="00525DDF" w:rsidRDefault="00525DDF" w:rsidP="00525DDF">
      <w:r w:rsidRPr="00525DDF">
        <w:t>In support of its view that the risk from bushfire ignition is increasing, SA Power Networks submitted reports from the CSIRO and the Bureau of Meteorology (BoM) which analyse the climatic trends in Australia, South Australia and the SA Power Networks coverage area.</w:t>
      </w:r>
      <w:r w:rsidRPr="00525DDF">
        <w:rPr>
          <w:rStyle w:val="FootnoteReference"/>
        </w:rPr>
        <w:footnoteReference w:id="66"/>
      </w:r>
      <w:r w:rsidRPr="00525DDF">
        <w:rPr>
          <w:rStyle w:val="FootnoteReference"/>
        </w:rPr>
        <w:t xml:space="preserve"> </w:t>
      </w:r>
      <w:r w:rsidRPr="00525DDF">
        <w:t>BoM and the CSIRO’s climate trends show that extreme hot temperatures in Australia are expected to increase, especially in SA over the next 5 to 10 years. BoM’s analysis also shows that the number of fire danger days in summer has increased between 1.7 and 2.5 times since 2000 in SA’s high risk bush fire areas, with this increase likely to remain or increase over the next 5 to 10 year timeframe.</w:t>
      </w:r>
      <w:r w:rsidRPr="00525DDF">
        <w:rPr>
          <w:rStyle w:val="FootnoteReference"/>
        </w:rPr>
        <w:footnoteReference w:id="67"/>
      </w:r>
    </w:p>
    <w:p w:rsidR="00525DDF" w:rsidRPr="00525DDF" w:rsidRDefault="00525DDF" w:rsidP="00525DDF">
      <w:r w:rsidRPr="00525DDF">
        <w:t>While the BoM and the CSIRO analyses submitted by SA Power Networks forecast increasing fire danger days in summer, SA Power Networks has not provided any analysis that correlates this increase to an increase in the likelihood of a bush fire ignition from an electricity asset. Without evidence of such a linkage, we consider that it is not possible to conclude from the CSIRO and BoM reports alone that there is an increased risk of bushfires from electricity assets in SA.</w:t>
      </w:r>
    </w:p>
    <w:p w:rsidR="00525DDF" w:rsidRPr="00525DDF" w:rsidRDefault="00525DDF" w:rsidP="00525DDF">
      <w:r w:rsidRPr="00525DDF">
        <w:t xml:space="preserve">SA Power Networks engaged Jacobs to recommend bush fire reduction strategies based on a review of, amongst other considerations, the VBRC and PBST’s findings, and SA Power Networks’ current practices and procedures for bushfire risk </w:t>
      </w:r>
      <w:r w:rsidRPr="00525DDF">
        <w:lastRenderedPageBreak/>
        <w:t>management.</w:t>
      </w:r>
      <w:r w:rsidRPr="00525DDF">
        <w:rPr>
          <w:rStyle w:val="FootnoteReference"/>
        </w:rPr>
        <w:footnoteReference w:id="68"/>
      </w:r>
      <w:r w:rsidRPr="00525DDF">
        <w:t xml:space="preserve"> Jacobs recommended a package of works totalling $135.6 million</w:t>
      </w:r>
      <w:r w:rsidR="00271700">
        <w:t xml:space="preserve"> </w:t>
      </w:r>
      <w:r w:rsidR="00271700" w:rsidRPr="00271700">
        <w:rPr>
          <w:rStyle w:val="AERbody"/>
        </w:rPr>
        <w:t>($2014–15)</w:t>
      </w:r>
      <w:r w:rsidR="00271700" w:rsidRPr="00271700">
        <w:t xml:space="preserve"> </w:t>
      </w:r>
      <w:r w:rsidRPr="00525DDF">
        <w:t>– about $86.1 million less than SA Power Networks’ proposed capex of $212.5 million for the program. The difference is mostly due to the SA Power Networks bushfire mitigation program including $102 million</w:t>
      </w:r>
      <w:r w:rsidR="00633884">
        <w:t xml:space="preserve"> </w:t>
      </w:r>
      <w:r w:rsidR="00633884" w:rsidRPr="00525DDF">
        <w:rPr>
          <w:rStyle w:val="AERbody"/>
        </w:rPr>
        <w:t>($2014</w:t>
      </w:r>
      <w:r w:rsidR="00633884">
        <w:rPr>
          <w:rStyle w:val="AERbody"/>
        </w:rPr>
        <w:t>–</w:t>
      </w:r>
      <w:r w:rsidR="00633884" w:rsidRPr="00525DDF">
        <w:rPr>
          <w:rStyle w:val="AERbody"/>
        </w:rPr>
        <w:t>15)</w:t>
      </w:r>
      <w:r w:rsidRPr="00525DDF">
        <w:t xml:space="preserve"> for the undergrounding portion of the program, which SA Power Networks has justified on the basis of the findings of the WTP survey.</w:t>
      </w:r>
      <w:r w:rsidRPr="00525DDF">
        <w:rPr>
          <w:rStyle w:val="FootnoteReference"/>
        </w:rPr>
        <w:footnoteReference w:id="69"/>
      </w:r>
      <w:r w:rsidRPr="00525DDF">
        <w:t xml:space="preserve"> We note the submission from SA Treasury which questions the reasons for the additional capex SA Power Networks has proposed on top of Jacobs’ recommended package. SA Treasury submitted that the </w:t>
      </w:r>
      <w:r w:rsidRPr="00525DDF">
        <w:rPr>
          <w:rStyle w:val="AERbodytextChar"/>
          <w:rFonts w:eastAsiaTheme="minorHAnsi"/>
        </w:rPr>
        <w:t xml:space="preserve">Jacob’s report recommended a lower cost undergrounding option than what SA </w:t>
      </w:r>
      <w:r w:rsidRPr="00525DDF">
        <w:t>Power Networks</w:t>
      </w:r>
      <w:r w:rsidRPr="00525DDF">
        <w:rPr>
          <w:rStyle w:val="AERbodytextChar"/>
          <w:rFonts w:eastAsiaTheme="minorHAnsi"/>
        </w:rPr>
        <w:t xml:space="preserve"> has in its program. </w:t>
      </w:r>
      <w:r w:rsidRPr="00525DDF">
        <w:rPr>
          <w:rStyle w:val="FootnoteReference"/>
        </w:rPr>
        <w:footnoteReference w:id="70"/>
      </w:r>
      <w:r w:rsidRPr="00525DDF">
        <w:rPr>
          <w:rStyle w:val="AERbodytextChar"/>
          <w:rFonts w:eastAsiaTheme="minorHAnsi"/>
        </w:rPr>
        <w:t xml:space="preserve"> </w:t>
      </w:r>
      <w:r w:rsidRPr="00525DDF">
        <w:t>The Energy Consumers Coalition of SA (ECCSA) also questioned whether more cost effective options were considered by SA Power Networks.</w:t>
      </w:r>
      <w:r w:rsidRPr="00525DDF">
        <w:rPr>
          <w:rStyle w:val="FootnoteReference"/>
        </w:rPr>
        <w:footnoteReference w:id="71"/>
      </w:r>
    </w:p>
    <w:p w:rsidR="00525DDF" w:rsidRPr="00525DDF" w:rsidRDefault="00525DDF" w:rsidP="00525DDF">
      <w:r w:rsidRPr="00525DDF">
        <w:t>In their report, Jacobs considered SA Power Networks’ compliance against Jacobs’ view of good industry practice and concluded that it would be ‘prudent for SA Power Networks to implement additional risk mitigation strategies’. This conclusion by Jacobs was based on the findings of the VBRC and the resulting PBST. In particular:</w:t>
      </w:r>
      <w:r w:rsidRPr="00525DDF">
        <w:rPr>
          <w:rStyle w:val="FootnoteReference"/>
        </w:rPr>
        <w:t xml:space="preserve"> </w:t>
      </w:r>
      <w:r w:rsidRPr="00525DDF">
        <w:rPr>
          <w:rStyle w:val="FootnoteReference"/>
        </w:rPr>
        <w:footnoteReference w:id="72"/>
      </w:r>
    </w:p>
    <w:p w:rsidR="00525DDF" w:rsidRPr="00525DDF" w:rsidRDefault="00525DDF" w:rsidP="00525DDF">
      <w:pPr>
        <w:pStyle w:val="AERbulletlistfirststyle"/>
      </w:pPr>
      <w:r w:rsidRPr="00525DDF">
        <w:t>The VBRC’s call for a ‘material reduction in the risk of bushfire caused by the failure of electrical assets’ – Jacobs view is that a ‘similar expectation is likely to apply within South Australia’</w:t>
      </w:r>
    </w:p>
    <w:p w:rsidR="00525DDF" w:rsidRPr="00525DDF" w:rsidRDefault="00525DDF" w:rsidP="00525DDF">
      <w:pPr>
        <w:pStyle w:val="AERbulletlistfirststyle"/>
      </w:pPr>
      <w:r w:rsidRPr="00525DDF">
        <w:t>Initiatives identified by the PBST that Jacobs’ considered applicable to South Australia and ‘likely to now be considered as good industry practice within Australia’</w:t>
      </w:r>
    </w:p>
    <w:p w:rsidR="00525DDF" w:rsidRPr="00525DDF" w:rsidRDefault="00525DDF" w:rsidP="00525DDF">
      <w:pPr>
        <w:pStyle w:val="AERbulletlistfirststyle"/>
      </w:pPr>
      <w:r w:rsidRPr="00525DDF">
        <w:t>Community expectation that network bushfire starts are preventable</w:t>
      </w:r>
      <w:r w:rsidR="00367FF3">
        <w:t>.</w:t>
      </w:r>
    </w:p>
    <w:p w:rsidR="00525DDF" w:rsidRPr="00525DDF" w:rsidRDefault="00525DDF" w:rsidP="00525DDF">
      <w:r w:rsidRPr="00525DDF">
        <w:t xml:space="preserve">In arriving at its conclusion that additional risk mitigation strategies would be prudent, Jacobs has not demonstrated that similar expectations of the need for reduced bushfire starts are reasonably likely to exist in South Australia. Similarly, Jacobs provided no information to demonstrate that the South Australian community expectations regarding bushfire starts have altered. </w:t>
      </w:r>
    </w:p>
    <w:p w:rsidR="00525DDF" w:rsidRPr="00525DDF" w:rsidRDefault="00525DDF" w:rsidP="00525DDF">
      <w:r w:rsidRPr="00525DDF">
        <w:t xml:space="preserve">Further, while Jacobs submit that some of the PBST initiatives may now be considered as good industry practice, it offered no information to reasonably demonstrate that in SA Power Networks’ circumstances it would be prudent to adopt these practices, nor that these practices would be the efficient option in addressing SA Power Networks’ bushfire management needs. It has also submitted no evidence to reasonably </w:t>
      </w:r>
      <w:r w:rsidRPr="00525DDF">
        <w:lastRenderedPageBreak/>
        <w:t>demonstrate that SA Power Networks’ current or expected future performance over the 2015</w:t>
      </w:r>
      <w:r w:rsidR="004D3898">
        <w:t>–</w:t>
      </w:r>
      <w:r w:rsidRPr="00525DDF">
        <w:t xml:space="preserve">20 regulatory period does or would not comply with its obligations. </w:t>
      </w:r>
    </w:p>
    <w:p w:rsidR="00525DDF" w:rsidRPr="00525DDF" w:rsidRDefault="00525DDF" w:rsidP="00525DDF">
      <w:r w:rsidRPr="00525DDF">
        <w:t>We therefore consider that the Jacobs report does not sufficiently support that its recommended package of works is required for SA Power Networks to comply with its current or expected future safety obligations related to bushfire risk and that its proposed level of investment is prudent and efficient.</w:t>
      </w:r>
    </w:p>
    <w:p w:rsidR="00525DDF" w:rsidRPr="00525DDF" w:rsidRDefault="00525DDF" w:rsidP="00525DDF">
      <w:r w:rsidRPr="00525DDF">
        <w:t>The evidence before us indicates that SA Power Networks is meeting its existing obligations.  SA Power Networks argues in various parts of its submission that historically their bushfire risk management has been effective.</w:t>
      </w:r>
      <w:r w:rsidRPr="00525DDF">
        <w:rPr>
          <w:rStyle w:val="FootnoteReference"/>
        </w:rPr>
        <w:footnoteReference w:id="73"/>
      </w:r>
      <w:r w:rsidRPr="00525DDF">
        <w:t xml:space="preserve"> As noted by SA Power Networks, it has a ‘comprehensive and mature Bushfire Risk Management System (BRMS) </w:t>
      </w:r>
      <w:r w:rsidR="006A75FD">
        <w:t>.</w:t>
      </w:r>
      <w:r w:rsidRPr="00525DDF">
        <w:t xml:space="preserve">..’.  This system has been in place since the early 1980s after investigations into the impacts of the 1983 Ash Wednesday fires in South Australia and has been progressively improved since. </w:t>
      </w:r>
      <w:r w:rsidRPr="00525DDF">
        <w:rPr>
          <w:rStyle w:val="FootnoteReference"/>
        </w:rPr>
        <w:footnoteReference w:id="74"/>
      </w:r>
      <w:r w:rsidRPr="00525DDF">
        <w:t xml:space="preserve"> The Office of the Technical Regulator has also confirmed that SA Power Networks currently satisfy existing regulations and standards relating to managing bushfires.</w:t>
      </w:r>
      <w:r w:rsidRPr="00525DDF">
        <w:rPr>
          <w:rStyle w:val="FootnoteReference"/>
        </w:rPr>
        <w:footnoteReference w:id="75"/>
      </w:r>
      <w:r w:rsidRPr="00525DDF">
        <w:t xml:space="preserve"> </w:t>
      </w:r>
      <w:r w:rsidR="00367FF3">
        <w:t>We therefore consider</w:t>
      </w:r>
      <w:r w:rsidRPr="00525DDF">
        <w:t xml:space="preserve"> that incremental capex for a bushfire mitigation program which is additional to other proposed capex and opex for bushfire risk management is not justified in the absence of compelling evidence that SA Power Networks’ current practices and procedures relating to managing bushfires are insufficient. </w:t>
      </w:r>
    </w:p>
    <w:p w:rsidR="00525DDF" w:rsidRPr="00525DDF" w:rsidRDefault="00525DDF" w:rsidP="00525DDF">
      <w:r w:rsidRPr="00525DDF">
        <w:t>It is relevant to note that in SA, several legislative amendments relating to bush fire safety were made as a consequence of the Ash Wednesday bushfire in 1983. In particular, SA is the only state that has legislated the authority to the electricity entity to turn off the power in extreme bush fire weather, which further reduces the risk of bushfire starts from network assets.</w:t>
      </w:r>
      <w:r w:rsidRPr="00525DDF">
        <w:rPr>
          <w:rStyle w:val="FootnoteReference"/>
        </w:rPr>
        <w:footnoteReference w:id="76"/>
      </w:r>
      <w:r w:rsidRPr="00525DDF">
        <w:t xml:space="preserve"> The VBRC and PBST recommendations made a similar recommendation for Victoria, but this was not accepted by the Victorian jurisdiction.  In addition, we note it would be desirable if the issues raised by SA Power Networks and Jacobs about appropriate changes to bushfire mitigation obligations were considered by </w:t>
      </w:r>
      <w:r w:rsidR="00367FF3">
        <w:t xml:space="preserve">the </w:t>
      </w:r>
      <w:r w:rsidRPr="00525DDF">
        <w:t>appropriate technical and safety authorities in South Australia with a view to whether formal changes to South Australian requirements were necessary.</w:t>
      </w:r>
    </w:p>
    <w:p w:rsidR="00525DDF" w:rsidRPr="00525DDF" w:rsidRDefault="00525DDF" w:rsidP="00525DDF">
      <w:r w:rsidRPr="00525DDF">
        <w:t>In reaching our conclusion, we have also taken into account the interrelationship between this proposed expenditure and other expenditure proposed by SA Power Networks.  In addition to SA Power Networks’ proposed capex for this bushfire mitigation program and SA Power Networks’ business as usual level of capex and opex to manage bushfires, SA Power Networks is proposing a number of other expenditure increases that are likely to have a positive impact on bushfire risk reduction. In particular, the AER’s preliminary decision includes a repex component for the 2015</w:t>
      </w:r>
      <w:r w:rsidR="001F15E3">
        <w:t>–</w:t>
      </w:r>
      <w:r w:rsidRPr="00525DDF">
        <w:t xml:space="preserve">20 regulatory </w:t>
      </w:r>
      <w:r w:rsidR="001C0B41">
        <w:t xml:space="preserve">control </w:t>
      </w:r>
      <w:r w:rsidRPr="00525DDF">
        <w:t xml:space="preserve">period that is higher than SA Power Networks’ historical </w:t>
      </w:r>
      <w:r w:rsidRPr="00525DDF">
        <w:lastRenderedPageBreak/>
        <w:t>repex from the last period. This should enable SA Power Networks to engage in additional safety related work. This additional proposed expenditure will be included in SA Power Networks’ revenue allowance and therefore is likely to contribute to the management of SA Power Networks’ existing bushfire risk. This further supports the AER</w:t>
      </w:r>
      <w:r w:rsidR="00367FF3">
        <w:t>'s</w:t>
      </w:r>
      <w:r w:rsidRPr="00525DDF">
        <w:t xml:space="preserve"> position that SA Power Networks’ proposed incremental capex for a bushfire mitigation program to maintain the safety and reliability of the network has not been justified.</w:t>
      </w:r>
    </w:p>
    <w:p w:rsidR="00525DDF" w:rsidRPr="00624A53" w:rsidRDefault="00525DDF" w:rsidP="00624A53">
      <w:pPr>
        <w:pStyle w:val="HeadingBoldItalic"/>
        <w:rPr>
          <w:rStyle w:val="Emphasis"/>
          <w:i/>
          <w:iCs/>
        </w:rPr>
      </w:pPr>
      <w:r w:rsidRPr="00624A53">
        <w:rPr>
          <w:rStyle w:val="Emphasis"/>
          <w:i/>
          <w:iCs/>
        </w:rPr>
        <w:t>Prudent and efficient investment criteria</w:t>
      </w:r>
    </w:p>
    <w:p w:rsidR="00525DDF" w:rsidRPr="00525DDF" w:rsidRDefault="00525DDF" w:rsidP="00525DDF">
      <w:r w:rsidRPr="00525DDF">
        <w:t>SA Power Networks submitted a business case that does not include the expenditure in undergrounding powerlines in High Bush Fire Areas (HBRAs).</w:t>
      </w:r>
      <w:r w:rsidRPr="00525DDF">
        <w:rPr>
          <w:rStyle w:val="FootnoteReference"/>
        </w:rPr>
        <w:t xml:space="preserve"> </w:t>
      </w:r>
      <w:r w:rsidRPr="00525DDF">
        <w:rPr>
          <w:rStyle w:val="FootnoteReference"/>
        </w:rPr>
        <w:footnoteReference w:id="77"/>
      </w:r>
      <w:r w:rsidRPr="00525DDF">
        <w:t xml:space="preserve"> In support for the undergrounding of power lines in High Bush Fire Areas (HBRAs), SA Power Networks has relied on a Willingness-To-Pay (WTP) survey conducted by NTF Group (NTF) and its findings to support a proposed capex of $128.6 million</w:t>
      </w:r>
      <w:r w:rsidR="0089430D">
        <w:t xml:space="preserve"> </w:t>
      </w:r>
      <w:r w:rsidR="0089430D" w:rsidRPr="0089430D">
        <w:rPr>
          <w:rStyle w:val="AERbody"/>
        </w:rPr>
        <w:t>($2014–15)</w:t>
      </w:r>
      <w:r w:rsidRPr="00525DDF">
        <w:t xml:space="preserve"> for the undergrounding aspect of the bushfire mitigation program. </w:t>
      </w:r>
    </w:p>
    <w:p w:rsidR="00525DDF" w:rsidRPr="00525DDF" w:rsidRDefault="00525DDF" w:rsidP="00525DDF">
      <w:r w:rsidRPr="00525DDF">
        <w:t>We consider that the business case and the WTP survey and its findings do not demonstrate that the bushfire mitigation program is a prudent and efficient investment. In addition to our own assessment of the WTP survey and its findings, we were informed by Oakley Greenwood’s peer review of the survey and its findings.</w:t>
      </w:r>
      <w:r w:rsidRPr="00525DDF">
        <w:rPr>
          <w:rStyle w:val="FootnoteReference"/>
        </w:rPr>
        <w:footnoteReference w:id="78"/>
      </w:r>
      <w:r w:rsidRPr="00525DDF">
        <w:t xml:space="preserve"> Our specific consideration of the WTP survey and its findings is discussed later in this section. </w:t>
      </w:r>
    </w:p>
    <w:p w:rsidR="00525DDF" w:rsidRPr="00525DDF" w:rsidRDefault="00525DDF" w:rsidP="00525DDF">
      <w:r w:rsidRPr="00525DDF">
        <w:t xml:space="preserve">In terms of SA Power Networks’ business case for the bushfire mitigation program (that excludes the expenditure on undergrounding powerlines in HBRAs), SA Power Networks does not show that the proposed investment has an economic benefit. </w:t>
      </w:r>
    </w:p>
    <w:p w:rsidR="00525DDF" w:rsidRPr="00525DDF" w:rsidRDefault="00525DDF" w:rsidP="00525DDF">
      <w:r w:rsidRPr="00525DDF">
        <w:t>SA Power Networks’ business case is qualitative and other supporting material it has provided does not properly identify and measure the costs and the benefits of the program as is typically required in a cost benefit analysis. We note that a properly constructed cost</w:t>
      </w:r>
      <w:r w:rsidR="0089430D">
        <w:t>-</w:t>
      </w:r>
      <w:r w:rsidRPr="00525DDF">
        <w:t>benefit analysis would typically identify and measure (including probabilities of an event occurring) all incremental costs and benefits in dollar terms so that in choosing different options/scenarios (which includes the business as usual case, as well as a number of other program options), the one that maximises net benefits is chosen. Generally, an appropriate discount rate is applied to future cash flows to calculate the net present value of all options/scenarios.</w:t>
      </w:r>
    </w:p>
    <w:p w:rsidR="00525DDF" w:rsidRPr="00525DDF" w:rsidRDefault="00525DDF" w:rsidP="00525DDF">
      <w:r w:rsidRPr="00525DDF">
        <w:t xml:space="preserve">SA Power Networks expresses uncertainty regarding the benefits from the proposed additional investment in comparison with that achieved from the current business as usual expenditure levels when it states that the ‘… financial benefits of implementing this program of work are difficult to express in monetary terms as it is difficult to </w:t>
      </w:r>
      <w:r w:rsidRPr="00525DDF">
        <w:lastRenderedPageBreak/>
        <w:t>quantify precisely the level of fire start risk reduction that will be achieved over the do nothing option.’</w:t>
      </w:r>
      <w:r w:rsidRPr="00525DDF">
        <w:rPr>
          <w:rStyle w:val="FootnoteReference"/>
        </w:rPr>
        <w:footnoteReference w:id="79"/>
      </w:r>
      <w:r w:rsidRPr="00525DDF">
        <w:rPr>
          <w:rStyle w:val="FootnoteReference"/>
        </w:rPr>
        <w:t xml:space="preserve">  </w:t>
      </w:r>
    </w:p>
    <w:p w:rsidR="00525DDF" w:rsidRPr="00525DDF" w:rsidRDefault="00525DDF" w:rsidP="00525DDF">
      <w:r w:rsidRPr="00525DDF">
        <w:t>SA Power Networks also submitted a report by Willis which details the estimated Maximum Probable Loss (MPL) that Willis derived from its modelling of SA</w:t>
      </w:r>
      <w:r w:rsidR="00FA3FC1">
        <w:t xml:space="preserve"> </w:t>
      </w:r>
      <w:r w:rsidRPr="00525DDF">
        <w:t>P</w:t>
      </w:r>
      <w:r w:rsidR="00FA3FC1">
        <w:t>ower Networks</w:t>
      </w:r>
      <w:r w:rsidRPr="00525DDF">
        <w:t xml:space="preserve"> bushfire risk. MPL is an insurance industry term that reflects the largest loss that could reasonably be anticipated from a disaster such as a bushfire. Therefore, MPL is an estimate of the monetised consequence of a realistic maximum probable loss scenario. The Willis report estimates the MPL but does not account for the probability of such an occurrence – that is, it is focused on consequences as opposed to the frequency of scenarios.</w:t>
      </w:r>
      <w:r w:rsidRPr="00525DDF">
        <w:rPr>
          <w:rStyle w:val="FootnoteReference"/>
        </w:rPr>
        <w:footnoteReference w:id="80"/>
      </w:r>
      <w:r w:rsidRPr="00525DDF">
        <w:t xml:space="preserve"> As the probability or frequency of a bushfire event is not taken into account in the Willis report, it does not present any information that demonstrates the case for additional investment by SA Power Networks for bushfire mitigation to that it already incurs, nor does it demonstrate that SA Power Networks’ current or expected performance needs to be improved. </w:t>
      </w:r>
    </w:p>
    <w:p w:rsidR="00525DDF" w:rsidRPr="00525DDF" w:rsidRDefault="00525DDF" w:rsidP="00525DDF">
      <w:r w:rsidRPr="00525DDF">
        <w:t>We therefore consider that SA Power Networks has not reasonably demonstrated that the proposed incremental capex for the bushfire mitigation program is a prudent and efficient capital investment. With the limited information before us, we also undertook a preliminary analysis of the costs and the benefits of the program to cross check our conclusion that the proposed program is not prudent and efficient.</w:t>
      </w:r>
      <w:r w:rsidR="00367FF3">
        <w:rPr>
          <w:rStyle w:val="FootnoteReference"/>
        </w:rPr>
        <w:footnoteReference w:id="81"/>
      </w:r>
      <w:r w:rsidRPr="00525DDF">
        <w:t xml:space="preserve"> In summary, this preliminary analysis shows that as the estimated frequencies of recurrence (probability of the event) are very low (very rare events) for the MPL estimates provided, the annualised expected cost to avoid such events (expected benefits) is not significant. Further, as SA Power Networks’ proposed investment of $212.5 million</w:t>
      </w:r>
      <w:r w:rsidR="00D55797">
        <w:t xml:space="preserve"> </w:t>
      </w:r>
      <w:r w:rsidR="00D55797" w:rsidRPr="00D55797">
        <w:rPr>
          <w:rStyle w:val="AERbody"/>
        </w:rPr>
        <w:t>($2014–15)</w:t>
      </w:r>
      <w:r w:rsidRPr="00525DDF">
        <w:t xml:space="preserve"> could not fully eliminate the bushfire risk, the benefit of this investment in terms of avoiding the cost of this risk will be even less than this annualised estimate.</w:t>
      </w:r>
    </w:p>
    <w:p w:rsidR="00525DDF" w:rsidRPr="00624A53" w:rsidRDefault="00525DDF" w:rsidP="00624A53">
      <w:pPr>
        <w:pStyle w:val="HeadingBoldItalic"/>
        <w:rPr>
          <w:rStyle w:val="Emphasis"/>
          <w:i/>
          <w:iCs/>
        </w:rPr>
      </w:pPr>
      <w:r w:rsidRPr="00624A53">
        <w:rPr>
          <w:rStyle w:val="Emphasis"/>
          <w:i/>
          <w:iCs/>
        </w:rPr>
        <w:t>Consumer support for the program</w:t>
      </w:r>
    </w:p>
    <w:p w:rsidR="00525DDF" w:rsidRPr="00525DDF" w:rsidRDefault="00525DDF" w:rsidP="00525DDF">
      <w:r w:rsidRPr="00525DDF">
        <w:t>SA Power Networks submits that its proposed capex of $128.6 million</w:t>
      </w:r>
      <w:r w:rsidR="00D55797">
        <w:t xml:space="preserve"> </w:t>
      </w:r>
      <w:r w:rsidR="00D55797" w:rsidRPr="00D55797">
        <w:rPr>
          <w:rStyle w:val="AERbody"/>
        </w:rPr>
        <w:t>($2014–15)</w:t>
      </w:r>
      <w:r w:rsidRPr="00525DDF">
        <w:t xml:space="preserve"> for undergrounding power lines in High Bushfire Risk Areas (HBRAs) is supported by NTF’s WTP findings that the majority of customers (around 63 per cent) would be willing to pay, along with 2.5 per cent tree removal and replacement, approximately $12 per annum.</w:t>
      </w:r>
      <w:r w:rsidRPr="00525DDF">
        <w:rPr>
          <w:rStyle w:val="FootnoteReference"/>
        </w:rPr>
        <w:footnoteReference w:id="82"/>
      </w:r>
      <w:r w:rsidRPr="00525DDF">
        <w:rPr>
          <w:rStyle w:val="FootnoteReference"/>
        </w:rPr>
        <w:t xml:space="preserve"> </w:t>
      </w:r>
    </w:p>
    <w:p w:rsidR="00525DDF" w:rsidRPr="00525DDF" w:rsidRDefault="00525DDF" w:rsidP="00525DDF">
      <w:r w:rsidRPr="00525DDF">
        <w:t xml:space="preserve">We acknowledge SA Power Networks’ initiative to engage with its consumers through its consumer engagement program and WTP survey. Submissions such as from the </w:t>
      </w:r>
      <w:r w:rsidR="00367FF3">
        <w:t>ECCSA</w:t>
      </w:r>
      <w:r w:rsidRPr="00525DDF">
        <w:t xml:space="preserve"> note the SA Power Networks’ consumer engagement program is an improvement from its previous efforts.</w:t>
      </w:r>
      <w:r w:rsidRPr="00525DDF">
        <w:rPr>
          <w:rStyle w:val="FootnoteReference"/>
        </w:rPr>
        <w:footnoteReference w:id="83"/>
      </w:r>
      <w:r w:rsidRPr="00525DDF">
        <w:t xml:space="preserve"> The South Australian Council of Social Service </w:t>
      </w:r>
      <w:r w:rsidRPr="00525DDF">
        <w:lastRenderedPageBreak/>
        <w:t>(SACOSS) also submits that it supports the emphasis on consumer engagement and sees the testing of willingness-to-pay as an important part of that engagement.</w:t>
      </w:r>
      <w:r w:rsidRPr="00525DDF">
        <w:rPr>
          <w:rStyle w:val="FootnoteReference"/>
        </w:rPr>
        <w:footnoteReference w:id="84"/>
      </w:r>
    </w:p>
    <w:p w:rsidR="00525DDF" w:rsidRPr="00525DDF" w:rsidRDefault="00525DDF" w:rsidP="00525DDF">
      <w:r w:rsidRPr="00525DDF">
        <w:t>SA Power Networks submits that the WTP research shows the majority of consumers support undergrounding. These findings are not supported by the nine submissions we received that criticised some aspects of the WTP survey and SA Power Networks’ reliance on its findings to support the proposed expenditure. For instance, the E</w:t>
      </w:r>
      <w:r w:rsidR="00AF5D5E">
        <w:t>nergy Users Association of Australia and Business SA</w:t>
      </w:r>
      <w:r w:rsidRPr="00525DDF">
        <w:t xml:space="preserve"> note that </w:t>
      </w:r>
      <w:r w:rsidR="00AF5D5E">
        <w:t xml:space="preserve">there was very limited participation by </w:t>
      </w:r>
      <w:r w:rsidRPr="00525DDF">
        <w:t xml:space="preserve">business consumers </w:t>
      </w:r>
      <w:r w:rsidR="00AF5D5E">
        <w:t>in the survey and therefore the survey was not representative of SA Power Networks' customers</w:t>
      </w:r>
      <w:r w:rsidR="00E9328A">
        <w:t>'</w:t>
      </w:r>
      <w:r w:rsidR="00AF5D5E">
        <w:t xml:space="preserve"> views</w:t>
      </w:r>
      <w:r w:rsidRPr="00525DDF">
        <w:t>.</w:t>
      </w:r>
      <w:r w:rsidR="00367FF3">
        <w:rPr>
          <w:rStyle w:val="FootnoteReference"/>
        </w:rPr>
        <w:footnoteReference w:id="85"/>
      </w:r>
      <w:r w:rsidRPr="00525DDF">
        <w:t xml:space="preserve"> </w:t>
      </w:r>
      <w:r w:rsidR="00367FF3">
        <w:t>F</w:t>
      </w:r>
      <w:r w:rsidRPr="00525DDF">
        <w:t xml:space="preserve">ive of the nine submissions which commented on SA Power Networks’ proposed expenditure on the bushfire program did not support the bushfire mitigation program. For instance, the </w:t>
      </w:r>
      <w:r w:rsidR="00E9328A">
        <w:t>Consumer Challenge Panel (CCP)</w:t>
      </w:r>
      <w:r w:rsidRPr="00525DDF">
        <w:t xml:space="preserve"> submits that ‘We accept it is important for SA Power Networks to carefully consider the findings of the Victorian Bushfire Committees. However, we do strongly suggest that the safe management of assets and vegetation should be part of the standard, ongoing operations of the relevant NSPs and should not generally require significant additional funding over historical “business as usual funding” unless there is a legislative change.’</w:t>
      </w:r>
      <w:r w:rsidRPr="00525DDF">
        <w:rPr>
          <w:rStyle w:val="FootnoteReference"/>
        </w:rPr>
        <w:footnoteReference w:id="86"/>
      </w:r>
    </w:p>
    <w:p w:rsidR="00525DDF" w:rsidRPr="00525DDF" w:rsidRDefault="00525DDF" w:rsidP="00525DDF">
      <w:r w:rsidRPr="00525DDF">
        <w:t>Upon reviewing the information submitted by SA Power Networks on the design, methodology and results of the WTP survey we consider that:</w:t>
      </w:r>
    </w:p>
    <w:p w:rsidR="00525DDF" w:rsidRPr="00525DDF" w:rsidRDefault="00525DDF" w:rsidP="00525DDF">
      <w:pPr>
        <w:pStyle w:val="AERbulletlistfirststyle"/>
      </w:pPr>
      <w:r w:rsidRPr="00525DDF">
        <w:t>the WTP survey has not been based on a well-represented sample of SA Power Networks’ customer base. This is important given that all SA Power Networks customers would be expected to contribute to the cost of undergrounding powerlines in HBRAs</w:t>
      </w:r>
    </w:p>
    <w:p w:rsidR="00525DDF" w:rsidRPr="00525DDF" w:rsidRDefault="00525DDF" w:rsidP="00525DDF">
      <w:pPr>
        <w:pStyle w:val="AERbulletlistfirststyle"/>
      </w:pPr>
      <w:r w:rsidRPr="00525DDF">
        <w:t xml:space="preserve">the way that the survey was presented to survey participants may have influenced their willingness to pay for undergrounding power lines. Information was also lacking around how survey participants would be affected by the cost of the undergrounding program. If survey participants are not adequately informed as to the outcome of possible choices in a WTP survey, the findings are less likely to reflect customers’ views as to their willingness-to-pay. </w:t>
      </w:r>
    </w:p>
    <w:p w:rsidR="00525DDF" w:rsidRPr="00525DDF" w:rsidRDefault="00525DDF" w:rsidP="00525DDF">
      <w:r w:rsidRPr="00525DDF">
        <w:t>We also note the findings from Oakley Greenwood’s peer review of the WTP survey, including that the survey commissioned by SA Power Networks was relatively narrowly focussed, and that survey scope could have been widened to incl</w:t>
      </w:r>
      <w:r w:rsidR="00E9328A">
        <w:t xml:space="preserve">ude other service improvements </w:t>
      </w:r>
      <w:r w:rsidRPr="00525DDF">
        <w:t>consumers</w:t>
      </w:r>
      <w:r w:rsidR="00E9328A">
        <w:t>'</w:t>
      </w:r>
      <w:r w:rsidRPr="00525DDF">
        <w:t xml:space="preserve"> value. They also consider that a different approach could have been applied in choosing the most preferred service offering – Oakley Greenwood’s preferred approach would take account of the effect on all customers given that all customers would be expected to pay for the improved service offering. </w:t>
      </w:r>
    </w:p>
    <w:p w:rsidR="00525DDF" w:rsidRPr="00525DDF" w:rsidRDefault="00525DDF" w:rsidP="00525DDF">
      <w:r w:rsidRPr="00525DDF">
        <w:lastRenderedPageBreak/>
        <w:t>Given the above concerns, while we have taken into account the consumer engagement results reported by SA</w:t>
      </w:r>
      <w:r w:rsidR="00FA3FC1">
        <w:t xml:space="preserve"> </w:t>
      </w:r>
      <w:r w:rsidRPr="00525DDF">
        <w:t>P</w:t>
      </w:r>
      <w:r w:rsidR="00FA3FC1">
        <w:t>ower Networks</w:t>
      </w:r>
      <w:r w:rsidRPr="00525DDF">
        <w:t xml:space="preserve">, we have placed limited weight on them in coming to our position. </w:t>
      </w:r>
    </w:p>
    <w:p w:rsidR="00525DDF" w:rsidRPr="00525DDF" w:rsidRDefault="00525DDF" w:rsidP="00525DDF">
      <w:r w:rsidRPr="00525DDF">
        <w:t>On the issue of the WTP survey lacking representation of SA Power Networks’ customer base, we note that survey participants were only residential customers. Given that most business customers are likely to be located in metropolitan areas which are less prone to bushfires, the WTP survey may overestimate support for undergrounding in HBRAs. A well-represented WTP survey would sample across all of SA Power Networks’ customer base especially as the costs of the program would be borne by all SA Power Networks customers. We provide further views in our confidential appendix.</w:t>
      </w:r>
    </w:p>
    <w:p w:rsidR="00525DDF" w:rsidRPr="00525DDF" w:rsidRDefault="00525DDF" w:rsidP="00525DDF">
      <w:r w:rsidRPr="00525DDF">
        <w:t>We also question whether the sample is broadly representative of the total ESCOSA region. The proportion of respondents from the Eastern Hills/Fleurieu Peninsula (EH&amp;FP) region was 150 per cent higher than that required to be representative of SA</w:t>
      </w:r>
      <w:r w:rsidR="00FA3FC1">
        <w:t xml:space="preserve"> </w:t>
      </w:r>
      <w:r w:rsidRPr="00525DDF">
        <w:t>P</w:t>
      </w:r>
      <w:r w:rsidR="00FA3FC1">
        <w:t>ower Networks</w:t>
      </w:r>
      <w:r w:rsidR="00470C43">
        <w:t>'</w:t>
      </w:r>
      <w:r w:rsidRPr="00525DDF">
        <w:t xml:space="preserve"> customer base, mostly at the expense of under representing major metropolitan areas.</w:t>
      </w:r>
      <w:r w:rsidRPr="00525DDF">
        <w:rPr>
          <w:rStyle w:val="FootnoteReference"/>
        </w:rPr>
        <w:footnoteReference w:id="87"/>
      </w:r>
      <w:r w:rsidRPr="00525DDF">
        <w:t xml:space="preserve"> This is problematic because the EH&amp;FP region is affected far more by interruptions to SA Power Networks’ supply than major metropolitan areas.</w:t>
      </w:r>
      <w:r w:rsidRPr="00525DDF">
        <w:rPr>
          <w:rStyle w:val="FootnoteReference"/>
        </w:rPr>
        <w:footnoteReference w:id="88"/>
      </w:r>
      <w:r w:rsidRPr="00525DDF">
        <w:t xml:space="preserve"> This may mean that those residing within the EH&amp;FP region are willing to pay more for r</w:t>
      </w:r>
      <w:r w:rsidR="00C60407">
        <w:t>eliability-related improvements</w:t>
      </w:r>
      <w:r w:rsidRPr="00525DDF">
        <w:t>—</w:t>
      </w:r>
      <w:r w:rsidR="00C60407">
        <w:t>such as undergrounding</w:t>
      </w:r>
      <w:r w:rsidRPr="00525DDF">
        <w:t>—than the average SA Power Networks customer. Over-representing the results from this region higher than other areas (like major metropolitan areas) is likely to skew results towards valuing the program more highly than compared to other respondents. Given that all SA Power Networks’ customers would be expected to pay for the program, we consider that the material provided by SA Power Networks does not establish majority SA Power Networks customer support for the program.</w:t>
      </w:r>
    </w:p>
    <w:p w:rsidR="00525DDF" w:rsidRPr="00525DDF" w:rsidRDefault="00525DDF" w:rsidP="00525DDF">
      <w:r w:rsidRPr="00525DDF">
        <w:t xml:space="preserve">We consider the way that the survey was presented to survey participants could have influenced their survey </w:t>
      </w:r>
      <w:r w:rsidRPr="00525DDF">
        <w:rPr>
          <w:rStyle w:val="AERbody"/>
        </w:rPr>
        <w:t>responses. This is set out further in our confidential appendix. Oakley</w:t>
      </w:r>
      <w:r w:rsidRPr="00525DDF">
        <w:t xml:space="preserve"> Greenwood also considered survey participants were not informed as to the likely fire reduction risk (benefit level) associated with each of the service offerings they could choose from. In this regard, ‘the consumer is being asked to make a choice on either a best guess or emotional basis.’</w:t>
      </w:r>
      <w:r w:rsidRPr="00525DDF">
        <w:rPr>
          <w:rStyle w:val="FootnoteReference"/>
        </w:rPr>
        <w:footnoteReference w:id="89"/>
      </w:r>
    </w:p>
    <w:p w:rsidR="00525DDF" w:rsidRPr="00525DDF" w:rsidRDefault="00525DDF" w:rsidP="00525DDF">
      <w:r w:rsidRPr="00525DDF">
        <w:t>We also note the submission from SA Treasury that questions whether the majority WTP of $12 per customer per year can be qualitatively supported by a proposed capex amount of $128.6 million</w:t>
      </w:r>
      <w:r w:rsidR="00377636">
        <w:t xml:space="preserve"> </w:t>
      </w:r>
      <w:r w:rsidR="00377636" w:rsidRPr="00377636">
        <w:rPr>
          <w:rStyle w:val="AERbody"/>
        </w:rPr>
        <w:t>($2014–15)</w:t>
      </w:r>
      <w:r w:rsidRPr="00525DDF">
        <w:t xml:space="preserve">. SA Treasury note the importance for ‘the AER to be satisfied that the proposed expenditure on projects identified during the consumer </w:t>
      </w:r>
      <w:r w:rsidRPr="00525DDF">
        <w:lastRenderedPageBreak/>
        <w:t>engagement process accurately reflect what respondents were willing to pay.’</w:t>
      </w:r>
      <w:r w:rsidRPr="00525DDF">
        <w:rPr>
          <w:rStyle w:val="FootnoteReference"/>
        </w:rPr>
        <w:footnoteReference w:id="90"/>
      </w:r>
      <w:r w:rsidRPr="00525DDF">
        <w:t xml:space="preserve"> </w:t>
      </w:r>
      <w:r w:rsidR="006C0C3E">
        <w:t>We provide more views on this in</w:t>
      </w:r>
      <w:r w:rsidR="006C0C3E" w:rsidRPr="00525DDF">
        <w:t xml:space="preserve"> our confidential appendix.</w:t>
      </w:r>
    </w:p>
    <w:p w:rsidR="00525DDF" w:rsidRPr="00525DDF" w:rsidRDefault="00525DDF" w:rsidP="00525DDF">
      <w:r w:rsidRPr="00525DDF">
        <w:t>We also note Oakley Greenwood’s observation that the focus of the WTP survey could have been widened to include other service areas. Oakley Greenwood noted that while the decision to test consumers’ willingness-to-pay for these specific services is not illogical, insights from SA Power Networks’ consumer engagement program suggest that a number of other service areas are likely to have offered fertile ground for increased service levels to better meet customers’ expectations and needs. For instance, within the WTP survey itself, a number of factors were identified that contribute to customer satisfaction. Undergrounding of powerlines contributed 4 per cent – the lowest contribution to overall customer satisfaction.</w:t>
      </w:r>
      <w:r w:rsidRPr="00525DDF">
        <w:rPr>
          <w:rStyle w:val="FootnoteReference"/>
        </w:rPr>
        <w:footnoteReference w:id="91"/>
      </w:r>
      <w:r w:rsidRPr="00525DDF">
        <w:rPr>
          <w:rStyle w:val="FootnoteReference"/>
        </w:rPr>
        <w:t xml:space="preserve"> </w:t>
      </w:r>
      <w:r w:rsidRPr="00525DDF">
        <w:t>Oakley Greenwood therefore question how SA Power Networks decided on the relative level of resource</w:t>
      </w:r>
      <w:r w:rsidR="00E9328A">
        <w:t>s</w:t>
      </w:r>
      <w:r w:rsidRPr="00525DDF">
        <w:t xml:space="preserve"> to devote to these areas compared to other areas which may provide greater impacts in terms of customer satisfaction.</w:t>
      </w:r>
    </w:p>
    <w:p w:rsidR="00525DDF" w:rsidRPr="00525DDF" w:rsidRDefault="00525DDF" w:rsidP="00525DDF">
      <w:r w:rsidRPr="00525DDF">
        <w:t>Oakley Greenwood also considered that service offerings achieving acceptance by greater than 55 per cent of service participants (but which do not achieve the highest acceptance) should still be considered. Under the NTF approach, if more customers are willing to pay a higher amount, that higher amount is imposed on all other customers. Oakley Greenwood consider that the desire for some customers for higher service levels should be tempered by the amount of cost that desire imposes on other customers who are not willing to pay for the higher level of service. This would allow the majority to have its way while seeking to minimise the impact of the majority on others. Taking this alternative approach, Oakley Greenwood found that their approach would select the bundle comprising</w:t>
      </w:r>
      <w:r w:rsidR="00E9328A">
        <w:t xml:space="preserve"> zero </w:t>
      </w:r>
      <w:r w:rsidRPr="00525DDF">
        <w:t>km of undergroun</w:t>
      </w:r>
      <w:r w:rsidR="008C0CBB">
        <w:t>ding in HBRAs and BFRAs and 2.5 per cent</w:t>
      </w:r>
      <w:r w:rsidRPr="00525DDF">
        <w:t xml:space="preserve"> veg</w:t>
      </w:r>
      <w:r w:rsidR="00E9328A">
        <w:t>etation</w:t>
      </w:r>
      <w:r w:rsidRPr="00525DDF">
        <w:t xml:space="preserve"> management.</w:t>
      </w:r>
      <w:r w:rsidRPr="00525DDF">
        <w:rPr>
          <w:rStyle w:val="FootnoteReference"/>
        </w:rPr>
        <w:footnoteReference w:id="92"/>
      </w:r>
    </w:p>
    <w:p w:rsidR="00525DDF" w:rsidRPr="00624A53" w:rsidRDefault="00525DDF" w:rsidP="00624A53">
      <w:pPr>
        <w:pStyle w:val="HeadingBoldItalic"/>
        <w:rPr>
          <w:rStyle w:val="Emphasis"/>
          <w:i/>
          <w:iCs/>
        </w:rPr>
      </w:pPr>
      <w:r w:rsidRPr="00624A53">
        <w:rPr>
          <w:rStyle w:val="Emphasis"/>
          <w:i/>
          <w:iCs/>
        </w:rPr>
        <w:t>Alternative funding avenues</w:t>
      </w:r>
    </w:p>
    <w:p w:rsidR="00525DDF" w:rsidRPr="00525DDF" w:rsidRDefault="00525DDF" w:rsidP="00525DDF">
      <w:r w:rsidRPr="00525DDF">
        <w:t xml:space="preserve">We are aware that there may be alternative avenues available to fund the bushfire mitigation program – through support from the Power Line Environment Committee (PLEC). If through a collaborative approach a regulatory change is activated, SA Power Networks can apply to pass through costs associated with the regulatory change in a subsequent regulatory proposal. </w:t>
      </w:r>
    </w:p>
    <w:p w:rsidR="00525DDF" w:rsidRPr="00525DDF" w:rsidRDefault="00525DDF" w:rsidP="00525DDF">
      <w:r w:rsidRPr="00525DDF">
        <w:t>The PLEC was established by the SA Government, to prepare a program of undergrounding of powerline works. SA Power Networks is required to fund the total PLEC project expenditure and recover one-third portion of the costs in accordance with a legislated formalised payment schedule.</w:t>
      </w:r>
      <w:r w:rsidRPr="00525DDF">
        <w:rPr>
          <w:rStyle w:val="FootnoteReference"/>
        </w:rPr>
        <w:footnoteReference w:id="93"/>
      </w:r>
      <w:r w:rsidRPr="00525DDF">
        <w:t xml:space="preserve"> The PLEC charter sets out factors the committee would consider when assessing undergrounding work, which since 2012 </w:t>
      </w:r>
      <w:r w:rsidRPr="00525DDF">
        <w:lastRenderedPageBreak/>
        <w:t>now includes ‘electricity safety’ (and road safety). The PLEC currently comprises representatives from various government bodies, local councils, the community, SA</w:t>
      </w:r>
      <w:r w:rsidR="00FA3FC1">
        <w:t xml:space="preserve"> </w:t>
      </w:r>
      <w:r w:rsidRPr="00525DDF">
        <w:t>P</w:t>
      </w:r>
      <w:r w:rsidR="00FA3FC1">
        <w:t>ower Networks</w:t>
      </w:r>
      <w:r w:rsidRPr="00525DDF">
        <w:t xml:space="preserve"> and other interested parties.  </w:t>
      </w:r>
    </w:p>
    <w:p w:rsidR="00525DDF" w:rsidRPr="00525DDF" w:rsidRDefault="00525DDF" w:rsidP="00525DDF">
      <w:r w:rsidRPr="00525DDF">
        <w:t>SA Power Networks submit</w:t>
      </w:r>
      <w:r w:rsidR="00E9328A">
        <w:t>s</w:t>
      </w:r>
      <w:r w:rsidRPr="00525DDF">
        <w:t xml:space="preserve"> that it expects the undergrounding of powerlines in HBRAs would be in addition to any work undertaken by PLEC. However, we consider that given the recent change in the PLEC charter to include electrical safety as a factor when considering undergrounding power line work, it would be conceivable that with council support (as councils generally submit applications to PLEC), undergrounding powerlines in HBRAs could be considered a PLEC project. Further, we note that SA Power Networks’ forecast PLEC expenditure is included in SA Power Networks’ regulatory proposal.</w:t>
      </w:r>
      <w:r w:rsidRPr="00525DDF">
        <w:rPr>
          <w:rStyle w:val="FootnoteReference"/>
        </w:rPr>
        <w:footnoteReference w:id="94"/>
      </w:r>
      <w:r w:rsidRPr="00525DDF">
        <w:t xml:space="preserve"> Therefore SA Power Networks is seeking funding for PLEC undergrounding power lines work which is in addition to the amount it is proposing under the bushfire mitigation program.</w:t>
      </w:r>
    </w:p>
    <w:p w:rsidR="00525DDF" w:rsidRPr="00525DDF" w:rsidRDefault="00525DDF" w:rsidP="00525DDF">
      <w:r w:rsidRPr="00525DDF">
        <w:t>The CCP submits that given the broad membership and knowledge of the PLEC, they would be better placed to make decisions as to whether undergrounding would be in the community’s interest and consider that it would be a better avenue for SA Power Networks to seek funding for underground work. The CCP consider that the councils, given they submit applications to PLEC, would be well placed to make judgements as to whether undergrounding work for the purposes of bush fire mitigation would be required. The CCP’s submission also recommends that SA Power Networks seek a broader approach, and not a unilateral one, to address bushfire risk by involving state and local government and other relevant emergency groups. The CCP notes that ‘[it] is not aware that the SA Government has established any such equivalent representative committee, however, we firmly believe this is the most appropriate and effective approach to addressing multi-causation events such as bushfires in a prudent and cost effective manner.’</w:t>
      </w:r>
      <w:r w:rsidRPr="00525DDF">
        <w:rPr>
          <w:rStyle w:val="FootnoteReference"/>
        </w:rPr>
        <w:footnoteReference w:id="95"/>
      </w:r>
    </w:p>
    <w:p w:rsidR="00525DDF" w:rsidRPr="00525DDF" w:rsidRDefault="00525DDF" w:rsidP="00525DDF">
      <w:r w:rsidRPr="00525DDF">
        <w:t>We also note that some of the outcomes of the VBRC and PBT included the development of new industry standards. If through a consultative process, a change in regulatory standards related to bush fires were achieved, then the NER provides that SA Power Networks may apply for approval to pass through costs associated with such a change.</w:t>
      </w:r>
    </w:p>
    <w:p w:rsidR="00525DDF" w:rsidRPr="00525DDF" w:rsidRDefault="00525DDF" w:rsidP="00624A53">
      <w:pPr>
        <w:pStyle w:val="HeadingBoldBlue"/>
      </w:pPr>
      <w:bookmarkStart w:id="131" w:name="_Ref416686679"/>
      <w:r w:rsidRPr="00525DDF">
        <w:t>Road-safety</w:t>
      </w:r>
      <w:bookmarkEnd w:id="131"/>
    </w:p>
    <w:p w:rsidR="00525DDF" w:rsidRPr="00525DDF" w:rsidRDefault="00525DDF" w:rsidP="00525DDF">
      <w:r w:rsidRPr="00525DDF">
        <w:t>SA Power Networks propose</w:t>
      </w:r>
      <w:r w:rsidR="00470C43">
        <w:t>d</w:t>
      </w:r>
      <w:r w:rsidRPr="00525DDF">
        <w:t xml:space="preserve"> $74.2 million ($2014</w:t>
      </w:r>
      <w:r w:rsidR="00377636">
        <w:t>–</w:t>
      </w:r>
      <w:r w:rsidRPr="00525DDF">
        <w:t xml:space="preserve">15) to underground powerlines at select traffic intersections and roads that are deemed as high risk for road-safety. SA Power Networks argues that the widening of South Australian roads over time has meant that SA Power Networks' poles are now closer to the road surface, increasing </w:t>
      </w:r>
      <w:r w:rsidRPr="00525DDF">
        <w:lastRenderedPageBreak/>
        <w:t>road</w:t>
      </w:r>
      <w:r w:rsidR="0045114B">
        <w:t>-</w:t>
      </w:r>
      <w:r w:rsidRPr="00525DDF">
        <w:t>safety risk. Hence, SA Power Networks proposes to improve road safety by undergrounding its network in select locations.</w:t>
      </w:r>
      <w:r w:rsidRPr="00525DDF">
        <w:rPr>
          <w:rStyle w:val="FootnoteReference"/>
        </w:rPr>
        <w:footnoteReference w:id="96"/>
      </w:r>
    </w:p>
    <w:p w:rsidR="00525DDF" w:rsidRPr="00525DDF" w:rsidRDefault="00525DDF" w:rsidP="00525DDF">
      <w:r w:rsidRPr="00525DDF">
        <w:t>We do not accept the $74.2 million forecast because we consider that the proposed program is not required to maintain the safety or reliability of SA Power Networks' distribution system, and does not reasonably reflect the costs that a prudent operator, acting efficiently, would require to achieve the capex objectives. The reasons for this are outlined below.</w:t>
      </w:r>
    </w:p>
    <w:p w:rsidR="00525DDF" w:rsidRPr="00525DDF" w:rsidRDefault="00525DDF" w:rsidP="00525DDF">
      <w:r w:rsidRPr="00525DDF">
        <w:t>Relevantly, the capex objectives require SA Power Networks to include capex required to maintain the safety of the distribution system through the supply of standard control services, and to comply with regulatory obligations or requirements, including in relation to reliability.</w:t>
      </w:r>
      <w:r w:rsidRPr="00525DDF">
        <w:rPr>
          <w:rStyle w:val="FootnoteReference"/>
        </w:rPr>
        <w:footnoteReference w:id="97"/>
      </w:r>
      <w:r w:rsidRPr="00525DDF">
        <w:t xml:space="preserve"> The distribution system includes electricity poles that are adjacent to roads. </w:t>
      </w:r>
    </w:p>
    <w:p w:rsidR="00525DDF" w:rsidRPr="00525DDF" w:rsidRDefault="00525DDF" w:rsidP="00525DDF">
      <w:r w:rsidRPr="00525DDF">
        <w:t xml:space="preserve">SA Power Networks does not demonstrate that there is an existing issue of network safety that it is trying to resolve through this capex program. Rather, SA Power Networks states that the program is based on concerns raised by some of its customers about the risk posed by network </w:t>
      </w:r>
      <w:r w:rsidRPr="00525DDF">
        <w:rPr>
          <w:rStyle w:val="AERbody"/>
        </w:rPr>
        <w:t>infrastructure for road safety.</w:t>
      </w:r>
      <w:r w:rsidRPr="00525DDF">
        <w:rPr>
          <w:rStyle w:val="FootnoteReference"/>
        </w:rPr>
        <w:footnoteReference w:id="98"/>
      </w:r>
      <w:r w:rsidRPr="00525DDF">
        <w:rPr>
          <w:rStyle w:val="AERbody"/>
        </w:rPr>
        <w:t xml:space="preserve"> Road accidents may potentially affect the safety of the distribution network (such as by causing damage to poles and wires), but it is clear that this capex program is primarily about improving road-safety rather than maintaining network safety or reliability</w:t>
      </w:r>
      <w:r w:rsidRPr="00525DDF">
        <w:t>.</w:t>
      </w:r>
    </w:p>
    <w:p w:rsidR="00525DDF" w:rsidRPr="00525DDF" w:rsidRDefault="00525DDF" w:rsidP="00525DDF">
      <w:r w:rsidRPr="00525DDF">
        <w:t>While road-safety is important for the community, it is not the sole responsibility of the electricity distributor and electricity consumers to fund programs to increase road-safety. This is particularly the case given that SA Power Networks does not demonstrate that there are safety hazards arising from faults in its distribution network at these particular road intersections. The proposed risk to road-safety appears to be the result of a widening of roads which is outside of SA Power Networks' control as operator of the distribution network and does not relate to a safety issue caused by the network.</w:t>
      </w:r>
    </w:p>
    <w:p w:rsidR="00525DDF" w:rsidRPr="00525DDF" w:rsidRDefault="00525DDF" w:rsidP="00525DDF">
      <w:r w:rsidRPr="00525DDF">
        <w:t>This view is supported by submissions from Business SA, the SA Minister for Mineral Resources and Energy (Energy Minister) and the CCP. The Energy Minister submitted:</w:t>
      </w:r>
    </w:p>
    <w:p w:rsidR="00525DDF" w:rsidRPr="00525DDF" w:rsidRDefault="00525DDF" w:rsidP="00525DDF">
      <w:pPr>
        <w:pStyle w:val="AERquoteindent1"/>
      </w:pPr>
      <w:r w:rsidRPr="00525DDF">
        <w:t>The South Australian Government places significant importance on road safety as demonstrated through its commitment to ongoing road safety initiatives …</w:t>
      </w:r>
    </w:p>
    <w:p w:rsidR="00525DDF" w:rsidRPr="00525DDF" w:rsidRDefault="00525DDF" w:rsidP="00525DDF">
      <w:pPr>
        <w:pStyle w:val="AERquoteindent1"/>
      </w:pPr>
      <w:r w:rsidRPr="00525DDF">
        <w:t xml:space="preserve">For this reason, rather than embarking on a program that directly impacts on electricity prices, the Government submits road safety initiatives are best left to expert agencies such as the Department of Planning, Transport and Infrastructure and the Motor Accident Commission to determine if </w:t>
      </w:r>
      <w:r w:rsidRPr="00525DDF">
        <w:lastRenderedPageBreak/>
        <w:t>undergrounding or relocating power lines is the most viable option available to protect South Australian motorists in specific locations.</w:t>
      </w:r>
      <w:r w:rsidRPr="00525DDF">
        <w:rPr>
          <w:rStyle w:val="FootnoteReference"/>
        </w:rPr>
        <w:footnoteReference w:id="99"/>
      </w:r>
    </w:p>
    <w:p w:rsidR="00525DDF" w:rsidRPr="00525DDF" w:rsidRDefault="00525DDF" w:rsidP="00525DDF">
      <w:r w:rsidRPr="00525DDF">
        <w:t>Similarly, Business SA submitted:</w:t>
      </w:r>
    </w:p>
    <w:p w:rsidR="00525DDF" w:rsidRPr="00525DDF" w:rsidRDefault="00525DDF" w:rsidP="00525DDF">
      <w:pPr>
        <w:pStyle w:val="AERquoteindent1"/>
      </w:pPr>
      <w:r w:rsidRPr="00525DDF">
        <w:t>Business SA acknowledges that SA Power Networks' proposal to improve road safety is well intentioned but akin to measures being taken to improve bushfire mitigation, we consider that setting the appropriate level of road safety risk, and the optimum policy response to achieve this, are matters for Government.</w:t>
      </w:r>
      <w:r w:rsidRPr="00525DDF">
        <w:rPr>
          <w:rStyle w:val="FootnoteReference"/>
        </w:rPr>
        <w:footnoteReference w:id="100"/>
      </w:r>
    </w:p>
    <w:p w:rsidR="00525DDF" w:rsidRPr="00525DDF" w:rsidRDefault="00525DDF" w:rsidP="00525DDF">
      <w:r w:rsidRPr="00525DDF">
        <w:t>The CCP also submits that investment in undergrounding electricity lines should be as a result of a comprehensive plan agreed to by all stakeholders, including councils, road departments and tourism bodies. The CCP stated that this is not an economic regulatory matter, but rather a community issue of which SA Power Networks is but one part.</w:t>
      </w:r>
      <w:r w:rsidRPr="00525DDF">
        <w:rPr>
          <w:rStyle w:val="FootnoteReference"/>
        </w:rPr>
        <w:footnoteReference w:id="101"/>
      </w:r>
    </w:p>
    <w:p w:rsidR="00525DDF" w:rsidRPr="00525DDF" w:rsidRDefault="00525DDF" w:rsidP="00525DDF">
      <w:r w:rsidRPr="00525DDF">
        <w:t xml:space="preserve">Submissions point to an alternative source of funding for undergrounding of cables based on advice from </w:t>
      </w:r>
      <w:r w:rsidRPr="00525DDF">
        <w:rPr>
          <w:rStyle w:val="AERbody"/>
        </w:rPr>
        <w:t>Power Line Environment Committee (PLEC).</w:t>
      </w:r>
      <w:r w:rsidRPr="00525DDF">
        <w:rPr>
          <w:rStyle w:val="FootnoteReference"/>
        </w:rPr>
        <w:footnoteReference w:id="102"/>
      </w:r>
      <w:r w:rsidRPr="00525DDF">
        <w:rPr>
          <w:rStyle w:val="AERbody"/>
        </w:rPr>
        <w:t xml:space="preserve"> As discussed in section </w:t>
      </w:r>
      <w:r w:rsidRPr="00525DDF">
        <w:rPr>
          <w:rStyle w:val="AERbody"/>
        </w:rPr>
        <w:fldChar w:fldCharType="begin"/>
      </w:r>
      <w:r w:rsidRPr="00525DDF">
        <w:rPr>
          <w:rStyle w:val="AERbody"/>
        </w:rPr>
        <w:instrText xml:space="preserve"> REF _Ref415576201 \r \h </w:instrText>
      </w:r>
      <w:r w:rsidRPr="00525DDF">
        <w:rPr>
          <w:rStyle w:val="AERbody"/>
        </w:rPr>
      </w:r>
      <w:r w:rsidRPr="00525DDF">
        <w:rPr>
          <w:rStyle w:val="AERbody"/>
        </w:rPr>
        <w:fldChar w:fldCharType="separate"/>
      </w:r>
      <w:r w:rsidR="00F02131">
        <w:rPr>
          <w:rStyle w:val="AERbody"/>
        </w:rPr>
        <w:t>B.2.6</w:t>
      </w:r>
      <w:r w:rsidRPr="00525DDF">
        <w:rPr>
          <w:rStyle w:val="AERbody"/>
        </w:rPr>
        <w:fldChar w:fldCharType="end"/>
      </w:r>
      <w:r w:rsidRPr="00525DDF">
        <w:rPr>
          <w:rStyle w:val="AERbody"/>
        </w:rPr>
        <w:t xml:space="preserve">, the PLEC approves capex to improve network aesthetics through undergrounding the electricity network, and </w:t>
      </w:r>
      <w:r w:rsidRPr="00525DDF">
        <w:t xml:space="preserve">funding </w:t>
      </w:r>
      <w:proofErr w:type="gramStart"/>
      <w:r w:rsidRPr="00525DDF">
        <w:t>is shared</w:t>
      </w:r>
      <w:proofErr w:type="gramEnd"/>
      <w:r w:rsidRPr="00525DDF">
        <w:t xml:space="preserve"> between SA Power Networks,</w:t>
      </w:r>
      <w:r w:rsidRPr="00525DDF">
        <w:rPr>
          <w:rStyle w:val="AERbody"/>
        </w:rPr>
        <w:t xml:space="preserve"> local councils and the Government. Since 2012 the PLEC must now consider road safety and electricity safety as factors when assessing an undergrounding project for funding. </w:t>
      </w:r>
      <w:r w:rsidRPr="00525DDF">
        <w:t xml:space="preserve">The PLEC includes membership from SA Power Networks, the Department of Planning, Transport and Infrastructure, local councils and community representatives. </w:t>
      </w:r>
    </w:p>
    <w:p w:rsidR="00525DDF" w:rsidRPr="00525DDF" w:rsidRDefault="00525DDF" w:rsidP="00525DDF">
      <w:pPr>
        <w:rPr>
          <w:rStyle w:val="AERbody"/>
        </w:rPr>
      </w:pPr>
      <w:r w:rsidRPr="00525DDF">
        <w:t>The CCP states that given the broad membership and knowledge of the PLEC Committee, they would be better placed to make decisions as to whether undergrounding would be in the community’s interest and consider that it would be a better avenue for SA Power Networks to seek funding for underground work.</w:t>
      </w:r>
      <w:r w:rsidRPr="00525DDF">
        <w:rPr>
          <w:rStyle w:val="FootnoteReference"/>
        </w:rPr>
        <w:footnoteReference w:id="103"/>
      </w:r>
    </w:p>
    <w:p w:rsidR="00525DDF" w:rsidRPr="00525DDF" w:rsidRDefault="00525DDF" w:rsidP="00525DDF">
      <w:r w:rsidRPr="00525DDF">
        <w:t>In coming to our view on this capex project, we have considered the views of consumers as expressed the willingness-to-pay study submitted by SA Power Networks.</w:t>
      </w:r>
      <w:r w:rsidRPr="00525DDF">
        <w:rPr>
          <w:rStyle w:val="FootnoteReference"/>
        </w:rPr>
        <w:footnoteReference w:id="104"/>
      </w:r>
      <w:r w:rsidRPr="00525DDF">
        <w:t xml:space="preserve"> On the basis of this study, SA Power Networks submits that community consultation confirmed majority support and willingness-to-pay for undergrounding powerlines around traffic black spots.</w:t>
      </w:r>
      <w:r w:rsidRPr="00525DDF">
        <w:rPr>
          <w:rStyle w:val="FootnoteReference"/>
        </w:rPr>
        <w:footnoteReference w:id="105"/>
      </w:r>
      <w:r w:rsidRPr="00525DDF">
        <w:t xml:space="preserve"> We also considered this report in our assessment of SA Power Networks' bushfire mitigation capex proposal (see above). </w:t>
      </w:r>
    </w:p>
    <w:p w:rsidR="00525DDF" w:rsidRPr="00525DDF" w:rsidRDefault="00525DDF" w:rsidP="00525DDF">
      <w:pPr>
        <w:rPr>
          <w:rStyle w:val="AERbody"/>
        </w:rPr>
      </w:pPr>
      <w:r w:rsidRPr="00525DDF">
        <w:rPr>
          <w:rStyle w:val="AERbody"/>
        </w:rPr>
        <w:lastRenderedPageBreak/>
        <w:t>The willingness-to-pay study provided surveyed customers with different undergrounding options to deal with bushfire risk and traffic options. It found that the most preferred options amongst respondents were:</w:t>
      </w:r>
    </w:p>
    <w:p w:rsidR="00525DDF" w:rsidRPr="00525DDF" w:rsidRDefault="00525DDF" w:rsidP="00525DDF">
      <w:pPr>
        <w:pStyle w:val="AERbulletlistfirststyle"/>
      </w:pPr>
      <w:r w:rsidRPr="00525DDF">
        <w:t>in high bushfire risk and bushfire risk areas, 135kms of u</w:t>
      </w:r>
      <w:r w:rsidR="008C0CBB">
        <w:t>ndergrounding combined with 2.5 per cent</w:t>
      </w:r>
      <w:r w:rsidRPr="00525DDF">
        <w:t xml:space="preserve"> tree removal and replacement</w:t>
      </w:r>
    </w:p>
    <w:p w:rsidR="00525DDF" w:rsidRPr="00525DDF" w:rsidRDefault="008C0CBB" w:rsidP="00525DDF">
      <w:pPr>
        <w:pStyle w:val="AERbulletlistfirststyle"/>
      </w:pPr>
      <w:r>
        <w:t>in non-bushfire risk areas, 2.5 per cent</w:t>
      </w:r>
      <w:r w:rsidR="00525DDF" w:rsidRPr="00525DDF">
        <w:t xml:space="preserve"> removal and replacement of inappropriate vegetation, associated with a 2 year trimming cycle without undergrounding powerlines,</w:t>
      </w:r>
    </w:p>
    <w:p w:rsidR="00525DDF" w:rsidRPr="00525DDF" w:rsidRDefault="00525DDF" w:rsidP="00525DDF">
      <w:pPr>
        <w:pStyle w:val="AERbulletlistfirststyle"/>
        <w:rPr>
          <w:rStyle w:val="AERbody"/>
        </w:rPr>
      </w:pPr>
      <w:r w:rsidRPr="00525DDF">
        <w:t>undergrounding powerlines surrounding 30 Traffic Blackspots.</w:t>
      </w:r>
      <w:r w:rsidRPr="00525DDF">
        <w:rPr>
          <w:rStyle w:val="FootnoteReference"/>
        </w:rPr>
        <w:footnoteReference w:id="106"/>
      </w:r>
    </w:p>
    <w:p w:rsidR="00525DDF" w:rsidRPr="00525DDF" w:rsidRDefault="00525DDF" w:rsidP="00525DDF">
      <w:pPr>
        <w:rPr>
          <w:rStyle w:val="AERbody"/>
        </w:rPr>
      </w:pPr>
      <w:r w:rsidRPr="00525DDF">
        <w:rPr>
          <w:rStyle w:val="AERbody"/>
        </w:rPr>
        <w:t>As noted above, we commissioned consultants Oakley Greenwood to review SA</w:t>
      </w:r>
      <w:r w:rsidR="00FA3FC1">
        <w:rPr>
          <w:rStyle w:val="AERbody"/>
        </w:rPr>
        <w:t xml:space="preserve"> </w:t>
      </w:r>
      <w:r w:rsidRPr="00525DDF">
        <w:rPr>
          <w:rStyle w:val="AERbody"/>
        </w:rPr>
        <w:t>P</w:t>
      </w:r>
      <w:r w:rsidR="00FA3FC1">
        <w:rPr>
          <w:rStyle w:val="AERbody"/>
        </w:rPr>
        <w:t>ower Networks</w:t>
      </w:r>
      <w:r w:rsidRPr="00525DDF">
        <w:rPr>
          <w:rStyle w:val="AERbody"/>
        </w:rPr>
        <w:t xml:space="preserve"> study.</w:t>
      </w:r>
      <w:r w:rsidRPr="00525DDF">
        <w:rPr>
          <w:rStyle w:val="FootnoteReference"/>
        </w:rPr>
        <w:footnoteReference w:id="107"/>
      </w:r>
      <w:r w:rsidRPr="00525DDF">
        <w:rPr>
          <w:rStyle w:val="AERbody"/>
        </w:rPr>
        <w:t xml:space="preserve"> </w:t>
      </w:r>
      <w:r w:rsidR="00C76FB7">
        <w:rPr>
          <w:rStyle w:val="AERbody"/>
        </w:rPr>
        <w:t>It considered that the decision made by consumers in support of undergrounding powerlines did not reflect informed choices given the limited information provided to consumers about the benefits associated with each of the options presented. In relation to traffic blackspots, the report observed that:</w:t>
      </w:r>
    </w:p>
    <w:p w:rsidR="00525DDF" w:rsidRPr="00525DDF" w:rsidRDefault="00525DDF" w:rsidP="00525DDF">
      <w:pPr>
        <w:pStyle w:val="AERquote"/>
        <w:rPr>
          <w:rStyle w:val="AERtextsize10"/>
        </w:rPr>
      </w:pPr>
      <w:r w:rsidRPr="00525DDF">
        <w:t xml:space="preserve">In these cases, there is no relationship between the relative amounts of money paid and </w:t>
      </w:r>
      <w:r w:rsidRPr="00525DDF">
        <w:rPr>
          <w:rStyle w:val="AERtextsize10"/>
        </w:rPr>
        <w:t>the likely reduction in traffic accidents and associated property damage and injury/death (in the case of the traffic blackspots).</w:t>
      </w:r>
    </w:p>
    <w:p w:rsidR="00525DDF" w:rsidRPr="00525DDF" w:rsidRDefault="00525DDF" w:rsidP="00525DDF">
      <w:pPr>
        <w:pStyle w:val="AERquote"/>
      </w:pPr>
      <w:r w:rsidRPr="00525DDF">
        <w:t xml:space="preserve">In each of these cases </w:t>
      </w:r>
      <w:r w:rsidR="00D719DE">
        <w:t>(</w:t>
      </w:r>
      <w:r w:rsidRPr="00525DDF">
        <w:t>bushfire and traffic blackspots</w:t>
      </w:r>
      <w:r w:rsidR="00D719DE">
        <w:t>)</w:t>
      </w:r>
      <w:r w:rsidRPr="00525DDF">
        <w:t>, the consumer is being asked to make a choice on either a best guess or emotional basis. The analysis will provide a result, but it will not be the result of an informed choice.</w:t>
      </w:r>
      <w:r w:rsidRPr="00525DDF">
        <w:rPr>
          <w:rStyle w:val="FootnoteReference"/>
        </w:rPr>
        <w:footnoteReference w:id="108"/>
      </w:r>
    </w:p>
    <w:p w:rsidR="00525DDF" w:rsidRPr="00525DDF" w:rsidRDefault="00525DDF" w:rsidP="00525DDF">
      <w:r w:rsidRPr="00525DDF">
        <w:t>Submissions from the South Australian Energy Minister, the EUAA, Business SA and the CCP criticise the willingness-to-pay survey as not being representative of SA consumers as a whole, and pointed to the same issues we have identified.</w:t>
      </w:r>
      <w:r w:rsidRPr="00525DDF">
        <w:rPr>
          <w:rStyle w:val="FootnoteReference"/>
        </w:rPr>
        <w:footnoteReference w:id="109"/>
      </w:r>
      <w:r w:rsidRPr="00525DDF">
        <w:t xml:space="preserve"> The CCP notes that the use of willingness-to-pay research is still in its infancy and is cautious about its use in supporting investment decisions. In particular, the CCP are critical of the surveying methodology used to produce the willingness-to-pay results, and were not satisfied that the robustness of the research justified the level of capex proposed.</w:t>
      </w:r>
      <w:r w:rsidRPr="00525DDF">
        <w:rPr>
          <w:rStyle w:val="FootnoteReference"/>
        </w:rPr>
        <w:footnoteReference w:id="110"/>
      </w:r>
    </w:p>
    <w:p w:rsidR="00C76FB7" w:rsidRDefault="00C76FB7" w:rsidP="00C76FB7">
      <w:r>
        <w:t xml:space="preserve">Having taken into account the issues identified above and the views expressed in submissions, we are not satisfied that </w:t>
      </w:r>
      <w:r>
        <w:rPr>
          <w:rStyle w:val="AERbody"/>
        </w:rPr>
        <w:t>SA Power Networks</w:t>
      </w:r>
      <w:r w:rsidR="00D6016E">
        <w:rPr>
          <w:rStyle w:val="AERbody"/>
        </w:rPr>
        <w:t>'</w:t>
      </w:r>
      <w:r>
        <w:rPr>
          <w:rStyle w:val="AERbody"/>
        </w:rPr>
        <w:t xml:space="preserve"> willingness-to-pay study provides persuasive evidence that SA Power Networks</w:t>
      </w:r>
      <w:r w:rsidR="00D6016E">
        <w:rPr>
          <w:rStyle w:val="AERbody"/>
        </w:rPr>
        <w:t>'</w:t>
      </w:r>
      <w:r>
        <w:rPr>
          <w:rStyle w:val="AERbody"/>
        </w:rPr>
        <w:t xml:space="preserve"> consumers support the proposed capex to underground powerlines at traffic blackspots, or that the proposed expenditure is prudent and efficient</w:t>
      </w:r>
      <w:r w:rsidR="00D719DE">
        <w:rPr>
          <w:rStyle w:val="AERbody"/>
        </w:rPr>
        <w:t>.</w:t>
      </w:r>
    </w:p>
    <w:p w:rsidR="00525DDF" w:rsidRPr="00525DDF" w:rsidRDefault="00525DDF" w:rsidP="00525DDF">
      <w:pPr>
        <w:pStyle w:val="Heading9"/>
      </w:pPr>
      <w:bookmarkStart w:id="132" w:name="_Toc417725394"/>
      <w:r w:rsidRPr="00525DDF">
        <w:lastRenderedPageBreak/>
        <w:t>Strategic programs</w:t>
      </w:r>
      <w:bookmarkEnd w:id="132"/>
    </w:p>
    <w:p w:rsidR="00525DDF" w:rsidRPr="00525DDF" w:rsidRDefault="00525DDF" w:rsidP="00525DDF">
      <w:pPr>
        <w:rPr>
          <w:rStyle w:val="AERbody"/>
        </w:rPr>
      </w:pPr>
      <w:r w:rsidRPr="00525DDF">
        <w:rPr>
          <w:rStyle w:val="AERbody"/>
        </w:rPr>
        <w:t>SA Power Networks propose</w:t>
      </w:r>
      <w:r w:rsidR="00D6016E">
        <w:rPr>
          <w:rStyle w:val="AERbody"/>
        </w:rPr>
        <w:t>d</w:t>
      </w:r>
      <w:r w:rsidRPr="00525DDF">
        <w:rPr>
          <w:rStyle w:val="AERbody"/>
        </w:rPr>
        <w:t xml:space="preserve"> a forecast of $92.9 million ($2014</w:t>
      </w:r>
      <w:r w:rsidR="00D719DE">
        <w:rPr>
          <w:rStyle w:val="AERbody"/>
        </w:rPr>
        <w:t>–</w:t>
      </w:r>
      <w:r w:rsidRPr="00525DDF">
        <w:rPr>
          <w:rStyle w:val="AERbody"/>
        </w:rPr>
        <w:t>15, excluding overheads) for a number of one-off strategic projects that SA Power Networks states aimed at ensuring the security of supply of the network. These include:</w:t>
      </w:r>
    </w:p>
    <w:p w:rsidR="00525DDF" w:rsidRPr="00525DDF" w:rsidRDefault="00525DDF" w:rsidP="00525DDF">
      <w:pPr>
        <w:pStyle w:val="AERbulletlistfirststyle"/>
        <w:rPr>
          <w:rStyle w:val="AERbody"/>
        </w:rPr>
      </w:pPr>
      <w:r w:rsidRPr="00525DDF">
        <w:rPr>
          <w:rStyle w:val="AERbody"/>
        </w:rPr>
        <w:t>$45.2 million to install a second undersea cable to Kangaroo Island</w:t>
      </w:r>
    </w:p>
    <w:p w:rsidR="00525DDF" w:rsidRPr="00525DDF" w:rsidRDefault="00525DDF" w:rsidP="00525DDF">
      <w:pPr>
        <w:pStyle w:val="AERbulletlistfirststyle"/>
        <w:rPr>
          <w:rStyle w:val="AERbody"/>
        </w:rPr>
      </w:pPr>
      <w:r w:rsidRPr="00525DDF">
        <w:rPr>
          <w:rStyle w:val="AERbody"/>
        </w:rPr>
        <w:t>$15.4 million to install network monitoring devices in select smart meters, and</w:t>
      </w:r>
    </w:p>
    <w:p w:rsidR="00525DDF" w:rsidRPr="00525DDF" w:rsidRDefault="00525DDF" w:rsidP="00525DDF">
      <w:pPr>
        <w:pStyle w:val="AERbulletlistfirststyle"/>
        <w:rPr>
          <w:rStyle w:val="AERbody"/>
        </w:rPr>
      </w:pPr>
      <w:r w:rsidRPr="00525DDF">
        <w:rPr>
          <w:rStyle w:val="AERbody"/>
        </w:rPr>
        <w:t xml:space="preserve">$24.7 million to expand the rollout of network control equipment. </w:t>
      </w:r>
    </w:p>
    <w:p w:rsidR="00525DDF" w:rsidRPr="00525DDF" w:rsidRDefault="00525DDF" w:rsidP="00525DDF">
      <w:r w:rsidRPr="00525DDF">
        <w:t>We do not accept SA Power Networks' proposed $92.9 million forecast and have instead included $45.2 million in our alternative estimate. This reflects the proposed capex for the Kangaroo Island undersea cable.</w:t>
      </w:r>
      <w:r w:rsidRPr="00525DDF">
        <w:tab/>
        <w:t>In coming to this view, we have assessed the need for the three primary strategic projects below.</w:t>
      </w:r>
    </w:p>
    <w:p w:rsidR="00525DDF" w:rsidRPr="00525DDF" w:rsidRDefault="00525DDF" w:rsidP="00624A53">
      <w:pPr>
        <w:pStyle w:val="HeadingBoldBlue"/>
      </w:pPr>
      <w:r w:rsidRPr="00525DDF">
        <w:t xml:space="preserve">Kangaroo Island cable </w:t>
      </w:r>
    </w:p>
    <w:p w:rsidR="00525DDF" w:rsidRPr="00525DDF" w:rsidRDefault="00525DDF" w:rsidP="00525DDF">
      <w:r w:rsidRPr="00525DDF">
        <w:t>SA Power Networks propose</w:t>
      </w:r>
      <w:r w:rsidR="00D6016E">
        <w:t>d</w:t>
      </w:r>
      <w:r w:rsidRPr="00525DDF">
        <w:t xml:space="preserve"> $45.2 million ($2014</w:t>
      </w:r>
      <w:r w:rsidR="00D719DE">
        <w:t>–</w:t>
      </w:r>
      <w:r w:rsidRPr="00525DDF">
        <w:t>15) to install a second undersea electricity cable to Kangaroo Island (KI). The key reason for proposing a second cable is to maintain the security of electricity supply to Kangaroo Island.</w:t>
      </w:r>
    </w:p>
    <w:p w:rsidR="00525DDF" w:rsidRPr="00525DDF" w:rsidRDefault="00525DDF" w:rsidP="00525DDF">
      <w:r w:rsidRPr="00525DDF">
        <w:t xml:space="preserve">Our preliminary decision includes a forecast of $45.2 million ($2014–15) in our alternative estimate of required capex for the 2015–20 </w:t>
      </w:r>
      <w:r w:rsidR="00C60407">
        <w:t xml:space="preserve">regulatory control </w:t>
      </w:r>
      <w:r w:rsidRPr="00525DDF">
        <w:t>period to install a second undersea cable to KI. This is consistent with SA Power Networks' proposal. Our decision is based on the information currently before us at this time. However, as set out below, we note the concerns of stakeholders regarding the alternative options considered by SA Power Networks. SA Power Networks' response to these matters will be considered prior to us making a decision on the revocation and substitution of this preliminary decision.</w:t>
      </w:r>
    </w:p>
    <w:p w:rsidR="00525DDF" w:rsidRPr="00525DDF" w:rsidRDefault="00525DDF" w:rsidP="00624A53">
      <w:pPr>
        <w:pStyle w:val="HeadingBoldItalic"/>
      </w:pPr>
      <w:r w:rsidRPr="00525DDF">
        <w:t>SA Power Networks</w:t>
      </w:r>
      <w:r w:rsidR="00D6016E">
        <w:t>'</w:t>
      </w:r>
      <w:r w:rsidRPr="00525DDF">
        <w:t xml:space="preserve"> Proposal</w:t>
      </w:r>
    </w:p>
    <w:p w:rsidR="00525DDF" w:rsidRPr="00525DDF" w:rsidRDefault="00525DDF" w:rsidP="00525DDF">
      <w:r w:rsidRPr="00525DDF">
        <w:t xml:space="preserve">Currently KI is served by a single undersea cable that was installed in 1993 and has a predicted 30 year design life. SA Power Networks is proposing to install a second cable by 2018, when the existing cable will be 25 years old. </w:t>
      </w:r>
    </w:p>
    <w:p w:rsidR="00525DDF" w:rsidRPr="00525DDF" w:rsidRDefault="00525DDF" w:rsidP="00525DDF">
      <w:r w:rsidRPr="00525DDF">
        <w:t>SA Power Networks is relying on the predicted service life of the undersea cable as an indicator of the condition of the cable. SA Power Networks submit that the cable is buried along 95 per cent of the route, making condition inspections very difficult.</w:t>
      </w:r>
      <w:r w:rsidRPr="00525DDF">
        <w:rPr>
          <w:rStyle w:val="FootnoteReference"/>
        </w:rPr>
        <w:footnoteReference w:id="111"/>
      </w:r>
      <w:r w:rsidRPr="00525DDF">
        <w:t xml:space="preserve"> While SA Power Networks does not routinely undertake condition assessments of the cable it has submitted pictures taken of the condition of the exposed sections of the cable in 2012. SA Power Networks note that these pictures show minor corrosion was </w:t>
      </w:r>
      <w:r w:rsidRPr="00525DDF">
        <w:lastRenderedPageBreak/>
        <w:t>evident "intermittently with some of the cable’s outer sheath fibre being exposed."</w:t>
      </w:r>
      <w:r w:rsidRPr="00525DDF">
        <w:rPr>
          <w:rStyle w:val="FootnoteReference"/>
        </w:rPr>
        <w:footnoteReference w:id="112"/>
      </w:r>
      <w:r w:rsidRPr="00525DDF">
        <w:t xml:space="preserve"> Business SA indicated that it considered that the photographic evidence was inconclusive and that the photo "appears to show an XLPE cable in normal condition for its age."</w:t>
      </w:r>
      <w:r w:rsidRPr="00525DDF">
        <w:rPr>
          <w:rStyle w:val="FootnoteReference"/>
        </w:rPr>
        <w:footnoteReference w:id="113"/>
      </w:r>
      <w:r w:rsidRPr="00525DDF">
        <w:t xml:space="preserve"> </w:t>
      </w:r>
    </w:p>
    <w:p w:rsidR="00525DDF" w:rsidRPr="00525DDF" w:rsidRDefault="00525DDF" w:rsidP="00525DDF">
      <w:r w:rsidRPr="00525DDF">
        <w:t>SA Power Networks submit that relying upon the predicted service life is reasonable and prudent in this case due to the materiality of the impact upon the security of supply to KI were the cable to fail. SA Power Networks has estimated that the cost of local generation to meet the demand on KI would be $32 million</w:t>
      </w:r>
      <w:r w:rsidR="009B09A6">
        <w:t xml:space="preserve"> </w:t>
      </w:r>
      <w:r w:rsidR="009B09A6" w:rsidRPr="00D719DE">
        <w:rPr>
          <w:rStyle w:val="AERbody"/>
        </w:rPr>
        <w:t>($2014–15</w:t>
      </w:r>
      <w:r w:rsidR="009B09A6">
        <w:rPr>
          <w:rStyle w:val="AERbody"/>
        </w:rPr>
        <w:t>)</w:t>
      </w:r>
      <w:r w:rsidRPr="00525DDF">
        <w:t xml:space="preserve"> per annum. SA Power Networks further advise that following a failure of the cable, repair could take up to 12 months for a deep sea fault as it requires a special cable laying ship from overseas to recover, repair and reinstate the cable</w:t>
      </w:r>
      <w:r w:rsidRPr="00525DDF">
        <w:rPr>
          <w:rStyle w:val="FootnoteReference"/>
        </w:rPr>
        <w:footnoteReference w:id="114"/>
      </w:r>
      <w:r w:rsidRPr="00525DDF">
        <w:t xml:space="preserve"> and 24 months to replace the cable.</w:t>
      </w:r>
      <w:r w:rsidRPr="00525DDF">
        <w:rPr>
          <w:rStyle w:val="FootnoteReference"/>
        </w:rPr>
        <w:footnoteReference w:id="115"/>
      </w:r>
      <w:r w:rsidRPr="00525DDF">
        <w:t xml:space="preserve"> </w:t>
      </w:r>
    </w:p>
    <w:p w:rsidR="00525DDF" w:rsidRPr="00525DDF" w:rsidRDefault="00525DDF" w:rsidP="00525DDF">
      <w:r w:rsidRPr="00525DDF">
        <w:t>A confidential cost</w:t>
      </w:r>
      <w:r w:rsidR="009B09A6">
        <w:t>-</w:t>
      </w:r>
      <w:r w:rsidRPr="00525DDF">
        <w:t>benefit analysis of installing a second cable compared to the cost of the existing cable failing in the future has been provided by SA Power Networks. SA Power Networks submits that this analysis supports installing the second cable in 2018 as it is a lower cost in net present value terms when considering the cost of local generation and the cost to consumer using value of customer reliability (VCR) analysis.</w:t>
      </w:r>
    </w:p>
    <w:p w:rsidR="00525DDF" w:rsidRPr="00525DDF" w:rsidRDefault="00525DDF" w:rsidP="00624A53">
      <w:pPr>
        <w:pStyle w:val="HeadingItalic"/>
      </w:pPr>
      <w:r w:rsidRPr="00525DDF">
        <w:t>AER analysis</w:t>
      </w:r>
    </w:p>
    <w:p w:rsidR="00525DDF" w:rsidRPr="00525DDF" w:rsidRDefault="00525DDF" w:rsidP="00525DDF">
      <w:r w:rsidRPr="00525DDF">
        <w:t>As 95 per cent of the KI undersea cable is buried, the condition of the asset cannot easily be observed. So we consider it is reasonable for alternative supply arrangements to be put in place for KI as the existing cable nears its 30 year life expectancy.</w:t>
      </w:r>
    </w:p>
    <w:p w:rsidR="00525DDF" w:rsidRPr="00525DDF" w:rsidRDefault="00525DDF" w:rsidP="00525DDF">
      <w:r w:rsidRPr="00525DDF">
        <w:t>We note the views of Business SA, who submits that there "is little evidence the existing cable is significantly deteriorated and likely to fail. It is currently 22 years old, with an expected life of 30 years or more. The previous cable (utilising much older cable technology) operated to 37 years, including 12 years beyond when SA Power Networks identified it was at risk of imminent failure and must be replaced."</w:t>
      </w:r>
      <w:r w:rsidRPr="00525DDF">
        <w:rPr>
          <w:rStyle w:val="FootnoteReference"/>
        </w:rPr>
        <w:footnoteReference w:id="116"/>
      </w:r>
    </w:p>
    <w:p w:rsidR="00525DDF" w:rsidRPr="00525DDF" w:rsidRDefault="00525DDF" w:rsidP="00525DDF">
      <w:r w:rsidRPr="00525DDF">
        <w:t>Similarly, the Energy Consumers Coalition of SA (ECCSA) submits that it is "not convinced that the second u/s cable is warranted considering that the existing cable still has some 10 years of design life remaining and diesel generator back up to provide reliability of supply."</w:t>
      </w:r>
      <w:r w:rsidRPr="00525DDF">
        <w:rPr>
          <w:rStyle w:val="FootnoteReference"/>
        </w:rPr>
        <w:footnoteReference w:id="117"/>
      </w:r>
    </w:p>
    <w:p w:rsidR="00525DDF" w:rsidRPr="00525DDF" w:rsidRDefault="00525DDF" w:rsidP="00525DDF">
      <w:r w:rsidRPr="00525DDF">
        <w:lastRenderedPageBreak/>
        <w:t>We acknowledge that the cable will have five years left of its expected life when SA Power Networks proposes that it is replaced in 2018. Further, we note that the previous undersea cable did operate to an age of 37 years before a suspected deep-sea joint failure caused it to be retired. However, it is also worth noting that the previous cable suffered its first fault at 22 years of age.</w:t>
      </w:r>
      <w:r w:rsidRPr="00525DDF">
        <w:rPr>
          <w:rStyle w:val="FootnoteReference"/>
        </w:rPr>
        <w:footnoteReference w:id="118"/>
      </w:r>
    </w:p>
    <w:p w:rsidR="00525DDF" w:rsidRPr="00525DDF" w:rsidRDefault="00525DDF" w:rsidP="00525DDF">
      <w:r w:rsidRPr="00525DDF">
        <w:t>Business SA and ECCSA note that SA Power Networks is proposing to install an additional cable ahead of the end of the existing cable's design life. However, we consider that this may still be a prudent and efficient course of action if it can be shown that the likely costs to consumers are minimised by the early installation of the cable. In order to be able to perform this analysis, the probability of failure must be included in the modelling. We are concerned that SA Power Networks did not originally include this in their assessment.</w:t>
      </w:r>
    </w:p>
    <w:p w:rsidR="00525DDF" w:rsidRPr="00525DDF" w:rsidRDefault="00525DDF" w:rsidP="00525DDF">
      <w:r w:rsidRPr="00525DDF">
        <w:t xml:space="preserve">In order to address this issue, we undertook some simplified analysis of the net present value (NPV) of the likely costs to consumers by weighting the costs of backup generation by the probability of failure. To stylise a probability of failure, we assumed a linear probability curve increasing to 100 per cent when the cable reaches 30 years of age. In this model we excluded the possibility of repairing the cable and assumed that SA Power Networks replaced the cable within 12 months of cable failure. This simplified analysis estimated that the NPV of the costs associated with a cable failure increased throughout the 2015–20 </w:t>
      </w:r>
      <w:r w:rsidR="00C60407">
        <w:t xml:space="preserve">regulatory control </w:t>
      </w:r>
      <w:r w:rsidRPr="00525DDF">
        <w:t>period up to a maximum of $40.3 million</w:t>
      </w:r>
      <w:r w:rsidR="000A6D7D">
        <w:t xml:space="preserve"> </w:t>
      </w:r>
      <w:r w:rsidR="000A6D7D" w:rsidRPr="00D719DE">
        <w:rPr>
          <w:rStyle w:val="AERbody"/>
        </w:rPr>
        <w:t>($2014–15</w:t>
      </w:r>
      <w:r w:rsidR="000A6D7D">
        <w:rPr>
          <w:rStyle w:val="AERbody"/>
        </w:rPr>
        <w:t>)</w:t>
      </w:r>
      <w:r w:rsidRPr="00525DDF">
        <w:t xml:space="preserve"> in 2019–20. Given that this was marginally less than the NPV of $41.5 million</w:t>
      </w:r>
      <w:r w:rsidR="000A6D7D">
        <w:t xml:space="preserve"> </w:t>
      </w:r>
      <w:r w:rsidR="000A6D7D" w:rsidRPr="00D719DE">
        <w:rPr>
          <w:rStyle w:val="AERbody"/>
        </w:rPr>
        <w:t>($2014–15</w:t>
      </w:r>
      <w:r w:rsidR="000A6D7D">
        <w:rPr>
          <w:rStyle w:val="AERbody"/>
        </w:rPr>
        <w:t>)</w:t>
      </w:r>
      <w:r w:rsidRPr="00525DDF">
        <w:t xml:space="preserve"> for SA Power Networks' preferred option, the simplified model highlighted that it may be possible to prudently defer the second cable.</w:t>
      </w:r>
    </w:p>
    <w:p w:rsidR="00525DDF" w:rsidRPr="00525DDF" w:rsidRDefault="00525DDF" w:rsidP="00525DDF">
      <w:r w:rsidRPr="00525DDF">
        <w:t xml:space="preserve">Having developed this simplified model, we provided it to SA Power Networks. We also contracted Energy Market Consulting Associates (EMCa) to undertake a peer review of our analysis and the material submitted by SA Power Networks. </w:t>
      </w:r>
    </w:p>
    <w:p w:rsidR="00525DDF" w:rsidRPr="00525DDF" w:rsidRDefault="00525DDF" w:rsidP="00525DDF">
      <w:r w:rsidRPr="00525DDF">
        <w:t>In response, SA Power Networks consider that the primary flaw with our simplified model is the assumption of a 12 month replacement time. SA Power Networks note that their NPV analysis is based on the cable being repaired within a 1 year period and then a concurrent cable installation timeframe of two years.</w:t>
      </w:r>
      <w:r w:rsidRPr="00525DDF">
        <w:rPr>
          <w:rStyle w:val="FootnoteReference"/>
        </w:rPr>
        <w:footnoteReference w:id="119"/>
      </w:r>
      <w:r w:rsidRPr="00525DDF">
        <w:t xml:space="preserve"> SA Power Networks also provides a breakdown of the project timeline and copies of the vendor reports that underpin those timeframes. This information supports SA Power Networks' case that the appropriate assumption for cable replacement is two years. Assuming that no repair of the existing cable is possible, a two year replacement window increases the cost of backup generation from $32 million to $59.4 million. This materially increases the NPV of the probability weighted costs in our simplified model and justifies the construction of the additional cable in the 2015–20 </w:t>
      </w:r>
      <w:r w:rsidR="00C60407">
        <w:t xml:space="preserve">regulatory control </w:t>
      </w:r>
      <w:r w:rsidRPr="00525DDF">
        <w:t>period as the NPV of the likely costs exceed that of SA Power Networks' preferred option.</w:t>
      </w:r>
    </w:p>
    <w:p w:rsidR="00525DDF" w:rsidRPr="00525DDF" w:rsidRDefault="00525DDF" w:rsidP="00525DDF">
      <w:r w:rsidRPr="00525DDF">
        <w:lastRenderedPageBreak/>
        <w:t xml:space="preserve">EMCa agree that the application of a probability of failure into the NPV analysis is reasonable. Following a review of the SA Power Networks analysis, EMCa also conclude that the evidence supports the inclusion of the proposed project in the forecast for the 2015–20 </w:t>
      </w:r>
      <w:r w:rsidR="00DD1B78">
        <w:t xml:space="preserve">regulatory control </w:t>
      </w:r>
      <w:r w:rsidRPr="00525DDF">
        <w:t>period.</w:t>
      </w:r>
      <w:r w:rsidRPr="00525DDF">
        <w:rPr>
          <w:rStyle w:val="FootnoteReference"/>
        </w:rPr>
        <w:footnoteReference w:id="120"/>
      </w:r>
      <w:r w:rsidRPr="00525DDF">
        <w:t xml:space="preserve">   </w:t>
      </w:r>
    </w:p>
    <w:p w:rsidR="00525DDF" w:rsidRPr="00525DDF" w:rsidRDefault="00525DDF" w:rsidP="00525DDF">
      <w:r w:rsidRPr="00525DDF">
        <w:t xml:space="preserve">This position is supported by the South Australian Government </w:t>
      </w:r>
      <w:r w:rsidR="00FC41B8">
        <w:t xml:space="preserve">which </w:t>
      </w:r>
      <w:r w:rsidRPr="00525DDF">
        <w:t>notes that the early replacement of the cable "will minimise the risk of additional costs being incurred should the cable fail prematurely."</w:t>
      </w:r>
      <w:r w:rsidRPr="00525DDF">
        <w:rPr>
          <w:rStyle w:val="FootnoteReference"/>
        </w:rPr>
        <w:footnoteReference w:id="121"/>
      </w:r>
      <w:r w:rsidRPr="00525DDF">
        <w:t xml:space="preserve"> </w:t>
      </w:r>
    </w:p>
    <w:p w:rsidR="00525DDF" w:rsidRPr="00525DDF" w:rsidRDefault="00525DDF" w:rsidP="00525DDF">
      <w:r w:rsidRPr="00525DDF">
        <w:t xml:space="preserve">SA Power Networks submit further modelling which includes a normalised probability of failure curve, with a cumulative 50 per cent probability of failure when the existing cable reaches 30 years old. The SA Power Networks revisions demonstrate that under all modelled scenarios, the NPV of likely costs to consumers is minimised by the installation of the cable during the 2015–20 </w:t>
      </w:r>
      <w:r w:rsidR="00DD1B78">
        <w:t xml:space="preserve">regulatory control </w:t>
      </w:r>
      <w:r w:rsidRPr="00525DDF">
        <w:t>period.</w:t>
      </w:r>
      <w:r w:rsidRPr="00525DDF">
        <w:rPr>
          <w:rStyle w:val="FootnoteReference"/>
        </w:rPr>
        <w:footnoteReference w:id="122"/>
      </w:r>
    </w:p>
    <w:p w:rsidR="00525DDF" w:rsidRPr="00525DDF" w:rsidRDefault="00525DDF" w:rsidP="00525DDF">
      <w:r w:rsidRPr="00525DDF">
        <w:t>However, EMCa make a number of observations regarding the consistency of input assumptions included in SA Power Networks' modelling that bias the results towards a lower NPV for SA Power Networks' preferred option.</w:t>
      </w:r>
      <w:r w:rsidRPr="00525DDF">
        <w:rPr>
          <w:rStyle w:val="FootnoteReference"/>
        </w:rPr>
        <w:footnoteReference w:id="123"/>
      </w:r>
      <w:r w:rsidRPr="00525DDF">
        <w:t xml:space="preserve"> While we expect SA Power Networks to address issues such as consistency of the timing of payment to vendors and the need for additional backup generation in 2034 across all models, correcting for these issues does not change EMCa's ultimate finding.</w:t>
      </w:r>
    </w:p>
    <w:p w:rsidR="00525DDF" w:rsidRPr="00525DDF" w:rsidRDefault="00525DDF" w:rsidP="00624A53">
      <w:pPr>
        <w:pStyle w:val="HeadingItalic"/>
      </w:pPr>
      <w:r w:rsidRPr="00525DDF">
        <w:t>Consideration of alternative network options</w:t>
      </w:r>
    </w:p>
    <w:p w:rsidR="00525DDF" w:rsidRPr="00525DDF" w:rsidRDefault="00525DDF" w:rsidP="00525DDF">
      <w:r w:rsidRPr="00525DDF">
        <w:t xml:space="preserve">Given the sensitivity of the analysis to the cost of backup generation we asked SA Power Networks whether there were alternative options that would shorten the time taken for cable replacement. Specifically, we sought information on the technical feasibility of pre-purchasing and storing the cable, or whether there was an option to pay a deposit with a cable supplier to shorten the production time.  </w:t>
      </w:r>
    </w:p>
    <w:p w:rsidR="00525DDF" w:rsidRPr="00525DDF" w:rsidRDefault="00525DDF" w:rsidP="00525DDF">
      <w:r w:rsidRPr="00525DDF">
        <w:t>In regards to storage, SA Power Networks advise that:</w:t>
      </w:r>
    </w:p>
    <w:p w:rsidR="00525DDF" w:rsidRPr="00525DDF" w:rsidRDefault="00525DDF" w:rsidP="00525DDF">
      <w:pPr>
        <w:pStyle w:val="AERquote"/>
      </w:pPr>
      <w:r w:rsidRPr="00525DDF">
        <w:t xml:space="preserve">"It is not practical to purchase the 15km (one length) of cable required for the full cable installation, store the cable under controlled conditions until the existing cable fails, and then find an acceptable method (to the cable supplier) of transferring the cable from storage to a cable laying ship. This is because these types of cables are normally loaded directly onto a specifically designed cable laying ship and then installed. Loading the cable onto a ship, then off the ship and then back onto a cable laying ship would be an unusual and inefficient </w:t>
      </w:r>
      <w:r w:rsidRPr="00525DDF">
        <w:lastRenderedPageBreak/>
        <w:t>practice. In addition, we understand that there would be significant risk of damaging the cable during these extra handling operations."</w:t>
      </w:r>
      <w:r w:rsidRPr="00525DDF">
        <w:rPr>
          <w:rStyle w:val="FootnoteReference"/>
        </w:rPr>
        <w:footnoteReference w:id="124"/>
      </w:r>
    </w:p>
    <w:p w:rsidR="00525DDF" w:rsidRPr="00525DDF" w:rsidRDefault="00525DDF" w:rsidP="00525DDF">
      <w:r w:rsidRPr="00525DDF">
        <w:t>We understand that technology has been developed that would enable a storage solution.</w:t>
      </w:r>
      <w:r w:rsidRPr="00525DDF">
        <w:rPr>
          <w:rStyle w:val="FootnoteReference"/>
        </w:rPr>
        <w:footnoteReference w:id="125"/>
      </w:r>
      <w:r w:rsidRPr="00525DDF">
        <w:t xml:space="preserve"> However, it is likely that the costs involved in the transport, storage and retrieval as set out by SA Power Networks would exceed the benefits of deferring installation until the existing cable fails. On the option of prepaying, SA Power Networks is currently awaiting responses from potential vendors.</w:t>
      </w:r>
      <w:r w:rsidRPr="00525DDF">
        <w:rPr>
          <w:rStyle w:val="FootnoteReference"/>
        </w:rPr>
        <w:footnoteReference w:id="126"/>
      </w:r>
      <w:r w:rsidRPr="00525DDF">
        <w:t xml:space="preserve"> We expect that this option will be addressed in SA Power Networks' submission on the revocation and substitution of this preliminary decision. </w:t>
      </w:r>
    </w:p>
    <w:p w:rsidR="00525DDF" w:rsidRPr="00525DDF" w:rsidRDefault="00525DDF" w:rsidP="00525DDF">
      <w:r w:rsidRPr="00525DDF">
        <w:t>On the basis of the information currently available, it is reasonable to include the installation of a second undersea cable in the capex forecast for the 2015–20</w:t>
      </w:r>
      <w:r w:rsidR="00DD1B78">
        <w:t xml:space="preserve"> regulatory control </w:t>
      </w:r>
      <w:r w:rsidRPr="00525DDF">
        <w:t>period. However, we note the concerns of some stakeholders that SA Power Networks has not presented or considered alternative options for local supply on KI. This issue is considered below.</w:t>
      </w:r>
    </w:p>
    <w:p w:rsidR="00525DDF" w:rsidRPr="00525DDF" w:rsidRDefault="00525DDF" w:rsidP="00624A53">
      <w:pPr>
        <w:pStyle w:val="HeadingItalic"/>
      </w:pPr>
      <w:r w:rsidRPr="00525DDF">
        <w:t>Consideration of non-network alternatives</w:t>
      </w:r>
    </w:p>
    <w:p w:rsidR="00525DDF" w:rsidRPr="00525DDF" w:rsidRDefault="00525DDF" w:rsidP="00525DDF">
      <w:r w:rsidRPr="00525DDF">
        <w:t>SA Power Networks present an option of meeting demand on KI through the use of renewable energy sources at a cost of $92 million</w:t>
      </w:r>
      <w:r w:rsidR="00FC41B8">
        <w:t xml:space="preserve"> </w:t>
      </w:r>
      <w:r w:rsidR="00FC41B8" w:rsidRPr="00D719DE">
        <w:rPr>
          <w:rStyle w:val="AERbody"/>
        </w:rPr>
        <w:t>($2014–15</w:t>
      </w:r>
      <w:r w:rsidR="00FC41B8">
        <w:rPr>
          <w:rStyle w:val="AERbody"/>
        </w:rPr>
        <w:t>)</w:t>
      </w:r>
      <w:r w:rsidRPr="00525DDF">
        <w:t>, with an additional $14 million per annum. The costing for this option is based on an example from King Island where $46 million</w:t>
      </w:r>
      <w:r w:rsidR="00FC41B8">
        <w:t xml:space="preserve"> </w:t>
      </w:r>
      <w:r w:rsidR="00FC41B8" w:rsidRPr="00D719DE">
        <w:rPr>
          <w:rStyle w:val="AERbody"/>
        </w:rPr>
        <w:t>($2014–15</w:t>
      </w:r>
      <w:r w:rsidR="00FC41B8">
        <w:rPr>
          <w:rStyle w:val="AERbody"/>
        </w:rPr>
        <w:t>)</w:t>
      </w:r>
      <w:r w:rsidRPr="00525DDF">
        <w:t xml:space="preserve"> was spent in meeting a load approximately half of KI through a mix of diesel, wind and solar energy generation.</w:t>
      </w:r>
      <w:r w:rsidRPr="00525DDF">
        <w:rPr>
          <w:rStyle w:val="FootnoteReference"/>
        </w:rPr>
        <w:footnoteReference w:id="127"/>
      </w:r>
      <w:r w:rsidRPr="00525DDF">
        <w:t xml:space="preserve"> SA Power Networks' costings appear to be based on doubling the King Island expenditure.</w:t>
      </w:r>
    </w:p>
    <w:p w:rsidR="00525DDF" w:rsidRPr="00525DDF" w:rsidRDefault="00525DDF" w:rsidP="00525DDF">
      <w:r w:rsidRPr="00525DDF">
        <w:t>Both Business SA</w:t>
      </w:r>
      <w:r w:rsidRPr="00525DDF">
        <w:rPr>
          <w:rStyle w:val="FootnoteReference"/>
        </w:rPr>
        <w:footnoteReference w:id="128"/>
      </w:r>
      <w:r w:rsidRPr="00525DDF">
        <w:t xml:space="preserve"> and the Total Environment Centre</w:t>
      </w:r>
      <w:r w:rsidRPr="00525DDF">
        <w:rPr>
          <w:rStyle w:val="FootnoteReference"/>
        </w:rPr>
        <w:footnoteReference w:id="129"/>
      </w:r>
      <w:r w:rsidRPr="00525DDF">
        <w:t xml:space="preserve"> (TEC) are critical of SA Power Networks for using King Island as a basis for costing renewable generation option. Both submissions suggest that this does not represent best practice and does not recognise the local KI environment and its renewable energy potential. Business SA submits that there are different examples from around Australia which would give "a much more reasonable cost estimate of the renewable energy option of approximately $3/W fully installed." In addition, Business SA notes that while a detailed study would be needed to confirm the estimate, on the basis of alternative benchmarks a "nominal 7MW wind farm on Kangaroo Island would therefore cost approximately $21</w:t>
      </w:r>
      <w:r w:rsidR="00C521F1">
        <w:t xml:space="preserve"> </w:t>
      </w:r>
      <w:r w:rsidRPr="00525DDF">
        <w:t>m</w:t>
      </w:r>
      <w:r w:rsidR="00C521F1">
        <w:t xml:space="preserve">illion </w:t>
      </w:r>
      <w:r w:rsidR="00C521F1" w:rsidRPr="00D719DE">
        <w:rPr>
          <w:rStyle w:val="AERbody"/>
        </w:rPr>
        <w:t>($2014–15</w:t>
      </w:r>
      <w:r w:rsidR="00C521F1">
        <w:rPr>
          <w:rStyle w:val="AERbody"/>
        </w:rPr>
        <w:t>)</w:t>
      </w:r>
      <w:r w:rsidRPr="00525DDF">
        <w:t xml:space="preserve"> on that basis, including integration technology."</w:t>
      </w:r>
      <w:r w:rsidRPr="00525DDF">
        <w:rPr>
          <w:rStyle w:val="FootnoteReference"/>
        </w:rPr>
        <w:footnoteReference w:id="130"/>
      </w:r>
    </w:p>
    <w:p w:rsidR="00525DDF" w:rsidRPr="00525DDF" w:rsidRDefault="00525DDF" w:rsidP="00525DDF">
      <w:r w:rsidRPr="00525DDF">
        <w:t xml:space="preserve">Further, both Business SA and the TEC submit that SA Power Networks should consider alternative options to ensure security of supply for KI as once the existing cable has failed, KI will be reliant on the single cable. As noted by Business SA: </w:t>
      </w:r>
    </w:p>
    <w:p w:rsidR="00525DDF" w:rsidRPr="00525DDF" w:rsidRDefault="00525DDF" w:rsidP="00525DDF">
      <w:pPr>
        <w:pStyle w:val="AERquote"/>
      </w:pPr>
      <w:r w:rsidRPr="00525DDF">
        <w:lastRenderedPageBreak/>
        <w:t>"A cable fault would result in disrupted supplies for up to 12 months, yet they propose to replace the cable with another that would provide equivalent security – noting that 85% of cable faults are due to “external factors” (damage) and not age. Standby generators installed on the island are not suitable for providing long-term backup in the event of a serious outage. We consider the true condition of the cable, and options to improve security of supply need to be rigorously re-assessed."</w:t>
      </w:r>
      <w:r w:rsidRPr="00525DDF">
        <w:rPr>
          <w:rStyle w:val="FootnoteReference"/>
        </w:rPr>
        <w:footnoteReference w:id="131"/>
      </w:r>
    </w:p>
    <w:p w:rsidR="00525DDF" w:rsidRPr="00525DDF" w:rsidRDefault="00525DDF" w:rsidP="00525DDF">
      <w:r w:rsidRPr="00525DDF">
        <w:t xml:space="preserve">These views are supported by the report of EMCa </w:t>
      </w:r>
      <w:r w:rsidR="00C521F1">
        <w:t>which</w:t>
      </w:r>
      <w:r w:rsidR="00C521F1" w:rsidRPr="00525DDF">
        <w:t xml:space="preserve"> </w:t>
      </w:r>
      <w:r w:rsidRPr="00525DDF">
        <w:t>notes that it did not find evidence of adequate consideration of alternate forms of generation capacity to meet the load on Kangaroo Island.  In addition, EMCa notes that there appeared to be inadequate consideration of the impact of disruptive technologies as seen in other parts of the electricity networks in Australia, or analysis of solutions including PV, wind generation and storage.</w:t>
      </w:r>
      <w:r w:rsidRPr="00525DDF">
        <w:rPr>
          <w:rStyle w:val="FootnoteReference"/>
        </w:rPr>
        <w:footnoteReference w:id="132"/>
      </w:r>
    </w:p>
    <w:p w:rsidR="00525DDF" w:rsidRPr="00525DDF" w:rsidRDefault="00525DDF" w:rsidP="00525DDF">
      <w:r w:rsidRPr="00525DDF">
        <w:t>We note that this project will be subject to a regulatory investment test for distribution (RIT-D) process and that stakeholders will have an additional opportunity to propose alternative options through the formal consultation required under the NER. For example, we would expect that the community renewable energy project referred to by the TEC would be submitted as an option through the RIT-D process.</w:t>
      </w:r>
      <w:r w:rsidRPr="00525DDF">
        <w:rPr>
          <w:rStyle w:val="FootnoteReference"/>
        </w:rPr>
        <w:footnoteReference w:id="133"/>
      </w:r>
      <w:r w:rsidRPr="00525DDF">
        <w:t xml:space="preserve"> It is important to note that despite our assessment techniques for SA Power Networks' augex forecast including an individual project review for the KI undersea cable, our distribution determinations do not approve funding for individual projects. Indeed, the NER do not provide for us to set an augex forecast or an individual project allowance. Rather, we either accept a distributor's total of forecast capex, or establish our own estimate of total required capex, for the relevant regulatory control period. From there, the requirement is on the network business to balance its </w:t>
      </w:r>
      <w:r w:rsidR="00C521F1" w:rsidRPr="00525DDF">
        <w:t>ope</w:t>
      </w:r>
      <w:r w:rsidR="00C521F1">
        <w:t>x</w:t>
      </w:r>
      <w:r w:rsidR="00C521F1" w:rsidRPr="00525DDF">
        <w:t xml:space="preserve"> </w:t>
      </w:r>
      <w:r w:rsidRPr="00525DDF">
        <w:t>and cap</w:t>
      </w:r>
      <w:r w:rsidR="00C521F1">
        <w:t>ex</w:t>
      </w:r>
      <w:r w:rsidRPr="00525DDF">
        <w:t xml:space="preserve"> to meet its obligations. Accordingly, if the RIT-D consultation process discovers a more efficient non-network option, SA Power Networks is able to proceed with that option. To the extent that the cost of the ultimate solution is less than forecast, the benefits will be shared with consumers through our capital expenditure sharing scheme, as set out in </w:t>
      </w:r>
      <w:r w:rsidR="008C0CBB">
        <w:t>attachment 10</w:t>
      </w:r>
      <w:r w:rsidRPr="00525DDF">
        <w:t xml:space="preserve">.  </w:t>
      </w:r>
    </w:p>
    <w:p w:rsidR="00525DDF" w:rsidRPr="00525DDF" w:rsidRDefault="00525DDF" w:rsidP="00525DDF">
      <w:r w:rsidRPr="00525DDF">
        <w:t xml:space="preserve">More immediately, we would expect that SA Power Networks would reflect on the comments of stakeholders as part of its submission on the revocation and substitution of this preliminary decision and determine whether there is an alternative option which should be included in the analysis. We will consider SA Power Networks' response in our decision on the revocation and substitution of this preliminary decision. Given the relative size and profile of expenditure associated with the KI project, there will be no material impact on tariffs for the 2015–16 year or the 'true-up' mechanism following the revocation and substitution of this preliminary decision regardless of whether the project is included in the forecast for the 2015–20 </w:t>
      </w:r>
      <w:r w:rsidR="00DD1B78">
        <w:t xml:space="preserve">regulatory control </w:t>
      </w:r>
      <w:r w:rsidRPr="00525DDF">
        <w:t>period.</w:t>
      </w:r>
    </w:p>
    <w:p w:rsidR="00525DDF" w:rsidRPr="00525DDF" w:rsidRDefault="00525DDF" w:rsidP="00624A53">
      <w:pPr>
        <w:pStyle w:val="HeadingBoldBlue"/>
      </w:pPr>
      <w:r w:rsidRPr="00525DDF">
        <w:lastRenderedPageBreak/>
        <w:t>Network monitoring</w:t>
      </w:r>
    </w:p>
    <w:p w:rsidR="00525DDF" w:rsidRPr="00525DDF" w:rsidRDefault="00525DDF" w:rsidP="00525DDF">
      <w:r w:rsidRPr="00525DDF">
        <w:rPr>
          <w:rStyle w:val="AERbody"/>
        </w:rPr>
        <w:t>SA Power Networks proposes a forecast of $15.4 million ($2014</w:t>
      </w:r>
      <w:r w:rsidR="00A745DE">
        <w:rPr>
          <w:rStyle w:val="AERbody"/>
        </w:rPr>
        <w:t>–</w:t>
      </w:r>
      <w:r w:rsidRPr="00525DDF">
        <w:rPr>
          <w:rStyle w:val="AERbody"/>
        </w:rPr>
        <w:t>15) for network monitoring augex (excluding overheads). SA Power Networks proposes to use this capex to install telecommunications modules in select 'smart meters' to monitor power quality (e.g. voltage levels).</w:t>
      </w:r>
      <w:r w:rsidRPr="00525DDF">
        <w:t xml:space="preserve">  </w:t>
      </w:r>
    </w:p>
    <w:p w:rsidR="00525DDF" w:rsidRPr="00525DDF" w:rsidRDefault="00525DDF" w:rsidP="00525DDF">
      <w:pPr>
        <w:rPr>
          <w:rStyle w:val="AERbody"/>
        </w:rPr>
      </w:pPr>
      <w:r w:rsidRPr="00525DDF">
        <w:t>This is part of SA Power Networks' broader strategy to adopt new technology to manage two-way networks from the projected increases in solar generation and other micro-generation installations. SA Power Networks envisages that this will be achieved through "the extension of monitoring and control capabilities, improvements in planning facilitated by systems and data, developing a network that would connect to and interact with customers and their energy technologies, expanding cost reflective tariffs, and utilising non-network solutions where effective.</w:t>
      </w:r>
      <w:r w:rsidRPr="00525DDF">
        <w:rPr>
          <w:rStyle w:val="FootnoteReference"/>
        </w:rPr>
        <w:footnoteReference w:id="134"/>
      </w:r>
      <w:r w:rsidRPr="00525DDF">
        <w:t xml:space="preserve"> </w:t>
      </w:r>
      <w:r w:rsidRPr="00525DDF">
        <w:rPr>
          <w:rStyle w:val="AERbody"/>
        </w:rPr>
        <w:t>The other relevant capex proposals include network control, power quality monitors, and supporting IT capex.</w:t>
      </w:r>
    </w:p>
    <w:p w:rsidR="00525DDF" w:rsidRPr="00525DDF" w:rsidRDefault="00525DDF" w:rsidP="00525DDF">
      <w:r w:rsidRPr="00525DDF">
        <w:t>SA Power Networks' proposal is to install telecommunications modules in select smart ready interval meters so they can become remotely read as these smart ready interval meters are rolled out. However, as stated in Attachment 16, our preliminary decision is to reject SA Power Networks' proposed capex to install smart ready interval meters over the 2015</w:t>
      </w:r>
      <w:r w:rsidR="00A745DE">
        <w:t>–</w:t>
      </w:r>
      <w:r w:rsidRPr="00525DDF">
        <w:t>20 period. This decision is made in the context of the expected market led rollout of smart meters in South Australia, and finalisation of national smart meter minimum functionality specifications.</w:t>
      </w:r>
    </w:p>
    <w:p w:rsidR="00525DDF" w:rsidRPr="00525DDF" w:rsidRDefault="00525DDF" w:rsidP="00525DDF">
      <w:r w:rsidRPr="00525DDF">
        <w:t>This decision means that it is unclear whether or how many smart meters SA Power Networks will own and install in the 2015</w:t>
      </w:r>
      <w:r w:rsidR="00A745DE">
        <w:t>–</w:t>
      </w:r>
      <w:r w:rsidRPr="00525DDF">
        <w:t xml:space="preserve">20 </w:t>
      </w:r>
      <w:r w:rsidR="00DD1B78">
        <w:t xml:space="preserve">regulatory control </w:t>
      </w:r>
      <w:r w:rsidRPr="00525DDF">
        <w:t xml:space="preserve">period. Irrespective of any proposed benefits from network monitoring, we consider that providing an allowance to install telecommunications modules in smart ready interval meters is not prudent without more certainty about the rollout of smart meters in South Australia. </w:t>
      </w:r>
      <w:r w:rsidR="00C76FB7">
        <w:t>In the absence of such</w:t>
      </w:r>
      <w:r w:rsidR="00C76FB7" w:rsidRPr="00525DDF">
        <w:t xml:space="preserve"> </w:t>
      </w:r>
      <w:r w:rsidRPr="00525DDF">
        <w:t>certainty, we are not satisfied that $15.4 million</w:t>
      </w:r>
      <w:r w:rsidR="00A745DE">
        <w:t xml:space="preserve"> </w:t>
      </w:r>
      <w:r w:rsidR="00A745DE" w:rsidRPr="00D719DE">
        <w:rPr>
          <w:rStyle w:val="AERbody"/>
        </w:rPr>
        <w:t>($2014–15</w:t>
      </w:r>
      <w:r w:rsidR="00A745DE">
        <w:rPr>
          <w:rStyle w:val="AERbody"/>
        </w:rPr>
        <w:t>)</w:t>
      </w:r>
      <w:r w:rsidRPr="00525DDF">
        <w:t xml:space="preserve"> reflects a prudent and efficient amount to install telecommunications modules to facilitate network monitoring in the 2015</w:t>
      </w:r>
      <w:r w:rsidR="00A745DE">
        <w:t>–</w:t>
      </w:r>
      <w:r w:rsidRPr="00525DDF">
        <w:t xml:space="preserve">20 </w:t>
      </w:r>
      <w:r w:rsidR="00DD1B78">
        <w:t xml:space="preserve">regulatory control </w:t>
      </w:r>
      <w:r w:rsidRPr="00525DDF">
        <w:t>period.</w:t>
      </w:r>
    </w:p>
    <w:p w:rsidR="00525DDF" w:rsidRPr="00525DDF" w:rsidRDefault="00525DDF" w:rsidP="00525DDF">
      <w:r w:rsidRPr="00525DDF">
        <w:t>We note that under the competitive metering framework, network operators will be able to commercially negotiate with metering co-ordinators to access metering data that they wish to use for network purposes. This means that SA Power Networks does not need to own smart meters and install its own telecommunications devices to be able to access information to more effectively monitor and manage two-way power flows.</w:t>
      </w:r>
    </w:p>
    <w:p w:rsidR="00525DDF" w:rsidRPr="00525DDF" w:rsidRDefault="00525DDF" w:rsidP="00624A53">
      <w:pPr>
        <w:pStyle w:val="HeadingBoldBlue"/>
      </w:pPr>
      <w:r w:rsidRPr="00525DDF">
        <w:t>Network control</w:t>
      </w:r>
    </w:p>
    <w:p w:rsidR="00525DDF" w:rsidRPr="00525DDF" w:rsidRDefault="00525DDF" w:rsidP="00525DDF">
      <w:r w:rsidRPr="00525DDF">
        <w:t>SA Power Networks proposes $24.7 million capex ($2014</w:t>
      </w:r>
      <w:r w:rsidR="00A745DE">
        <w:t>–</w:t>
      </w:r>
      <w:r w:rsidRPr="00525DDF">
        <w:t xml:space="preserve">15) over </w:t>
      </w:r>
      <w:r w:rsidR="00A745DE">
        <w:t xml:space="preserve">the </w:t>
      </w:r>
      <w:r w:rsidRPr="00525DDF">
        <w:t>2015</w:t>
      </w:r>
      <w:r w:rsidR="00A745DE">
        <w:t>–</w:t>
      </w:r>
      <w:r w:rsidRPr="00525DDF">
        <w:t>20</w:t>
      </w:r>
      <w:r w:rsidR="00A745DE">
        <w:t xml:space="preserve"> period</w:t>
      </w:r>
      <w:r w:rsidRPr="00525DDF">
        <w:t xml:space="preserve"> to install network control and automation equipment (SCADA) and ADMS (Advanced Distribution Management System) to its rural substations and switches. As </w:t>
      </w:r>
      <w:r w:rsidRPr="00525DDF">
        <w:lastRenderedPageBreak/>
        <w:t>noted previously, this is part of SA Power Networks' broader strategy to adopt smart-grid technology to manage two-way networks from the projected increases in solar generation and other micro-generation installations.</w:t>
      </w:r>
    </w:p>
    <w:p w:rsidR="00525DDF" w:rsidRPr="00525DDF" w:rsidRDefault="00525DDF" w:rsidP="00525DDF">
      <w:r w:rsidRPr="00525DDF">
        <w:t>SA Power Networks states that the extension of SCADA and ADMS to rural substations and switches forms part of the smarter network foundation. This proposal is comprised of three programs:</w:t>
      </w:r>
      <w:r w:rsidRPr="00525DDF">
        <w:rPr>
          <w:rStyle w:val="FootnoteReference"/>
        </w:rPr>
        <w:footnoteReference w:id="135"/>
      </w:r>
    </w:p>
    <w:p w:rsidR="00525DDF" w:rsidRPr="00525DDF" w:rsidRDefault="00525DDF" w:rsidP="00525DDF">
      <w:pPr>
        <w:pStyle w:val="AERbulletlistfirststyle"/>
        <w:rPr>
          <w:rStyle w:val="AERbody"/>
        </w:rPr>
      </w:pPr>
      <w:r w:rsidRPr="00525DDF">
        <w:rPr>
          <w:rStyle w:val="AERbody"/>
        </w:rPr>
        <w:t>$8.2 million to install SCADA to 33kV switches (including overheads)</w:t>
      </w:r>
    </w:p>
    <w:p w:rsidR="00525DDF" w:rsidRPr="00525DDF" w:rsidRDefault="00525DDF" w:rsidP="00525DDF">
      <w:pPr>
        <w:pStyle w:val="AERbulletlistfirststyle"/>
        <w:rPr>
          <w:rStyle w:val="AERbody"/>
        </w:rPr>
      </w:pPr>
      <w:r w:rsidRPr="00525DDF">
        <w:rPr>
          <w:rStyle w:val="AERbody"/>
        </w:rPr>
        <w:t>$8.6 million to install SCADA to 11kV and 19kV switches (including overheads)</w:t>
      </w:r>
    </w:p>
    <w:p w:rsidR="00525DDF" w:rsidRPr="00525DDF" w:rsidRDefault="00525DDF" w:rsidP="00525DDF">
      <w:pPr>
        <w:pStyle w:val="AERbulletlistfirststyle"/>
        <w:rPr>
          <w:rStyle w:val="AERbody"/>
        </w:rPr>
      </w:pPr>
      <w:r w:rsidRPr="00525DDF">
        <w:rPr>
          <w:rStyle w:val="AERbody"/>
        </w:rPr>
        <w:t xml:space="preserve">$9 million to install SCADA to rural substations (including overheads). </w:t>
      </w:r>
    </w:p>
    <w:p w:rsidR="00525DDF" w:rsidRPr="00525DDF" w:rsidRDefault="00525DDF" w:rsidP="00525DDF">
      <w:r w:rsidRPr="00525DDF">
        <w:t>We do not accept SA Power Networks' proposed $24.7 million</w:t>
      </w:r>
      <w:r w:rsidR="00A745DE">
        <w:t xml:space="preserve"> </w:t>
      </w:r>
      <w:r w:rsidR="00A745DE" w:rsidRPr="00D719DE">
        <w:rPr>
          <w:rStyle w:val="AERbody"/>
        </w:rPr>
        <w:t>($2014–15</w:t>
      </w:r>
      <w:r w:rsidR="00A745DE">
        <w:rPr>
          <w:rStyle w:val="AERbody"/>
        </w:rPr>
        <w:t>)</w:t>
      </w:r>
      <w:r w:rsidRPr="00525DDF">
        <w:t xml:space="preserve"> forecast because we consider that it does not reasonably reflect the costs that a prudent operator, acting efficiently, would require to maintain service levels on the network. While we support innovation and new technology that allows a business to more efficiently and effectively maintain service levels, SA Power Networks has not provided sufficient evidence that additional network control equipment is required in the </w:t>
      </w:r>
      <w:r w:rsidR="00A745DE">
        <w:br/>
      </w:r>
      <w:r w:rsidRPr="00525DDF">
        <w:t>2015</w:t>
      </w:r>
      <w:r w:rsidR="00A745DE">
        <w:t>–</w:t>
      </w:r>
      <w:r w:rsidRPr="00525DDF">
        <w:t xml:space="preserve">20 </w:t>
      </w:r>
      <w:r w:rsidR="00DD1B78">
        <w:t xml:space="preserve">regulatory control </w:t>
      </w:r>
      <w:r w:rsidRPr="00525DDF">
        <w:t>period to maintain service levels on the network.</w:t>
      </w:r>
    </w:p>
    <w:p w:rsidR="00525DDF" w:rsidRPr="00624A53" w:rsidRDefault="00525DDF" w:rsidP="00624A53">
      <w:pPr>
        <w:pStyle w:val="HeadingBoldItalic"/>
        <w:rPr>
          <w:rStyle w:val="Emphasis"/>
          <w:i/>
          <w:iCs/>
        </w:rPr>
      </w:pPr>
      <w:r w:rsidRPr="00624A53">
        <w:rPr>
          <w:rStyle w:val="Emphasis"/>
          <w:i/>
          <w:iCs/>
        </w:rPr>
        <w:t>SCADA to 33kV, 19kV and 11kV switches</w:t>
      </w:r>
    </w:p>
    <w:p w:rsidR="00525DDF" w:rsidRPr="00525DDF" w:rsidRDefault="00525DDF" w:rsidP="00525DDF">
      <w:r w:rsidRPr="00525DDF">
        <w:t>SA Power Networks proposes a combined $16.8 million</w:t>
      </w:r>
      <w:r w:rsidR="00A745DE">
        <w:t xml:space="preserve"> </w:t>
      </w:r>
      <w:r w:rsidR="00A745DE" w:rsidRPr="00D719DE">
        <w:rPr>
          <w:rStyle w:val="AERbody"/>
        </w:rPr>
        <w:t>($2014–15</w:t>
      </w:r>
      <w:r w:rsidR="00A745DE">
        <w:rPr>
          <w:rStyle w:val="AERbody"/>
        </w:rPr>
        <w:t>)</w:t>
      </w:r>
      <w:r w:rsidRPr="00525DDF">
        <w:t xml:space="preserve"> to install SCADA to its 33kV switches and SCADA to 11kV and 19kV switches (including overheads). This is the continuation of an historical program to roll out network feeder automation across the network. SA Power Networks submits that </w:t>
      </w:r>
      <w:r w:rsidR="00C76FB7">
        <w:t xml:space="preserve">a </w:t>
      </w:r>
      <w:r w:rsidRPr="00525DDF">
        <w:t>specific business case has not been prepared on the basis that this is a continuation of an approved long term program, which is also aligned with the smarter network strategy.</w:t>
      </w:r>
      <w:r w:rsidRPr="00525DDF">
        <w:rPr>
          <w:rStyle w:val="FootnoteReference"/>
        </w:rPr>
        <w:footnoteReference w:id="136"/>
      </w:r>
    </w:p>
    <w:p w:rsidR="00525DDF" w:rsidRPr="00525DDF" w:rsidRDefault="00525DDF" w:rsidP="00525DDF">
      <w:r w:rsidRPr="00525DDF">
        <w:t>SA Power Networks submits that SCADA control and monitoring of 33kV, 19kV and 11kV switches is industry standard across the NEM. It stated that these facilities are required to enable SA Power Networks to meet customer service standards and to optimise the network functionality.</w:t>
      </w:r>
      <w:r w:rsidRPr="00525DDF">
        <w:rPr>
          <w:rStyle w:val="FootnoteReference"/>
        </w:rPr>
        <w:footnoteReference w:id="137"/>
      </w:r>
      <w:r w:rsidRPr="00525DDF">
        <w:t xml:space="preserve"> The expansion of this program is based on its broader smarter network strategy based on an expectation of wide-scale customer adoption of solar and micro-generation systems (as outlined in the background section).</w:t>
      </w:r>
    </w:p>
    <w:p w:rsidR="00525DDF" w:rsidRPr="00525DDF" w:rsidRDefault="00525DDF" w:rsidP="00525DDF">
      <w:r w:rsidRPr="00525DDF">
        <w:t xml:space="preserve">In our view, SA Power Networks has not demonstrated that rolling out network automation and control equipment to its HV switches (including in rural areas) is necessary to maintain network service levels. We do not dispute that there are benefits </w:t>
      </w:r>
      <w:r w:rsidRPr="00525DDF">
        <w:lastRenderedPageBreak/>
        <w:t xml:space="preserve">to network automation and control, in particular for metropolitan networks, major feeders and critical assets. In this sense, the adoption of SCADA for these types of assets has become industry standard. However, the rollout of SCADA across the network is not necessarily industry standard unless it can be shown it has a positive incremental benefit to consumers. </w:t>
      </w:r>
    </w:p>
    <w:p w:rsidR="00525DDF" w:rsidRPr="00525DDF" w:rsidRDefault="00525DDF" w:rsidP="00525DDF">
      <w:r w:rsidRPr="00525DDF">
        <w:t xml:space="preserve">SA Power Networks does not provide a specific business case to demonstrate that rolling this requirement out to its entire network provides a positive benefit to customers. Given that SA Power Networks' program is the continuation of a historical program, we consider that the most beneficial investment has likely been completed and what remains is of marginal net benefit to consumers. </w:t>
      </w:r>
    </w:p>
    <w:p w:rsidR="00525DDF" w:rsidRPr="00525DDF" w:rsidRDefault="00525DDF" w:rsidP="00525DDF">
      <w:r w:rsidRPr="00525DDF">
        <w:t xml:space="preserve">As noted in our network monitoring decision above and in section </w:t>
      </w:r>
      <w:r w:rsidRPr="00525DDF">
        <w:fldChar w:fldCharType="begin"/>
      </w:r>
      <w:r w:rsidRPr="00525DDF">
        <w:instrText xml:space="preserve"> REF _Ref414199438 \r \h </w:instrText>
      </w:r>
      <w:r w:rsidRPr="00525DDF">
        <w:fldChar w:fldCharType="separate"/>
      </w:r>
      <w:r w:rsidR="00F02131">
        <w:t>B.2.1</w:t>
      </w:r>
      <w:r w:rsidRPr="00525DDF">
        <w:fldChar w:fldCharType="end"/>
      </w:r>
      <w:r w:rsidRPr="00525DDF">
        <w:t xml:space="preserve">, solar generation and solar connections </w:t>
      </w:r>
      <w:proofErr w:type="gramStart"/>
      <w:r w:rsidRPr="00525DDF">
        <w:t>are projected</w:t>
      </w:r>
      <w:proofErr w:type="gramEnd"/>
      <w:r w:rsidRPr="00525DDF">
        <w:t xml:space="preserve"> to increase from existing levels over </w:t>
      </w:r>
      <w:r w:rsidR="00177F6D">
        <w:t xml:space="preserve">the </w:t>
      </w:r>
      <w:r w:rsidRPr="00525DDF">
        <w:t>2015</w:t>
      </w:r>
      <w:r w:rsidR="00177F6D">
        <w:t>–</w:t>
      </w:r>
      <w:r w:rsidRPr="00525DDF">
        <w:t>20</w:t>
      </w:r>
      <w:r w:rsidR="00177F6D">
        <w:t xml:space="preserve"> </w:t>
      </w:r>
      <w:r w:rsidR="00DD1B78">
        <w:t xml:space="preserve">regulatory control </w:t>
      </w:r>
      <w:r w:rsidR="00177F6D">
        <w:t>period</w:t>
      </w:r>
      <w:r w:rsidRPr="00525DDF">
        <w:t>. This is relevant to the network control proposal because SA Power Networks considers that it needs more</w:t>
      </w:r>
      <w:r w:rsidR="00C76FB7">
        <w:t xml:space="preserve"> centralised</w:t>
      </w:r>
      <w:r w:rsidRPr="00525DDF">
        <w:t xml:space="preserve"> control and automation of its feeders due to projected increase</w:t>
      </w:r>
      <w:r w:rsidR="00177F6D">
        <w:t>s</w:t>
      </w:r>
      <w:r w:rsidRPr="00525DDF">
        <w:t xml:space="preserve"> in ‘two way power flows’ from solar generation. However, as we note, we do not consider that solar generation is expected to increase to the extent forecast by SA Power Networks. We will have more updated information when AEMO releases its latest National Electricity Forecasting Report in June 2015.</w:t>
      </w:r>
    </w:p>
    <w:p w:rsidR="00525DDF" w:rsidRPr="00525DDF" w:rsidRDefault="00525DDF" w:rsidP="00525DDF">
      <w:r w:rsidRPr="00525DDF">
        <w:t>Based on this uncertainty, and the lack of supporting business case, we consider that SA Power Networks has not provided sufficient evidence to justify the level of capex for additional SCADA for switches within the 2015</w:t>
      </w:r>
      <w:r w:rsidR="00177F6D">
        <w:t>–</w:t>
      </w:r>
      <w:r w:rsidRPr="00525DDF">
        <w:t xml:space="preserve">20 </w:t>
      </w:r>
      <w:r w:rsidR="00DD1B78">
        <w:t xml:space="preserve">regulatory control </w:t>
      </w:r>
      <w:r w:rsidRPr="00525DDF">
        <w:t>period. We consider that a more prudent approach is for SA Power Networks to defer the investment until the nature and timing of the issues are clearer. This will ensure that investment is not premature. On this basis, we have not included the proposed $16.8 million in our alternative estimate of SA Power Networks' capex.</w:t>
      </w:r>
    </w:p>
    <w:p w:rsidR="00525DDF" w:rsidRPr="00525DDF" w:rsidRDefault="00525DDF" w:rsidP="00624A53">
      <w:pPr>
        <w:pStyle w:val="HeadingBoldItalic"/>
        <w:rPr>
          <w:rStyle w:val="Emphasis"/>
        </w:rPr>
      </w:pPr>
      <w:r w:rsidRPr="00525DDF">
        <w:rPr>
          <w:rStyle w:val="Emphasis"/>
        </w:rPr>
        <w:t>SCADA to rural substations</w:t>
      </w:r>
    </w:p>
    <w:p w:rsidR="00525DDF" w:rsidRPr="00525DDF" w:rsidRDefault="00525DDF" w:rsidP="00525DDF">
      <w:r w:rsidRPr="00525DDF">
        <w:t>SA Power Networks proposes $9 million</w:t>
      </w:r>
      <w:r w:rsidR="00177F6D">
        <w:t xml:space="preserve"> </w:t>
      </w:r>
      <w:r w:rsidR="00177F6D" w:rsidRPr="00D719DE">
        <w:rPr>
          <w:rStyle w:val="AERbody"/>
        </w:rPr>
        <w:t>($2014–15</w:t>
      </w:r>
      <w:r w:rsidR="00177F6D">
        <w:rPr>
          <w:rStyle w:val="AERbody"/>
        </w:rPr>
        <w:t>)</w:t>
      </w:r>
      <w:r w:rsidRPr="00525DDF">
        <w:t xml:space="preserve"> to expand SCADA to rural substations. This is part of a program to rollout SCADA to all of SA Power Networks' substations by 2025.</w:t>
      </w:r>
      <w:r w:rsidRPr="00525DDF">
        <w:rPr>
          <w:rStyle w:val="FootnoteReference"/>
        </w:rPr>
        <w:footnoteReference w:id="138"/>
      </w:r>
      <w:r w:rsidRPr="00525DDF">
        <w:t xml:space="preserve"> Since the 1990s, SCADA was progressively rolled out to SA Power Networks' larger, primarily metropolitan zone substations. SA Power Networks submits that without SCADA connectivity to all substations, the ability to proactively manage its network in rural areas is reliant on customers calling in with power complaints, and temporary monitoring equipment having to be installed within the substation.</w:t>
      </w:r>
    </w:p>
    <w:p w:rsidR="00525DDF" w:rsidRPr="00525DDF" w:rsidRDefault="00525DDF" w:rsidP="00525DDF">
      <w:r w:rsidRPr="00525DDF">
        <w:t xml:space="preserve">SA Power Networks supports its capex based on a business case prepared by DNV-GL that considers there is a positive benefit to customers to rollout SCADA and </w:t>
      </w:r>
      <w:r w:rsidRPr="00525DDF">
        <w:lastRenderedPageBreak/>
        <w:t>associated ADMS to rural substations over the next 10 years.</w:t>
      </w:r>
      <w:r w:rsidRPr="00525DDF">
        <w:rPr>
          <w:rStyle w:val="FootnoteReference"/>
        </w:rPr>
        <w:footnoteReference w:id="139"/>
      </w:r>
      <w:r w:rsidRPr="00525DDF">
        <w:t xml:space="preserve"> The key benefits identified are:</w:t>
      </w:r>
    </w:p>
    <w:p w:rsidR="00525DDF" w:rsidRPr="00525DDF" w:rsidRDefault="00525DDF" w:rsidP="00525DDF">
      <w:pPr>
        <w:pStyle w:val="AERbulletlistfirststyle"/>
      </w:pPr>
      <w:r w:rsidRPr="00525DDF">
        <w:t>Reduced visits to zone substations based on more automation and centralised control.</w:t>
      </w:r>
      <w:r w:rsidRPr="00525DDF">
        <w:rPr>
          <w:rStyle w:val="FootnoteReference"/>
        </w:rPr>
        <w:footnoteReference w:id="140"/>
      </w:r>
    </w:p>
    <w:p w:rsidR="00525DDF" w:rsidRPr="00525DDF" w:rsidRDefault="00525DDF" w:rsidP="00525DDF">
      <w:pPr>
        <w:pStyle w:val="AERbulletlistfirststyle"/>
      </w:pPr>
      <w:r w:rsidRPr="00525DDF">
        <w:t>Reducing the number of customers that are without energy during times of bushfire risks (by allowing SA Power Networks to turn off specific customers in response to bushfire risks, rather than entire areas or zones)</w:t>
      </w:r>
      <w:r w:rsidRPr="00525DDF">
        <w:rPr>
          <w:rStyle w:val="FootnoteReference"/>
        </w:rPr>
        <w:footnoteReference w:id="141"/>
      </w:r>
      <w:r w:rsidRPr="00525DDF">
        <w:t xml:space="preserve"> </w:t>
      </w:r>
    </w:p>
    <w:p w:rsidR="00525DDF" w:rsidRPr="00525DDF" w:rsidRDefault="00525DDF" w:rsidP="00525DDF">
      <w:pPr>
        <w:pStyle w:val="AERbulletlistfirststyle"/>
      </w:pPr>
      <w:r w:rsidRPr="00525DDF">
        <w:t>Reduce number of minutes without energy supply based on faster identification and restoration of outages and faults</w:t>
      </w:r>
      <w:r w:rsidRPr="00525DDF">
        <w:rPr>
          <w:rStyle w:val="FootnoteReference"/>
        </w:rPr>
        <w:footnoteReference w:id="142"/>
      </w:r>
      <w:r w:rsidRPr="00525DDF">
        <w:t xml:space="preserve"> </w:t>
      </w:r>
    </w:p>
    <w:p w:rsidR="00525DDF" w:rsidRPr="00525DDF" w:rsidRDefault="00525DDF" w:rsidP="00525DDF">
      <w:pPr>
        <w:pStyle w:val="AERbulletlistfirststyle"/>
      </w:pPr>
      <w:r w:rsidRPr="00525DDF">
        <w:t>Allow SA Power Networks to control when embedded customer</w:t>
      </w:r>
      <w:r w:rsidR="00177F6D">
        <w:t>s'</w:t>
      </w:r>
      <w:r w:rsidRPr="00525DDF">
        <w:t xml:space="preserve"> generators are operating and switch them on/off at times of network capacity constraints. This could avoid the need to augment the network for new generation.</w:t>
      </w:r>
      <w:r w:rsidRPr="00525DDF">
        <w:rPr>
          <w:rStyle w:val="FootnoteReference"/>
        </w:rPr>
        <w:footnoteReference w:id="143"/>
      </w:r>
    </w:p>
    <w:p w:rsidR="00525DDF" w:rsidRPr="00525DDF" w:rsidRDefault="00525DDF" w:rsidP="00525DDF">
      <w:pPr>
        <w:pStyle w:val="AERbulletlistfirststyle"/>
      </w:pPr>
      <w:r w:rsidRPr="00525DDF">
        <w:t>Improved management of load to avoid outages from overloaded transformers.</w:t>
      </w:r>
      <w:r w:rsidRPr="00525DDF">
        <w:rPr>
          <w:rStyle w:val="FootnoteReference"/>
        </w:rPr>
        <w:footnoteReference w:id="144"/>
      </w:r>
      <w:r w:rsidRPr="00525DDF">
        <w:t xml:space="preserve"> </w:t>
      </w:r>
    </w:p>
    <w:p w:rsidR="00525DDF" w:rsidRPr="00525DDF" w:rsidRDefault="00525DDF" w:rsidP="00525DDF">
      <w:r w:rsidRPr="00525DDF">
        <w:t>We have reviewed this business case and found that there are a number of flaws or overestimations which mean that the benefits to consumers are likely significantly overstated. Note that key figures within this business case are commercial in confidence and we have kept our reasons in this section at a high level. These are:</w:t>
      </w:r>
    </w:p>
    <w:p w:rsidR="00525DDF" w:rsidRPr="00525DDF" w:rsidRDefault="00525DDF" w:rsidP="00525DDF">
      <w:pPr>
        <w:pStyle w:val="AERbulletlistfirststyle"/>
      </w:pPr>
      <w:r w:rsidRPr="00525DDF">
        <w:t>The business case uses VCR to model the impact of SCADA and AMDS on consumers. The results find that there is a positive benefit to consumers when VCR is taken into account. The VCR value used by the business case is higher than the VCR published by AEMO for SA ($38,090 per MWh). On this basis, the benefits that are calculated using VCR are overstated.</w:t>
      </w:r>
    </w:p>
    <w:p w:rsidR="00525DDF" w:rsidRPr="00525DDF" w:rsidRDefault="00525DDF" w:rsidP="00525DDF">
      <w:pPr>
        <w:pStyle w:val="AERbulletlistfirststyle"/>
      </w:pPr>
      <w:r w:rsidRPr="00525DDF">
        <w:t>A major benefit identified is reduced zone substation visits. We consider that the business case overstates the number of annual visits per substation, the number of SA Power Networks crew in attendance and the time taken for each visit. By adopting more efficient site visits, this would reduce the cited cost savings by 57</w:t>
      </w:r>
      <w:r w:rsidR="00834E4D">
        <w:t xml:space="preserve"> per cent</w:t>
      </w:r>
      <w:r w:rsidRPr="00525DDF">
        <w:t xml:space="preserve">. </w:t>
      </w:r>
    </w:p>
    <w:p w:rsidR="00525DDF" w:rsidRPr="00525DDF" w:rsidRDefault="00525DDF" w:rsidP="00525DDF">
      <w:pPr>
        <w:pStyle w:val="AERbulletlistfirststyle"/>
      </w:pPr>
      <w:r w:rsidRPr="00525DDF">
        <w:t>The benefit from managing customer generation is that it could avoid the need to augment the network for new generation. This is based on an assumption that SA Power Networks will connect large generators in the absence of additional control. We consider that the assumption that SA Power Networks can avoid such large generation in the absence of network control has not been substantiated. Also SA Power Networks can implement generator monitoring arrangements with its large connection customers without the need to install SCADA capability.</w:t>
      </w:r>
    </w:p>
    <w:p w:rsidR="00525DDF" w:rsidRPr="00525DDF" w:rsidRDefault="00525DDF" w:rsidP="00525DDF">
      <w:r w:rsidRPr="00525DDF">
        <w:lastRenderedPageBreak/>
        <w:t xml:space="preserve">In addition, the business case assumes that SCADA will be rolled out to rural substations over 10 years. SA Power Networks' proposal and its business case </w:t>
      </w:r>
      <w:r w:rsidR="006C0C3E" w:rsidRPr="00525DDF">
        <w:t>do</w:t>
      </w:r>
      <w:r w:rsidRPr="00525DDF">
        <w:t xml:space="preserve"> not set out how the costs of the program are shared between the 2015</w:t>
      </w:r>
      <w:r w:rsidR="00834E4D">
        <w:t>–</w:t>
      </w:r>
      <w:r w:rsidRPr="00525DDF">
        <w:t xml:space="preserve">20 and </w:t>
      </w:r>
      <w:r w:rsidR="00834E4D">
        <w:br/>
      </w:r>
      <w:r w:rsidRPr="00525DDF">
        <w:t>2020</w:t>
      </w:r>
      <w:r w:rsidR="00834E4D">
        <w:t>–</w:t>
      </w:r>
      <w:r w:rsidRPr="00525DDF">
        <w:t>25 periods.</w:t>
      </w:r>
    </w:p>
    <w:p w:rsidR="00525DDF" w:rsidRPr="00525DDF" w:rsidRDefault="00525DDF" w:rsidP="00525DDF">
      <w:r w:rsidRPr="00525DDF">
        <w:t>We consider that it is difficult to be satisfied that the proposed benefits outlined in the business case are accurate and therefore whether the overall cost-benefit is positive for consumers. On this basis, we have not included the proposed $9 million</w:t>
      </w:r>
      <w:r w:rsidR="00F6393C">
        <w:t xml:space="preserve"> </w:t>
      </w:r>
      <w:r w:rsidR="00F6393C">
        <w:br/>
      </w:r>
      <w:r w:rsidR="00F6393C" w:rsidRPr="00D719DE">
        <w:rPr>
          <w:rStyle w:val="AERbody"/>
        </w:rPr>
        <w:t>($2014–15</w:t>
      </w:r>
      <w:r w:rsidR="00F6393C">
        <w:rPr>
          <w:rStyle w:val="AERbody"/>
        </w:rPr>
        <w:t>)</w:t>
      </w:r>
      <w:r w:rsidRPr="00525DDF">
        <w:t xml:space="preserve"> in our alternative estimate of SA Power Networks' capex.</w:t>
      </w:r>
    </w:p>
    <w:p w:rsidR="00525DDF" w:rsidRPr="00525DDF" w:rsidRDefault="00525DDF" w:rsidP="00525DDF">
      <w:pPr>
        <w:pStyle w:val="Heading9"/>
      </w:pPr>
      <w:bookmarkStart w:id="133" w:name="_Toc417725395"/>
      <w:r w:rsidRPr="00525DDF">
        <w:t>Reliability augmentation</w:t>
      </w:r>
      <w:bookmarkEnd w:id="133"/>
    </w:p>
    <w:p w:rsidR="00525DDF" w:rsidRPr="00525DDF" w:rsidRDefault="00525DDF" w:rsidP="00525DDF">
      <w:r w:rsidRPr="00525DDF">
        <w:t xml:space="preserve">SA Power Networks proposes $56.4 million ($2014–15, excluding overheads) in reliability capex, consisting of $27 million ($2014–15) for maintaining network reliability and $29.6 million ($2014–15) for improving network reliability. The total proposed capex of $56.4 million represents a 114 per cent increase over the actual </w:t>
      </w:r>
      <w:r w:rsidR="00F6393C">
        <w:t xml:space="preserve">reliability </w:t>
      </w:r>
      <w:r w:rsidRPr="00525DDF">
        <w:t xml:space="preserve">expenditure </w:t>
      </w:r>
      <w:r w:rsidR="00F6393C">
        <w:t xml:space="preserve">for the </w:t>
      </w:r>
      <w:r w:rsidR="00F6393C" w:rsidRPr="00525DDF">
        <w:t>2010–15</w:t>
      </w:r>
      <w:r w:rsidR="00F6393C">
        <w:t xml:space="preserve"> period.</w:t>
      </w:r>
      <w:r w:rsidRPr="00525DDF">
        <w:t xml:space="preserve">  </w:t>
      </w:r>
    </w:p>
    <w:p w:rsidR="00525DDF" w:rsidRPr="00525DDF" w:rsidRDefault="00525DDF" w:rsidP="00525DDF">
      <w:r w:rsidRPr="00525DDF">
        <w:t>SA Power Networks' forecast $27 million is to maintain historical average levels of reliability performance as required under reliability targets set by the Essential Services Commission of South Australia (ESCoSA) (as described in detail below).</w:t>
      </w:r>
      <w:r w:rsidRPr="00525DDF">
        <w:rPr>
          <w:rStyle w:val="FootnoteReference"/>
        </w:rPr>
        <w:t xml:space="preserve"> </w:t>
      </w:r>
      <w:r w:rsidRPr="00525DDF">
        <w:rPr>
          <w:rStyle w:val="FootnoteReference"/>
        </w:rPr>
        <w:footnoteReference w:id="145"/>
      </w:r>
      <w:r w:rsidRPr="00525DDF">
        <w:t xml:space="preserve">  SA Power Networks submits that the capex will “address degradation of the network based on the condition assessment of our aging assets and the continuing trend in severe weather events.”</w:t>
      </w:r>
      <w:r w:rsidRPr="00525DDF">
        <w:rPr>
          <w:rStyle w:val="FootnoteReference"/>
        </w:rPr>
        <w:footnoteReference w:id="146"/>
      </w:r>
      <w:r w:rsidRPr="00525DDF">
        <w:t xml:space="preserve"> The proposed capex is broadly consistent with the $28.9 million ($2014–15) it spent </w:t>
      </w:r>
      <w:r w:rsidR="00F6393C">
        <w:t xml:space="preserve">during the </w:t>
      </w:r>
      <w:r w:rsidRPr="00525DDF">
        <w:t>2010–15</w:t>
      </w:r>
      <w:r w:rsidR="00F6393C">
        <w:t xml:space="preserve"> period</w:t>
      </w:r>
      <w:r w:rsidRPr="00525DDF">
        <w:t xml:space="preserve"> to maintain reliability.</w:t>
      </w:r>
    </w:p>
    <w:p w:rsidR="00525DDF" w:rsidRPr="00525DDF" w:rsidRDefault="00525DDF" w:rsidP="00525DDF">
      <w:r w:rsidRPr="00525DDF">
        <w:t>SA Power Networks' additional $29.6 million ($2014–15) is to improve reliability performance for sections of the network and specific feeders that are more affected by major weather events.</w:t>
      </w:r>
      <w:r w:rsidRPr="00525DDF">
        <w:rPr>
          <w:rStyle w:val="FootnoteReference"/>
        </w:rPr>
        <w:footnoteReference w:id="147"/>
      </w:r>
      <w:r w:rsidRPr="00525DDF">
        <w:t xml:space="preserve"> SA Power Networks is seeking to improve the overall network performance as experienced by its customers (including during major weather events), but not the underlying performance as measured by ESCoSA. </w:t>
      </w:r>
    </w:p>
    <w:p w:rsidR="00525DDF" w:rsidRPr="00525DDF" w:rsidRDefault="00525DDF" w:rsidP="00525DDF">
      <w:r w:rsidRPr="00525DDF">
        <w:t xml:space="preserve">We do not accept SA Power Networks' proposed $56.4 million for reliability, and instead have included an amount of $27 million in our alternative capex estimate. This reflects the proposed capex to maintain reliability only. </w:t>
      </w:r>
    </w:p>
    <w:p w:rsidR="00525DDF" w:rsidRPr="00525DDF" w:rsidRDefault="00C76FB7" w:rsidP="00525DDF">
      <w:r>
        <w:t>Under the NER framework, SA Power Networks should only be funded for capex to meet relevant regulatory obligations associated with providing standard control services and, to the extent there are no such requirements in relation to reliability, maintain the reliability of the distribution system and supply of standard control services.</w:t>
      </w:r>
      <w:r>
        <w:rPr>
          <w:rStyle w:val="FootnoteReference"/>
        </w:rPr>
        <w:footnoteReference w:id="148"/>
      </w:r>
      <w:r>
        <w:t xml:space="preserve"> As set out further below, reliability improvement programs are instead usually funded through the Service Target Performance Incentive Scheme (STPIS). </w:t>
      </w:r>
      <w:r>
        <w:lastRenderedPageBreak/>
        <w:t>However, SA Power Networks has argued that the STPIS regime may not fund a number of its reliability improvement projects due to their unique circumstances.</w:t>
      </w:r>
      <w:r>
        <w:rPr>
          <w:rStyle w:val="FootnoteReference"/>
        </w:rPr>
        <w:footnoteReference w:id="149"/>
      </w:r>
      <w:r>
        <w:t xml:space="preserve"> We have reviewed these arguments and, where necessary, the merits of each project</w:t>
      </w:r>
      <w:r w:rsidRPr="00B7511F">
        <w:t xml:space="preserve"> </w:t>
      </w:r>
      <w:r>
        <w:t>proposed for SA Power Networks' reliability capex to assess whether or not it will promote the long-term interests of electricity consumers.</w:t>
      </w:r>
    </w:p>
    <w:p w:rsidR="00525DDF" w:rsidRPr="00624A53" w:rsidRDefault="00525DDF" w:rsidP="00624A53">
      <w:pPr>
        <w:pStyle w:val="HeadingBoldBlue"/>
        <w:rPr>
          <w:rStyle w:val="Emphasis"/>
          <w:i w:val="0"/>
          <w:iCs w:val="0"/>
        </w:rPr>
      </w:pPr>
      <w:r w:rsidRPr="00624A53">
        <w:rPr>
          <w:rStyle w:val="Emphasis"/>
          <w:i w:val="0"/>
          <w:iCs w:val="0"/>
        </w:rPr>
        <w:t>Maintaining network reliability</w:t>
      </w:r>
    </w:p>
    <w:p w:rsidR="00525DDF" w:rsidRPr="00525DDF" w:rsidRDefault="00525DDF" w:rsidP="00525DDF">
      <w:r w:rsidRPr="00525DDF">
        <w:t xml:space="preserve">SA Power Networks' propose $27 million ($2014–15) to maintain overall network reliability aligns with the historic amount of $27.4 million ($2014–15) SA Power Networks spent on maintaining reliability capex </w:t>
      </w:r>
      <w:r w:rsidR="00F6393C">
        <w:t>over the</w:t>
      </w:r>
      <w:r w:rsidR="00F6393C" w:rsidRPr="00525DDF">
        <w:t xml:space="preserve"> </w:t>
      </w:r>
      <w:r w:rsidRPr="00525DDF">
        <w:t>2010–15</w:t>
      </w:r>
      <w:r w:rsidR="00F6393C">
        <w:t xml:space="preserve"> period</w:t>
      </w:r>
      <w:r w:rsidRPr="00525DDF">
        <w:t xml:space="preserve">. </w:t>
      </w:r>
    </w:p>
    <w:p w:rsidR="00525DDF" w:rsidRPr="00525DDF" w:rsidRDefault="00525DDF" w:rsidP="00525DDF">
      <w:r w:rsidRPr="00525DDF">
        <w:fldChar w:fldCharType="begin"/>
      </w:r>
      <w:r w:rsidRPr="00525DDF">
        <w:instrText xml:space="preserve"> REF _Ref416795199 \h </w:instrText>
      </w:r>
      <w:r w:rsidRPr="00525DDF">
        <w:fldChar w:fldCharType="separate"/>
      </w:r>
      <w:r w:rsidR="00F02131">
        <w:t xml:space="preserve">Figure </w:t>
      </w:r>
      <w:r w:rsidR="00F02131">
        <w:rPr>
          <w:noProof/>
        </w:rPr>
        <w:t>B</w:t>
      </w:r>
      <w:r w:rsidR="00F02131">
        <w:noBreakHyphen/>
      </w:r>
      <w:r w:rsidR="00F02131">
        <w:rPr>
          <w:noProof/>
        </w:rPr>
        <w:t>5</w:t>
      </w:r>
      <w:r w:rsidRPr="00525DDF">
        <w:fldChar w:fldCharType="end"/>
      </w:r>
      <w:r w:rsidRPr="00525DDF">
        <w:t xml:space="preserve"> and </w:t>
      </w:r>
      <w:r w:rsidRPr="00525DDF">
        <w:fldChar w:fldCharType="begin"/>
      </w:r>
      <w:r w:rsidRPr="00525DDF">
        <w:instrText xml:space="preserve"> REF _Ref416795200 \h </w:instrText>
      </w:r>
      <w:r w:rsidRPr="00525DDF">
        <w:fldChar w:fldCharType="separate"/>
      </w:r>
      <w:r w:rsidR="00DD1B78">
        <w:t>f</w:t>
      </w:r>
      <w:r w:rsidR="00F02131">
        <w:t xml:space="preserve">igure </w:t>
      </w:r>
      <w:r w:rsidR="00F02131">
        <w:rPr>
          <w:noProof/>
        </w:rPr>
        <w:t>B</w:t>
      </w:r>
      <w:r w:rsidR="00F02131">
        <w:noBreakHyphen/>
      </w:r>
      <w:r w:rsidR="00F02131">
        <w:rPr>
          <w:noProof/>
        </w:rPr>
        <w:t>6</w:t>
      </w:r>
      <w:r w:rsidRPr="00525DDF">
        <w:fldChar w:fldCharType="end"/>
      </w:r>
      <w:r w:rsidRPr="00525DDF">
        <w:t xml:space="preserve"> show SA Power Networks' average reliability performance over 2006–07 to 2013–14. While these show fluctuations in service levels, SA Power Networks has on average maintained service performance. These performance statistics exclude reliability performance during major weather events, such as storms and heat waves.</w:t>
      </w:r>
    </w:p>
    <w:p w:rsidR="00525DDF" w:rsidRPr="00525DDF" w:rsidRDefault="00EB78CC" w:rsidP="00EB78CC">
      <w:pPr>
        <w:pStyle w:val="Caption"/>
      </w:pPr>
      <w:bookmarkStart w:id="134" w:name="_Ref416795199"/>
      <w:r>
        <w:t xml:space="preserve">Figure </w:t>
      </w:r>
      <w:fldSimple w:instr=" STYLEREF 7 \s ">
        <w:r w:rsidR="00F02131">
          <w:rPr>
            <w:noProof/>
          </w:rPr>
          <w:t>B</w:t>
        </w:r>
      </w:fldSimple>
      <w:r>
        <w:noBreakHyphen/>
      </w:r>
      <w:fldSimple w:instr=" SEQ AFigure \* ARABIC \s 7 ">
        <w:r w:rsidR="00F02131">
          <w:rPr>
            <w:noProof/>
          </w:rPr>
          <w:t>5</w:t>
        </w:r>
      </w:fldSimple>
      <w:bookmarkEnd w:id="134"/>
      <w:r w:rsidR="00525DDF" w:rsidRPr="00525DDF">
        <w:tab/>
      </w:r>
      <w:r w:rsidR="00525DDF" w:rsidRPr="00525DDF">
        <w:tab/>
        <w:t xml:space="preserve">SA Power Networks' SAIDI performance 2006–07 to 2013–14 </w:t>
      </w:r>
    </w:p>
    <w:p w:rsidR="00525DDF" w:rsidRPr="00525DDF" w:rsidRDefault="00525DDF" w:rsidP="00525DDF">
      <w:r w:rsidRPr="00525DDF">
        <w:rPr>
          <w:noProof/>
          <w:lang w:eastAsia="en-AU"/>
        </w:rPr>
        <w:drawing>
          <wp:inline distT="0" distB="0" distL="0" distR="0" wp14:anchorId="2EE0B3EC" wp14:editId="7D6328C4">
            <wp:extent cx="4572000" cy="274320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5DDF" w:rsidRPr="00AD0191" w:rsidRDefault="00525DDF" w:rsidP="00EB78CC">
      <w:pPr>
        <w:pStyle w:val="AERtablesource"/>
        <w:rPr>
          <w:rStyle w:val="AERbody"/>
          <w:sz w:val="16"/>
        </w:rPr>
      </w:pPr>
      <w:r w:rsidRPr="00761FCF">
        <w:rPr>
          <w:rStyle w:val="AERbody"/>
          <w:sz w:val="16"/>
        </w:rPr>
        <w:t xml:space="preserve">Source: AER analysis. </w:t>
      </w:r>
    </w:p>
    <w:p w:rsidR="00525DDF" w:rsidRPr="00525DDF" w:rsidRDefault="00EB78CC" w:rsidP="00EB78CC">
      <w:pPr>
        <w:pStyle w:val="Caption"/>
      </w:pPr>
      <w:bookmarkStart w:id="135" w:name="_Ref416795200"/>
      <w:r>
        <w:lastRenderedPageBreak/>
        <w:t xml:space="preserve">Figure </w:t>
      </w:r>
      <w:fldSimple w:instr=" STYLEREF 7 \s ">
        <w:r w:rsidR="00F02131">
          <w:rPr>
            <w:noProof/>
          </w:rPr>
          <w:t>B</w:t>
        </w:r>
      </w:fldSimple>
      <w:r>
        <w:noBreakHyphen/>
      </w:r>
      <w:fldSimple w:instr=" SEQ AFigure \* ARABIC \s 7 ">
        <w:r w:rsidR="00F02131">
          <w:rPr>
            <w:noProof/>
          </w:rPr>
          <w:t>6</w:t>
        </w:r>
      </w:fldSimple>
      <w:bookmarkEnd w:id="135"/>
      <w:r w:rsidR="00525DDF" w:rsidRPr="00525DDF">
        <w:tab/>
      </w:r>
      <w:r w:rsidR="00525DDF" w:rsidRPr="00525DDF">
        <w:tab/>
        <w:t xml:space="preserve">SA Power Networks' SAIFI performance 2006–07 to 2013–14 </w:t>
      </w:r>
    </w:p>
    <w:p w:rsidR="00525DDF" w:rsidRPr="00525DDF" w:rsidRDefault="00525DDF" w:rsidP="00525DDF">
      <w:r w:rsidRPr="00525DDF">
        <w:rPr>
          <w:noProof/>
          <w:lang w:eastAsia="en-AU"/>
        </w:rPr>
        <w:drawing>
          <wp:inline distT="0" distB="0" distL="0" distR="0" wp14:anchorId="601FE4B5" wp14:editId="4295D72F">
            <wp:extent cx="4572000" cy="27432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5DDF" w:rsidRPr="00AD0191" w:rsidRDefault="00525DDF" w:rsidP="00EB78CC">
      <w:pPr>
        <w:pStyle w:val="AERtablesource"/>
        <w:rPr>
          <w:rStyle w:val="AERbody"/>
          <w:sz w:val="16"/>
        </w:rPr>
      </w:pPr>
      <w:r w:rsidRPr="00761FCF">
        <w:rPr>
          <w:rStyle w:val="AERbody"/>
          <w:sz w:val="16"/>
        </w:rPr>
        <w:t xml:space="preserve">Source: AER analysis. </w:t>
      </w:r>
    </w:p>
    <w:p w:rsidR="00525DDF" w:rsidRPr="00525DDF" w:rsidRDefault="00525DDF" w:rsidP="00525DDF">
      <w:r w:rsidRPr="00525DDF">
        <w:t>ESCoSA has set SA Power Networks' average reliability service standards and targets for</w:t>
      </w:r>
      <w:r w:rsidR="00F6393C">
        <w:t xml:space="preserve"> the</w:t>
      </w:r>
      <w:r w:rsidRPr="00525DDF">
        <w:t xml:space="preserve"> 2015–20</w:t>
      </w:r>
      <w:r w:rsidR="00F6393C">
        <w:t xml:space="preserve"> </w:t>
      </w:r>
      <w:r w:rsidR="00DD1B78">
        <w:t xml:space="preserve">regulatory control </w:t>
      </w:r>
      <w:r w:rsidR="00F6393C">
        <w:t>period</w:t>
      </w:r>
      <w:r w:rsidRPr="00525DDF">
        <w:t xml:space="preserve"> to maintain SA Power Networks' average historical levels over 2009–10 to 2014–15. ESCoSA notes that these reliability targets for the 2015–20 regulatory period reflect the impacts of recent investment decisions by SA Power Networks.</w:t>
      </w:r>
      <w:r w:rsidRPr="00525DDF">
        <w:rPr>
          <w:rStyle w:val="FootnoteReference"/>
        </w:rPr>
        <w:footnoteReference w:id="150"/>
      </w:r>
      <w:r w:rsidRPr="00525DDF">
        <w:t xml:space="preserve"> These standards are supported by feedback from SA Power Networks' customers over the past ten years which indicate high levels of satisfaction with the current levels of reliability. SA Power Networks also states that this is supported by the low levels of service complaints.</w:t>
      </w:r>
      <w:r w:rsidRPr="00525DDF">
        <w:rPr>
          <w:rStyle w:val="FootnoteReference"/>
        </w:rPr>
        <w:footnoteReference w:id="151"/>
      </w:r>
    </w:p>
    <w:p w:rsidR="00525DDF" w:rsidRPr="00525DDF" w:rsidRDefault="00525DDF" w:rsidP="00525DDF">
      <w:r w:rsidRPr="00525DDF">
        <w:t>ESCoSA has on purpose set SA Power Networks' service standards to exclude the impact of major event days such as storms and heatwaves. ESCoSA considered that SA Power Networks' network must be built to perform consistently within normal weather conditions.</w:t>
      </w:r>
      <w:r w:rsidRPr="00525DDF">
        <w:rPr>
          <w:rStyle w:val="FootnoteReference"/>
        </w:rPr>
        <w:t xml:space="preserve"> </w:t>
      </w:r>
      <w:r w:rsidRPr="00525DDF">
        <w:rPr>
          <w:rStyle w:val="FootnoteReference"/>
        </w:rPr>
        <w:footnoteReference w:id="152"/>
      </w:r>
      <w:r w:rsidRPr="00525DDF">
        <w:t xml:space="preserve"> However, it would be very difficult (and prohibitively expensive) to design an electricity distribution network to withstand all severe weather events.</w:t>
      </w:r>
      <w:r w:rsidRPr="00525DDF">
        <w:rPr>
          <w:rStyle w:val="FootnoteReference"/>
        </w:rPr>
        <w:footnoteReference w:id="153"/>
      </w:r>
      <w:r w:rsidRPr="00525DDF">
        <w:t xml:space="preserve"> </w:t>
      </w:r>
    </w:p>
    <w:p w:rsidR="00525DDF" w:rsidRPr="00525DDF" w:rsidRDefault="00525DDF" w:rsidP="00525DDF">
      <w:r w:rsidRPr="00525DDF">
        <w:t xml:space="preserve">SA Power Networks' proposed program is aimed at maintaining historical average network reliability within normal weather conditions. The capex works are targeted to </w:t>
      </w:r>
      <w:r w:rsidRPr="00525DDF">
        <w:lastRenderedPageBreak/>
        <w:t>address reliability issues in specific locations and assets. These include insulating (or reinsulating) specific conductors, installing fuses, animal and vegetation mitigation, and managing protection equipment.</w:t>
      </w:r>
      <w:r w:rsidRPr="00525DDF">
        <w:rPr>
          <w:rStyle w:val="FootnoteReference"/>
        </w:rPr>
        <w:footnoteReference w:id="154"/>
      </w:r>
      <w:r w:rsidRPr="00525DDF">
        <w:t xml:space="preserve"> Some of these projects will restore reliability where it is degraded, while others will improve reliability.</w:t>
      </w:r>
    </w:p>
    <w:p w:rsidR="00525DDF" w:rsidRPr="00525DDF" w:rsidRDefault="00525DDF" w:rsidP="00525DDF">
      <w:r w:rsidRPr="00525DDF">
        <w:t>It is difficult to conclude whether the combined impact of these works will maintain or improve average network reliability performance. However, the capex is commensurate with historical capex to maintain reliability during a period of broadly consistent performance. On this basis, we consider that the proposed $2</w:t>
      </w:r>
      <w:r w:rsidR="00AD0191">
        <w:t>7</w:t>
      </w:r>
      <w:r w:rsidRPr="00525DDF">
        <w:t xml:space="preserve"> million ($2014–15) reasonably reflects an efficient amount to maintain network reliability over </w:t>
      </w:r>
      <w:r w:rsidR="00D31932">
        <w:t xml:space="preserve">the </w:t>
      </w:r>
      <w:r w:rsidRPr="00525DDF">
        <w:t>2014</w:t>
      </w:r>
      <w:r w:rsidR="00D31932">
        <w:t>–</w:t>
      </w:r>
      <w:r w:rsidRPr="00525DDF">
        <w:t>15</w:t>
      </w:r>
      <w:r w:rsidR="00D31932">
        <w:t xml:space="preserve"> period</w:t>
      </w:r>
      <w:r w:rsidRPr="00525DDF">
        <w:t xml:space="preserve"> within normal weather conditions. </w:t>
      </w:r>
    </w:p>
    <w:p w:rsidR="00525DDF" w:rsidRPr="00624A53" w:rsidRDefault="00525DDF" w:rsidP="00624A53">
      <w:pPr>
        <w:pStyle w:val="HeadingBoldBlue"/>
        <w:rPr>
          <w:rStyle w:val="Emphasis"/>
          <w:i w:val="0"/>
          <w:iCs w:val="0"/>
        </w:rPr>
      </w:pPr>
      <w:r w:rsidRPr="00624A53">
        <w:rPr>
          <w:rStyle w:val="Emphasis"/>
          <w:i w:val="0"/>
          <w:iCs w:val="0"/>
        </w:rPr>
        <w:t>Improving network reliability</w:t>
      </w:r>
    </w:p>
    <w:p w:rsidR="00525DDF" w:rsidRPr="00525DDF" w:rsidRDefault="00525DDF" w:rsidP="00525DDF">
      <w:r w:rsidRPr="00525DDF">
        <w:t>SA Power Networks proposes $29.6 million ($2014–15) to improve reliability performance for specific feeders in its network. SA Power Networks submitted that it undertook a customer engagement process —the TalkingPower program to help inform its 2015–20 revenue proposal.</w:t>
      </w:r>
      <w:r w:rsidRPr="00525DDF">
        <w:rPr>
          <w:rStyle w:val="FootnoteReference"/>
        </w:rPr>
        <w:footnoteReference w:id="155"/>
      </w:r>
      <w:r w:rsidRPr="00525DDF">
        <w:t xml:space="preserve"> The majority of customers who responded to this program are said to be satisfied with the current reliability level of the SA Power Networks network. However, customers sought reliability improvement on parts of the network that experience poor reliability as a result of severe weather events.</w:t>
      </w:r>
      <w:r w:rsidRPr="00525DDF">
        <w:rPr>
          <w:rStyle w:val="FootnoteReference"/>
        </w:rPr>
        <w:footnoteReference w:id="156"/>
      </w:r>
      <w:r w:rsidRPr="00525DDF">
        <w:t xml:space="preserve"> SA Power Networks submitted that the following reliability improvement projects respond to this customer feedback. These projects aim to improve network reliability during severe weather conditions </w:t>
      </w:r>
      <w:r w:rsidR="00C76FB7">
        <w:t xml:space="preserve">and </w:t>
      </w:r>
      <w:r w:rsidRPr="00525DDF">
        <w:t>are as follows:</w:t>
      </w:r>
      <w:r w:rsidRPr="00525DDF">
        <w:rPr>
          <w:rStyle w:val="FootnoteReference"/>
        </w:rPr>
        <w:footnoteReference w:id="157"/>
      </w:r>
    </w:p>
    <w:p w:rsidR="00525DDF" w:rsidRPr="00525DDF" w:rsidRDefault="00525DDF" w:rsidP="00525DDF">
      <w:pPr>
        <w:pStyle w:val="AERbulletlistfirststyle"/>
      </w:pPr>
      <w:r w:rsidRPr="00525DDF">
        <w:t>$16.3 million to ‘harden the network’ to mitigate the impact of severe weather events by improving the durability of 78 powerlines that are susceptible to storms and lightning</w:t>
      </w:r>
      <w:r w:rsidR="00D31932">
        <w:t>.</w:t>
      </w:r>
    </w:p>
    <w:p w:rsidR="00525DDF" w:rsidRPr="00525DDF" w:rsidRDefault="00525DDF" w:rsidP="00525DDF">
      <w:pPr>
        <w:pStyle w:val="AERbulletlistfirststyle"/>
      </w:pPr>
      <w:r w:rsidRPr="00525DDF">
        <w:t xml:space="preserve">$8.1 million to improve the performance of 24 high voltage feeders that consistently perform below SA Power Networks' reliability targets (i.e. worst performing feeders) during lightning and storms. </w:t>
      </w:r>
    </w:p>
    <w:p w:rsidR="00525DDF" w:rsidRPr="00525DDF" w:rsidRDefault="00AD0191" w:rsidP="00525DDF">
      <w:pPr>
        <w:pStyle w:val="AERbulletlistfirststyle"/>
      </w:pPr>
      <w:r>
        <w:t xml:space="preserve">$2.3 million </w:t>
      </w:r>
      <w:r w:rsidR="00525DDF" w:rsidRPr="00525DDF">
        <w:t>to improve network infrastructure to the Hawker and Elliston communities in response to customer concerns</w:t>
      </w:r>
      <w:r w:rsidR="00D31932">
        <w:t>.</w:t>
      </w:r>
    </w:p>
    <w:p w:rsidR="00525DDF" w:rsidRPr="00525DDF" w:rsidRDefault="00525DDF" w:rsidP="00525DDF">
      <w:pPr>
        <w:pStyle w:val="AERbulletlistfirststyle"/>
      </w:pPr>
      <w:r w:rsidRPr="00525DDF">
        <w:t>$2.7 million to conduct a trial of micro-grid to improve the reliability of SA Power Networks' worst performing feeder.</w:t>
      </w:r>
    </w:p>
    <w:p w:rsidR="00525DDF" w:rsidRPr="00525DDF" w:rsidRDefault="00525DDF" w:rsidP="00525DDF">
      <w:r w:rsidRPr="00525DDF">
        <w:t>A number of submissions questioned the need for the proposed reliability capex when there is a trend of slowing demand in South Australia.</w:t>
      </w:r>
      <w:r w:rsidRPr="00525DDF">
        <w:rPr>
          <w:rStyle w:val="FootnoteReference"/>
        </w:rPr>
        <w:footnoteReference w:id="158"/>
      </w:r>
      <w:r w:rsidRPr="00525DDF">
        <w:t xml:space="preserve"> In particular, the Government </w:t>
      </w:r>
      <w:r w:rsidRPr="00525DDF">
        <w:lastRenderedPageBreak/>
        <w:t xml:space="preserve">of South Australia questioned the need for a proposed reliability capex that is twice as high as the actual reliability capex over </w:t>
      </w:r>
      <w:r w:rsidR="007324E4">
        <w:t xml:space="preserve">the </w:t>
      </w:r>
      <w:r w:rsidRPr="00525DDF">
        <w:t>2010–15</w:t>
      </w:r>
      <w:r w:rsidR="007324E4">
        <w:t xml:space="preserve"> period</w:t>
      </w:r>
      <w:r w:rsidRPr="00525DDF">
        <w:t>. The Government of South Australia noted that it is not prudent to attempt to safeguard the network against all</w:t>
      </w:r>
      <w:r w:rsidR="00DD1B78">
        <w:t xml:space="preserve"> </w:t>
      </w:r>
      <w:r w:rsidRPr="00525DDF">
        <w:t>weather events, and suggested that those activities that are most cost effective with the largest benefits should be undertaken.</w:t>
      </w:r>
      <w:r w:rsidRPr="00525DDF">
        <w:rPr>
          <w:rStyle w:val="FootnoteReference"/>
        </w:rPr>
        <w:footnoteReference w:id="159"/>
      </w:r>
      <w:r w:rsidRPr="00525DDF">
        <w:t xml:space="preserve">  </w:t>
      </w:r>
    </w:p>
    <w:p w:rsidR="00525DDF" w:rsidRPr="00525DDF" w:rsidRDefault="00C76FB7" w:rsidP="00525DDF">
      <w:r>
        <w:t>A s</w:t>
      </w:r>
      <w:r w:rsidR="00525DDF" w:rsidRPr="00525DDF">
        <w:t>ubmission from AGL also questioned the need to improve SA Power Networks' network beyond its current level when the network reliability performance is better than the NEM average.</w:t>
      </w:r>
      <w:r w:rsidR="00525DDF" w:rsidRPr="00525DDF">
        <w:rPr>
          <w:rStyle w:val="FootnoteReference"/>
        </w:rPr>
        <w:footnoteReference w:id="160"/>
      </w:r>
    </w:p>
    <w:p w:rsidR="00525DDF" w:rsidRPr="00525DDF" w:rsidRDefault="00525DDF" w:rsidP="00525DDF">
      <w:r w:rsidRPr="00525DDF">
        <w:t>We also received submissions which questioned the need for the proposed reliability improvement capex when alternative surveys indicate that the majority of SA Power Networks' customers are satisfied with the current level of network reliability and are not willing to pay more for more reliable services. Submissions questioned the nature of SA Power Networks' consumer engagement survey.</w:t>
      </w:r>
      <w:r w:rsidRPr="00525DDF">
        <w:rPr>
          <w:rStyle w:val="FootnoteReference"/>
        </w:rPr>
        <w:footnoteReference w:id="161"/>
      </w:r>
      <w:r w:rsidRPr="00525DDF">
        <w:t xml:space="preserve">  We provided SA Power Networks the opportunity to comment on this aspect of the submissions. SA Power Networks submitted it engaged with a broad range of customer groups and that SA Power Networks is unlikely to benefit financially from the hardening the network initiatives.</w:t>
      </w:r>
      <w:r w:rsidRPr="00525DDF">
        <w:rPr>
          <w:rStyle w:val="FootnoteReference"/>
        </w:rPr>
        <w:footnoteReference w:id="162"/>
      </w:r>
    </w:p>
    <w:p w:rsidR="00525DDF" w:rsidRPr="00525DDF" w:rsidRDefault="00525DDF" w:rsidP="00525DDF">
      <w:r w:rsidRPr="00525DDF">
        <w:t>Submission from the Energy Consumers Coalition of South Australia also questioned whether the proposed reliability improvement programs will reward SA Power Networks through the STPIS.</w:t>
      </w:r>
      <w:r w:rsidRPr="00525DDF">
        <w:rPr>
          <w:rStyle w:val="FootnoteReference"/>
        </w:rPr>
        <w:footnoteReference w:id="163"/>
      </w:r>
      <w:r w:rsidR="00C76FB7">
        <w:t xml:space="preserve"> As discussed in Attachment 11 (STPIS)</w:t>
      </w:r>
      <w:r w:rsidRPr="00525DDF">
        <w:t xml:space="preserve"> of this </w:t>
      </w:r>
      <w:r w:rsidR="00C76FB7">
        <w:t xml:space="preserve">preliminary </w:t>
      </w:r>
      <w:r w:rsidRPr="00525DDF">
        <w:t>decision, the STPIS regime provides an incentive for distributors to invest in further reliability improvements (via additional capex or opex) only where customers are willing to pay for it. Conversely, the STPIS penalises distributors where they let reliability deteriorate. Importantly, the distributor will only receive a financial reward after actual improvements are delivered to the customers.</w:t>
      </w:r>
    </w:p>
    <w:p w:rsidR="00525DDF" w:rsidRPr="00525DDF" w:rsidRDefault="00525DDF" w:rsidP="00525DDF">
      <w:pPr>
        <w:rPr>
          <w:rStyle w:val="AERbody"/>
        </w:rPr>
      </w:pPr>
      <w:r w:rsidRPr="00525DDF">
        <w:rPr>
          <w:rStyle w:val="AERbody"/>
        </w:rPr>
        <w:lastRenderedPageBreak/>
        <w:t>The STPIS regime means that reliability improvement programs should generally not be funded through ex-ante capex allowances. However, as set below, SA Power Networks submits that the STPIS will not actually fund some or all of these programs due to the fact that they aim to improve reliability during severe weather conditions. However, SA Power Networks submits that these projects will provide a positive cost-benefit to consumers and therefore should be included within its ex-ante capex allowance.</w:t>
      </w:r>
      <w:r w:rsidRPr="00525DDF">
        <w:rPr>
          <w:rStyle w:val="FootnoteReference"/>
        </w:rPr>
        <w:footnoteReference w:id="164"/>
      </w:r>
    </w:p>
    <w:p w:rsidR="00525DDF" w:rsidRPr="00525DDF" w:rsidRDefault="00525DDF" w:rsidP="00525DDF">
      <w:pPr>
        <w:rPr>
          <w:rStyle w:val="AERbody"/>
        </w:rPr>
      </w:pPr>
      <w:r w:rsidRPr="00525DDF">
        <w:rPr>
          <w:rStyle w:val="AERbody"/>
        </w:rPr>
        <w:t>We have assessed the applicability of the STPIS to these reliability improvement programs and, where necessary, the merits of the programs for consumers.</w:t>
      </w:r>
    </w:p>
    <w:p w:rsidR="00525DDF" w:rsidRPr="00624A53" w:rsidRDefault="00525DDF" w:rsidP="00624A53">
      <w:pPr>
        <w:pStyle w:val="HeadingBoldItalic"/>
        <w:rPr>
          <w:rStyle w:val="Strong"/>
          <w:b/>
          <w:bCs/>
        </w:rPr>
      </w:pPr>
      <w:r w:rsidRPr="00624A53">
        <w:rPr>
          <w:rStyle w:val="Strong"/>
          <w:b/>
          <w:bCs/>
        </w:rPr>
        <w:t>Hardening the network</w:t>
      </w:r>
    </w:p>
    <w:p w:rsidR="00525DDF" w:rsidRPr="00525DDF" w:rsidRDefault="00525DDF" w:rsidP="00525DDF">
      <w:r w:rsidRPr="00525DDF">
        <w:t xml:space="preserve">SA Power Networks proposes $16.3 million ($2014–15) for improving the reliability performance of the network during severe weather events. SA Power Networks supports this reliability improvement program with cost-benefit analysis using the value of customer reliability (VCR). SA Power Networks modelled the impact of this program based on the historic performance of its network during </w:t>
      </w:r>
      <w:r w:rsidR="007324E4">
        <w:t xml:space="preserve">the </w:t>
      </w:r>
      <w:r w:rsidRPr="00525DDF">
        <w:t>2010–14</w:t>
      </w:r>
      <w:r w:rsidR="007324E4">
        <w:t xml:space="preserve"> period</w:t>
      </w:r>
      <w:r w:rsidRPr="00525DDF">
        <w:t>. SA Power Networks concludes that had the improvements had been in place during the 2010–14 period, the benefits to customers (in terms of the cost of reliability using VCR) would exceed the cost of the program within two years.</w:t>
      </w:r>
      <w:r w:rsidRPr="00525DDF">
        <w:rPr>
          <w:rStyle w:val="FootnoteReference"/>
        </w:rPr>
        <w:t xml:space="preserve"> </w:t>
      </w:r>
      <w:r w:rsidRPr="00525DDF">
        <w:rPr>
          <w:rStyle w:val="FootnoteReference"/>
        </w:rPr>
        <w:footnoteReference w:id="165"/>
      </w:r>
    </w:p>
    <w:p w:rsidR="00525DDF" w:rsidRPr="00525DDF" w:rsidRDefault="00525DDF" w:rsidP="00525DDF">
      <w:r w:rsidRPr="00525DDF">
        <w:t>SA Power Networks submits that the reliability improvements for hardening the network will unlikely be funded through the STPIS. SA Power Networks analysis shows that if this program was implemented for the entirety of 2010–14, SA Power Networks would actually receive a STPIS penalty. This is because STPIS is calculated by excluding the impact of major weather events on SA Power Networks' reliability. The hardening the network program will improve the reliability of specific feeders during major weather events and hence no longer be excluded from the STPIS calculations. However, reliability is not expected to improve the level of average network reliability, and hence the overall impact would be to marginally reduce overall network reliability.</w:t>
      </w:r>
      <w:r w:rsidRPr="00525DDF">
        <w:rPr>
          <w:rStyle w:val="FootnoteReference"/>
        </w:rPr>
        <w:footnoteReference w:id="166"/>
      </w:r>
      <w:r w:rsidRPr="00525DDF">
        <w:t xml:space="preserve"> </w:t>
      </w:r>
    </w:p>
    <w:p w:rsidR="00525DDF" w:rsidRPr="00525DDF" w:rsidRDefault="00525DDF" w:rsidP="00525DDF">
      <w:r w:rsidRPr="00525DDF">
        <w:t>The combined impact of this program will be to improve reliability to those customers that are supplied by feeders that are targeted for reliability improvement, but that overall network reliability may not be improved. Hence, SA Power Networks submits that it will not receive a financial benefit to fund this program through the STPIS.</w:t>
      </w:r>
      <w:r w:rsidRPr="00525DDF">
        <w:rPr>
          <w:rStyle w:val="FootnoteReference"/>
        </w:rPr>
        <w:footnoteReference w:id="167"/>
      </w:r>
      <w:r w:rsidRPr="00525DDF">
        <w:t xml:space="preserve"> </w:t>
      </w:r>
    </w:p>
    <w:p w:rsidR="00525DDF" w:rsidRPr="00525DDF" w:rsidRDefault="00525DDF" w:rsidP="00525DDF">
      <w:r w:rsidRPr="00525DDF">
        <w:t xml:space="preserve">We note that SA Power Networks modelled the impact of this program based on historical 2010–14 data. Embedded in this analysis is the assumption that the financial benefit arising from the reduction in customer-minutes-off-supply would not be captured under the STPIS financial reward framework, because the improvement are </w:t>
      </w:r>
      <w:r w:rsidRPr="00525DDF">
        <w:lastRenderedPageBreak/>
        <w:t>likely to occur during severe weather events, for which SA Power Networks' supply reliability measures are excluded from the STPIS reward calculation as major event days (MED).</w:t>
      </w:r>
      <w:r w:rsidRPr="00525DDF">
        <w:rPr>
          <w:rStyle w:val="FootnoteReference"/>
        </w:rPr>
        <w:footnoteReference w:id="168"/>
      </w:r>
    </w:p>
    <w:p w:rsidR="00525DDF" w:rsidRPr="00525DDF" w:rsidRDefault="00525DDF" w:rsidP="00525DDF">
      <w:r w:rsidRPr="00525DDF">
        <w:t>SA Power Networks provided a summary model to demonstrate the above effect.</w:t>
      </w:r>
      <w:r w:rsidRPr="00525DDF">
        <w:rPr>
          <w:rStyle w:val="FootnoteReference"/>
        </w:rPr>
        <w:footnoteReference w:id="169"/>
      </w:r>
      <w:r w:rsidRPr="00525DDF">
        <w:t xml:space="preserve"> SA Power Networks modelled the impact of implementing the reliability improvement programs for the entirety of the 2010–14 period. SA Power Networks found that four MEDs in the analysed period would no longer be classified as MEDs. The average impact of these four days no longer being classified as MEDs would have increased or worsened the underlying customer-minutes-off supply (excluding MEDs) of 3.5 minutes.</w:t>
      </w:r>
      <w:r w:rsidRPr="00525DDF">
        <w:rPr>
          <w:rStyle w:val="FootnoteReference"/>
        </w:rPr>
        <w:footnoteReference w:id="170"/>
      </w:r>
      <w:r w:rsidRPr="00525DDF">
        <w:t xml:space="preserve">  </w:t>
      </w:r>
    </w:p>
    <w:p w:rsidR="00525DDF" w:rsidRPr="00525DDF" w:rsidRDefault="00525DDF" w:rsidP="00525DDF">
      <w:r w:rsidRPr="00525DDF">
        <w:t>We consider SA Power Networks' analysis has not taken into consideration the change in how MED is defined for the next regulatory period. In its regulatory proposal, SA Power Networks accepted the proposed change to MED definition in the F&amp;A, that the calculation method is to change from the existing Box-Cox method to the STPIS scheme standard IEEE method.</w:t>
      </w:r>
      <w:r w:rsidRPr="00525DDF">
        <w:rPr>
          <w:rStyle w:val="FootnoteReference"/>
        </w:rPr>
        <w:footnoteReference w:id="171"/>
      </w:r>
      <w:r w:rsidRPr="00525DDF">
        <w:t xml:space="preserve"> This change will result in less number of major events days being excluded from the STPIS calculation.</w:t>
      </w:r>
      <w:r w:rsidRPr="00525DDF">
        <w:rPr>
          <w:rStyle w:val="FootnoteReference"/>
        </w:rPr>
        <w:footnoteReference w:id="172"/>
      </w:r>
      <w:r w:rsidRPr="00525DDF">
        <w:t xml:space="preserve"> As set out in section 11.4.3, we have adjusted SA Power Networks' performance targets under </w:t>
      </w:r>
      <w:r w:rsidR="00C76FB7">
        <w:t xml:space="preserve">the </w:t>
      </w:r>
      <w:r w:rsidRPr="00525DDF">
        <w:t>STPIS include historical MEDs that would not have been classified as major event days under the IEEE method.</w:t>
      </w:r>
      <w:r w:rsidRPr="00525DDF">
        <w:rPr>
          <w:rStyle w:val="FootnoteReference"/>
        </w:rPr>
        <w:footnoteReference w:id="173"/>
      </w:r>
    </w:p>
    <w:p w:rsidR="00525DDF" w:rsidRPr="00525DDF" w:rsidRDefault="00525DDF" w:rsidP="00525DDF">
      <w:r w:rsidRPr="00525DDF">
        <w:rPr>
          <w:rStyle w:val="AERbody"/>
        </w:rPr>
        <w:t xml:space="preserve">Based on information SA Power Networks provided, it is unclear whether SA Power Networks has taken into account the impact of the new definition of MEDs in its modelling of the hardening network program. </w:t>
      </w:r>
      <w:r w:rsidRPr="00525DDF">
        <w:t>This makes it difficult for us to be satisfied that the STPIS regime will not fund this program. On this basis, we do not accept the proposed $1</w:t>
      </w:r>
      <w:r w:rsidR="00AD0191">
        <w:t>6.3</w:t>
      </w:r>
      <w:r w:rsidRPr="00525DDF">
        <w:t xml:space="preserve"> million ($2014–15) for hardening the network. However, we note that SA Power Networks should provide more information on whether its cost-benefit analysis of the hardening network program takes into account the new definition of MEDs. </w:t>
      </w:r>
    </w:p>
    <w:p w:rsidR="00525DDF" w:rsidRDefault="00525DDF" w:rsidP="00525DDF">
      <w:pPr>
        <w:rPr>
          <w:rStyle w:val="AERbody"/>
        </w:rPr>
      </w:pPr>
      <w:r w:rsidRPr="00525DDF">
        <w:t xml:space="preserve">As set out in section 11.4.3, our decision takes into account information SA Power Networks provided about the reliability outcomes for </w:t>
      </w:r>
      <w:r w:rsidRPr="00525DDF">
        <w:rPr>
          <w:rStyle w:val="AERbody"/>
        </w:rPr>
        <w:t>"hardening the network" and "improving the low reliable feeders" programs.</w:t>
      </w:r>
      <w:r w:rsidRPr="00525DDF">
        <w:rPr>
          <w:rStyle w:val="FootnoteReference"/>
        </w:rPr>
        <w:footnoteReference w:id="174"/>
      </w:r>
      <w:r w:rsidRPr="00525DDF">
        <w:rPr>
          <w:rStyle w:val="AERbody"/>
        </w:rPr>
        <w:t xml:space="preserve"> </w:t>
      </w:r>
    </w:p>
    <w:p w:rsidR="00E36937" w:rsidRPr="00525DDF" w:rsidRDefault="00E36937" w:rsidP="00525DDF">
      <w:pPr>
        <w:rPr>
          <w:rStyle w:val="AERbody"/>
        </w:rPr>
      </w:pPr>
    </w:p>
    <w:p w:rsidR="00525DDF" w:rsidRPr="00624A53" w:rsidRDefault="00525DDF" w:rsidP="00624A53">
      <w:pPr>
        <w:pStyle w:val="HeadingBoldItalic"/>
        <w:rPr>
          <w:rStyle w:val="Strong"/>
          <w:b/>
          <w:bCs/>
        </w:rPr>
      </w:pPr>
      <w:r w:rsidRPr="00624A53">
        <w:rPr>
          <w:rStyle w:val="Strong"/>
          <w:b/>
          <w:bCs/>
        </w:rPr>
        <w:lastRenderedPageBreak/>
        <w:t xml:space="preserve">Low reliable feeders </w:t>
      </w:r>
    </w:p>
    <w:p w:rsidR="00525DDF" w:rsidRPr="00525DDF" w:rsidRDefault="00525DDF" w:rsidP="00525DDF">
      <w:r w:rsidRPr="00525DDF">
        <w:t>SA Power Networks proposes $8.1 million ($2014–15) to improve the performance of 30 high voltage feeders reported to ESCoSA as consistently performing below SA Power Networks' service standard targets. These are also known as "worst performing feeders".</w:t>
      </w:r>
      <w:r w:rsidRPr="00525DDF">
        <w:rPr>
          <w:rStyle w:val="FootnoteReference"/>
        </w:rPr>
        <w:footnoteReference w:id="175"/>
      </w:r>
    </w:p>
    <w:p w:rsidR="00525DDF" w:rsidRPr="00525DDF" w:rsidRDefault="00525DDF" w:rsidP="00525DDF">
      <w:r w:rsidRPr="00525DDF">
        <w:t>There is no regulatory requirement to improve the performance of specific poor performing feeders. Instead, SA Power Networks must monitor and report to ESCoSA on each feeder that has low reliability, and report on action planned for improving the reliability of each identified feeder.</w:t>
      </w:r>
      <w:r w:rsidRPr="00525DDF">
        <w:rPr>
          <w:rStyle w:val="FootnoteReference"/>
        </w:rPr>
        <w:footnoteReference w:id="176"/>
      </w:r>
    </w:p>
    <w:p w:rsidR="00525DDF" w:rsidRPr="00525DDF" w:rsidRDefault="00525DDF" w:rsidP="00525DDF">
      <w:r w:rsidRPr="00525DDF">
        <w:t>SA Power Networks developed this reliability improvement program in response to customer concerns expressed through SA Power Networks' customer engagement program.</w:t>
      </w:r>
      <w:r w:rsidRPr="00525DDF">
        <w:rPr>
          <w:rStyle w:val="FootnoteReference"/>
        </w:rPr>
        <w:footnoteReference w:id="177"/>
      </w:r>
      <w:r w:rsidRPr="00525DDF">
        <w:t xml:space="preserve"> SA Power Networks identifies the proposed reliability benefits from this program by considering how reliability outcomes from</w:t>
      </w:r>
      <w:r w:rsidR="00CE721F">
        <w:t xml:space="preserve"> the</w:t>
      </w:r>
      <w:r w:rsidRPr="00525DDF">
        <w:t xml:space="preserve"> 2010–15</w:t>
      </w:r>
      <w:r w:rsidR="00CE721F">
        <w:t xml:space="preserve"> period</w:t>
      </w:r>
      <w:r w:rsidRPr="00525DDF">
        <w:t xml:space="preserve"> would change if these low performing feeders were improved. This would result in marginal reliability improvements with an annual STPIS benefit of 0.06 per cent per annum. However, SA Power Networks states that these benefits would be offset by the proposed reliability reductions from the hardening the network program.</w:t>
      </w:r>
      <w:r w:rsidRPr="00525DDF">
        <w:rPr>
          <w:rStyle w:val="FootnoteReference"/>
        </w:rPr>
        <w:footnoteReference w:id="178"/>
      </w:r>
      <w:r w:rsidRPr="00525DDF">
        <w:t xml:space="preserve"> </w:t>
      </w:r>
    </w:p>
    <w:p w:rsidR="00525DDF" w:rsidRPr="00525DDF" w:rsidRDefault="00525DDF" w:rsidP="00525DDF">
      <w:r w:rsidRPr="00525DDF">
        <w:t xml:space="preserve">Again, based on information SA Power Networks provided, it is unclear whether the new definition of MEDs has been taken into account in these calculations. If it has not, there is a possibility that the new definition of MEDs would result in a positive STPIS outcome when the low reliable feeder improvement program is combined with the hardening network program. </w:t>
      </w:r>
    </w:p>
    <w:p w:rsidR="00525DDF" w:rsidRPr="00525DDF" w:rsidRDefault="00525DDF" w:rsidP="00525DDF">
      <w:r w:rsidRPr="00525DDF">
        <w:t xml:space="preserve">Notwithstanding this, SA Power Networks does not provide any analysis to demonstrate that the consumer benefits to reliability in terms of VCR outcomes will exceed the costs of the program. </w:t>
      </w:r>
    </w:p>
    <w:p w:rsidR="00525DDF" w:rsidRPr="00525DDF" w:rsidRDefault="00525DDF" w:rsidP="00525DDF">
      <w:r w:rsidRPr="00525DDF">
        <w:t>We do not accept the proposed $8.1 million capex to address low reliable feeders because we are not satisfied based on the information provided by SA Power Networks that there is a positive cost benefit analysis in terms of VCR, or that these feeders will not otherwise be funded through the STPIS regime.</w:t>
      </w:r>
    </w:p>
    <w:p w:rsidR="00525DDF" w:rsidRPr="00624A53" w:rsidRDefault="00525DDF" w:rsidP="00624A53">
      <w:pPr>
        <w:pStyle w:val="HeadingBoldItalic"/>
        <w:rPr>
          <w:rStyle w:val="Strong"/>
          <w:b/>
          <w:bCs/>
        </w:rPr>
      </w:pPr>
      <w:r w:rsidRPr="00624A53">
        <w:rPr>
          <w:rStyle w:val="Strong"/>
          <w:b/>
          <w:bCs/>
        </w:rPr>
        <w:t xml:space="preserve">Hawker and Ellison program </w:t>
      </w:r>
    </w:p>
    <w:p w:rsidR="00525DDF" w:rsidRPr="00525DDF" w:rsidRDefault="00525DDF" w:rsidP="00525DDF">
      <w:r w:rsidRPr="00525DDF">
        <w:t xml:space="preserve">SA Power Networks proposes $2.3 million ($2014–15) to improve network infrastructure to the Hawker and Elliston communities in response to customer concerns. Similar to the low reliable feeder improvement program, SA Power Networks </w:t>
      </w:r>
      <w:r w:rsidRPr="00525DDF">
        <w:lastRenderedPageBreak/>
        <w:t>proposes to improve reliability to specific feeders supplying the Hawker and Ellison communities.</w:t>
      </w:r>
      <w:r w:rsidRPr="00525DDF">
        <w:rPr>
          <w:rStyle w:val="FootnoteReference"/>
        </w:rPr>
        <w:footnoteReference w:id="179"/>
      </w:r>
      <w:r w:rsidRPr="00525DDF">
        <w:t xml:space="preserve"> </w:t>
      </w:r>
    </w:p>
    <w:p w:rsidR="00525DDF" w:rsidRPr="00525DDF" w:rsidRDefault="00525DDF" w:rsidP="00525DDF">
      <w:r w:rsidRPr="00525DDF">
        <w:t>Similar to the other two reliability improvement programs, SA Power Networks submit that the STPIS benefits of this program would be offset by the reliability reductions from the hardening</w:t>
      </w:r>
      <w:r w:rsidR="00CE721F">
        <w:t xml:space="preserve"> of</w:t>
      </w:r>
      <w:r w:rsidRPr="00525DDF">
        <w:t xml:space="preserve"> the network program when the STPIS impacts of all three programs are combined.</w:t>
      </w:r>
      <w:r w:rsidRPr="00525DDF">
        <w:rPr>
          <w:rStyle w:val="FootnoteReference"/>
        </w:rPr>
        <w:footnoteReference w:id="180"/>
      </w:r>
      <w:r w:rsidRPr="00525DDF">
        <w:t xml:space="preserve"> </w:t>
      </w:r>
    </w:p>
    <w:p w:rsidR="00525DDF" w:rsidRPr="00525DDF" w:rsidRDefault="00525DDF" w:rsidP="00525DDF">
      <w:r w:rsidRPr="00525DDF">
        <w:t xml:space="preserve">Again, based on information SA Power Networks provided, it is unclear whether the new definition of MEDs has been taken into account in these calculations. This leaves open the possibility that the new definition of MEDs would result in a positive STPIS outcome for this program even when combined with the hardening network program. </w:t>
      </w:r>
    </w:p>
    <w:p w:rsidR="00525DDF" w:rsidRPr="00525DDF" w:rsidRDefault="00525DDF" w:rsidP="00525DDF">
      <w:r w:rsidRPr="00525DDF">
        <w:t xml:space="preserve">SA Power Networks states that: </w:t>
      </w:r>
    </w:p>
    <w:p w:rsidR="00525DDF" w:rsidRPr="00525DDF" w:rsidRDefault="00525DDF" w:rsidP="00525DDF">
      <w:pPr>
        <w:pStyle w:val="AERquoteindent1"/>
      </w:pPr>
      <w:r w:rsidRPr="00525DDF">
        <w:t>The proposed option is the least cost approach utilising proven cost effective technology that is capable of addressing the poor reliability performance of the communities of Elliston and Hawker, returning performance closer to EDC target levels. The need for the project has been identified through direct engagement with customers as described above and a review of network and weather</w:t>
      </w:r>
      <w:r w:rsidR="00CE721F">
        <w:t>-</w:t>
      </w:r>
      <w:r w:rsidRPr="00525DDF">
        <w:t>related performance trends and risks.</w:t>
      </w:r>
      <w:r w:rsidRPr="00525DDF">
        <w:rPr>
          <w:rStyle w:val="FootnoteReference"/>
        </w:rPr>
        <w:footnoteReference w:id="181"/>
      </w:r>
    </w:p>
    <w:p w:rsidR="00525DDF" w:rsidRPr="00525DDF" w:rsidRDefault="00525DDF" w:rsidP="00525DDF">
      <w:r w:rsidRPr="00525DDF">
        <w:t>While SA Power Networks considers that this program utilises the most cost effective technology, it has not provided the any cost-benefit analysis or other information to demonstrate the need or efficiency of the proposed expenditure. Based on this, we do not accept the proposed capex.</w:t>
      </w:r>
    </w:p>
    <w:p w:rsidR="00525DDF" w:rsidRPr="00624A53" w:rsidRDefault="00525DDF" w:rsidP="00624A53">
      <w:pPr>
        <w:pStyle w:val="HeadingBoldItalic"/>
        <w:rPr>
          <w:rStyle w:val="Strong"/>
          <w:b/>
          <w:bCs/>
        </w:rPr>
      </w:pPr>
      <w:r w:rsidRPr="00624A53">
        <w:rPr>
          <w:rStyle w:val="Strong"/>
          <w:b/>
          <w:bCs/>
        </w:rPr>
        <w:t xml:space="preserve">Micro-grid trial program </w:t>
      </w:r>
    </w:p>
    <w:p w:rsidR="00525DDF" w:rsidRPr="00525DDF" w:rsidRDefault="00525DDF" w:rsidP="00525DDF">
      <w:r w:rsidRPr="00525DDF">
        <w:t>SA Power Networks proposes $2.7 million ($2014–15) to conduct a trial of micro-grid on one of the 31 worst performing feeders to improve its reliability. SA Power Networks proposes this program to be a possible solution to improving poor performing feeders.</w:t>
      </w:r>
      <w:r w:rsidRPr="00525DDF">
        <w:rPr>
          <w:rStyle w:val="FootnoteReference"/>
        </w:rPr>
        <w:footnoteReference w:id="182"/>
      </w:r>
      <w:r w:rsidRPr="00525DDF">
        <w:t xml:space="preserve"> </w:t>
      </w:r>
    </w:p>
    <w:p w:rsidR="00525DDF" w:rsidRPr="00525DDF" w:rsidRDefault="00525DDF" w:rsidP="00525DDF">
      <w:r w:rsidRPr="00525DDF">
        <w:t>This is an R&amp;D style trial with no guarantee on reliability improvement. SA Power Networks submits that the micro-grid technologies need to be evaluated further as they are currently not a viable solution to the majority of low reliability feeder performance issues.</w:t>
      </w:r>
      <w:r w:rsidRPr="00525DDF">
        <w:rPr>
          <w:rStyle w:val="FootnoteReference"/>
        </w:rPr>
        <w:footnoteReference w:id="183"/>
      </w:r>
    </w:p>
    <w:p w:rsidR="00525DDF" w:rsidRPr="00525DDF" w:rsidRDefault="00525DDF" w:rsidP="00525DDF">
      <w:r w:rsidRPr="00525DDF">
        <w:t>A submission from the South Australian Council of Social Services questioned the need for capital intensive solution to low reliability feeders and welcomed the proposed trial micro-grid solution.</w:t>
      </w:r>
      <w:r w:rsidRPr="00525DDF">
        <w:rPr>
          <w:rStyle w:val="FootnoteReference"/>
        </w:rPr>
        <w:footnoteReference w:id="184"/>
      </w:r>
      <w:r w:rsidRPr="00525DDF">
        <w:t xml:space="preserve"> We asked SA Power Networks to comment on the impact of </w:t>
      </w:r>
      <w:r w:rsidRPr="00525DDF">
        <w:lastRenderedPageBreak/>
        <w:t>the main reliability improvement programs for the hardening the network and improving low reliability feeders programs pending the outcome of the trial micro-grid solution. SA Power Networks submitted that the improvement programs are needed as it can be expected that the number of low reliable feeders and worst served customers affected would increase during</w:t>
      </w:r>
      <w:r w:rsidR="00CE721F">
        <w:t xml:space="preserve"> the </w:t>
      </w:r>
      <w:r w:rsidRPr="00525DDF">
        <w:t>2015–20</w:t>
      </w:r>
      <w:r w:rsidR="00CE721F">
        <w:t xml:space="preserve"> period</w:t>
      </w:r>
      <w:r w:rsidRPr="00525DDF">
        <w:t>.</w:t>
      </w:r>
      <w:r w:rsidRPr="00525DDF">
        <w:rPr>
          <w:rStyle w:val="FootnoteReference"/>
        </w:rPr>
        <w:footnoteReference w:id="185"/>
      </w:r>
    </w:p>
    <w:p w:rsidR="00525DDF" w:rsidRPr="00525DDF" w:rsidRDefault="00525DDF" w:rsidP="00525DDF">
      <w:r w:rsidRPr="00525DDF">
        <w:t>We recognise that this is a trial, and therefore is difficult to accurately quantify the likely benefits in terms of reliability. However, SA Power Networks proposes this program on the basis of reliability improvement rather than reliability maintenance. To allow for reliability improvement, we need to be satisfied that the proposed expenditure will encourage prudent and efficient outcomes and that it will not otherwise be funded through the STPIS regime. Based on the information provided by SA Power Networks, it is not clear what the benefits may be from this trial, and how it will allow SA Power Networks to efficiently maintain or improve network reliability.</w:t>
      </w:r>
    </w:p>
    <w:p w:rsidR="00525DDF" w:rsidRPr="00525DDF" w:rsidRDefault="00525DDF" w:rsidP="00525DDF">
      <w:r w:rsidRPr="00525DDF">
        <w:t xml:space="preserve">We will consider any further information provided by SA Power Networks on the benefits of this program, and how it fits within the suite of reliability improvement programs in our final decision. </w:t>
      </w:r>
    </w:p>
    <w:p w:rsidR="00525DDF" w:rsidRPr="00624A53" w:rsidRDefault="00525DDF" w:rsidP="00624A53">
      <w:pPr>
        <w:pStyle w:val="Heading9"/>
      </w:pPr>
      <w:bookmarkStart w:id="136" w:name="_Toc417725396"/>
      <w:r w:rsidRPr="00624A53">
        <w:t>Environmental</w:t>
      </w:r>
      <w:bookmarkEnd w:id="136"/>
    </w:p>
    <w:p w:rsidR="00525DDF" w:rsidRPr="00525DDF" w:rsidRDefault="00525DDF" w:rsidP="00525DDF">
      <w:r w:rsidRPr="00525DDF">
        <w:t xml:space="preserve">SA Power Networks proposes $14.9 million ($2014–15, excluding overheads) environmental capex to comply with its obligations under various environmental legislations. We accept this proposed environmental capex as we are satisfied that it will enable SA Power Networks to comply with the applicable regulatory obligations. Accordingly, we have included the proposed capex in our alternative capex estimate. </w:t>
      </w:r>
    </w:p>
    <w:p w:rsidR="00525DDF" w:rsidRPr="00525DDF" w:rsidRDefault="00525DDF" w:rsidP="00525DDF">
      <w:r w:rsidRPr="00525DDF">
        <w:t xml:space="preserve">SA Power Networks' forecast is </w:t>
      </w:r>
      <w:r w:rsidRPr="00525DDF">
        <w:rPr>
          <w:rStyle w:val="AERbody"/>
        </w:rPr>
        <w:t xml:space="preserve">83 per cent higher than the actual expenditure incurred during </w:t>
      </w:r>
      <w:r w:rsidR="00CE721F">
        <w:rPr>
          <w:rStyle w:val="AERbody"/>
        </w:rPr>
        <w:t xml:space="preserve">the </w:t>
      </w:r>
      <w:r w:rsidRPr="00525DDF">
        <w:rPr>
          <w:rStyle w:val="AERbody"/>
        </w:rPr>
        <w:t>2010–15</w:t>
      </w:r>
      <w:r w:rsidR="00CE721F">
        <w:rPr>
          <w:rStyle w:val="AERbody"/>
        </w:rPr>
        <w:t xml:space="preserve"> period</w:t>
      </w:r>
      <w:r w:rsidRPr="00525DDF">
        <w:rPr>
          <w:rStyle w:val="AERbody"/>
        </w:rPr>
        <w:t xml:space="preserve"> to meet its environmental obligations. </w:t>
      </w:r>
      <w:r w:rsidRPr="00525DDF">
        <w:t xml:space="preserve">SA Power Networks submitted that the main reason for the lower actual expenditure is delay in commencing the environment program during </w:t>
      </w:r>
      <w:r w:rsidR="00CE721F">
        <w:t xml:space="preserve">the </w:t>
      </w:r>
      <w:r w:rsidRPr="00525DDF">
        <w:t>2010–15</w:t>
      </w:r>
      <w:r w:rsidR="00CE721F">
        <w:t xml:space="preserve"> period</w:t>
      </w:r>
      <w:r w:rsidRPr="00525DDF">
        <w:t>.</w:t>
      </w:r>
      <w:r w:rsidRPr="00525DDF">
        <w:rPr>
          <w:rStyle w:val="FootnoteReference"/>
        </w:rPr>
        <w:footnoteReference w:id="186"/>
      </w:r>
      <w:r w:rsidRPr="00525DDF">
        <w:rPr>
          <w:rStyle w:val="FootnoteReference"/>
        </w:rPr>
        <w:t xml:space="preserve"> </w:t>
      </w:r>
      <w:r w:rsidRPr="00525DDF">
        <w:t xml:space="preserve"> </w:t>
      </w:r>
    </w:p>
    <w:p w:rsidR="00525DDF" w:rsidRPr="00525DDF" w:rsidRDefault="00525DDF" w:rsidP="00525DDF">
      <w:r w:rsidRPr="00525DDF">
        <w:t>In its submission, the Energy Consumers Coalition of South Australia (ECCSA) also observed that SA</w:t>
      </w:r>
      <w:r w:rsidR="00FA3FC1">
        <w:t xml:space="preserve"> </w:t>
      </w:r>
      <w:r w:rsidRPr="00525DDF">
        <w:t>P</w:t>
      </w:r>
      <w:r w:rsidR="00FA3FC1">
        <w:t>ower Networks</w:t>
      </w:r>
      <w:r w:rsidRPr="00525DDF">
        <w:t xml:space="preserve"> actual spending on environmental capex during the 2010–15 regulatory period was under 50 per cent of its allowance. The ECCSA considered that it is poor practice for SA</w:t>
      </w:r>
      <w:r w:rsidR="00FA3FC1">
        <w:t xml:space="preserve"> </w:t>
      </w:r>
      <w:r w:rsidRPr="00525DDF">
        <w:t>P</w:t>
      </w:r>
      <w:r w:rsidR="00FA3FC1">
        <w:t>ower Networks</w:t>
      </w:r>
      <w:r w:rsidRPr="00525DDF">
        <w:t xml:space="preserve"> to seek to reinstate a similar level of allowance for the 2015–20</w:t>
      </w:r>
      <w:r w:rsidR="00CE721F">
        <w:t xml:space="preserve"> period</w:t>
      </w:r>
      <w:r w:rsidRPr="00525DDF">
        <w:t xml:space="preserve"> when it had not done the work during 2010–15.</w:t>
      </w:r>
      <w:r w:rsidRPr="00525DDF">
        <w:rPr>
          <w:rStyle w:val="FootnoteReference"/>
        </w:rPr>
        <w:footnoteReference w:id="187"/>
      </w:r>
      <w:r w:rsidRPr="00525DDF">
        <w:t xml:space="preserve"> We took this comment into account in our review of the proposed environmental capex. </w:t>
      </w:r>
    </w:p>
    <w:p w:rsidR="00525DDF" w:rsidRPr="00525DDF" w:rsidRDefault="00525DDF" w:rsidP="00525DDF">
      <w:r w:rsidRPr="00525DDF">
        <w:t>SA Power Networks' forecast is comprised of four programs:</w:t>
      </w:r>
    </w:p>
    <w:p w:rsidR="00525DDF" w:rsidRPr="00525DDF" w:rsidRDefault="00525DDF" w:rsidP="00525DDF">
      <w:pPr>
        <w:pStyle w:val="AERbulletlistfirststyle"/>
      </w:pPr>
      <w:r w:rsidRPr="00525DDF">
        <w:t xml:space="preserve">$2.7 million for replacing aged oil-filled distribution equipment </w:t>
      </w:r>
    </w:p>
    <w:p w:rsidR="00525DDF" w:rsidRPr="00525DDF" w:rsidRDefault="00525DDF" w:rsidP="00525DDF">
      <w:pPr>
        <w:pStyle w:val="AERbulletlistfirststyle"/>
      </w:pPr>
      <w:r w:rsidRPr="00525DDF">
        <w:lastRenderedPageBreak/>
        <w:t xml:space="preserve">$7.6 million for installing oil containment systems on high risk equipment </w:t>
      </w:r>
    </w:p>
    <w:p w:rsidR="00525DDF" w:rsidRPr="00525DDF" w:rsidRDefault="00525DDF" w:rsidP="00525DDF">
      <w:pPr>
        <w:pStyle w:val="AERbulletlistfirststyle"/>
      </w:pPr>
      <w:r w:rsidRPr="00525DDF">
        <w:t>$0.9 million for rectifying transformers that exceed noise limits, and</w:t>
      </w:r>
    </w:p>
    <w:p w:rsidR="00525DDF" w:rsidRPr="00525DDF" w:rsidRDefault="00525DDF" w:rsidP="00525DDF">
      <w:pPr>
        <w:pStyle w:val="AERbulletlistfirststyle"/>
      </w:pPr>
      <w:r w:rsidRPr="00525DDF">
        <w:t xml:space="preserve">$3.7 million for remediating the Mannum Town substation to mitigate potential environmental contamination of the River Murray. </w:t>
      </w:r>
    </w:p>
    <w:p w:rsidR="00525DDF" w:rsidRPr="00525DDF" w:rsidRDefault="00525DDF" w:rsidP="00525DDF">
      <w:pPr>
        <w:rPr>
          <w:rStyle w:val="Strong"/>
        </w:rPr>
      </w:pPr>
      <w:r w:rsidRPr="00525DDF">
        <w:t>We accept that the $2.7 million ($2014–15) proposed for the Environmental Management Program and the $7.6 million (</w:t>
      </w:r>
      <w:r w:rsidRPr="00525DDF">
        <w:rPr>
          <w:rStyle w:val="AERbody"/>
        </w:rPr>
        <w:t>$2014–15</w:t>
      </w:r>
      <w:r w:rsidRPr="00525DDF">
        <w:t>) for the Substation Oil Containment Program will enable SA Power Networks to comply with the relevant environmental obligations.</w:t>
      </w:r>
      <w:r w:rsidRPr="00525DDF">
        <w:rPr>
          <w:rStyle w:val="FootnoteReference"/>
        </w:rPr>
        <w:footnoteReference w:id="188"/>
      </w:r>
      <w:r w:rsidRPr="00525DDF">
        <w:t xml:space="preserve"> Based on the information provided by SA Power Networks, we are satisfied that for each proposed project SA Power Networks assessed the risks of its assets becoming environmental contaminants</w:t>
      </w:r>
      <w:r w:rsidRPr="00525DDF">
        <w:rPr>
          <w:rStyle w:val="FootnoteReference"/>
        </w:rPr>
        <w:t xml:space="preserve"> </w:t>
      </w:r>
      <w:r w:rsidRPr="00525DDF">
        <w:t>and developed economic strategies to address these risks.</w:t>
      </w:r>
      <w:r w:rsidRPr="00525DDF">
        <w:rPr>
          <w:rStyle w:val="FootnoteReference"/>
        </w:rPr>
        <w:t xml:space="preserve"> </w:t>
      </w:r>
      <w:r w:rsidRPr="00525DDF">
        <w:rPr>
          <w:rStyle w:val="FootnoteReference"/>
        </w:rPr>
        <w:footnoteReference w:id="189"/>
      </w:r>
      <w:r w:rsidRPr="00525DDF">
        <w:t xml:space="preserve">  </w:t>
      </w:r>
    </w:p>
    <w:p w:rsidR="00525DDF" w:rsidRPr="00525DDF" w:rsidRDefault="00525DDF" w:rsidP="00525DDF">
      <w:r w:rsidRPr="00525DDF">
        <w:t>For the proposed Substation Noise Abatement Program, we accept that the $0.9 million (</w:t>
      </w:r>
      <w:r w:rsidRPr="00525DDF">
        <w:rPr>
          <w:rStyle w:val="AERbody"/>
        </w:rPr>
        <w:t>$2014–15</w:t>
      </w:r>
      <w:r w:rsidRPr="00525DDF">
        <w:t>) proposed will enable SA Power Networks to comply with the Environmental Protection (Noise) Policy 2007. This policy sets the transformer noise limits at substation boundaries.</w:t>
      </w:r>
      <w:r w:rsidRPr="00525DDF">
        <w:rPr>
          <w:rStyle w:val="FootnoteReference"/>
        </w:rPr>
        <w:footnoteReference w:id="190"/>
      </w:r>
      <w:r w:rsidRPr="00525DDF">
        <w:t xml:space="preserve"> SA Power Networks proposes to control noise at substations that receive complaints.</w:t>
      </w:r>
      <w:r w:rsidRPr="00525DDF">
        <w:rPr>
          <w:rStyle w:val="FootnoteReference"/>
        </w:rPr>
        <w:footnoteReference w:id="191"/>
      </w:r>
      <w:r w:rsidRPr="00525DDF">
        <w:rPr>
          <w:rStyle w:val="Strong"/>
        </w:rPr>
        <w:t xml:space="preserve"> </w:t>
      </w:r>
      <w:r w:rsidRPr="00525DDF">
        <w:t xml:space="preserve"> We reviewed SA Power Networks' Asset Management Plan for this project and consider that SA Power Networks provided sufficient information to show the proposed expenditure to be the most economically prudent approach.</w:t>
      </w:r>
    </w:p>
    <w:p w:rsidR="00525DDF" w:rsidRPr="00525DDF" w:rsidRDefault="00525DDF" w:rsidP="00525DDF">
      <w:pPr>
        <w:rPr>
          <w:rStyle w:val="Strong"/>
        </w:rPr>
      </w:pPr>
      <w:r w:rsidRPr="00525DDF">
        <w:t>Finally, we accept that the $3.7 million (</w:t>
      </w:r>
      <w:r w:rsidRPr="00525DDF">
        <w:rPr>
          <w:rStyle w:val="AERbody"/>
        </w:rPr>
        <w:t>$2014–15</w:t>
      </w:r>
      <w:r w:rsidRPr="00525DDF">
        <w:t>) proposed for the Mannum Town Substation Program will enable SA Power Networks to comply with the Environment Protection Act 1993. SA Power Networks submitted that the Mannum Town substation has two transformers which had a history of oil leaks of several years.</w:t>
      </w:r>
      <w:r w:rsidRPr="00525DDF">
        <w:rPr>
          <w:rStyle w:val="FootnoteReference"/>
        </w:rPr>
        <w:footnoteReference w:id="192"/>
      </w:r>
      <w:r w:rsidRPr="00525DDF">
        <w:t xml:space="preserve"> This has resulted in a high level of soil contamination, which SA Power Networks had to notify the Environment Protection Authority about.</w:t>
      </w:r>
      <w:r w:rsidRPr="00525DDF">
        <w:rPr>
          <w:rStyle w:val="FootnoteReference"/>
        </w:rPr>
        <w:footnoteReference w:id="193"/>
      </w:r>
      <w:r w:rsidRPr="00525DDF">
        <w:t xml:space="preserve"> SA Power Networks proposes to use the proposed expenditure to replace the Mannum Town Substation and remediate the property to avoid further contamination of the surrounding ground water.</w:t>
      </w:r>
      <w:r w:rsidRPr="00525DDF">
        <w:rPr>
          <w:rStyle w:val="FootnoteReference"/>
        </w:rPr>
        <w:footnoteReference w:id="194"/>
      </w:r>
      <w:r w:rsidRPr="00525DDF">
        <w:t xml:space="preserve"> </w:t>
      </w:r>
    </w:p>
    <w:p w:rsidR="00525DDF" w:rsidRPr="00525DDF" w:rsidRDefault="00525DDF" w:rsidP="00525DDF">
      <w:r w:rsidRPr="00525DDF">
        <w:lastRenderedPageBreak/>
        <w:t>We took into account SA Power Networks' Asset Management Plan for this program, which assessed the options available for addressing the current contamination. The options SA Power Networks took into account are:</w:t>
      </w:r>
      <w:r w:rsidRPr="00525DDF">
        <w:rPr>
          <w:rStyle w:val="FootnoteReference"/>
        </w:rPr>
        <w:footnoteReference w:id="195"/>
      </w:r>
    </w:p>
    <w:p w:rsidR="00525DDF" w:rsidRPr="00525DDF" w:rsidRDefault="00525DDF" w:rsidP="00525DDF">
      <w:pPr>
        <w:pStyle w:val="AERbulletlistfirststyle"/>
      </w:pPr>
      <w:r w:rsidRPr="00525DDF">
        <w:t xml:space="preserve">Option 1 – Do nothing </w:t>
      </w:r>
    </w:p>
    <w:p w:rsidR="00525DDF" w:rsidRPr="00525DDF" w:rsidRDefault="00525DDF" w:rsidP="00525DDF">
      <w:pPr>
        <w:pStyle w:val="AERbulletlistfirststyle"/>
      </w:pPr>
      <w:r w:rsidRPr="00525DDF">
        <w:t>Option 2 – Replace Mannum Town Substation to address environmental issues</w:t>
      </w:r>
    </w:p>
    <w:p w:rsidR="00525DDF" w:rsidRPr="00525DDF" w:rsidRDefault="00525DDF" w:rsidP="00525DDF">
      <w:pPr>
        <w:pStyle w:val="AERbulletlistfirststyle"/>
      </w:pPr>
      <w:r w:rsidRPr="00525DDF">
        <w:t xml:space="preserve">Option 3 – Transfer load to another site or demand management </w:t>
      </w:r>
    </w:p>
    <w:p w:rsidR="00525DDF" w:rsidRPr="00525DDF" w:rsidRDefault="00525DDF" w:rsidP="00525DDF">
      <w:pPr>
        <w:pStyle w:val="AERbulletlistfirststyle"/>
      </w:pPr>
      <w:r w:rsidRPr="00525DDF">
        <w:t xml:space="preserve">Option 4 – Disassemble and rebuild a like for like substation  </w:t>
      </w:r>
    </w:p>
    <w:p w:rsidR="00525DDF" w:rsidRPr="00525DDF" w:rsidRDefault="00525DDF" w:rsidP="00525DDF">
      <w:pPr>
        <w:rPr>
          <w:rStyle w:val="AERbody"/>
        </w:rPr>
      </w:pPr>
      <w:r w:rsidRPr="00525DDF">
        <w:t>SA Power Networks submits that it has chosen option 2 as the most economical option. SA Power Networks considered that option 3 is not economically competitive because the Mannum Town Substation is an isolated rural substation which does not have ties to adjacent substations. SA Power Networks also considered that option 4 is not feasible because rebuilding a "like for like" substation will not comply with today's standards. Further, rebuilding a "like for like" substation would mean a mobile substation will be required for an unacceptable length of time. This will leave parts of the SA Power Networks at risk for outage.</w:t>
      </w:r>
      <w:r w:rsidRPr="00525DDF">
        <w:rPr>
          <w:rStyle w:val="FootnoteReference"/>
        </w:rPr>
        <w:footnoteReference w:id="196"/>
      </w:r>
      <w:r w:rsidRPr="00525DDF">
        <w:rPr>
          <w:rStyle w:val="Strong"/>
        </w:rPr>
        <w:t xml:space="preserve"> </w:t>
      </w:r>
      <w:r w:rsidRPr="00525DDF">
        <w:t xml:space="preserve">We accept that SA Power Networks provided sufficient information to show the proposed expenditure is the most economically prudent approach. </w:t>
      </w:r>
    </w:p>
    <w:p w:rsidR="00525DDF" w:rsidRPr="00525DDF" w:rsidRDefault="00525DDF" w:rsidP="00525DDF">
      <w:pPr>
        <w:pStyle w:val="Heading9"/>
      </w:pPr>
      <w:bookmarkStart w:id="137" w:name="_Ref413247665"/>
      <w:bookmarkStart w:id="138" w:name="_Ref415576201"/>
      <w:bookmarkStart w:id="139" w:name="_Toc417725397"/>
      <w:r w:rsidRPr="00525DDF">
        <w:t xml:space="preserve">Other augex — </w:t>
      </w:r>
      <w:bookmarkEnd w:id="137"/>
      <w:r w:rsidRPr="00525DDF">
        <w:t>Power Line Environment Committee</w:t>
      </w:r>
      <w:bookmarkEnd w:id="138"/>
      <w:bookmarkEnd w:id="139"/>
    </w:p>
    <w:p w:rsidR="00525DDF" w:rsidRPr="00525DDF" w:rsidRDefault="00525DDF" w:rsidP="00525DDF">
      <w:r w:rsidRPr="00525DDF">
        <w:t>SA Power Networks proposes $44.3 million ($2014</w:t>
      </w:r>
      <w:r w:rsidR="00924A46">
        <w:t>–</w:t>
      </w:r>
      <w:r w:rsidRPr="00525DDF">
        <w:t xml:space="preserve">15, excluding overheads) expenditure to underground power lines as part of the Power Line Environment Committee (PLEC) program. This program, required under the Electricity Act (South Australia) 1996, aims to improve aesthetics of SA Power Networks' electricity infrastructure by undergrounding power lines in partnership with local councils and the Department of Transport. </w:t>
      </w:r>
    </w:p>
    <w:p w:rsidR="00525DDF" w:rsidRPr="00525DDF" w:rsidRDefault="00525DDF" w:rsidP="00525DDF">
      <w:r w:rsidRPr="00525DDF">
        <w:t>The projects that SA Power Networks are required to undertake under this program are prioritised according to the PLEC Charter, and are approved by the SA Energy Minister. PLEC projects are funded two-thirds by SA Power Networks, with the remainder being funded by local councils or the Department of Transport. In practice, SA Power Networks funds all of the required expenditure and collects the remainder as a customer contribution.</w:t>
      </w:r>
      <w:r w:rsidRPr="00525DDF">
        <w:rPr>
          <w:rStyle w:val="FootnoteReference"/>
        </w:rPr>
        <w:footnoteReference w:id="197"/>
      </w:r>
      <w:r w:rsidRPr="00525DDF">
        <w:rPr>
          <w:rStyle w:val="FootnoteReference"/>
        </w:rPr>
        <w:t xml:space="preserve"> </w:t>
      </w:r>
    </w:p>
    <w:p w:rsidR="00525DDF" w:rsidRPr="00525DDF" w:rsidRDefault="00525DDF" w:rsidP="00525DDF">
      <w:r w:rsidRPr="00525DDF">
        <w:t xml:space="preserve">In its submission, the Government of South Australia noted that the PLEC assists the Minister for Mineral Resources and Energy in assessing and recommending the </w:t>
      </w:r>
      <w:r w:rsidRPr="00525DDF">
        <w:lastRenderedPageBreak/>
        <w:t>underground</w:t>
      </w:r>
      <w:r w:rsidR="00C76FB7">
        <w:t>ing</w:t>
      </w:r>
      <w:r w:rsidRPr="00525DDF">
        <w:t xml:space="preserve"> of overhead power lines to be undertaken by SA Power Networks as required by the Electricity Act.</w:t>
      </w:r>
      <w:r w:rsidRPr="00525DDF">
        <w:rPr>
          <w:rStyle w:val="FootnoteReference"/>
        </w:rPr>
        <w:footnoteReference w:id="198"/>
      </w:r>
    </w:p>
    <w:p w:rsidR="00525DDF" w:rsidRPr="00525DDF" w:rsidRDefault="00525DDF" w:rsidP="00525DDF">
      <w:r w:rsidRPr="00525DDF">
        <w:t>We are satisfied that SA Power Networks has provided sufficient information to demonstrate that the proposed $44.3 million PLEC program will be aimed at complying with the applicable regulatory obligations. Therefore, the proposed expenditure for this program meets the NER requirements and we have included this proposed expenditure in our alternative capex estimate.</w:t>
      </w:r>
      <w:r w:rsidRPr="00525DDF">
        <w:rPr>
          <w:rStyle w:val="FootnoteReference"/>
        </w:rPr>
        <w:footnoteReference w:id="199"/>
      </w:r>
      <w:r w:rsidRPr="00525DDF">
        <w:br w:type="page"/>
      </w:r>
    </w:p>
    <w:p w:rsidR="00525DDF" w:rsidRPr="00525DDF" w:rsidRDefault="00EC4683" w:rsidP="00EC4683">
      <w:pPr>
        <w:pStyle w:val="Heading8"/>
      </w:pPr>
      <w:bookmarkStart w:id="140" w:name="_Ref416794635"/>
      <w:bookmarkStart w:id="141" w:name="_Toc417725398"/>
      <w:r>
        <w:lastRenderedPageBreak/>
        <w:t>AER findings and estimates for c</w:t>
      </w:r>
      <w:r w:rsidR="00525DDF" w:rsidRPr="00525DDF">
        <w:t>onnections</w:t>
      </w:r>
      <w:bookmarkEnd w:id="140"/>
      <w:r w:rsidR="00525DDF" w:rsidRPr="00525DDF">
        <w:t xml:space="preserve"> and contributions</w:t>
      </w:r>
      <w:bookmarkEnd w:id="141"/>
    </w:p>
    <w:p w:rsidR="00525DDF" w:rsidRPr="00525DDF" w:rsidRDefault="00525DDF" w:rsidP="00525DDF">
      <w:r w:rsidRPr="00525DDF">
        <w:t>Connections capex is incurred by SA Power Networks to connect new small customers to its network and augment the shared network in order to connect customers.</w:t>
      </w:r>
    </w:p>
    <w:p w:rsidR="00525DDF" w:rsidRPr="00525DDF" w:rsidRDefault="00525DDF" w:rsidP="00525DDF">
      <w:r w:rsidRPr="00525DDF">
        <w:t xml:space="preserve">Capital contributions are made up of the value of assets constructed by third parties </w:t>
      </w:r>
      <w:r w:rsidR="006C0C3E" w:rsidRPr="00525DDF">
        <w:t>who</w:t>
      </w:r>
      <w:r w:rsidRPr="00525DDF">
        <w:t xml:space="preserve"> are operated by SA Power Networks, and cash provided by customers to fund connection works which specifically benefit them. These contributions are subtracted from total gross capex and as such decrease the revenue that is recovered from all consumers.</w:t>
      </w:r>
    </w:p>
    <w:p w:rsidR="00525DDF" w:rsidRPr="00525DDF" w:rsidRDefault="00525DDF" w:rsidP="00525DDF">
      <w:pPr>
        <w:pStyle w:val="Heading9"/>
      </w:pPr>
      <w:bookmarkStart w:id="142" w:name="_Toc417725399"/>
      <w:r w:rsidRPr="00525DDF">
        <w:t>Position</w:t>
      </w:r>
      <w:bookmarkEnd w:id="142"/>
    </w:p>
    <w:p w:rsidR="00525DDF" w:rsidRPr="00525DDF" w:rsidRDefault="00525DDF" w:rsidP="00525DDF">
      <w:r w:rsidRPr="00525DDF">
        <w:t>We approve SA Power Networks' forecast of proposed forecast connections capex and capital contributions.</w:t>
      </w:r>
    </w:p>
    <w:p w:rsidR="00525DDF" w:rsidRPr="00525DDF" w:rsidRDefault="00525DDF" w:rsidP="00525DDF">
      <w:r w:rsidRPr="00525DDF">
        <w:t>SA Power proposed an allowance of $146.2 million</w:t>
      </w:r>
      <w:r w:rsidR="00924A46">
        <w:t xml:space="preserve"> </w:t>
      </w:r>
      <w:r w:rsidR="00924A46" w:rsidRPr="00525DDF">
        <w:t>(</w:t>
      </w:r>
      <w:r w:rsidR="00924A46" w:rsidRPr="00525DDF">
        <w:rPr>
          <w:rStyle w:val="AERbody"/>
        </w:rPr>
        <w:t>$2014</w:t>
      </w:r>
      <w:r w:rsidR="00924A46">
        <w:rPr>
          <w:rStyle w:val="AERbody"/>
        </w:rPr>
        <w:t>–</w:t>
      </w:r>
      <w:r w:rsidR="00924A46" w:rsidRPr="00525DDF">
        <w:rPr>
          <w:rStyle w:val="AERbody"/>
        </w:rPr>
        <w:t>15)</w:t>
      </w:r>
      <w:r w:rsidRPr="00525DDF">
        <w:t xml:space="preserve"> to fund forecast connection works for the 2015–20 </w:t>
      </w:r>
      <w:r w:rsidR="00DD1B78">
        <w:t xml:space="preserve">regulatory control </w:t>
      </w:r>
      <w:r w:rsidRPr="00525DDF">
        <w:t xml:space="preserve">period, net of customer contributions. </w:t>
      </w:r>
      <w:r w:rsidRPr="00525DDF">
        <w:fldChar w:fldCharType="begin"/>
      </w:r>
      <w:r w:rsidRPr="00525DDF">
        <w:instrText xml:space="preserve"> REF _Ref416795327 \h </w:instrText>
      </w:r>
      <w:r w:rsidRPr="00525DDF">
        <w:fldChar w:fldCharType="separate"/>
      </w:r>
      <w:r w:rsidR="00F02131" w:rsidRPr="00525DDF">
        <w:t xml:space="preserve">Table </w:t>
      </w:r>
      <w:r w:rsidR="00F02131">
        <w:rPr>
          <w:noProof/>
        </w:rPr>
        <w:t>B</w:t>
      </w:r>
      <w:r w:rsidR="00F02131" w:rsidRPr="00525DDF">
        <w:noBreakHyphen/>
      </w:r>
      <w:r w:rsidR="00F02131">
        <w:rPr>
          <w:noProof/>
        </w:rPr>
        <w:t>5</w:t>
      </w:r>
      <w:r w:rsidRPr="00525DDF">
        <w:fldChar w:fldCharType="end"/>
      </w:r>
      <w:r w:rsidRPr="00525DDF">
        <w:t xml:space="preserve"> presents SA Power's proposed allowance to fund connections expenditure.</w:t>
      </w:r>
    </w:p>
    <w:p w:rsidR="00525DDF" w:rsidRPr="00525DDF" w:rsidRDefault="00525DDF" w:rsidP="00525DDF">
      <w:pPr>
        <w:pStyle w:val="Caption"/>
      </w:pPr>
      <w:bookmarkStart w:id="143" w:name="_Ref416795327"/>
      <w:r w:rsidRPr="00525DDF">
        <w:t xml:space="preserve">Table </w:t>
      </w:r>
      <w:fldSimple w:instr=" STYLEREF 7 \s ">
        <w:r w:rsidR="00F02131">
          <w:rPr>
            <w:noProof/>
          </w:rPr>
          <w:t>B</w:t>
        </w:r>
      </w:fldSimple>
      <w:r w:rsidRPr="00525DDF">
        <w:noBreakHyphen/>
      </w:r>
      <w:fldSimple w:instr=" SEQ Table \* ARABIC \s 7 ">
        <w:r w:rsidR="00F02131">
          <w:rPr>
            <w:noProof/>
          </w:rPr>
          <w:t>5</w:t>
        </w:r>
      </w:fldSimple>
      <w:bookmarkEnd w:id="143"/>
      <w:r w:rsidRPr="00525DDF">
        <w:tab/>
        <w:t xml:space="preserve">SA Power </w:t>
      </w:r>
      <w:r w:rsidR="00C34A56">
        <w:t xml:space="preserve">Networks </w:t>
      </w:r>
      <w:r w:rsidRPr="00525DDF">
        <w:t>proposed connections capex ($2014/15, million</w:t>
      </w:r>
      <w:r w:rsidR="00120266">
        <w:t>, excluding overheads</w:t>
      </w:r>
      <w:r w:rsidRPr="00525DDF">
        <w:t>)</w:t>
      </w:r>
    </w:p>
    <w:tbl>
      <w:tblPr>
        <w:tblStyle w:val="AERtable-numbers"/>
        <w:tblW w:w="0" w:type="auto"/>
        <w:tblLook w:val="04A0" w:firstRow="1" w:lastRow="0" w:firstColumn="1" w:lastColumn="0" w:noHBand="0" w:noVBand="1"/>
      </w:tblPr>
      <w:tblGrid>
        <w:gridCol w:w="2831"/>
        <w:gridCol w:w="999"/>
        <w:gridCol w:w="1000"/>
        <w:gridCol w:w="1000"/>
        <w:gridCol w:w="1000"/>
        <w:gridCol w:w="1000"/>
        <w:gridCol w:w="863"/>
      </w:tblGrid>
      <w:tr w:rsidR="00525DDF" w:rsidTr="007F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25DDF" w:rsidRPr="00525DDF" w:rsidRDefault="00525DDF" w:rsidP="00525DDF">
            <w:r w:rsidRPr="00525DDF">
              <w:t>Category</w:t>
            </w:r>
          </w:p>
        </w:tc>
        <w:tc>
          <w:tcPr>
            <w:tcW w:w="999"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w:t>
            </w:r>
            <w:r w:rsidR="00C34A56">
              <w:t>015-</w:t>
            </w:r>
            <w:r w:rsidRPr="00525DDF">
              <w:t>16</w:t>
            </w:r>
          </w:p>
        </w:tc>
        <w:tc>
          <w:tcPr>
            <w:tcW w:w="1000" w:type="dxa"/>
          </w:tcPr>
          <w:p w:rsidR="00525DDF" w:rsidRPr="00525DDF" w:rsidRDefault="00C34A56" w:rsidP="00525DDF">
            <w:pPr>
              <w:cnfStyle w:val="100000000000" w:firstRow="1" w:lastRow="0" w:firstColumn="0" w:lastColumn="0" w:oddVBand="0" w:evenVBand="0" w:oddHBand="0" w:evenHBand="0" w:firstRowFirstColumn="0" w:firstRowLastColumn="0" w:lastRowFirstColumn="0" w:lastRowLastColumn="0"/>
            </w:pPr>
            <w:r>
              <w:t>2016-</w:t>
            </w:r>
            <w:r w:rsidR="00525DDF" w:rsidRPr="00525DDF">
              <w:t>17</w:t>
            </w:r>
          </w:p>
        </w:tc>
        <w:tc>
          <w:tcPr>
            <w:tcW w:w="1000" w:type="dxa"/>
          </w:tcPr>
          <w:p w:rsidR="00525DDF" w:rsidRPr="00525DDF" w:rsidRDefault="00C34A56" w:rsidP="00525DDF">
            <w:pPr>
              <w:cnfStyle w:val="100000000000" w:firstRow="1" w:lastRow="0" w:firstColumn="0" w:lastColumn="0" w:oddVBand="0" w:evenVBand="0" w:oddHBand="0" w:evenHBand="0" w:firstRowFirstColumn="0" w:firstRowLastColumn="0" w:lastRowFirstColumn="0" w:lastRowLastColumn="0"/>
            </w:pPr>
            <w:r>
              <w:t>2017-</w:t>
            </w:r>
            <w:r w:rsidR="00525DDF" w:rsidRPr="00525DDF">
              <w:t>18</w:t>
            </w:r>
          </w:p>
        </w:tc>
        <w:tc>
          <w:tcPr>
            <w:tcW w:w="1000" w:type="dxa"/>
          </w:tcPr>
          <w:p w:rsidR="00525DDF" w:rsidRPr="00525DDF" w:rsidRDefault="00C34A56" w:rsidP="00525DDF">
            <w:pPr>
              <w:cnfStyle w:val="100000000000" w:firstRow="1" w:lastRow="0" w:firstColumn="0" w:lastColumn="0" w:oddVBand="0" w:evenVBand="0" w:oddHBand="0" w:evenHBand="0" w:firstRowFirstColumn="0" w:firstRowLastColumn="0" w:lastRowFirstColumn="0" w:lastRowLastColumn="0"/>
            </w:pPr>
            <w:r>
              <w:t>2018-</w:t>
            </w:r>
            <w:r w:rsidR="00525DDF" w:rsidRPr="00525DDF">
              <w:t>19</w:t>
            </w:r>
          </w:p>
        </w:tc>
        <w:tc>
          <w:tcPr>
            <w:tcW w:w="1000" w:type="dxa"/>
          </w:tcPr>
          <w:p w:rsidR="00525DDF" w:rsidRPr="00525DDF" w:rsidRDefault="00C34A56" w:rsidP="00525DDF">
            <w:pPr>
              <w:cnfStyle w:val="100000000000" w:firstRow="1" w:lastRow="0" w:firstColumn="0" w:lastColumn="0" w:oddVBand="0" w:evenVBand="0" w:oddHBand="0" w:evenHBand="0" w:firstRowFirstColumn="0" w:firstRowLastColumn="0" w:lastRowFirstColumn="0" w:lastRowLastColumn="0"/>
            </w:pPr>
            <w:r>
              <w:t>2019-</w:t>
            </w:r>
            <w:r w:rsidR="00525DDF" w:rsidRPr="00525DDF">
              <w:t>20</w:t>
            </w:r>
          </w:p>
        </w:tc>
        <w:tc>
          <w:tcPr>
            <w:tcW w:w="863"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Total</w:t>
            </w:r>
          </w:p>
        </w:tc>
      </w:tr>
      <w:tr w:rsidR="00525DDF" w:rsidTr="007F21A7">
        <w:tc>
          <w:tcPr>
            <w:cnfStyle w:val="001000000000" w:firstRow="0" w:lastRow="0" w:firstColumn="1" w:lastColumn="0" w:oddVBand="0" w:evenVBand="0" w:oddHBand="0" w:evenHBand="0" w:firstRowFirstColumn="0" w:firstRowLastColumn="0" w:lastRowFirstColumn="0" w:lastRowLastColumn="0"/>
            <w:tcW w:w="2831" w:type="dxa"/>
          </w:tcPr>
          <w:p w:rsidR="00525DDF" w:rsidRPr="00525DDF" w:rsidRDefault="00525DDF" w:rsidP="00525DDF">
            <w:r w:rsidRPr="00525DDF">
              <w:t>Connections capex</w:t>
            </w:r>
          </w:p>
        </w:tc>
        <w:tc>
          <w:tcPr>
            <w:tcW w:w="999"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96.3</w:t>
            </w:r>
          </w:p>
        </w:tc>
        <w:tc>
          <w:tcPr>
            <w:tcW w:w="1000"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99.5</w:t>
            </w:r>
          </w:p>
        </w:tc>
        <w:tc>
          <w:tcPr>
            <w:tcW w:w="1000"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101.8</w:t>
            </w:r>
          </w:p>
        </w:tc>
        <w:tc>
          <w:tcPr>
            <w:tcW w:w="1000"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108.0</w:t>
            </w:r>
          </w:p>
        </w:tc>
        <w:tc>
          <w:tcPr>
            <w:tcW w:w="1000"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114.6</w:t>
            </w:r>
          </w:p>
        </w:tc>
        <w:tc>
          <w:tcPr>
            <w:tcW w:w="863"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520.2</w:t>
            </w:r>
          </w:p>
        </w:tc>
      </w:tr>
      <w:tr w:rsidR="00525DDF" w:rsidTr="007F2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525DDF" w:rsidRPr="00525DDF" w:rsidRDefault="00525DDF" w:rsidP="00525DDF">
            <w:r w:rsidRPr="00525DDF">
              <w:t>Customer contributions</w:t>
            </w:r>
          </w:p>
        </w:tc>
        <w:tc>
          <w:tcPr>
            <w:tcW w:w="999"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71.1</w:t>
            </w:r>
          </w:p>
        </w:tc>
        <w:tc>
          <w:tcPr>
            <w:tcW w:w="1000"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71.2</w:t>
            </w:r>
          </w:p>
        </w:tc>
        <w:tc>
          <w:tcPr>
            <w:tcW w:w="1000"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72.7</w:t>
            </w:r>
          </w:p>
        </w:tc>
        <w:tc>
          <w:tcPr>
            <w:tcW w:w="1000"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77.1</w:t>
            </w:r>
          </w:p>
        </w:tc>
        <w:tc>
          <w:tcPr>
            <w:tcW w:w="1000"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81.9</w:t>
            </w:r>
          </w:p>
        </w:tc>
        <w:tc>
          <w:tcPr>
            <w:tcW w:w="863" w:type="dxa"/>
          </w:tcPr>
          <w:p w:rsidR="00525DDF" w:rsidRPr="00525DDF" w:rsidRDefault="00525DDF" w:rsidP="00525DDF">
            <w:pPr>
              <w:cnfStyle w:val="000000010000" w:firstRow="0" w:lastRow="0" w:firstColumn="0" w:lastColumn="0" w:oddVBand="0" w:evenVBand="0" w:oddHBand="0" w:evenHBand="1" w:firstRowFirstColumn="0" w:firstRowLastColumn="0" w:lastRowFirstColumn="0" w:lastRowLastColumn="0"/>
            </w:pPr>
            <w:r w:rsidRPr="00525DDF">
              <w:t>373.9</w:t>
            </w:r>
          </w:p>
        </w:tc>
      </w:tr>
      <w:tr w:rsidR="00525DDF" w:rsidTr="007F21A7">
        <w:tc>
          <w:tcPr>
            <w:cnfStyle w:val="001000000000" w:firstRow="0" w:lastRow="0" w:firstColumn="1" w:lastColumn="0" w:oddVBand="0" w:evenVBand="0" w:oddHBand="0" w:evenHBand="0" w:firstRowFirstColumn="0" w:firstRowLastColumn="0" w:lastRowFirstColumn="0" w:lastRowLastColumn="0"/>
            <w:tcW w:w="2831" w:type="dxa"/>
          </w:tcPr>
          <w:p w:rsidR="00525DDF" w:rsidRPr="00525DDF" w:rsidRDefault="00525DDF" w:rsidP="00525DDF">
            <w:r w:rsidRPr="00525DDF">
              <w:t>Net connections capex</w:t>
            </w:r>
          </w:p>
        </w:tc>
        <w:tc>
          <w:tcPr>
            <w:tcW w:w="999"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25.2</w:t>
            </w:r>
          </w:p>
        </w:tc>
        <w:tc>
          <w:tcPr>
            <w:tcW w:w="1000"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28.3</w:t>
            </w:r>
          </w:p>
        </w:tc>
        <w:tc>
          <w:tcPr>
            <w:tcW w:w="1000"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29.1</w:t>
            </w:r>
          </w:p>
        </w:tc>
        <w:tc>
          <w:tcPr>
            <w:tcW w:w="1000"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30.9</w:t>
            </w:r>
          </w:p>
        </w:tc>
        <w:tc>
          <w:tcPr>
            <w:tcW w:w="1000" w:type="dxa"/>
            <w:vAlign w:val="top"/>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32.7</w:t>
            </w:r>
          </w:p>
        </w:tc>
        <w:tc>
          <w:tcPr>
            <w:tcW w:w="863"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146.2</w:t>
            </w:r>
          </w:p>
        </w:tc>
      </w:tr>
    </w:tbl>
    <w:p w:rsidR="00525DDF" w:rsidRPr="00525DDF" w:rsidRDefault="00525DDF" w:rsidP="00525DDF">
      <w:pPr>
        <w:pStyle w:val="AERtablesource"/>
      </w:pPr>
      <w:r w:rsidRPr="00525DDF">
        <w:t xml:space="preserve">Source: SA Power, Regulatory proposal, p. 230. </w:t>
      </w:r>
    </w:p>
    <w:p w:rsidR="00525DDF" w:rsidRPr="00525DDF" w:rsidRDefault="00525DDF" w:rsidP="00525DDF">
      <w:r w:rsidRPr="00525DDF">
        <w:t xml:space="preserve">SA Power Networks developed its forecast for connections capex based upon forecast population growth, building approvals and building activity. As shown in </w:t>
      </w:r>
      <w:r w:rsidRPr="00525DDF">
        <w:fldChar w:fldCharType="begin"/>
      </w:r>
      <w:r w:rsidRPr="00525DDF">
        <w:instrText xml:space="preserve"> REF _Ref416795249 \h </w:instrText>
      </w:r>
      <w:r w:rsidRPr="00525DDF">
        <w:fldChar w:fldCharType="separate"/>
      </w:r>
      <w:r w:rsidR="00DD1B78">
        <w:t>f</w:t>
      </w:r>
      <w:r w:rsidR="00F02131">
        <w:t xml:space="preserve">igure </w:t>
      </w:r>
      <w:r w:rsidR="00F02131">
        <w:rPr>
          <w:noProof/>
        </w:rPr>
        <w:t>B</w:t>
      </w:r>
      <w:r w:rsidR="00F02131">
        <w:noBreakHyphen/>
      </w:r>
      <w:r w:rsidR="00F02131">
        <w:rPr>
          <w:noProof/>
        </w:rPr>
        <w:t>8</w:t>
      </w:r>
      <w:r w:rsidRPr="00525DDF">
        <w:fldChar w:fldCharType="end"/>
      </w:r>
      <w:r w:rsidRPr="00525DDF">
        <w:t>, SA Power Networks connections forecast is greater from the actual connections capex it incurred in the 2010</w:t>
      </w:r>
      <w:r w:rsidR="00924A46">
        <w:t>–</w:t>
      </w:r>
      <w:r w:rsidRPr="00525DDF">
        <w:t>15 per</w:t>
      </w:r>
      <w:r w:rsidR="00924A46">
        <w:t>iod and increases over the 2015–</w:t>
      </w:r>
      <w:r w:rsidRPr="00525DDF">
        <w:t xml:space="preserve">20 </w:t>
      </w:r>
      <w:r w:rsidR="00DD1B78">
        <w:t xml:space="preserve">regulatory control </w:t>
      </w:r>
      <w:proofErr w:type="gramStart"/>
      <w:r w:rsidRPr="00525DDF">
        <w:t>period</w:t>
      </w:r>
      <w:proofErr w:type="gramEnd"/>
      <w:r w:rsidRPr="00525DDF">
        <w:t>.</w:t>
      </w:r>
    </w:p>
    <w:p w:rsidR="00525DDF" w:rsidRPr="00C34A56" w:rsidRDefault="00EB78CC" w:rsidP="00EB78CC">
      <w:pPr>
        <w:pStyle w:val="Caption"/>
      </w:pPr>
      <w:r>
        <w:lastRenderedPageBreak/>
        <w:t xml:space="preserve">Figure </w:t>
      </w:r>
      <w:fldSimple w:instr=" STYLEREF 7 \s ">
        <w:r w:rsidR="00F02131">
          <w:rPr>
            <w:noProof/>
          </w:rPr>
          <w:t>B</w:t>
        </w:r>
      </w:fldSimple>
      <w:r>
        <w:noBreakHyphen/>
      </w:r>
      <w:fldSimple w:instr=" SEQ AFigure \* ARABIC \s 7 ">
        <w:r w:rsidR="00F02131">
          <w:rPr>
            <w:noProof/>
          </w:rPr>
          <w:t>7</w:t>
        </w:r>
      </w:fldSimple>
      <w:r w:rsidR="00525DDF" w:rsidRPr="00525DDF">
        <w:tab/>
      </w:r>
      <w:r w:rsidR="00525DDF" w:rsidRPr="00525DDF">
        <w:tab/>
      </w:r>
      <w:r w:rsidR="00525DDF" w:rsidRPr="00C34A56">
        <w:t xml:space="preserve">Connections capex </w:t>
      </w:r>
      <w:r w:rsidR="00525DDF" w:rsidRPr="00C34A56">
        <w:rPr>
          <w:rStyle w:val="AERtextorange"/>
          <w:color w:val="076A92" w:themeColor="text1"/>
        </w:rPr>
        <w:t>historic actual and proposed for 2010–2020 period ($2014–15, million, including overheads)</w:t>
      </w:r>
    </w:p>
    <w:p w:rsidR="00525DDF" w:rsidRPr="00525DDF" w:rsidRDefault="00924A46" w:rsidP="00525DDF">
      <w:r>
        <w:rPr>
          <w:noProof/>
          <w:lang w:eastAsia="en-AU"/>
        </w:rPr>
        <w:drawing>
          <wp:inline distT="0" distB="0" distL="0" distR="0" wp14:anchorId="12130226" wp14:editId="7E463515">
            <wp:extent cx="5430854" cy="35329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9346" cy="3544938"/>
                    </a:xfrm>
                    <a:prstGeom prst="rect">
                      <a:avLst/>
                    </a:prstGeom>
                    <a:noFill/>
                  </pic:spPr>
                </pic:pic>
              </a:graphicData>
            </a:graphic>
          </wp:inline>
        </w:drawing>
      </w:r>
    </w:p>
    <w:p w:rsidR="00525DDF" w:rsidRPr="00525DDF" w:rsidRDefault="00525DDF" w:rsidP="00525DDF">
      <w:pPr>
        <w:pStyle w:val="AERtablesource"/>
      </w:pPr>
      <w:r w:rsidRPr="00525DDF">
        <w:t xml:space="preserve">Source: </w:t>
      </w:r>
      <w:r w:rsidRPr="00525DDF">
        <w:tab/>
      </w:r>
      <w:r w:rsidR="001558AC">
        <w:t>SA Power Networks</w:t>
      </w:r>
      <w:r w:rsidRPr="00525DDF">
        <w:t xml:space="preserve"> regulatory proposal</w:t>
      </w:r>
    </w:p>
    <w:p w:rsidR="00525DDF" w:rsidRPr="00525DDF" w:rsidRDefault="00525DDF" w:rsidP="00525DDF">
      <w:r w:rsidRPr="00525DDF">
        <w:t>The Australian PV institute submits that it is hard to see how customer connections could be justified by increased projections in demand when a downturn in the South Australian economy is expected following progressive closure of the car industry.</w:t>
      </w:r>
      <w:r w:rsidRPr="00525DDF">
        <w:rPr>
          <w:rStyle w:val="FootnoteReference"/>
        </w:rPr>
        <w:footnoteReference w:id="200"/>
      </w:r>
      <w:r w:rsidRPr="00525DDF">
        <w:t xml:space="preserve"> In its submission, SA Power Networks considers that it is misleading to link connections expenditure with overall flat demand forecasts.</w:t>
      </w:r>
      <w:r w:rsidRPr="00525DDF">
        <w:rPr>
          <w:rStyle w:val="FootnoteReference"/>
        </w:rPr>
        <w:footnoteReference w:id="201"/>
      </w:r>
    </w:p>
    <w:p w:rsidR="00525DDF" w:rsidRPr="00525DDF" w:rsidRDefault="00525DDF" w:rsidP="00525DDF">
      <w:r w:rsidRPr="00525DDF">
        <w:t>The Energy Consumers Coalition of South Australia (ECCSA) notes that SA Power Networks has increased its proposed connections allowance, net of capital contributions, since the 2010–15 period. The ECCSA considers that the net allowance should reflect the historic costs of connections rather than some inflated estimate.</w:t>
      </w:r>
      <w:r w:rsidRPr="00525DDF">
        <w:rPr>
          <w:rStyle w:val="FootnoteReference"/>
        </w:rPr>
        <w:footnoteReference w:id="202"/>
      </w:r>
      <w:r w:rsidRPr="00525DDF">
        <w:t xml:space="preserve"> </w:t>
      </w:r>
    </w:p>
    <w:p w:rsidR="00525DDF" w:rsidRPr="00525DDF" w:rsidRDefault="00525DDF" w:rsidP="00525DDF">
      <w:r w:rsidRPr="00525DDF">
        <w:t xml:space="preserve">We consider that forecast dwelling growth and construction expenditure are reasonable proxies for forecast growth in connections services for residential and commercial customers. We consider that the trend of SA Power Networks' forecast of connections expenditure and capital contributions is </w:t>
      </w:r>
      <w:proofErr w:type="gramStart"/>
      <w:r w:rsidRPr="00525DDF">
        <w:t>not inconsistent</w:t>
      </w:r>
      <w:proofErr w:type="gramEnd"/>
      <w:r w:rsidRPr="00525DDF">
        <w:t xml:space="preserve"> with the trends in </w:t>
      </w:r>
      <w:r w:rsidRPr="00525DDF">
        <w:lastRenderedPageBreak/>
        <w:t xml:space="preserve">forecast construction activity in South Australia as </w:t>
      </w:r>
      <w:r w:rsidRPr="00525DDF">
        <w:fldChar w:fldCharType="begin"/>
      </w:r>
      <w:r w:rsidRPr="00525DDF">
        <w:instrText xml:space="preserve"> REF _Ref416795250 \h </w:instrText>
      </w:r>
      <w:r w:rsidRPr="00525DDF">
        <w:fldChar w:fldCharType="separate"/>
      </w:r>
      <w:r w:rsidR="00DD1B78">
        <w:t>f</w:t>
      </w:r>
      <w:r w:rsidR="00F02131">
        <w:t xml:space="preserve">igure </w:t>
      </w:r>
      <w:r w:rsidR="00F02131">
        <w:rPr>
          <w:noProof/>
        </w:rPr>
        <w:t>B</w:t>
      </w:r>
      <w:r w:rsidR="00F02131">
        <w:noBreakHyphen/>
      </w:r>
      <w:r w:rsidR="00F02131">
        <w:rPr>
          <w:noProof/>
        </w:rPr>
        <w:t>9</w:t>
      </w:r>
      <w:r w:rsidRPr="00525DDF">
        <w:fldChar w:fldCharType="end"/>
      </w:r>
      <w:r w:rsidRPr="00525DDF">
        <w:t>. On the basis of these comparisons, we accept SA Power networks' proposed forecast for connections expenditure and customer contributions.</w:t>
      </w:r>
    </w:p>
    <w:p w:rsidR="00525DDF" w:rsidRPr="00525DDF" w:rsidRDefault="00EB78CC" w:rsidP="00EB78CC">
      <w:pPr>
        <w:pStyle w:val="Caption"/>
      </w:pPr>
      <w:bookmarkStart w:id="144" w:name="_Ref416795249"/>
      <w:r>
        <w:t xml:space="preserve">Figure </w:t>
      </w:r>
      <w:fldSimple w:instr=" STYLEREF 7 \s ">
        <w:r w:rsidR="00F02131">
          <w:rPr>
            <w:noProof/>
          </w:rPr>
          <w:t>B</w:t>
        </w:r>
      </w:fldSimple>
      <w:r>
        <w:noBreakHyphen/>
      </w:r>
      <w:fldSimple w:instr=" SEQ AFigure \* ARABIC \s 7 ">
        <w:r w:rsidR="00F02131">
          <w:rPr>
            <w:noProof/>
          </w:rPr>
          <w:t>8</w:t>
        </w:r>
      </w:fldSimple>
      <w:bookmarkEnd w:id="144"/>
      <w:r w:rsidR="00525DDF" w:rsidRPr="00525DDF">
        <w:tab/>
      </w:r>
      <w:r w:rsidR="00525DDF" w:rsidRPr="00525DDF">
        <w:tab/>
        <w:t>Connection capex and non-residential construction activity</w:t>
      </w:r>
    </w:p>
    <w:p w:rsidR="00525DDF" w:rsidRPr="00525DDF" w:rsidRDefault="00924A46" w:rsidP="00525DDF">
      <w:r>
        <w:rPr>
          <w:noProof/>
          <w:lang w:eastAsia="en-AU"/>
        </w:rPr>
        <w:drawing>
          <wp:inline distT="0" distB="0" distL="0" distR="0" wp14:anchorId="666F5931" wp14:editId="58BDA2A9">
            <wp:extent cx="5409018" cy="3765666"/>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5780" cy="3763412"/>
                    </a:xfrm>
                    <a:prstGeom prst="rect">
                      <a:avLst/>
                    </a:prstGeom>
                    <a:noFill/>
                  </pic:spPr>
                </pic:pic>
              </a:graphicData>
            </a:graphic>
          </wp:inline>
        </w:drawing>
      </w:r>
    </w:p>
    <w:p w:rsidR="00525DDF" w:rsidRPr="00525DDF" w:rsidRDefault="00525DDF" w:rsidP="00525DDF">
      <w:pPr>
        <w:pStyle w:val="AERtablesource"/>
      </w:pPr>
      <w:r w:rsidRPr="00525DDF">
        <w:t>Source: BIS Shrapnel, SA Power Networks.</w:t>
      </w:r>
    </w:p>
    <w:p w:rsidR="00525DDF" w:rsidRPr="00525DDF" w:rsidRDefault="00EB78CC" w:rsidP="00EB78CC">
      <w:pPr>
        <w:pStyle w:val="Caption"/>
      </w:pPr>
      <w:bookmarkStart w:id="145" w:name="_Ref416795250"/>
      <w:r>
        <w:lastRenderedPageBreak/>
        <w:t xml:space="preserve">Figure </w:t>
      </w:r>
      <w:fldSimple w:instr=" STYLEREF 7 \s ">
        <w:r w:rsidR="00F02131">
          <w:rPr>
            <w:noProof/>
          </w:rPr>
          <w:t>B</w:t>
        </w:r>
      </w:fldSimple>
      <w:r>
        <w:noBreakHyphen/>
      </w:r>
      <w:fldSimple w:instr=" SEQ AFigure \* ARABIC \s 7 ">
        <w:r w:rsidR="00F02131">
          <w:rPr>
            <w:noProof/>
          </w:rPr>
          <w:t>9</w:t>
        </w:r>
      </w:fldSimple>
      <w:bookmarkEnd w:id="145"/>
      <w:r w:rsidR="00525DDF" w:rsidRPr="00525DDF">
        <w:tab/>
      </w:r>
      <w:r w:rsidR="00525DDF" w:rsidRPr="00525DDF">
        <w:tab/>
        <w:t>Connections capex and residential construction activity</w:t>
      </w:r>
    </w:p>
    <w:p w:rsidR="00525DDF" w:rsidRPr="00525DDF" w:rsidRDefault="00924A46" w:rsidP="00525DDF">
      <w:r>
        <w:rPr>
          <w:noProof/>
          <w:lang w:eastAsia="en-AU"/>
        </w:rPr>
        <w:drawing>
          <wp:inline distT="0" distB="0" distL="0" distR="0" wp14:anchorId="7E1622E1" wp14:editId="32450AC0">
            <wp:extent cx="5419898" cy="369085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910" cy="3699030"/>
                    </a:xfrm>
                    <a:prstGeom prst="rect">
                      <a:avLst/>
                    </a:prstGeom>
                    <a:noFill/>
                  </pic:spPr>
                </pic:pic>
              </a:graphicData>
            </a:graphic>
          </wp:inline>
        </w:drawing>
      </w:r>
    </w:p>
    <w:p w:rsidR="00525DDF" w:rsidRPr="00525DDF" w:rsidRDefault="00525DDF" w:rsidP="00525DDF">
      <w:pPr>
        <w:pStyle w:val="AERtablesource"/>
      </w:pPr>
      <w:r w:rsidRPr="00525DDF">
        <w:t xml:space="preserve">Source: </w:t>
      </w:r>
      <w:r w:rsidR="006A75FD">
        <w:tab/>
      </w:r>
      <w:r w:rsidRPr="00525DDF">
        <w:t>Housing Industry Association, SA Power Networks.</w:t>
      </w:r>
    </w:p>
    <w:p w:rsidR="00537EAD" w:rsidRPr="00537EAD" w:rsidRDefault="00624A53" w:rsidP="00537EAD">
      <w:pPr>
        <w:pStyle w:val="Heading8"/>
      </w:pPr>
      <w:r>
        <w:t xml:space="preserve"> </w:t>
      </w:r>
      <w:bookmarkStart w:id="146" w:name="_Toc417725400"/>
      <w:r w:rsidR="006F2BE3">
        <w:t>AER findings and estimates for replacement expenditure</w:t>
      </w:r>
      <w:bookmarkEnd w:id="146"/>
    </w:p>
    <w:p w:rsidR="00537EAD" w:rsidRPr="00537EAD" w:rsidRDefault="00537EAD" w:rsidP="00537EAD">
      <w:r w:rsidRPr="00537EAD">
        <w:t xml:space="preserve">Repex is driven by a </w:t>
      </w:r>
      <w:r w:rsidR="00F456A9">
        <w:t>distributor</w:t>
      </w:r>
      <w:r w:rsidRPr="00537EAD">
        <w:t xml:space="preserve">'s need to replace its assets. In the long run, a </w:t>
      </w:r>
      <w:r w:rsidR="00F456A9">
        <w:t>distributor</w:t>
      </w:r>
      <w:r w:rsidRPr="00537EAD">
        <w:t>'s assets will no longer meet the requirements of the network and need to be replaced, refurbished or removed.</w:t>
      </w:r>
      <w:r w:rsidRPr="00537EAD">
        <w:rPr>
          <w:rStyle w:val="FootnoteReference"/>
        </w:rPr>
        <w:footnoteReference w:id="203"/>
      </w:r>
      <w:r w:rsidRPr="00537EAD">
        <w:t xml:space="preserve"> Replacement may occur when an asset fails, or a condition assessment may find it is likely to fail soon and replacement is the most economic option. It may also occur because jurisdictional safety regulations mean it can no longer be safely operated on the network, or because the risk of using the asset exceeds the benefit of continuing to operate it on the network.</w:t>
      </w:r>
    </w:p>
    <w:p w:rsidR="00537EAD" w:rsidRPr="00537EAD" w:rsidRDefault="00537EAD" w:rsidP="00537EAD">
      <w:r w:rsidRPr="00537EAD">
        <w:t xml:space="preserve">In general, the majority of network assets will remain in efficient use for far longer than a single five year regulatory period. As a consequence, a distributor will only need to replace a portion of its network assets in each regulatory control period. The majority of its assets will remain in commission beyond the end of the regulatory control period, and be replaced in subsequent regulatory periods. </w:t>
      </w:r>
    </w:p>
    <w:p w:rsidR="00537EAD" w:rsidRPr="00537EAD" w:rsidRDefault="00537EAD" w:rsidP="00537EAD">
      <w:pPr>
        <w:rPr>
          <w:rStyle w:val="AERbody"/>
        </w:rPr>
      </w:pPr>
      <w:r w:rsidRPr="00537EAD">
        <w:rPr>
          <w:rStyle w:val="AERbody"/>
        </w:rPr>
        <w:lastRenderedPageBreak/>
        <w:t xml:space="preserve">Our assessment of repex seeks to establish the portion of SA Power Networks' assets that will likely require replacement over the 2015–20 period and the associated expenditure. </w:t>
      </w:r>
    </w:p>
    <w:p w:rsidR="00537EAD" w:rsidRPr="00537EAD" w:rsidRDefault="00537EAD" w:rsidP="00537EAD">
      <w:pPr>
        <w:pStyle w:val="Heading9"/>
      </w:pPr>
      <w:bookmarkStart w:id="147" w:name="_Toc417725401"/>
      <w:r w:rsidRPr="00537EAD">
        <w:t>Position</w:t>
      </w:r>
      <w:bookmarkEnd w:id="147"/>
    </w:p>
    <w:p w:rsidR="00537EAD" w:rsidRPr="00537EAD" w:rsidRDefault="00537EAD" w:rsidP="00537EAD">
      <w:r w:rsidRPr="00537EAD">
        <w:t>We do not accept SA Power Networks' proposed repex of $772 million</w:t>
      </w:r>
      <w:r w:rsidRPr="00537EAD">
        <w:rPr>
          <w:rStyle w:val="FootnoteReference"/>
        </w:rPr>
        <w:footnoteReference w:id="204"/>
      </w:r>
      <w:r w:rsidRPr="00537EAD">
        <w:t xml:space="preserve"> ($2014–15). We have instead included in our alternative estimate of overall total capex, an amount of $609 million ($2014–15) for repex, excluding overheads, 21 per cent lower than SA Power Networks' proposal. We are satisfied that this amount reasonably reflects the capex criteria. This amount is higher than what SA Power Networks spent on repex in the current regulatory control period.</w:t>
      </w:r>
    </w:p>
    <w:p w:rsidR="00537EAD" w:rsidRPr="00537EAD" w:rsidRDefault="00537EAD" w:rsidP="00537EAD">
      <w:pPr>
        <w:pStyle w:val="Heading9"/>
      </w:pPr>
      <w:bookmarkStart w:id="148" w:name="_Toc417725402"/>
      <w:r w:rsidRPr="00537EAD">
        <w:t>SA Power Networks' proposal</w:t>
      </w:r>
      <w:bookmarkEnd w:id="148"/>
    </w:p>
    <w:p w:rsidR="00537EAD" w:rsidRPr="00537EAD" w:rsidRDefault="00537EAD" w:rsidP="00537EAD">
      <w:r w:rsidRPr="00537EAD">
        <w:t>SA Power Networks' initial proposal for repex is $772 million (excluding overheads). SA Power Networks submitted that this expenditure is required to maintain an acceptable level of distribution safety and reliability by addressing identified defects in, and degradation of, its aging network assets.</w:t>
      </w:r>
      <w:r w:rsidRPr="00537EAD">
        <w:rPr>
          <w:rStyle w:val="FootnoteReference"/>
        </w:rPr>
        <w:footnoteReference w:id="205"/>
      </w:r>
      <w:r w:rsidRPr="00537EAD">
        <w:t xml:space="preserve"> </w:t>
      </w:r>
    </w:p>
    <w:p w:rsidR="00537EAD" w:rsidRPr="00537EAD" w:rsidRDefault="00537EAD" w:rsidP="00537EAD">
      <w:r w:rsidRPr="00537EAD">
        <w:t>This expenditure covers replacement programs in the following areas: power lines; substations in the network; telecommunications components of the network; and safety related programs. SA Power Networks submitted that these repex programs were required for, respectively, the following reasons:</w:t>
      </w:r>
    </w:p>
    <w:p w:rsidR="00537EAD" w:rsidRPr="00537EAD" w:rsidRDefault="00537EAD" w:rsidP="00537EAD">
      <w:pPr>
        <w:pStyle w:val="AERbulletlistfirststyle"/>
      </w:pPr>
      <w:r w:rsidRPr="00537EAD">
        <w:t>A more detailed and frequent power line asset inspection program has collected more asset condition data than was previously available and has resulted in the identification of a large volume of pole defects requiring rectification.</w:t>
      </w:r>
      <w:r w:rsidRPr="00537EAD">
        <w:rPr>
          <w:rStyle w:val="FootnoteReference"/>
        </w:rPr>
        <w:footnoteReference w:id="206"/>
      </w:r>
    </w:p>
    <w:p w:rsidR="00537EAD" w:rsidRPr="00537EAD" w:rsidRDefault="00537EAD" w:rsidP="00537EAD">
      <w:pPr>
        <w:pStyle w:val="AERbulletlistfirststyle"/>
      </w:pPr>
      <w:r w:rsidRPr="00537EAD">
        <w:t>Substation power transformers in SA Power Networks' network have aged and deteriorated and, as such, they have become more prone to failure.</w:t>
      </w:r>
      <w:r w:rsidRPr="00537EAD">
        <w:rPr>
          <w:rStyle w:val="FootnoteReference"/>
        </w:rPr>
        <w:footnoteReference w:id="207"/>
      </w:r>
    </w:p>
    <w:p w:rsidR="00537EAD" w:rsidRPr="00537EAD" w:rsidRDefault="00537EAD" w:rsidP="00537EAD">
      <w:pPr>
        <w:pStyle w:val="AERbulletlistfirststyle"/>
      </w:pPr>
      <w:r w:rsidRPr="00537EAD">
        <w:t>The telecommunications components repex programs are the continuation of long term programs necessary for SA Power Networks to maintain an acceptable level of safety and reliability by addressing degradation of its aging assets.</w:t>
      </w:r>
      <w:r w:rsidRPr="00537EAD">
        <w:rPr>
          <w:rStyle w:val="FootnoteReference"/>
        </w:rPr>
        <w:t xml:space="preserve"> </w:t>
      </w:r>
      <w:r w:rsidRPr="00537EAD">
        <w:rPr>
          <w:rStyle w:val="FootnoteReference"/>
        </w:rPr>
        <w:footnoteReference w:id="208"/>
      </w:r>
    </w:p>
    <w:p w:rsidR="00537EAD" w:rsidRDefault="00537EAD" w:rsidP="00537EAD">
      <w:pPr>
        <w:pStyle w:val="AERbulletlistfirststyle"/>
      </w:pPr>
      <w:r w:rsidRPr="00537EAD">
        <w:t>Additional safety-related expenditure is required to comply with applicable regulatory obligations or requirements.</w:t>
      </w:r>
      <w:r w:rsidRPr="00537EAD">
        <w:rPr>
          <w:rStyle w:val="FootnoteReference"/>
        </w:rPr>
        <w:footnoteReference w:id="209"/>
      </w:r>
    </w:p>
    <w:p w:rsidR="00E36937" w:rsidRPr="00537EAD" w:rsidRDefault="00E36937" w:rsidP="00E36937"/>
    <w:p w:rsidR="00537EAD" w:rsidRPr="00537EAD" w:rsidRDefault="00537EAD" w:rsidP="00537EAD">
      <w:pPr>
        <w:pStyle w:val="Heading9"/>
      </w:pPr>
      <w:bookmarkStart w:id="149" w:name="_Toc417725403"/>
      <w:r w:rsidRPr="00537EAD">
        <w:lastRenderedPageBreak/>
        <w:t>AER approach</w:t>
      </w:r>
      <w:bookmarkEnd w:id="149"/>
    </w:p>
    <w:p w:rsidR="00537EAD" w:rsidRPr="00537EAD" w:rsidRDefault="00537EAD" w:rsidP="00537EAD">
      <w:r w:rsidRPr="00537EAD">
        <w:t>We have applied several assessment techniques to assess SA Power Networks' forecast of repex against the capex criteria. These techniques are:</w:t>
      </w:r>
    </w:p>
    <w:p w:rsidR="00537EAD" w:rsidRPr="00537EAD" w:rsidRDefault="00537EAD" w:rsidP="00537EAD">
      <w:pPr>
        <w:pStyle w:val="AERbulletlistfirststyle"/>
      </w:pPr>
      <w:r w:rsidRPr="00537EAD">
        <w:t xml:space="preserve">analysis of SA Power Networks' long term repex trends </w:t>
      </w:r>
    </w:p>
    <w:p w:rsidR="00537EAD" w:rsidRPr="00537EAD" w:rsidRDefault="00537EAD" w:rsidP="00537EAD">
      <w:pPr>
        <w:pStyle w:val="AERbulletlistfirststyle"/>
      </w:pPr>
      <w:r w:rsidRPr="00537EAD">
        <w:t>predictive modelling of SA Power Networks' assets in commission</w:t>
      </w:r>
    </w:p>
    <w:p w:rsidR="00537EAD" w:rsidRPr="00537EAD" w:rsidRDefault="00537EAD" w:rsidP="00537EAD">
      <w:pPr>
        <w:pStyle w:val="AERbulletlistfirststyle"/>
      </w:pPr>
      <w:r w:rsidRPr="00537EAD">
        <w:t>technical review of SA Power Networks' approach to forecasting, costs, work practices and risk management</w:t>
      </w:r>
    </w:p>
    <w:p w:rsidR="00537EAD" w:rsidRPr="00537EAD" w:rsidRDefault="00537EAD" w:rsidP="00537EAD">
      <w:pPr>
        <w:pStyle w:val="AERbulletlistfirststyle"/>
      </w:pPr>
      <w:r w:rsidRPr="00537EAD">
        <w:t>consideration of various asset health indicators.</w:t>
      </w:r>
    </w:p>
    <w:p w:rsidR="00537EAD" w:rsidRPr="00537EAD" w:rsidRDefault="00537EAD" w:rsidP="00537EAD">
      <w:r w:rsidRPr="00537EAD">
        <w:t xml:space="preserve">We primarily use our predictive modelling to assess approximately 77 per cent of SA Power Networks' proposed repex in combination with the findings of our technical review. For the remaining categories of expenditure, we do not use our predictive modelling but rely instead on the analysis of historical expenditure for those categories as supported by the findings of our technical review. We note that the other two assessment techniques were considered, but were not ultimately used to reject SA Power Networks' forecast of repex or develop our alternative estimate, though our findings from those other assessment techniques are consistent with our overall conclusion. </w:t>
      </w:r>
    </w:p>
    <w:p w:rsidR="00537EAD" w:rsidRPr="00537EAD" w:rsidRDefault="00537EAD" w:rsidP="00537EAD">
      <w:pPr>
        <w:pStyle w:val="HeadingBoldBlue"/>
      </w:pPr>
      <w:r w:rsidRPr="00537EAD">
        <w:t>Trend analysis</w:t>
      </w:r>
    </w:p>
    <w:p w:rsidR="00537EAD" w:rsidRPr="00537EAD" w:rsidRDefault="00537EAD" w:rsidP="00537EAD">
      <w:r w:rsidRPr="00537EAD">
        <w:t xml:space="preserve">We recognise the limitations of using expenditure trends to forecast future expenditure needs, especially in circumstances where replacement needs may change over time (e.g. a </w:t>
      </w:r>
      <w:r w:rsidR="00F456A9">
        <w:t>distributor</w:t>
      </w:r>
      <w:r w:rsidRPr="00537EAD">
        <w:t xml:space="preserve"> may have a lumpy asset age profile or its legislative obligations may change over time). In recognition of these limitations, we have drawn general observations from the historic trend analysis and benchmarking in relation to repex, but we have not used trend analysis to reject SA Power Networks' forecast of repex or develop our alternative estimate </w:t>
      </w:r>
    </w:p>
    <w:p w:rsidR="00537EAD" w:rsidRPr="00537EAD" w:rsidRDefault="00537EAD" w:rsidP="00537EAD">
      <w:pPr>
        <w:pStyle w:val="HeadingBoldBlue"/>
      </w:pPr>
      <w:r w:rsidRPr="00537EAD">
        <w:t>Predictive modelling</w:t>
      </w:r>
    </w:p>
    <w:p w:rsidR="00537EAD" w:rsidRPr="00537EAD" w:rsidRDefault="00537EAD" w:rsidP="00537EAD">
      <w:r w:rsidRPr="00537EAD">
        <w:t>We use a predictive model known as the repex model to predict likely asset replacement volumes and expenditure based on the number and age of assets in commission, the assumed age of replacement of these assets and their corresponding unit costs.</w:t>
      </w:r>
      <w:r w:rsidRPr="00537EAD">
        <w:rPr>
          <w:rStyle w:val="FootnoteReference"/>
        </w:rPr>
        <w:footnoteReference w:id="210"/>
      </w:r>
      <w:r w:rsidRPr="00537EAD">
        <w:t xml:space="preserve"> The model uses age as a proxy for many factors that drive individual asset replacement.</w:t>
      </w:r>
      <w:r w:rsidRPr="00537EAD">
        <w:rPr>
          <w:rStyle w:val="FootnoteReference"/>
        </w:rPr>
        <w:footnoteReference w:id="211"/>
      </w:r>
      <w:r w:rsidRPr="00537EAD">
        <w:t xml:space="preserve"> The technical underpinnings of the repex model are discussed in detail in the Replacement expenditure model handbook.</w:t>
      </w:r>
      <w:r w:rsidRPr="00537EAD">
        <w:rPr>
          <w:rStyle w:val="FootnoteReference"/>
        </w:rPr>
        <w:footnoteReference w:id="212"/>
      </w:r>
      <w:r w:rsidRPr="00537EAD">
        <w:t xml:space="preserve"> At a basic level, the model </w:t>
      </w:r>
      <w:r w:rsidRPr="00537EAD">
        <w:lastRenderedPageBreak/>
        <w:t>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responses and from the outcomes of the unit cost and replacement life benchmarking across all distribution businesses in the NEM. More detail on the re</w:t>
      </w:r>
      <w:r w:rsidR="00DD1B78">
        <w:t>pex model and input data is at a</w:t>
      </w:r>
      <w:r w:rsidRPr="00537EAD">
        <w:t>ppendix E.</w:t>
      </w:r>
    </w:p>
    <w:p w:rsidR="00537EAD" w:rsidRPr="00537EAD" w:rsidRDefault="00537EAD" w:rsidP="00537EAD">
      <w:r w:rsidRPr="00537EAD">
        <w:t>The repex model can predict the reasonable amount of repex SA Power Networks would require if it maintains its current risk profile for condition-based replacement into the next regulatory control period. Using what we refer to as calibrated replacement lives in the repex model gives an estimate that reflects 'business as usual' asset management practices consistent with achieving the capex objectives. We explain the calibrated replacement life scenario, along with other input scenarios, further</w:t>
      </w:r>
      <w:r w:rsidR="00F02131">
        <w:t xml:space="preserve"> in section </w:t>
      </w:r>
      <w:r w:rsidR="00F02131">
        <w:fldChar w:fldCharType="begin"/>
      </w:r>
      <w:r w:rsidR="00F02131">
        <w:instrText xml:space="preserve"> REF _Ref417643600 \r \h </w:instrText>
      </w:r>
      <w:r w:rsidR="00F02131">
        <w:fldChar w:fldCharType="separate"/>
      </w:r>
      <w:r w:rsidR="00F02131">
        <w:t>E.5</w:t>
      </w:r>
      <w:r w:rsidR="00F02131">
        <w:fldChar w:fldCharType="end"/>
      </w:r>
      <w:r w:rsidRPr="00537EAD">
        <w:t>.</w:t>
      </w:r>
    </w:p>
    <w:p w:rsidR="00537EAD" w:rsidRPr="00537EAD" w:rsidRDefault="00537EAD" w:rsidP="00537EAD">
      <w:r w:rsidRPr="00537EAD">
        <w:t xml:space="preserve">Any material difference from the calibrated (business as usual) estimate could be explained by evidence of a non-age related increase in asset risk in the network (such as a change in jurisdictional safety or environmental legislation) or evidence of significant asset degradation that could not be explained by asset age. We use our other techniques, particularly our technical review, to assess whether there is any such evidence. </w:t>
      </w:r>
    </w:p>
    <w:p w:rsidR="00537EAD" w:rsidRPr="00537EAD" w:rsidRDefault="00537EAD" w:rsidP="00537EAD">
      <w:r w:rsidRPr="00537EAD">
        <w:t>We recognise that our predictive modelling cannot perfectly predict SA Power Networks' necessary replacement volumes and expenditure over the next regulatory control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explain our reasons for this in Appendix E.</w:t>
      </w:r>
    </w:p>
    <w:p w:rsidR="00537EAD" w:rsidRPr="00537EAD" w:rsidRDefault="00537EAD" w:rsidP="00537EAD">
      <w:r w:rsidRPr="00537EAD">
        <w:t>We also recognise that there are reasons why some assets may be better assessed outside of the model. Where we considered this was justified, we have separately assessed those assets by using techniques other than predictive modelling.</w:t>
      </w:r>
    </w:p>
    <w:p w:rsidR="00537EAD" w:rsidRPr="00537EAD" w:rsidRDefault="00537EAD" w:rsidP="00537EAD">
      <w:pPr>
        <w:pStyle w:val="HeadingBoldBlue"/>
      </w:pPr>
      <w:r w:rsidRPr="00537EAD">
        <w:t>Technical review</w:t>
      </w:r>
    </w:p>
    <w:p w:rsidR="00537EAD" w:rsidRPr="00537EAD" w:rsidRDefault="00537EAD" w:rsidP="00537EAD">
      <w:r w:rsidRPr="00537EAD">
        <w:t xml:space="preserve">We reviewed SA Power Networks' proposed repex focussing on its approach to forecasting, including whether it had conducted cost benefit analysis that was robust and appropriate. We also assessed SA Power Networks' costs, work practices and risk management approach. This was to identify whether risk was systematically overestimated and, in turn, whether its approach to repex and repex forecasts were in accordance with its risk profile in the next regulatory control period. </w:t>
      </w:r>
    </w:p>
    <w:p w:rsidR="00537EAD" w:rsidRPr="00537EAD" w:rsidRDefault="00537EAD" w:rsidP="00537EAD">
      <w:r w:rsidRPr="00537EAD">
        <w:t xml:space="preserve">We have had regard to this to assess whether SA Power Networks' risk profile is different in the next regulatory control period, such that it requires repex above the business as usual prediction of our repex model. We have also relied on this, in </w:t>
      </w:r>
      <w:r w:rsidRPr="00537EAD">
        <w:lastRenderedPageBreak/>
        <w:t xml:space="preserve">combination with analysis of historical repex at the category level, to inform our assessment of repex programs to which we did not apply our predictive modelling.  </w:t>
      </w:r>
    </w:p>
    <w:p w:rsidR="00537EAD" w:rsidRPr="00537EAD" w:rsidRDefault="00537EAD" w:rsidP="00537EAD">
      <w:pPr>
        <w:pStyle w:val="HeadingBoldBlue"/>
      </w:pPr>
      <w:r w:rsidRPr="00537EAD">
        <w:t xml:space="preserve">Asset health indicators </w:t>
      </w:r>
    </w:p>
    <w:p w:rsidR="00537EAD" w:rsidRPr="00537EAD" w:rsidRDefault="00537EAD" w:rsidP="00537EAD">
      <w:r w:rsidRPr="00537EAD">
        <w:t>We have used a number of asset health indicators with a view to observing asset health. The indicators we have used are aged based. We acknowledge that these indicators have limited usefulness for providing a check on the outcomes of our predictive modelling because the model also assumes age is a reasonable proxy for asset condition. While providing some context for our decision, we have not relied on these age-based indicators to any significant extent to inform our alternative estimate. We do note that SA Power Networks has also used age based indicators in its proposal. SA Power Networks' use is consistent with a general acceptance that the age of assets is a reasonable proxy for asset condition.</w:t>
      </w:r>
      <w:r w:rsidRPr="00537EAD">
        <w:rPr>
          <w:rStyle w:val="FootnoteReference"/>
        </w:rPr>
        <w:footnoteReference w:id="213"/>
      </w:r>
      <w:r w:rsidRPr="00537EAD">
        <w:t xml:space="preserve"> This assumption accords with our use of our predictive modelling. </w:t>
      </w:r>
    </w:p>
    <w:p w:rsidR="00537EAD" w:rsidRPr="00537EAD" w:rsidRDefault="00537EAD" w:rsidP="00537EAD">
      <w:pPr>
        <w:pStyle w:val="Heading9"/>
      </w:pPr>
      <w:bookmarkStart w:id="150" w:name="_Toc417725404"/>
      <w:r w:rsidRPr="00537EAD">
        <w:t>AER repex findings</w:t>
      </w:r>
      <w:bookmarkEnd w:id="150"/>
    </w:p>
    <w:p w:rsidR="00537EAD" w:rsidRPr="00537EAD" w:rsidRDefault="00537EAD" w:rsidP="00537EAD">
      <w:pPr>
        <w:pStyle w:val="HeadingBoldBlue"/>
      </w:pPr>
      <w:r w:rsidRPr="00537EAD">
        <w:t xml:space="preserve">Trends in historical and forecast repex </w:t>
      </w:r>
    </w:p>
    <w:p w:rsidR="00537EAD" w:rsidRPr="00537EAD" w:rsidRDefault="00537EAD" w:rsidP="00537EAD">
      <w:pPr>
        <w:rPr>
          <w:rStyle w:val="AERbody"/>
        </w:rPr>
      </w:pPr>
      <w:r w:rsidRPr="00537EAD">
        <w:rPr>
          <w:rStyle w:val="AERbody"/>
        </w:rPr>
        <w:t xml:space="preserve">We use trend analysis to gauge how SA Power Networks' historical actual repex compares to its expected repex for the 2015–20 regulatory control period. </w:t>
      </w:r>
      <w:r>
        <w:rPr>
          <w:rStyle w:val="AERbody"/>
        </w:rPr>
        <w:fldChar w:fldCharType="begin"/>
      </w:r>
      <w:r>
        <w:rPr>
          <w:rStyle w:val="AERbody"/>
        </w:rPr>
        <w:instrText xml:space="preserve"> REF _Ref417399830 \h </w:instrText>
      </w:r>
      <w:r>
        <w:rPr>
          <w:rStyle w:val="AERbody"/>
        </w:rPr>
      </w:r>
      <w:r>
        <w:rPr>
          <w:rStyle w:val="AERbody"/>
        </w:rPr>
        <w:fldChar w:fldCharType="separate"/>
      </w:r>
      <w:r w:rsidR="00F02131">
        <w:t xml:space="preserve">Figure </w:t>
      </w:r>
      <w:r w:rsidR="00F02131">
        <w:rPr>
          <w:noProof/>
        </w:rPr>
        <w:t>B</w:t>
      </w:r>
      <w:r w:rsidR="00F02131">
        <w:noBreakHyphen/>
      </w:r>
      <w:r w:rsidR="00F02131">
        <w:rPr>
          <w:noProof/>
        </w:rPr>
        <w:t>10</w:t>
      </w:r>
      <w:r>
        <w:rPr>
          <w:rStyle w:val="AERbody"/>
        </w:rPr>
        <w:fldChar w:fldCharType="end"/>
      </w:r>
      <w:r>
        <w:rPr>
          <w:rStyle w:val="AERbody"/>
        </w:rPr>
        <w:t xml:space="preserve"> </w:t>
      </w:r>
      <w:r w:rsidRPr="00537EAD">
        <w:rPr>
          <w:rStyle w:val="AERbody"/>
        </w:rPr>
        <w:t>below indicates that SA Power Networks' repex proposal for the 2015–20 regulatory control period is well above that it incurred in the previous regulatory control period and the early 2000s.</w:t>
      </w:r>
    </w:p>
    <w:p w:rsidR="00537EAD" w:rsidRPr="00537EAD" w:rsidRDefault="00EB78CC" w:rsidP="00EB78CC">
      <w:pPr>
        <w:pStyle w:val="Caption"/>
      </w:pPr>
      <w:bookmarkStart w:id="151" w:name="_Ref417399830"/>
      <w:r>
        <w:lastRenderedPageBreak/>
        <w:t xml:space="preserve">Figure </w:t>
      </w:r>
      <w:fldSimple w:instr=" STYLEREF 7 \s ">
        <w:r w:rsidR="00F02131">
          <w:rPr>
            <w:noProof/>
          </w:rPr>
          <w:t>B</w:t>
        </w:r>
      </w:fldSimple>
      <w:r>
        <w:noBreakHyphen/>
      </w:r>
      <w:fldSimple w:instr=" SEQ AFigure \* ARABIC \s 7 ">
        <w:r w:rsidR="00F02131">
          <w:rPr>
            <w:noProof/>
          </w:rPr>
          <w:t>10</w:t>
        </w:r>
      </w:fldSimple>
      <w:bookmarkEnd w:id="151"/>
      <w:r w:rsidR="00537EAD">
        <w:tab/>
      </w:r>
      <w:r w:rsidR="00537EAD" w:rsidRPr="00537EAD">
        <w:t>SA Power Networks' repex - historic actual and proposed for 2015–20 regulatory control period (real $ million 2014–15)</w:t>
      </w:r>
    </w:p>
    <w:p w:rsidR="00537EAD" w:rsidRPr="00537EAD" w:rsidRDefault="00537EAD" w:rsidP="00537EAD">
      <w:r w:rsidRPr="00537EAD">
        <w:rPr>
          <w:noProof/>
          <w:lang w:eastAsia="en-AU"/>
        </w:rPr>
        <w:drawing>
          <wp:inline distT="0" distB="0" distL="0" distR="0" wp14:anchorId="176E983A" wp14:editId="08D2B487">
            <wp:extent cx="5382895" cy="284384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895" cy="2843848"/>
                    </a:xfrm>
                    <a:prstGeom prst="rect">
                      <a:avLst/>
                    </a:prstGeom>
                  </pic:spPr>
                </pic:pic>
              </a:graphicData>
            </a:graphic>
          </wp:inline>
        </w:drawing>
      </w:r>
    </w:p>
    <w:p w:rsidR="00537EAD" w:rsidRPr="00537EAD" w:rsidRDefault="00537EAD" w:rsidP="00537EAD">
      <w:pPr>
        <w:pStyle w:val="AERtablesource"/>
        <w:rPr>
          <w:rStyle w:val="AERtextitalic"/>
        </w:rPr>
      </w:pPr>
      <w:r w:rsidRPr="00537EAD">
        <w:t xml:space="preserve">Source: </w:t>
      </w:r>
      <w:r w:rsidRPr="00537EAD">
        <w:tab/>
        <w:t xml:space="preserve">Historical years: </w:t>
      </w:r>
      <w:r w:rsidRPr="00537EAD">
        <w:rPr>
          <w:rStyle w:val="AERtextitalic"/>
        </w:rPr>
        <w:t>SA Power Networks 2010-15 Revised Regulatory Proposal - RIN response - Table 2 - Capital expenditure by purpose.</w:t>
      </w:r>
      <w:r w:rsidRPr="00537EAD">
        <w:tab/>
        <w:t xml:space="preserve">Current and forthcoming regulatory periods: </w:t>
      </w:r>
      <w:r w:rsidRPr="00537EAD">
        <w:rPr>
          <w:rStyle w:val="AERtextitalic"/>
        </w:rPr>
        <w:t>SA Power Networks - Regulatory Proposal 2015-20 - Reset RIN - Table 2.1.1 - Standard Control Services Capex</w:t>
      </w:r>
    </w:p>
    <w:p w:rsidR="00537EAD" w:rsidRPr="00537EAD" w:rsidRDefault="00537EAD" w:rsidP="00537EAD">
      <w:r w:rsidRPr="00537EAD">
        <w:t>When considering the above trend we acknowledge there are limitations in long term year on year comparisons of replacement expenditure. In particular, we are mindful that:</w:t>
      </w:r>
    </w:p>
    <w:p w:rsidR="00537EAD" w:rsidRPr="00537EAD" w:rsidRDefault="00537EAD" w:rsidP="00537EAD">
      <w:pPr>
        <w:pStyle w:val="AERbulletlistfirststyle"/>
      </w:pPr>
      <w:r w:rsidRPr="00537EAD">
        <w:t>SA Power Networks' regulatory reporting has been subject to varied definitions of replacement expenditure across time.</w:t>
      </w:r>
      <w:r w:rsidRPr="00537EAD">
        <w:rPr>
          <w:rStyle w:val="FootnoteReference"/>
        </w:rPr>
        <w:t xml:space="preserve"> </w:t>
      </w:r>
      <w:r w:rsidRPr="00537EAD">
        <w:rPr>
          <w:rStyle w:val="FootnoteReference"/>
        </w:rPr>
        <w:footnoteReference w:id="214"/>
      </w:r>
      <w:r w:rsidRPr="00537EAD">
        <w:t xml:space="preserve">  </w:t>
      </w:r>
    </w:p>
    <w:p w:rsidR="00537EAD" w:rsidRPr="00537EAD" w:rsidRDefault="00537EAD" w:rsidP="00537EAD">
      <w:pPr>
        <w:pStyle w:val="AERbulletlistfirststyle"/>
      </w:pPr>
      <w:r w:rsidRPr="00537EAD">
        <w:t>There are natural variations in a distributors replacement needs over time. Such variations can be a result of a lumpy asset age profiles or changes in relevant regulatory obligations.</w:t>
      </w:r>
      <w:r w:rsidRPr="00537EAD">
        <w:rPr>
          <w:rStyle w:val="FootnoteReference"/>
        </w:rPr>
        <w:t xml:space="preserve"> </w:t>
      </w:r>
      <w:r w:rsidRPr="00537EAD">
        <w:rPr>
          <w:rStyle w:val="FootnoteReference"/>
        </w:rPr>
        <w:footnoteReference w:id="215"/>
      </w:r>
      <w:r w:rsidRPr="00537EAD">
        <w:t xml:space="preserve"> </w:t>
      </w:r>
    </w:p>
    <w:p w:rsidR="00537EAD" w:rsidRPr="00537EAD" w:rsidRDefault="00537EAD" w:rsidP="00537EAD">
      <w:r w:rsidRPr="00537EAD">
        <w:t>In its proposal SA Power Networks made several observations on the pattern of its replacement expenditure across time. SA Power Networks stated that the major drivers of its replacement expenditure relate to meeting its regulatory obligations.</w:t>
      </w:r>
      <w:r w:rsidRPr="00537EAD">
        <w:rPr>
          <w:rStyle w:val="FootnoteReference"/>
        </w:rPr>
        <w:t xml:space="preserve"> </w:t>
      </w:r>
      <w:r w:rsidRPr="00537EAD">
        <w:rPr>
          <w:rStyle w:val="FootnoteReference"/>
        </w:rPr>
        <w:footnoteReference w:id="216"/>
      </w:r>
      <w:r w:rsidRPr="00537EAD">
        <w:t xml:space="preserve"> </w:t>
      </w:r>
    </w:p>
    <w:p w:rsidR="00537EAD" w:rsidRPr="00537EAD" w:rsidRDefault="00537EAD" w:rsidP="00537EAD">
      <w:r w:rsidRPr="00537EAD">
        <w:fldChar w:fldCharType="begin"/>
      </w:r>
      <w:r w:rsidRPr="00537EAD">
        <w:instrText xml:space="preserve"> REF _Ref416956884 \h </w:instrText>
      </w:r>
      <w:r w:rsidRPr="00537EAD">
        <w:fldChar w:fldCharType="separate"/>
      </w:r>
      <w:r w:rsidR="00F02131">
        <w:t xml:space="preserve">Figure </w:t>
      </w:r>
      <w:r w:rsidR="00F02131">
        <w:rPr>
          <w:noProof/>
        </w:rPr>
        <w:t>B</w:t>
      </w:r>
      <w:r w:rsidR="00F02131">
        <w:noBreakHyphen/>
      </w:r>
      <w:r w:rsidR="00F02131">
        <w:rPr>
          <w:noProof/>
        </w:rPr>
        <w:t>11</w:t>
      </w:r>
      <w:r w:rsidRPr="00537EAD">
        <w:fldChar w:fldCharType="end"/>
      </w:r>
      <w:r w:rsidRPr="00537EAD">
        <w:t xml:space="preserve"> compares actual and expected repex in the current and forthcoming regulatory control period.</w:t>
      </w:r>
    </w:p>
    <w:p w:rsidR="00537EAD" w:rsidRPr="00537EAD" w:rsidRDefault="00EB78CC" w:rsidP="00EB78CC">
      <w:pPr>
        <w:pStyle w:val="Caption"/>
      </w:pPr>
      <w:bookmarkStart w:id="152" w:name="_Ref416956884"/>
      <w:r>
        <w:lastRenderedPageBreak/>
        <w:t xml:space="preserve">Figure </w:t>
      </w:r>
      <w:fldSimple w:instr=" STYLEREF 7 \s ">
        <w:r w:rsidR="00F02131">
          <w:rPr>
            <w:noProof/>
          </w:rPr>
          <w:t>B</w:t>
        </w:r>
      </w:fldSimple>
      <w:r>
        <w:noBreakHyphen/>
      </w:r>
      <w:fldSimple w:instr=" SEQ AFigure \* ARABIC \s 7 ">
        <w:r w:rsidR="00F02131">
          <w:rPr>
            <w:noProof/>
          </w:rPr>
          <w:t>11</w:t>
        </w:r>
      </w:fldSimple>
      <w:bookmarkEnd w:id="152"/>
      <w:r w:rsidR="00537EAD" w:rsidRPr="00537EAD">
        <w:tab/>
        <w:t>Actual and expected repex ($ million real 2014–15)</w:t>
      </w:r>
    </w:p>
    <w:p w:rsidR="00537EAD" w:rsidRPr="00537EAD" w:rsidRDefault="00537EAD" w:rsidP="00537EAD">
      <w:r w:rsidRPr="00537EAD">
        <w:rPr>
          <w:noProof/>
          <w:lang w:eastAsia="en-AU"/>
        </w:rPr>
        <w:drawing>
          <wp:inline distT="0" distB="0" distL="0" distR="0" wp14:anchorId="16644F26" wp14:editId="213D2FCF">
            <wp:extent cx="5382895" cy="2831196"/>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2831196"/>
                    </a:xfrm>
                    <a:prstGeom prst="rect">
                      <a:avLst/>
                    </a:prstGeom>
                  </pic:spPr>
                </pic:pic>
              </a:graphicData>
            </a:graphic>
          </wp:inline>
        </w:drawing>
      </w:r>
    </w:p>
    <w:p w:rsidR="00537EAD" w:rsidRPr="00537EAD" w:rsidRDefault="00537EAD" w:rsidP="00537EAD">
      <w:pPr>
        <w:pStyle w:val="AERtablesource"/>
        <w:rPr>
          <w:rStyle w:val="AERtextitalic"/>
        </w:rPr>
      </w:pPr>
      <w:r w:rsidRPr="00537EAD">
        <w:t xml:space="preserve">Source: </w:t>
      </w:r>
      <w:r w:rsidRPr="00537EAD">
        <w:tab/>
        <w:t xml:space="preserve">SA Power Networks - Regulatory Proposal 2015-20 - Reset RIN - </w:t>
      </w:r>
      <w:r w:rsidRPr="00537EAD">
        <w:rPr>
          <w:rStyle w:val="AERtextitalic"/>
        </w:rPr>
        <w:t>Table 2.1.1 - Standard Control Services Capex</w:t>
      </w:r>
    </w:p>
    <w:p w:rsidR="00537EAD" w:rsidRPr="00537EAD" w:rsidRDefault="00537EAD" w:rsidP="00537EAD">
      <w:r w:rsidRPr="00537EAD">
        <w:t>SA Power Networks submitted that it overspent on repex compared to its allowance for the 2010-15 regulatory control period. It attributed this repex overspend to increases in the volume of assets identified as defective compared to the volumes included in the 2010-15 expenditure forecast. The increases in identified defects resulted from enhanced asset inspection practices implemented by SA Power Networks.</w:t>
      </w:r>
      <w:r w:rsidRPr="00537EAD">
        <w:rPr>
          <w:rStyle w:val="FootnoteReference"/>
        </w:rPr>
        <w:footnoteReference w:id="217"/>
      </w:r>
      <w:r w:rsidRPr="00537EAD">
        <w:t xml:space="preserve">  </w:t>
      </w:r>
    </w:p>
    <w:p w:rsidR="00537EAD" w:rsidRPr="00537EAD" w:rsidRDefault="00537EAD" w:rsidP="00537EAD">
      <w:r w:rsidRPr="00537EAD">
        <w:t xml:space="preserve">As </w:t>
      </w:r>
      <w:r w:rsidRPr="00537EAD">
        <w:fldChar w:fldCharType="begin"/>
      </w:r>
      <w:r w:rsidRPr="00537EAD">
        <w:instrText xml:space="preserve"> REF _Ref416956884 \h </w:instrText>
      </w:r>
      <w:r w:rsidRPr="00537EAD">
        <w:fldChar w:fldCharType="separate"/>
      </w:r>
      <w:r w:rsidR="00F02131">
        <w:t xml:space="preserve">Figure </w:t>
      </w:r>
      <w:r w:rsidR="00F02131">
        <w:rPr>
          <w:noProof/>
        </w:rPr>
        <w:t>B</w:t>
      </w:r>
      <w:r w:rsidR="00F02131">
        <w:noBreakHyphen/>
      </w:r>
      <w:r w:rsidR="00F02131">
        <w:rPr>
          <w:noProof/>
        </w:rPr>
        <w:t>11</w:t>
      </w:r>
      <w:r w:rsidRPr="00537EAD">
        <w:fldChar w:fldCharType="end"/>
      </w:r>
      <w:r w:rsidRPr="00537EAD">
        <w:t xml:space="preserve"> indicates, SA Power Networks is proposing to increase its repex for the 2015–20 regulatory control period compared to the current regulatory control period. SA</w:t>
      </w:r>
      <w:r w:rsidR="00D31932">
        <w:t xml:space="preserve"> </w:t>
      </w:r>
      <w:r w:rsidRPr="00537EAD">
        <w:t>P</w:t>
      </w:r>
      <w:r w:rsidR="00D31932">
        <w:t xml:space="preserve">ower </w:t>
      </w:r>
      <w:r w:rsidRPr="00537EAD">
        <w:t>N</w:t>
      </w:r>
      <w:r w:rsidR="00D31932">
        <w:t>etworks</w:t>
      </w:r>
      <w:r w:rsidRPr="00537EAD">
        <w:t xml:space="preserve"> submitted that the increases it identified in asset defects impacted the calculation of the overall level of network risk.</w:t>
      </w:r>
      <w:r w:rsidRPr="00537EAD">
        <w:rPr>
          <w:rStyle w:val="FootnoteReference"/>
        </w:rPr>
        <w:footnoteReference w:id="218"/>
      </w:r>
      <w:r w:rsidRPr="00537EAD">
        <w:t xml:space="preserve"> The overall network risk is in turn a major determinant of the obligations in the safety, reliability, maintenance and technical management plan (SRMTMP).</w:t>
      </w:r>
      <w:r w:rsidRPr="00537EAD">
        <w:rPr>
          <w:rStyle w:val="FootnoteReference"/>
        </w:rPr>
        <w:footnoteReference w:id="219"/>
      </w:r>
      <w:r w:rsidRPr="00537EAD">
        <w:rPr>
          <w:rStyle w:val="FootnoteReference"/>
        </w:rPr>
        <w:t>,</w:t>
      </w:r>
      <w:r w:rsidRPr="00537EAD">
        <w:rPr>
          <w:rStyle w:val="FootnoteReference"/>
        </w:rPr>
        <w:footnoteReference w:id="220"/>
      </w:r>
      <w:r w:rsidRPr="00537EAD">
        <w:t xml:space="preserve"> SA Power Networks submitted that the forecast allowance provides it the ability prudently manage the increased level of network risk and return it to the level required for compliance with its regulatory obligations in the SRMTMP.</w:t>
      </w:r>
      <w:r w:rsidRPr="00537EAD">
        <w:rPr>
          <w:rStyle w:val="FootnoteReference"/>
        </w:rPr>
        <w:footnoteReference w:id="221"/>
      </w:r>
    </w:p>
    <w:p w:rsidR="00537EAD" w:rsidRPr="00537EAD" w:rsidRDefault="00537EAD" w:rsidP="00537EAD">
      <w:r w:rsidRPr="00537EAD">
        <w:t xml:space="preserve">We observe that SA Power Networks is proposing a significant increase in repex across the 2015–20 regulatory control period. In these circumstances and where SA </w:t>
      </w:r>
      <w:r w:rsidRPr="00537EAD">
        <w:lastRenderedPageBreak/>
        <w:t xml:space="preserve">Power Networks is citing a shift in network risk across time, we have used our other assessment techniques to assess the basis for the proposed increase in repex. </w:t>
      </w:r>
    </w:p>
    <w:p w:rsidR="00537EAD" w:rsidRPr="00537EAD" w:rsidRDefault="00537EAD" w:rsidP="00537EAD">
      <w:pPr>
        <w:pStyle w:val="HeadingBoldBlue"/>
      </w:pPr>
      <w:bookmarkStart w:id="153" w:name="_Ref414536986"/>
      <w:r w:rsidRPr="00537EAD">
        <w:t>Predictive modelling</w:t>
      </w:r>
      <w:bookmarkEnd w:id="153"/>
    </w:p>
    <w:p w:rsidR="00537EAD" w:rsidRPr="00537EAD" w:rsidRDefault="00537EAD" w:rsidP="00537EAD">
      <w:r w:rsidRPr="00537EAD">
        <w:t>We use predictive modelling to estimate how much repex SA Power Networks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w:t>
      </w:r>
      <w:r w:rsidR="00F456A9">
        <w:t xml:space="preserve"> distributors</w:t>
      </w:r>
      <w:r w:rsidRPr="00537EAD">
        <w:t xml:space="preserve">, these asset groups have also been split into various asset sub categories. Pole top structures and SCADA were not modelled, along with specialised categories of capex defined by SA Power Networks that were not classified under the groups above. In total, the assets modelled represent 81 per cent of SA Power Networks' proposed repex. Our predictive modelling calculation process is described at Appendix E of this preliminary decision. </w:t>
      </w:r>
    </w:p>
    <w:p w:rsidR="00537EAD" w:rsidRPr="00537EAD" w:rsidRDefault="00537EAD" w:rsidP="00537EAD">
      <w:r w:rsidRPr="00537EAD">
        <w:t>We consider the best estimate of business as usual repex for SA Power Networks is provided by using calibrated asset replacement lives and unit costs derived from SA Power Networks' recent forecast expenditure. We have assessed this finding in the context of our technical review before forming a view as to the appropriate repex component of capex for SA Power Networks. We set out below our views on the modelling input scenarios, and our views on their suitability for use in our assessment.</w:t>
      </w:r>
    </w:p>
    <w:p w:rsidR="00537EAD" w:rsidRPr="00537EAD" w:rsidRDefault="00537EAD" w:rsidP="00537EAD">
      <w:r w:rsidRPr="00537EAD">
        <w:t>In total for all six modelled categories we have included an amount of $487 million ($2014–15) in our alternative estimate of total forecast capex, compared to SA Power Networks' forecast of $598 million. We have had regard to the outcome and the findings of the technical review in considering whether it is appropriate to forecast repex on the basis of a business as usual estimate, or whether SA Power Networks has provided sufficient evidence to suggest that its replacement needs are higher in the next period,</w:t>
      </w:r>
    </w:p>
    <w:p w:rsidR="00537EAD" w:rsidRPr="00537EAD" w:rsidRDefault="00537EAD" w:rsidP="00537EAD">
      <w:r w:rsidRPr="00537EAD">
        <w:t xml:space="preserve">Submissions on </w:t>
      </w:r>
      <w:r w:rsidR="001558AC">
        <w:t>SA Power Networks'</w:t>
      </w:r>
      <w:r w:rsidRPr="00537EAD">
        <w:t xml:space="preserve"> repex proposal expressed great concern with SA Power Networks' proposed significant increase in repex. Submissions generally considered there was no change in underlying conditions that would justify an increase in repex. For example, submissions questioned why SA Power Networks requires a significant increase in repex when its reliability performance is above the NEM average. Submissions also observed that SA Power Networks underspent relative to its total capex forecast, which does not support its claim for a sudden and significant increase in repex.</w:t>
      </w:r>
      <w:r w:rsidRPr="00537EAD">
        <w:rPr>
          <w:rStyle w:val="FootnoteReference"/>
        </w:rPr>
        <w:footnoteReference w:id="222"/>
      </w:r>
    </w:p>
    <w:p w:rsidR="00537EAD" w:rsidRPr="00537EAD" w:rsidRDefault="00537EAD" w:rsidP="00537EAD">
      <w:r w:rsidRPr="00537EAD">
        <w:lastRenderedPageBreak/>
        <w:t xml:space="preserve">The Energy Consumers Coalition of SA (ECCSA) considered it was important to recognise that just because an asset has reached the end of its economic life that this does not indicate replacement is needed. The ECCSA reported its members considered they had many assets that were fully depreciated but still used and useful. The ECCSA contrasts this with </w:t>
      </w:r>
      <w:r w:rsidR="001558AC">
        <w:t>SA Power Networks'</w:t>
      </w:r>
      <w:r w:rsidRPr="00537EAD">
        <w:t xml:space="preserve"> claims that its repex forecast is justified on the basis of its aged network.</w:t>
      </w:r>
      <w:r w:rsidRPr="00537EAD">
        <w:rPr>
          <w:rStyle w:val="FootnoteReference"/>
        </w:rPr>
        <w:footnoteReference w:id="223"/>
      </w:r>
      <w:r w:rsidRPr="00537EAD">
        <w:t xml:space="preserve"> The SA Council of Social Services and the SA Greens considered SA Power Networks' argument that it has the oldest average asset life in the NEM was somewhat misleading as its stobie poles have a longer operational life than the timber poles used by other NEM distributors.</w:t>
      </w:r>
      <w:r w:rsidRPr="00537EAD">
        <w:rPr>
          <w:rStyle w:val="FootnoteReference"/>
        </w:rPr>
        <w:footnoteReference w:id="224"/>
      </w:r>
    </w:p>
    <w:p w:rsidR="00537EAD" w:rsidRPr="00537EAD" w:rsidRDefault="00537EAD" w:rsidP="00537EAD">
      <w:r w:rsidRPr="00537EAD">
        <w:t xml:space="preserve">Business SA considered </w:t>
      </w:r>
      <w:r w:rsidR="001558AC">
        <w:t>SA Power Networks'</w:t>
      </w:r>
      <w:r w:rsidRPr="00537EAD">
        <w:t xml:space="preserve"> unit costs appeared at the upper end of what it considered was reasonable for activities such as replacing poles and overhead conductors. Business SA noted these unit costs were critical as these programs form a large part of </w:t>
      </w:r>
      <w:r w:rsidR="001558AC">
        <w:t>SA Power Networks'</w:t>
      </w:r>
      <w:r w:rsidRPr="00537EAD">
        <w:t xml:space="preserve"> proposed repex. Further, that the prudency (in need and timing) and efficiency of SA Power Networks' proposed expenditures needed to be demonstrated. Business SA also considered </w:t>
      </w:r>
      <w:r w:rsidR="001558AC">
        <w:t>SA Power Networks</w:t>
      </w:r>
      <w:r w:rsidRPr="00537EAD">
        <w:t xml:space="preserve"> could investigate more initiatives to extend the life of its assets.</w:t>
      </w:r>
      <w:r w:rsidRPr="00537EAD">
        <w:rPr>
          <w:rStyle w:val="FootnoteReference"/>
        </w:rPr>
        <w:footnoteReference w:id="225"/>
      </w:r>
      <w:r w:rsidRPr="00537EAD">
        <w:t xml:space="preserve"> </w:t>
      </w:r>
    </w:p>
    <w:p w:rsidR="00537EAD" w:rsidRPr="00537EAD" w:rsidRDefault="00537EAD" w:rsidP="00537EAD">
      <w:pPr>
        <w:pStyle w:val="HeadingBoldItalic"/>
      </w:pPr>
      <w:r w:rsidRPr="00537EAD">
        <w:t>Model scenario inputs</w:t>
      </w:r>
    </w:p>
    <w:p w:rsidR="00537EAD" w:rsidRPr="00537EAD" w:rsidRDefault="00537EAD" w:rsidP="00537EAD">
      <w:r w:rsidRPr="00537EAD">
        <w:t>The repex model uses the following inputs:</w:t>
      </w:r>
    </w:p>
    <w:p w:rsidR="00537EAD" w:rsidRPr="00537EAD" w:rsidRDefault="00537EAD" w:rsidP="00537EAD">
      <w:pPr>
        <w:pStyle w:val="AERbulletlistfirststyle"/>
      </w:pPr>
      <w:r w:rsidRPr="00537EAD">
        <w:t>The asset age profile input is the number of assets in commission and when each one was installed.</w:t>
      </w:r>
    </w:p>
    <w:p w:rsidR="00537EAD" w:rsidRPr="00537EAD" w:rsidRDefault="00537EAD" w:rsidP="00537EAD">
      <w:pPr>
        <w:pStyle w:val="AERbulletlistfirststyle"/>
      </w:pPr>
      <w:r w:rsidRPr="00537EAD">
        <w:t xml:space="preserve">The replacement life input is a mean replacement life and standard deviation (i.e. on average, how old assets are when they are replaced). </w:t>
      </w:r>
    </w:p>
    <w:p w:rsidR="00537EAD" w:rsidRPr="00537EAD" w:rsidRDefault="00537EAD" w:rsidP="00537EAD">
      <w:pPr>
        <w:pStyle w:val="AERbulletlistfirststyle"/>
      </w:pPr>
      <w:r w:rsidRPr="00537EAD">
        <w:t>The unit cost input is the unit cost of replacement (i.e. on average, how much each asset costs to replace).</w:t>
      </w:r>
    </w:p>
    <w:p w:rsidR="00537EAD" w:rsidRPr="00537EAD" w:rsidRDefault="00537EAD" w:rsidP="00537EAD">
      <w:r w:rsidRPr="00537EAD">
        <w:t xml:space="preserve">In Appendix E, we describe using the repex model to create three scenarios. In each of the three modelling scenarios (base case scenario, calibrated scenario and benchmark scenario) we combined different data for the final two inputs. </w:t>
      </w:r>
    </w:p>
    <w:p w:rsidR="00537EAD" w:rsidRPr="00537EAD" w:rsidRDefault="00537EAD" w:rsidP="00537EAD">
      <w:r w:rsidRPr="00537EAD">
        <w:t xml:space="preserve">Under all scenarios, the first input is SA Power Networks' asset age profile (how old SA Power Networks' existing assets are). This is fixed and does not change. </w:t>
      </w:r>
    </w:p>
    <w:p w:rsidR="00537EAD" w:rsidRPr="00537EAD" w:rsidRDefault="00537EAD" w:rsidP="00537EAD">
      <w:r w:rsidRPr="00537EAD">
        <w:t>The second and third inputs can be varied by using different input assumptions about:</w:t>
      </w:r>
    </w:p>
    <w:p w:rsidR="00537EAD" w:rsidRPr="00537EAD" w:rsidRDefault="00537EAD" w:rsidP="00537EAD">
      <w:pPr>
        <w:pStyle w:val="AERbulletlistfirststyle"/>
      </w:pPr>
      <w:r w:rsidRPr="00537EAD">
        <w:t>how long we expect an asset to last before it needs replacing; and</w:t>
      </w:r>
    </w:p>
    <w:p w:rsidR="00537EAD" w:rsidRPr="00537EAD" w:rsidRDefault="00537EAD" w:rsidP="00537EAD">
      <w:pPr>
        <w:pStyle w:val="AERbulletlistfirststyle"/>
      </w:pPr>
      <w:r w:rsidRPr="00537EAD">
        <w:t>how much it costs to replace it.</w:t>
      </w:r>
    </w:p>
    <w:p w:rsidR="00537EAD" w:rsidRPr="00537EAD" w:rsidRDefault="00537EAD" w:rsidP="00537EAD">
      <w:r w:rsidRPr="00537EAD">
        <w:lastRenderedPageBreak/>
        <w:t>The repex model takes the replacement life input for each asset category and applies it to the actual age of the assets in each asset category, on an asset category basis. In doing this it calculates when and how many assets in the asset category will need replacement in the near future.</w:t>
      </w:r>
      <w:r w:rsidRPr="00537EAD">
        <w:rPr>
          <w:rStyle w:val="FootnoteReference"/>
        </w:rPr>
        <w:footnoteReference w:id="226"/>
      </w:r>
      <w:r w:rsidRPr="00537EAD">
        <w:t xml:space="preserve"> The model then applies the unit cost input to calculate how much expenditure is needed for that amount of replacement in each asset category. This is aggregated to a total repex forecast for each of the next 20 years.</w:t>
      </w:r>
    </w:p>
    <w:p w:rsidR="00537EAD" w:rsidRPr="00537EAD" w:rsidRDefault="00537EAD" w:rsidP="00537EAD">
      <w:r w:rsidRPr="00537EAD">
        <w:t xml:space="preserve">The remainder part of this section outlines the replacement lives and unit cost inputs we tested in the repex model to assess SA Power Networks' proposed repex. As part of our assessment, we compared the outcomes of using SA Power Networks' estimated replacement lives and its unit costs, both forecast and historical, with the replacement lives and unit costs achieved by other NEM distributors. We also used the repex model to determine calibrated replacement lives that are based on SA Power Networks' past five years of actual replacement data. These reflect SA Power Networks' immediate past approach to replacement. </w:t>
      </w:r>
    </w:p>
    <w:p w:rsidR="00537EAD" w:rsidRPr="00537EAD" w:rsidRDefault="00537EAD" w:rsidP="00537EAD">
      <w:r w:rsidRPr="00537EAD">
        <w:t xml:space="preserve">We calculated historic unit costs by dividing historic expenditure by historic volumes and forecast unit costs by dividing forecast expenditure by forecast volumes. </w:t>
      </w:r>
    </w:p>
    <w:p w:rsidR="00537EAD" w:rsidRPr="00537EAD" w:rsidRDefault="00537EAD" w:rsidP="00537EAD">
      <w:r w:rsidRPr="00537EAD">
        <w:t>Detail on how we prepared the model inputs is at Appendix E of this preliminary decision.</w:t>
      </w:r>
    </w:p>
    <w:p w:rsidR="00537EAD" w:rsidRPr="00537EAD" w:rsidRDefault="00537EAD" w:rsidP="00537EAD">
      <w:pPr>
        <w:pStyle w:val="HeadingBoldItalic"/>
      </w:pPr>
      <w:r w:rsidRPr="00537EAD">
        <w:t>Finding 'business as usual' repex</w:t>
      </w:r>
    </w:p>
    <w:p w:rsidR="00537EAD" w:rsidRPr="00537EAD" w:rsidRDefault="00537EAD" w:rsidP="00537EAD">
      <w:r w:rsidRPr="00537EAD">
        <w:t xml:space="preserve">The calibrated asset life scenario gives an estimate of SA Power Networks' current risk profile, as evidenced by its own replacement practices. Our estimate trends forward SA Power Networks' current approach to asset risk management, weighted by the actual age of its assets. Calibrated replacement lives use SA Power Networks' recent asset replacement practices to estimate a replacement life for each asset type. These replacement lives are calculated by using SA Power Networks' past five years of replacement volumes, and its current asset age profile (which reveals how many, and how old, SA Power Networks' assets are), to find the age at which, on average, SA Power Networks replaces its assets. The calibrated replacement life represents this age. </w:t>
      </w:r>
    </w:p>
    <w:p w:rsidR="00537EAD" w:rsidRPr="00537EAD" w:rsidRDefault="00537EAD" w:rsidP="00537EAD">
      <w:r w:rsidRPr="00537EAD">
        <w:t xml:space="preserve">The calibrated asset life scenario has been our preferred modelling scenario in recent reviews of other </w:t>
      </w:r>
      <w:r w:rsidR="00F456A9">
        <w:t>distributor</w:t>
      </w:r>
      <w:r w:rsidRPr="00537EAD">
        <w:t>s.</w:t>
      </w:r>
      <w:r w:rsidRPr="00537EAD">
        <w:rPr>
          <w:rStyle w:val="FootnoteReference"/>
        </w:rPr>
        <w:footnoteReference w:id="227"/>
      </w:r>
      <w:r w:rsidRPr="00537EAD">
        <w:t xml:space="preserve"> This is because we considered the calibrated replacement lives formed the basis of a business as usual estimate of repex, as they are derived from the </w:t>
      </w:r>
      <w:r w:rsidR="00F456A9">
        <w:t>distributor</w:t>
      </w:r>
      <w:r w:rsidRPr="00537EAD">
        <w:t xml:space="preserve">'s actual replacement practice observed over the past five years. </w:t>
      </w:r>
    </w:p>
    <w:p w:rsidR="00537EAD" w:rsidRPr="00537EAD" w:rsidRDefault="00537EAD" w:rsidP="00537EAD">
      <w:r w:rsidRPr="00537EAD">
        <w:lastRenderedPageBreak/>
        <w:t xml:space="preserve">The </w:t>
      </w:r>
      <w:r w:rsidR="00F456A9">
        <w:t>distributor</w:t>
      </w:r>
      <w:r w:rsidR="00F456A9" w:rsidRPr="00537EAD">
        <w:t xml:space="preserve"> </w:t>
      </w:r>
      <w:r w:rsidRPr="00537EAD">
        <w:t xml:space="preserve">decides to replace each asset at a certain time by taking into account the age and condition of its assets, its operating environment, and its regulatory obligations. If the </w:t>
      </w:r>
      <w:r w:rsidR="00F456A9">
        <w:t>distributor</w:t>
      </w:r>
      <w:r w:rsidRPr="00537EAD">
        <w:t xml:space="preserve"> is currently meeting its network reliability, quality and safety requirements by replacing assets when they reach a certain age, then by adopting the same approach to replacement in future they are likely to continue to meet its obligations.</w:t>
      </w:r>
    </w:p>
    <w:p w:rsidR="00537EAD" w:rsidRPr="00537EAD" w:rsidRDefault="00537EAD" w:rsidP="00537EAD">
      <w:r w:rsidRPr="00537EAD">
        <w:t xml:space="preserve">However, if underlying circumstances are different in the next regulatory control period, then this approach to replacement may no longer allow a </w:t>
      </w:r>
      <w:r w:rsidR="00F456A9">
        <w:t>distributor</w:t>
      </w:r>
      <w:r w:rsidRPr="00537EAD">
        <w:t xml:space="preserve"> to meet its obligations. We consider a change in underlying circumstances to be a genuine change in the underlying risk of operating an asset, genuine evidence that there has been a change in the expected non-age related condition of assets from the last regulatory control period, or a change in relevant regulatory obligations (e.g. obligations governing safety and reliability). </w:t>
      </w:r>
    </w:p>
    <w:p w:rsidR="00537EAD" w:rsidRPr="00537EAD" w:rsidRDefault="00537EAD" w:rsidP="00537EAD">
      <w:r w:rsidRPr="00537EAD">
        <w:t xml:space="preserve">If we are satisfied that there is evidence of a change in a </w:t>
      </w:r>
      <w:r w:rsidR="00F456A9">
        <w:t>distributor</w:t>
      </w:r>
      <w:r w:rsidRPr="00537EAD">
        <w:t xml:space="preserve">'s underlying circumstances, we will accept that future asset replacement should not be based on a business as usual approach. This means that where there is evidence that a </w:t>
      </w:r>
      <w:r w:rsidR="00F456A9">
        <w:t>distributor</w:t>
      </w:r>
      <w:r w:rsidRPr="00537EAD">
        <w:t>'s risk profile has changed then it may be necessary to provide a forecast of repex that differs from the business as usual estimate. This forecast would be required in order to satisfy us that the amount reasonably reflects the capex criteria.</w:t>
      </w:r>
    </w:p>
    <w:p w:rsidR="00537EAD" w:rsidRPr="00537EAD" w:rsidRDefault="00537EAD" w:rsidP="00537EAD">
      <w:pPr>
        <w:pStyle w:val="HeadingBoldItalic"/>
      </w:pPr>
      <w:r w:rsidRPr="00537EAD">
        <w:t>Calibrated scenario</w:t>
      </w:r>
    </w:p>
    <w:p w:rsidR="00537EAD" w:rsidRPr="00537EAD" w:rsidRDefault="00537EAD" w:rsidP="00537EAD">
      <w:r w:rsidRPr="00537EAD">
        <w:t>We have modelled the calibrated lives using two unit cost assumptions, being:</w:t>
      </w:r>
    </w:p>
    <w:p w:rsidR="00537EAD" w:rsidRPr="00537EAD" w:rsidRDefault="00537EAD" w:rsidP="00537EAD">
      <w:pPr>
        <w:pStyle w:val="AERbulletlistfirststyle"/>
      </w:pPr>
      <w:r w:rsidRPr="00537EAD">
        <w:t>SA Power Networks' own historical unit costs from the current regulatory control period. These reflect the unit costs SA Power Networks has incurred over the last five years.</w:t>
      </w:r>
    </w:p>
    <w:p w:rsidR="00537EAD" w:rsidRPr="00537EAD" w:rsidRDefault="00537EAD" w:rsidP="00537EAD">
      <w:pPr>
        <w:pStyle w:val="AERbulletlistfirststyle"/>
      </w:pPr>
      <w:r w:rsidRPr="00537EAD">
        <w:t>SA Power Networks' own forecast unit costs for the next control regulatory period. These reflect the unit costs SA Power Networks expects to incur over the next five years.</w:t>
      </w:r>
    </w:p>
    <w:p w:rsidR="00537EAD" w:rsidRPr="00537EAD" w:rsidRDefault="00537EAD" w:rsidP="00537EAD">
      <w:r w:rsidRPr="00537EAD">
        <w:t>The calibrated scenario gives an output of $487 million for historical unit costs and $674 million for forecast unit costs. There is a significant difference between the calibrated scenario outcomes when using SA Power Networks' historical or forecast unit costs. This is because SA Power Networks' forecast unit costs for the next five years are, on average, higher than its unit costs over the last five years. SA Power Networks has also submitted that its unit costs have been based upon historic costs, and validated by its advisor, GHD.</w:t>
      </w:r>
      <w:r w:rsidRPr="00537EAD">
        <w:rPr>
          <w:rStyle w:val="FootnoteReference"/>
        </w:rPr>
        <w:footnoteReference w:id="228"/>
      </w:r>
      <w:r w:rsidRPr="00537EAD">
        <w:t xml:space="preserve"> We note the overall discrepancy observed between the total modelled outcome using forecast and historical unit costs does not reflect this submission. We would also not expect forecast unit costs to be higher than historical unit costs given the incentive framework encourages a </w:t>
      </w:r>
      <w:r w:rsidR="00F456A9">
        <w:t>distributor</w:t>
      </w:r>
      <w:r w:rsidRPr="00537EAD">
        <w:t xml:space="preserve"> to become more cost efficient over time. We note that the outcome using historical unit costs is </w:t>
      </w:r>
      <w:r w:rsidRPr="00537EAD">
        <w:lastRenderedPageBreak/>
        <w:t xml:space="preserve">lower than SA Power Networks' forecast. This suggests that SA Power Networks' proposal is likely to be above a "business as usual" estimate of repex. </w:t>
      </w:r>
    </w:p>
    <w:p w:rsidR="00537EAD" w:rsidRPr="00537EAD" w:rsidRDefault="00537EAD" w:rsidP="00537EAD">
      <w:r w:rsidRPr="00537EAD">
        <w:t>We consider that SA Power Networks' historical unit costs are more likely to reflect a realistic expectation of future input costs than its forecast costs. Accordingly, we adopted SA Power Networks' historical unit costs for the purpose of calculating a business as usual repex estimate. Consequently, we consider $487 million forms the most reasonable business as usual estimation of repex. As noted above, we will rely on this outcome and the findings of the technical review in considering whether it is appropriate to forecast repex on the basis of a business as usual estimate, or whether SA Power Networks has provided sufficient evidence to substantiate that its replacement needs are higher in the next regulatory control period, such that its forecast of $589 million is appropriate.</w:t>
      </w:r>
    </w:p>
    <w:p w:rsidR="00537EAD" w:rsidRPr="00537EAD" w:rsidRDefault="00537EAD" w:rsidP="00537EAD">
      <w:pPr>
        <w:pStyle w:val="HeadingBoldItalic"/>
      </w:pPr>
      <w:r w:rsidRPr="00537EAD">
        <w:t xml:space="preserve">Testing other model inputs </w:t>
      </w:r>
    </w:p>
    <w:p w:rsidR="00537EAD" w:rsidRPr="00537EAD" w:rsidRDefault="00537EAD" w:rsidP="00537EAD">
      <w:r w:rsidRPr="00537EAD">
        <w:t xml:space="preserve">As outlined earlier (and in Appendix E) we used the repex model to create other scenarios combining different input data. In this section we explain how the outcomes of these other scenarios support our conclusion to use the calibrated scenario. </w:t>
      </w:r>
    </w:p>
    <w:p w:rsidR="00537EAD" w:rsidRPr="00537EAD" w:rsidRDefault="00537EAD" w:rsidP="00537EAD">
      <w:pPr>
        <w:pStyle w:val="HeadingItalic"/>
      </w:pPr>
      <w:r w:rsidRPr="00537EAD">
        <w:t xml:space="preserve">Base case scenario outcomes </w:t>
      </w:r>
    </w:p>
    <w:p w:rsidR="00537EAD" w:rsidRPr="00537EAD" w:rsidRDefault="00537EAD" w:rsidP="00537EAD">
      <w:r w:rsidRPr="00537EAD">
        <w:t xml:space="preserve">SA Power Networks provided its own estimate of asset replacement lives in the RIN accompanying its regulatory proposal. To test these inputs we include them in a predictive modelling scenario that is referred to as the base case. The base case scenario gives repex estimates of $4.1 billion (historical unit cost) and $4.15 billion (forecast unit cost). These forecasts are significantly higher than SA Power Networks' forecast of $589 million for the six modelled asset groups. </w:t>
      </w:r>
    </w:p>
    <w:p w:rsidR="00537EAD" w:rsidRPr="00537EAD" w:rsidRDefault="00537EAD" w:rsidP="00537EAD">
      <w:r w:rsidRPr="00537EAD">
        <w:t>The replacement profile predicted by the repex model under the base case scenario features a sharp step</w:t>
      </w:r>
      <w:r w:rsidRPr="00537EAD">
        <w:noBreakHyphen/>
        <w:t xml:space="preserve">up in expenditure in the first year of the forecast, which then declines over the remainder of the period (see </w:t>
      </w:r>
      <w:r w:rsidRPr="00537EAD">
        <w:rPr>
          <w:rStyle w:val="AERtexthighlight"/>
        </w:rPr>
        <w:fldChar w:fldCharType="begin"/>
      </w:r>
      <w:r w:rsidRPr="00537EAD">
        <w:instrText xml:space="preserve"> REF _Ref417022124 \h </w:instrText>
      </w:r>
      <w:r w:rsidRPr="00537EAD">
        <w:rPr>
          <w:rStyle w:val="AERtexthighlight"/>
        </w:rPr>
      </w:r>
      <w:r w:rsidRPr="00537EAD">
        <w:rPr>
          <w:rStyle w:val="AERtexthighlight"/>
        </w:rPr>
        <w:fldChar w:fldCharType="separate"/>
      </w:r>
      <w:r w:rsidR="00DD1B78">
        <w:t>f</w:t>
      </w:r>
      <w:r w:rsidR="00F02131">
        <w:t xml:space="preserve">igure </w:t>
      </w:r>
      <w:r w:rsidR="00F02131">
        <w:rPr>
          <w:noProof/>
        </w:rPr>
        <w:t>B</w:t>
      </w:r>
      <w:r w:rsidR="00F02131">
        <w:noBreakHyphen/>
      </w:r>
      <w:r w:rsidR="00F02131">
        <w:rPr>
          <w:noProof/>
        </w:rPr>
        <w:t>12</w:t>
      </w:r>
      <w:r w:rsidRPr="00537EAD">
        <w:rPr>
          <w:rStyle w:val="AERtexthighlight"/>
        </w:rPr>
        <w:fldChar w:fldCharType="end"/>
      </w:r>
      <w:r w:rsidRPr="00537EAD">
        <w:t xml:space="preserve">). This replacement profile indicates that a significant portion of the asset population currently in commission is much older than would be expected using SA Power Networks' estimated replacement lives. Using this input causes the model to immediately predict the replacement of this stock of assets. This, in turn, results in a large stock of predicted asset replacements in the first year of the forecast, which then declines over time. </w:t>
      </w:r>
    </w:p>
    <w:p w:rsidR="00537EAD" w:rsidRPr="00537EAD" w:rsidRDefault="00EB78CC" w:rsidP="00EB78CC">
      <w:pPr>
        <w:pStyle w:val="Caption"/>
      </w:pPr>
      <w:bookmarkStart w:id="154" w:name="_Ref417022124"/>
      <w:r>
        <w:lastRenderedPageBreak/>
        <w:t xml:space="preserve">Figure </w:t>
      </w:r>
      <w:fldSimple w:instr=" STYLEREF 7 \s ">
        <w:r w:rsidR="00F02131">
          <w:rPr>
            <w:noProof/>
          </w:rPr>
          <w:t>B</w:t>
        </w:r>
      </w:fldSimple>
      <w:r>
        <w:noBreakHyphen/>
      </w:r>
      <w:fldSimple w:instr=" SEQ AFigure \* ARABIC \s 7 ">
        <w:r w:rsidR="00F02131">
          <w:rPr>
            <w:noProof/>
          </w:rPr>
          <w:t>12</w:t>
        </w:r>
      </w:fldSimple>
      <w:bookmarkEnd w:id="154"/>
      <w:r w:rsidR="00537EAD" w:rsidRPr="00537EAD">
        <w:tab/>
        <w:t>Base case scenario outcomes</w:t>
      </w:r>
    </w:p>
    <w:p w:rsidR="00537EAD" w:rsidRPr="00537EAD" w:rsidRDefault="00537EAD" w:rsidP="00537EAD">
      <w:r w:rsidRPr="00537EAD">
        <w:rPr>
          <w:noProof/>
          <w:lang w:eastAsia="en-AU"/>
        </w:rPr>
        <w:drawing>
          <wp:inline distT="0" distB="0" distL="0" distR="0" wp14:anchorId="2BBC9240" wp14:editId="7C437BFC">
            <wp:extent cx="5382895" cy="3595926"/>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595926"/>
                    </a:xfrm>
                    <a:prstGeom prst="rect">
                      <a:avLst/>
                    </a:prstGeom>
                    <a:noFill/>
                    <a:ln>
                      <a:noFill/>
                    </a:ln>
                  </pic:spPr>
                </pic:pic>
              </a:graphicData>
            </a:graphic>
          </wp:inline>
        </w:drawing>
      </w:r>
    </w:p>
    <w:p w:rsidR="00537EAD" w:rsidRPr="00537EAD" w:rsidRDefault="00537EAD" w:rsidP="00537EAD">
      <w:pPr>
        <w:pStyle w:val="AERtablesource"/>
      </w:pPr>
      <w:r w:rsidRPr="00537EAD">
        <w:t xml:space="preserve">Source: </w:t>
      </w:r>
      <w:r w:rsidR="006A75FD">
        <w:tab/>
      </w:r>
      <w:r w:rsidRPr="00537EAD">
        <w:t xml:space="preserve">SA Power Networks, AER analysis. </w:t>
      </w:r>
    </w:p>
    <w:p w:rsidR="00537EAD" w:rsidRPr="00537EAD" w:rsidRDefault="00537EAD" w:rsidP="00537EAD">
      <w:r w:rsidRPr="00537EAD">
        <w:t>Based on our analysis of the base case scenario outcomes we consider that SA Power Networks' estimated replacement lives are not credible or reliable for the following reasons.</w:t>
      </w:r>
    </w:p>
    <w:p w:rsidR="00537EAD" w:rsidRPr="00537EAD" w:rsidRDefault="00537EAD" w:rsidP="00537EAD">
      <w:r w:rsidRPr="00537EAD">
        <w:t>First, if SA Power Networks' actual replacement lives were consistent with their estimated replacement lives, we would not expect to see the observed asset replacement profile. If SA Power Networks' actual asset replacement profile followed its estimated replacement lives, the older assets would have:</w:t>
      </w:r>
    </w:p>
    <w:p w:rsidR="00537EAD" w:rsidRPr="00537EAD" w:rsidRDefault="00537EAD" w:rsidP="00537EAD">
      <w:pPr>
        <w:pStyle w:val="AERbulletlistfirststyle"/>
      </w:pPr>
      <w:r w:rsidRPr="00537EAD">
        <w:t>already reached the end of their economic (replacement) lives and would have already been largely replaced; and</w:t>
      </w:r>
    </w:p>
    <w:p w:rsidR="00537EAD" w:rsidRPr="00537EAD" w:rsidRDefault="00537EAD" w:rsidP="00537EAD">
      <w:pPr>
        <w:pStyle w:val="AERbulletlistfirststyle"/>
      </w:pPr>
      <w:r w:rsidRPr="00537EAD">
        <w:t xml:space="preserve">would therefore not be expected to be in the asset age profile, or be in such insignificant volumes that it would not materially affect the outcome of predictive modelling. </w:t>
      </w:r>
    </w:p>
    <w:p w:rsidR="00537EAD" w:rsidRPr="00537EAD" w:rsidRDefault="00537EAD" w:rsidP="00537EAD">
      <w:r w:rsidRPr="00537EAD">
        <w:t>The 'step-up/trend down' replacement profile observed from the base case scenario suggests that a significant proportion of the asset population has survived longer than would be expected using SA Power Networks' estimated replacement lives. These 'survivor' assets have a material effect on the observed outcome. This outcome suggests that SA Power Networks' estimated replacement lives are shorter than those it achieves in practice.</w:t>
      </w:r>
    </w:p>
    <w:p w:rsidR="00537EAD" w:rsidRPr="00537EAD" w:rsidRDefault="00537EAD" w:rsidP="00537EAD">
      <w:r w:rsidRPr="00537EAD">
        <w:t xml:space="preserve">Second, further analysis of the base case scenario reveals the replacement life inputs are the main drivers of the base case scenario outcome. Under the calibrated scenario </w:t>
      </w:r>
      <w:r w:rsidRPr="00537EAD">
        <w:lastRenderedPageBreak/>
        <w:t xml:space="preserve">where SA Power Networks' estimated replacement lives are substituted with calibrated replacement lives, the model outputs are $497 million for historical unit costs and $674 million for forecast unit costs (the calibrated model is discussed in the next section). Taken together with the information from our other analytical techniques and our concerns that SA Power Networks' estimated replacement lives do not reflect its actual replacement practices, we consider that the estimated replacement life information provided by SA Power Networks will not result in a reasonable forecast of business as usual repex. </w:t>
      </w:r>
    </w:p>
    <w:p w:rsidR="00537EAD" w:rsidRPr="00537EAD" w:rsidRDefault="00537EAD" w:rsidP="00537EAD">
      <w:pPr>
        <w:pStyle w:val="HeadingItalic"/>
      </w:pPr>
      <w:r w:rsidRPr="00537EAD">
        <w:t>Benchmarked scenario outcomes</w:t>
      </w:r>
    </w:p>
    <w:p w:rsidR="00537EAD" w:rsidRPr="00537EAD" w:rsidRDefault="00537EAD" w:rsidP="00537EAD">
      <w:pPr>
        <w:pStyle w:val="HeadingOrange"/>
      </w:pPr>
      <w:r w:rsidRPr="00537EAD">
        <w:t>Benchmarked uncalibrated replacement lives</w:t>
      </w:r>
    </w:p>
    <w:p w:rsidR="00537EAD" w:rsidRPr="00537EAD" w:rsidRDefault="00537EAD" w:rsidP="00537EAD">
      <w:r w:rsidRPr="00537EAD">
        <w:t xml:space="preserve">We developed a series of benchmark replacement lives using the data collected from all NEM distributors in the category analysis RINs. For model inputs we used the average, third quartile (above average), and longest replacement lives of all NEM distributors for each category. </w:t>
      </w:r>
      <w:r w:rsidRPr="00537EAD">
        <w:rPr>
          <w:rStyle w:val="AERbody"/>
        </w:rPr>
        <w:t>We discuss how we prepared this data in Appendix E</w:t>
      </w:r>
      <w:r w:rsidRPr="00537EAD">
        <w:t>.</w:t>
      </w:r>
    </w:p>
    <w:p w:rsidR="00537EAD" w:rsidRPr="00537EAD" w:rsidRDefault="00537EAD" w:rsidP="00537EAD">
      <w:r w:rsidRPr="00537EAD">
        <w:t>As with SA Power Networks' estimated replacement lives, we found using these benchmark replacement lives produced sharp 'step-up/trend down' forecast expenditure, indicating the replacement lives used are likely to be too short for modelling purposes as they predict an unrealistically large 'backlog' of replacement. When used in the model these also produced outcomes higher than SA Power Networks' own forecasts.</w:t>
      </w:r>
    </w:p>
    <w:p w:rsidR="00537EAD" w:rsidRPr="00537EAD" w:rsidRDefault="00537EAD" w:rsidP="00537EAD">
      <w:pPr>
        <w:pStyle w:val="HeadingOrange"/>
      </w:pPr>
      <w:r w:rsidRPr="00537EAD">
        <w:t>Benchmarked calibrated replacement lives</w:t>
      </w:r>
    </w:p>
    <w:p w:rsidR="00537EAD" w:rsidRPr="00537EAD" w:rsidRDefault="00537EAD" w:rsidP="00537EAD">
      <w:r w:rsidRPr="00537EAD">
        <w:t xml:space="preserve">We developed benchmark calibrated lives by first using the repex model to calculate calibrated lives based on the replacement data from all NEM distributors. For model inputs we again used the average, third quartile (above average), and longest of the calibrated lives of all NEM distributors for each category. </w:t>
      </w:r>
      <w:r w:rsidRPr="00537EAD">
        <w:rPr>
          <w:rStyle w:val="AERbody"/>
        </w:rPr>
        <w:t>We discuss how we prepared this data in Appendix E</w:t>
      </w:r>
      <w:r w:rsidRPr="00537EAD">
        <w:t>.</w:t>
      </w:r>
    </w:p>
    <w:p w:rsidR="00537EAD" w:rsidRPr="00537EAD" w:rsidRDefault="00537EAD" w:rsidP="00537EAD">
      <w:r w:rsidRPr="00537EAD">
        <w:t xml:space="preserve">When the average benchmark is applied to the model for SA Power Networks, it produces an outcome higher than the business as usual outcome. Using the replacement life observations at the third quartile gives an outcome similar to the business as usual outcome, while using the highest observation results in an outcome below the business as usual outcome. This indicates that the SA Power Networks achieves asset replacement lives in line with the top quarter of </w:t>
      </w:r>
      <w:r w:rsidR="00F456A9">
        <w:t>distributor</w:t>
      </w:r>
      <w:r w:rsidRPr="00537EAD">
        <w:t xml:space="preserve">s in the NEM. The calibrated benchmark replacement lives may reflect to some extent the particular circumstances of a distributor and this may not be applicable to the business under review. However, this input provided us with a check that SA Power Networks' calibrated replacement lives were reasonable against its peer </w:t>
      </w:r>
      <w:r w:rsidR="00F456A9">
        <w:t>distributor</w:t>
      </w:r>
      <w:r w:rsidRPr="00537EAD">
        <w:t>s in the NEM.</w:t>
      </w:r>
    </w:p>
    <w:p w:rsidR="00537EAD" w:rsidRPr="00537EAD" w:rsidRDefault="00537EAD" w:rsidP="00537EAD">
      <w:pPr>
        <w:pStyle w:val="HeadingOrange"/>
      </w:pPr>
      <w:r w:rsidRPr="00537EAD">
        <w:t>Benchmarked unit costs</w:t>
      </w:r>
    </w:p>
    <w:p w:rsidR="00537EAD" w:rsidRPr="00537EAD" w:rsidRDefault="00537EAD" w:rsidP="00537EAD">
      <w:r w:rsidRPr="00537EAD">
        <w:t xml:space="preserve">We developed industry benchmark unit costs using the data collected from all NEM distributors in the category analysis RINs. For model inputs we used the average, first quartile (below average), and lowest unit costs of all NEM distributors for each asset category. </w:t>
      </w:r>
      <w:r w:rsidRPr="00537EAD">
        <w:rPr>
          <w:rStyle w:val="AERbody"/>
        </w:rPr>
        <w:t>We discuss how we prepared this data in Appendix E</w:t>
      </w:r>
      <w:r w:rsidRPr="00537EAD">
        <w:t>.</w:t>
      </w:r>
    </w:p>
    <w:p w:rsidR="00537EAD" w:rsidRPr="00537EAD" w:rsidRDefault="00537EAD" w:rsidP="00537EAD">
      <w:r w:rsidRPr="00537EAD">
        <w:lastRenderedPageBreak/>
        <w:t xml:space="preserve">Applying the average benchmark unit costs (in combination with the calibrated lives) in the repex model for SA Power Networks gave an outcome that was higher than the historical unit cost/calibrated life scenario. The outcome when using the first quartile and lowest unit costs was lower than the historical unit cost/calibrated life scenario. This indicates that SA Power Networks' direct historical unit costs are lower than the average of </w:t>
      </w:r>
      <w:r w:rsidR="00F456A9">
        <w:t>distributor</w:t>
      </w:r>
      <w:r w:rsidRPr="00537EAD">
        <w:t xml:space="preserve">s in the NEM, but above those </w:t>
      </w:r>
      <w:r w:rsidR="00F456A9">
        <w:t xml:space="preserve">distributors </w:t>
      </w:r>
      <w:r w:rsidRPr="00537EAD">
        <w:t>in the first quartile.</w:t>
      </w:r>
    </w:p>
    <w:p w:rsidR="00537EAD" w:rsidRPr="00537EAD" w:rsidRDefault="00537EAD" w:rsidP="00537EAD">
      <w:pPr>
        <w:pStyle w:val="HeadingBoldBlue"/>
      </w:pPr>
      <w:r w:rsidRPr="00537EAD">
        <w:t xml:space="preserve">Technical review </w:t>
      </w:r>
    </w:p>
    <w:p w:rsidR="00537EAD" w:rsidRPr="00537EAD" w:rsidRDefault="00537EAD" w:rsidP="00537EAD">
      <w:pPr>
        <w:rPr>
          <w:rStyle w:val="AERbody"/>
        </w:rPr>
      </w:pPr>
      <w:r w:rsidRPr="00537EAD">
        <w:rPr>
          <w:rStyle w:val="AERbody"/>
        </w:rPr>
        <w:t xml:space="preserve">We discussed our review of SA Power Networks' overall capex forecasting approach in the capex chapter. We highlighted the lack of top-down challenge in SA Power Networks' capex forecasting and that we consider its approach to asset management is overly conservative. We concluded that we did not consider SA Power Networks' total capex forecast was likely to be prudent and efficient. Our views on SA Power Network's total capex forecasting and risk management extend to its replacement expenditure programs. </w:t>
      </w:r>
    </w:p>
    <w:p w:rsidR="00537EAD" w:rsidRPr="00537EAD" w:rsidRDefault="00537EAD" w:rsidP="00537EAD">
      <w:r w:rsidRPr="00537EAD">
        <w:t>Overall we consider SA Power Networks' asset management strategies for replacement appear reasonable for assessing and prioritising the replacement works it will require. However, we do not consider there is sufficient evidence to support that the resulting proposed amount of repex is prudent and efficient. There appears to be a lack of robust cost benefit or economic analysis, along with insufficient top-down portfolio assessment.</w:t>
      </w:r>
    </w:p>
    <w:p w:rsidR="00537EAD" w:rsidRPr="00537EAD" w:rsidRDefault="00537EAD" w:rsidP="00537EAD">
      <w:r w:rsidRPr="00537EAD">
        <w:rPr>
          <w:rStyle w:val="AERbody"/>
        </w:rPr>
        <w:t>SA Power Networks describes its overall repex forecasting methodology as:</w:t>
      </w:r>
      <w:r w:rsidRPr="00537EAD">
        <w:rPr>
          <w:rStyle w:val="FootnoteReference"/>
        </w:rPr>
        <w:footnoteReference w:id="229"/>
      </w:r>
      <w:r w:rsidRPr="00537EAD">
        <w:rPr>
          <w:rStyle w:val="AERbody"/>
        </w:rPr>
        <w:t xml:space="preserve"> </w:t>
      </w:r>
    </w:p>
    <w:p w:rsidR="00537EAD" w:rsidRPr="00537EAD" w:rsidRDefault="00537EAD" w:rsidP="00537EAD">
      <w:pPr>
        <w:pStyle w:val="AERbulletlistfirststyle"/>
      </w:pPr>
      <w:r w:rsidRPr="00537EAD">
        <w:t>for unplanned asset replacement, applying a forecast based on historical failure rates</w:t>
      </w:r>
    </w:p>
    <w:p w:rsidR="00537EAD" w:rsidRPr="00537EAD" w:rsidRDefault="00537EAD" w:rsidP="00537EAD">
      <w:pPr>
        <w:pStyle w:val="AERbulletlistfirststyle"/>
      </w:pPr>
      <w:r w:rsidRPr="00537EAD">
        <w:t>for planned asset replacement, assessing a probability of failure and the consequence of failure</w:t>
      </w:r>
    </w:p>
    <w:p w:rsidR="00537EAD" w:rsidRPr="00537EAD" w:rsidRDefault="00537EAD" w:rsidP="00537EAD">
      <w:pPr>
        <w:pStyle w:val="AERbulletlistfirststyle"/>
      </w:pPr>
      <w:r w:rsidRPr="00537EAD">
        <w:t>for assets of unknown condition, consequence of failure will be considered in conjunction with age, to develop an age-based replacement forecast until such time as condition information becomes available through the asset inspection and/or monitoring program.</w:t>
      </w:r>
    </w:p>
    <w:p w:rsidR="00537EAD" w:rsidRPr="00537EAD" w:rsidRDefault="00537EAD" w:rsidP="00537EAD">
      <w:pPr>
        <w:rPr>
          <w:rStyle w:val="AERbody"/>
        </w:rPr>
      </w:pPr>
      <w:r w:rsidRPr="00537EAD">
        <w:rPr>
          <w:rStyle w:val="AERbody"/>
        </w:rPr>
        <w:t xml:space="preserve">Based on our review of SA Power Networks' supporting material, we consider there may be a level of conservatism and subjectivity embedded in some of the above forecasting approaches. For example, </w:t>
      </w:r>
      <w:r w:rsidRPr="00537EAD">
        <w:t>some of SA Power Networks' options analysis appears limited, and consequence and criticality rankings have an excessive degree of subjectivity.</w:t>
      </w:r>
    </w:p>
    <w:p w:rsidR="00537EAD" w:rsidRPr="00537EAD" w:rsidRDefault="00537EAD" w:rsidP="00537EAD">
      <w:r w:rsidRPr="00537EAD">
        <w:rPr>
          <w:rStyle w:val="AERbody"/>
        </w:rPr>
        <w:t xml:space="preserve">During the 2010–15 period SA Power Networks moved to incorporate more condition based risk assessment (CBRM) in its asset management practices to forecast planned asset replacement for the asset groups that represent approximately 80 per cent of </w:t>
      </w:r>
      <w:r w:rsidRPr="00537EAD">
        <w:rPr>
          <w:rStyle w:val="AERbody"/>
        </w:rPr>
        <w:lastRenderedPageBreak/>
        <w:t>capex (p</w:t>
      </w:r>
      <w:r w:rsidRPr="00537EAD">
        <w:t>oles, overhead conductor, substation transformers and substation circuit breakers).</w:t>
      </w:r>
      <w:r w:rsidRPr="00537EAD">
        <w:rPr>
          <w:rStyle w:val="FootnoteReference"/>
        </w:rPr>
        <w:footnoteReference w:id="230"/>
      </w:r>
      <w:r w:rsidRPr="00537EAD">
        <w:t xml:space="preserve"> SA Power Networks' CBRM methodology assigns a level of risk for an asset group based on three investment scenarios: do nothing, </w:t>
      </w:r>
      <w:r w:rsidRPr="00537EAD">
        <w:rPr>
          <w:rStyle w:val="AERbody"/>
        </w:rPr>
        <w:t>targeted replacement, and replace a fixed percentage of assets every year. The methodology then determines the optimal time to replace the assets.</w:t>
      </w:r>
      <w:r w:rsidRPr="00537EAD">
        <w:rPr>
          <w:rStyle w:val="FootnoteReference"/>
        </w:rPr>
        <w:footnoteReference w:id="231"/>
      </w:r>
      <w:r w:rsidRPr="00537EAD">
        <w:rPr>
          <w:rStyle w:val="AERbody"/>
        </w:rPr>
        <w:t xml:space="preserve"> </w:t>
      </w:r>
    </w:p>
    <w:p w:rsidR="00537EAD" w:rsidRPr="00537EAD" w:rsidRDefault="00537EAD" w:rsidP="00537EAD">
      <w:r w:rsidRPr="00537EAD">
        <w:t>SA Power Networks envisages that over the next five years it will create four new CBRM models for the following asset groups: protection and control; ground level switchgear; underground cables; and reclosers and sectionalisers.</w:t>
      </w:r>
      <w:r w:rsidRPr="00537EAD">
        <w:rPr>
          <w:rStyle w:val="FootnoteReference"/>
        </w:rPr>
        <w:footnoteReference w:id="232"/>
      </w:r>
      <w:r w:rsidRPr="00537EAD">
        <w:t xml:space="preserve"> SA Power Networks outlines its evolving approach to improving its asset management of each of its asset groups.</w:t>
      </w:r>
      <w:r w:rsidRPr="00537EAD">
        <w:rPr>
          <w:rStyle w:val="FootnoteReference"/>
        </w:rPr>
        <w:footnoteReference w:id="233"/>
      </w:r>
      <w:r w:rsidRPr="00537EAD">
        <w:t xml:space="preserve"> SA Power Networks outlines some of the drivers that would lead it to change its approach to asset management. These include: increased asset failures leading to replacement; increasing planned expenditure on replacement of assets deemed to be not maintainable without accepting increased risk and reduced network performance; and an age profile indicating that large portions of network will need replacement within the next 20 years.</w:t>
      </w:r>
      <w:r w:rsidRPr="00537EAD">
        <w:rPr>
          <w:rStyle w:val="FootnoteReference"/>
        </w:rPr>
        <w:footnoteReference w:id="234"/>
      </w:r>
      <w:r w:rsidRPr="00537EAD">
        <w:t xml:space="preserve"> </w:t>
      </w:r>
    </w:p>
    <w:p w:rsidR="00537EAD" w:rsidRPr="00537EAD" w:rsidRDefault="00537EAD" w:rsidP="00537EAD">
      <w:r w:rsidRPr="00537EAD">
        <w:t>While SA Power Networks' approach is likely to improve the condition-based data it has on its network assets, we consider SA Power Networks should demonstrate that changes to its asset management strategies result in prudent and efficient expenditure. Further, that SA Power Networks' demonstrates quantified benefits of improving its strategies and the need for changes. In particular, given that SA Power Networks has consistent historical reliability performance and benchmarks that compare well to other NEM distributors as discussed in the capex chapter.</w:t>
      </w:r>
    </w:p>
    <w:p w:rsidR="00537EAD" w:rsidRPr="00537EAD" w:rsidRDefault="00537EAD" w:rsidP="00537EAD">
      <w:r w:rsidRPr="00537EAD">
        <w:t xml:space="preserve">Based on our review of SA Power Networks' data, during the 2010–15 regulatory control period, a change in its inspection practices resulted in it identifying an increased number of defects. We recognise there may be an increasing defect backlog SA Power Networks is identifying as a result of changes in inspection frequency, and possibly as a result of changes in the inspection standards being applied. In particular, SA Power Networks proposed significant increases in its pole, conductor and other line equipment repex categories. Although SA Power Networks has become more aware of the extent of defects that have existed in its network undetected for some years, there appear to be no adverse trends apparent in its network performance metrics. We do not consider there is sufficient evidence that SA Power Networks' asset risk has materially changed, or that there is a technical reason for a change in underlying risk. </w:t>
      </w:r>
      <w:r w:rsidRPr="00537EAD">
        <w:lastRenderedPageBreak/>
        <w:t>We consider there is a reasonably well demonstrated backlog of defects that SA Power Networks could prudently seek to address. However, we do not consider SA Power Network has established the need for a near fourfold increase in pole replacement in the 2015–20 regulatory control period to address this backlog. That is, SA Power Networks has not demonstrated a need for repex estimate other than the business as usual in estimate of repex.  We consider there is insufficient evidence to establish that SA Power Networks' repex forecast is the prudent and efficient amount required.</w:t>
      </w:r>
    </w:p>
    <w:p w:rsidR="00537EAD" w:rsidRPr="00537EAD" w:rsidRDefault="00537EAD" w:rsidP="00537EAD">
      <w:r w:rsidRPr="00537EAD">
        <w:t xml:space="preserve">SA Power Networks have used a number of approaches to develop their repex forecast including the proprietary CBRM tool, internally developed spreadsheet models, and forecasts developed by consultants. Our review of SA Power Networks' forecasting methods suggests that age, defect volumes, and corrosion zone are material factors in its forecast. Our technical review has also led us to understand that defect volumes is an important factor that SA Power Networks’ CBRM tool relies on in forecasting risk, and hence replacement volumes. Given that annual defect volumes have increased sharply due to changes in SA Power Networks' inspection practices, we consider this may have created an upwards bias in SA Power Networks' forecasts as a result of any backlog of replacement. We have not seen if or how SA Power Networks has made any correction for any temporary clearance of any backlog in replacements that this change in defect rate may have introduced. </w:t>
      </w:r>
    </w:p>
    <w:p w:rsidR="00537EAD" w:rsidRPr="00537EAD" w:rsidRDefault="00537EAD" w:rsidP="00537EAD">
      <w:pPr>
        <w:pStyle w:val="HeadingBoldBlue"/>
      </w:pPr>
      <w:r w:rsidRPr="00537EAD">
        <w:t>Un-modelled repex</w:t>
      </w:r>
    </w:p>
    <w:p w:rsidR="00537EAD" w:rsidRPr="00537EAD" w:rsidRDefault="00537EAD" w:rsidP="00537EAD">
      <w:pPr>
        <w:numPr>
          <w:ilvl w:val="0"/>
          <w:numId w:val="24"/>
        </w:numPr>
      </w:pPr>
      <w:r w:rsidRPr="00537EAD">
        <w:t xml:space="preserve">As noted in Appendix E, repex categorised as: supervisory control and data acquisition (SCADA), network control and protection (collectively referred to hereafter as SCADA); Pole top structures; and "Other" in SA Power Networks' RIN response was not included in the repex model. </w:t>
      </w:r>
    </w:p>
    <w:p w:rsidR="00537EAD" w:rsidRPr="00537EAD" w:rsidRDefault="00537EAD" w:rsidP="00537EAD">
      <w:pPr>
        <w:numPr>
          <w:ilvl w:val="0"/>
          <w:numId w:val="24"/>
        </w:numPr>
      </w:pPr>
      <w:r w:rsidRPr="00537EAD">
        <w:t>We did not consider these asset groups were suitable for inclusion in the model, either because of lack of commonality, or because we did not possess sufficient data to include them in the model. Together, these categories of repex account for 19 per cent of SA Power Networks' proposed repex.</w:t>
      </w:r>
    </w:p>
    <w:p w:rsidR="00537EAD" w:rsidRPr="00537EAD" w:rsidRDefault="00537EAD" w:rsidP="00537EAD">
      <w:pPr>
        <w:numPr>
          <w:ilvl w:val="0"/>
          <w:numId w:val="24"/>
        </w:numPr>
      </w:pPr>
      <w:r w:rsidRPr="00537EAD">
        <w:t>Because we are not in a position to directly use predictive modelling for these asset categories, we have placed more weight on analysis of historical repex and our technical review in relation to these categories. Our analysis of these is included below.</w:t>
      </w:r>
    </w:p>
    <w:p w:rsidR="00537EAD" w:rsidRPr="00537EAD" w:rsidRDefault="00537EAD" w:rsidP="00537EAD">
      <w:pPr>
        <w:pStyle w:val="HeadingBoldItalic"/>
      </w:pPr>
      <w:r w:rsidRPr="00537EAD">
        <w:t>Other repex</w:t>
      </w:r>
    </w:p>
    <w:p w:rsidR="00537EAD" w:rsidRPr="00537EAD" w:rsidRDefault="00537EAD" w:rsidP="00537EAD">
      <w:pPr>
        <w:numPr>
          <w:ilvl w:val="0"/>
          <w:numId w:val="24"/>
        </w:numPr>
      </w:pPr>
      <w:r w:rsidRPr="00537EAD">
        <w:t xml:space="preserve">SA Power Networks categorised a number of assets under an "Other" asset group in its RIN response. SA Power Networks forecast $39 million of repex for these assets for the 2015–20 regulatory control period. This represents a 13 per cent increase over the 2010–15 regulatory control period, or $4 million. </w:t>
      </w:r>
    </w:p>
    <w:p w:rsidR="00537EAD" w:rsidRPr="00537EAD" w:rsidRDefault="00537EAD" w:rsidP="00537EAD">
      <w:pPr>
        <w:numPr>
          <w:ilvl w:val="0"/>
          <w:numId w:val="24"/>
        </w:numPr>
      </w:pPr>
      <w:r w:rsidRPr="00537EAD">
        <w:t xml:space="preserve">We do not consider expenditure for this asset category has materially changed from the last regulatory control period. We also note that the difference is small in magnitude. Consequently, we consider SA Power Networks' forecast repex of </w:t>
      </w:r>
      <w:r w:rsidRPr="00537EAD">
        <w:lastRenderedPageBreak/>
        <w:t>$39 million is likely to reflect the capex criteria and have included this amount in our alternative estimate of total forecast capex.</w:t>
      </w:r>
    </w:p>
    <w:p w:rsidR="00537EAD" w:rsidRPr="00537EAD" w:rsidRDefault="00537EAD" w:rsidP="00537EAD">
      <w:pPr>
        <w:pStyle w:val="HeadingBoldItalic"/>
      </w:pPr>
      <w:r w:rsidRPr="00537EAD">
        <w:t>SCADA, network control and protection</w:t>
      </w:r>
    </w:p>
    <w:p w:rsidR="00537EAD" w:rsidRPr="00537EAD" w:rsidRDefault="00537EAD" w:rsidP="00537EAD">
      <w:pPr>
        <w:numPr>
          <w:ilvl w:val="0"/>
          <w:numId w:val="24"/>
        </w:numPr>
      </w:pPr>
      <w:r w:rsidRPr="00537EAD">
        <w:t xml:space="preserve">SA Power Networks has proposed repex of $64 million for SCADA, network control and protection. This represents a doubling in expenditure over the 2010–15 regulatory control period, or $33 million. </w:t>
      </w:r>
    </w:p>
    <w:p w:rsidR="00537EAD" w:rsidRPr="00537EAD" w:rsidRDefault="00537EAD" w:rsidP="00537EAD">
      <w:pPr>
        <w:numPr>
          <w:ilvl w:val="0"/>
          <w:numId w:val="24"/>
        </w:numPr>
      </w:pPr>
      <w:r w:rsidRPr="00537EAD">
        <w:t>SA Power Networks' expenditure on this asset category increased significantly in the final year of the 2010–15 regulatory control period. SA Power Networks' proposal for the next period includes a further increase in repex at the commencement of the 2015</w:t>
      </w:r>
      <w:r w:rsidRPr="00537EAD">
        <w:noBreakHyphen/>
        <w:t>20 regulatory control period, which remains relatively stable throughout the period.</w:t>
      </w:r>
    </w:p>
    <w:p w:rsidR="00537EAD" w:rsidRPr="00537EAD" w:rsidRDefault="00537EAD" w:rsidP="00537EAD">
      <w:pPr>
        <w:pStyle w:val="ListParagraph"/>
        <w:numPr>
          <w:ilvl w:val="0"/>
          <w:numId w:val="24"/>
        </w:numPr>
      </w:pPr>
      <w:r w:rsidRPr="00537EAD">
        <w:t>We reviewed SA Power Networks' supporting business cases and asset management plans for its SCADA assets and expenditure. We are of the view that it relied on assumptions that were not sufficiently justified. Additionally, we consider that SA Power Networks did not make a satisfactory case for the investment. That is, its own cost benefit analysis does not appear to support the investment.</w:t>
      </w:r>
    </w:p>
    <w:p w:rsidR="00537EAD" w:rsidRPr="00537EAD" w:rsidRDefault="00537EAD" w:rsidP="00537EAD">
      <w:pPr>
        <w:numPr>
          <w:ilvl w:val="0"/>
          <w:numId w:val="24"/>
        </w:numPr>
      </w:pPr>
      <w:r w:rsidRPr="00537EAD">
        <w:t>In reaching our view on this asset category, we have considered our technical review of SCADA, network control and protection, and our overall views on systemic issues with SA Power Networks' forecasting approach and assessment of risk. Taking these factors into account, we do not consider the step increase proposed by SA Power Networks for SCADA repex is justified. We consider SA Power Networks' SCADA, network control and protection repex from last period of $31 million is likely reasonably to reflect the capex criteria and have included this amount in our alternative estimate of total forecast capex.</w:t>
      </w:r>
    </w:p>
    <w:p w:rsidR="00537EAD" w:rsidRPr="00537EAD" w:rsidRDefault="00537EAD" w:rsidP="00537EAD">
      <w:pPr>
        <w:pStyle w:val="HeadingBoldItalic"/>
      </w:pPr>
      <w:r w:rsidRPr="00537EAD">
        <w:t>Pole top structures</w:t>
      </w:r>
    </w:p>
    <w:p w:rsidR="00537EAD" w:rsidRPr="00537EAD" w:rsidRDefault="00537EAD" w:rsidP="00537EAD">
      <w:pPr>
        <w:numPr>
          <w:ilvl w:val="0"/>
          <w:numId w:val="24"/>
        </w:numPr>
      </w:pPr>
      <w:r w:rsidRPr="00537EAD">
        <w:t xml:space="preserve">SA Power Networks has forecast $72 million of repex on pole top structures over the 2015–20 regulatory control period. This represents a 36 per cent increase over the 2010–15 regulatory control period, or $19 million. </w:t>
      </w:r>
    </w:p>
    <w:p w:rsidR="00537EAD" w:rsidRPr="00537EAD" w:rsidRDefault="00537EAD" w:rsidP="00537EAD">
      <w:pPr>
        <w:numPr>
          <w:ilvl w:val="0"/>
          <w:numId w:val="24"/>
        </w:numPr>
      </w:pPr>
      <w:r w:rsidRPr="00537EAD">
        <w:t>We considered SA Power Networks' proposed step increase in pole top structures in our technical review, particularly as it related to the replacement of pole assets. In doing so, we came to the view that SA Power Networks may have a backlog issue related to increased identification of condition-based issues with its power line assets. However, we did not consider SA Power Networks had justified the increase in expenditure from the last regulatory control period of the level it had proposed. In particular, it had not established a change in risk that would necessitate such a significant increase. Given this, we do not consider there is sufficient justification for a step increase in pole top structure repex in the 2015–20 regulatory control period. We consider SA Power Networks' actual pole top repex from last period of $52 million is likely to reflect the capex criteria and have included this amount in our alternative estimate of total forecast capex.</w:t>
      </w:r>
    </w:p>
    <w:p w:rsidR="00537EAD" w:rsidRPr="00537EAD" w:rsidRDefault="00537EAD" w:rsidP="00537EAD">
      <w:pPr>
        <w:pStyle w:val="HeadingBoldBlue"/>
      </w:pPr>
      <w:r w:rsidRPr="00537EAD">
        <w:lastRenderedPageBreak/>
        <w:t>Network health indicators</w:t>
      </w:r>
    </w:p>
    <w:p w:rsidR="00537EAD" w:rsidRPr="00537EAD" w:rsidRDefault="00537EAD" w:rsidP="00537EAD">
      <w:r w:rsidRPr="00537EAD">
        <w:t xml:space="preserve">We consider an important determinant of variations in repex levels over time is the condition of network assets. We expect </w:t>
      </w:r>
      <w:r w:rsidR="00F456A9">
        <w:t>distributor</w:t>
      </w:r>
      <w:r w:rsidRPr="00537EAD">
        <w:t xml:space="preserve">s </w:t>
      </w:r>
      <w:r w:rsidRPr="00537EAD">
        <w:rPr>
          <w:rStyle w:val="AERbody"/>
        </w:rPr>
        <w:t xml:space="preserve">will have regard to the condition of its network assets when </w:t>
      </w:r>
      <w:r w:rsidRPr="00537EAD">
        <w:t xml:space="preserve">forecasting the capex </w:t>
      </w:r>
      <w:r w:rsidRPr="00537EAD">
        <w:rPr>
          <w:rStyle w:val="AERbody"/>
        </w:rPr>
        <w:t>it requires safely to meet expected demand while maintaining the quality, reliability and security of supply.</w:t>
      </w:r>
      <w:r w:rsidRPr="00537EAD">
        <w:rPr>
          <w:rStyle w:val="AERsuperscript"/>
        </w:rPr>
        <w:footnoteReference w:id="235"/>
      </w:r>
    </w:p>
    <w:p w:rsidR="00537EAD" w:rsidRPr="00537EAD" w:rsidRDefault="00537EAD" w:rsidP="00537EAD">
      <w:r w:rsidRPr="00537EAD">
        <w:t>Our trend analysis indicates that SA Power Networks is forecasting an increase to its recent repex requirements for the 2015–20 regulatory control period. We would expect that this increase would be reflected in a deterioration in the condition of its network assets in recent years and or SA Power Networks' age profile which may suggest a need for substantial increases in asset replacement.</w:t>
      </w:r>
    </w:p>
    <w:p w:rsidR="00537EAD" w:rsidRPr="00537EAD" w:rsidRDefault="00537EAD" w:rsidP="00537EAD">
      <w:r w:rsidRPr="00537EAD">
        <w:rPr>
          <w:rStyle w:val="AERbody"/>
        </w:rPr>
        <w:t xml:space="preserve">To inform our understanding of the condition of SA Power Networks' network assets, we have considered </w:t>
      </w:r>
      <w:r w:rsidRPr="00537EAD">
        <w:t>trends in the remaining service life of SA Power Networks' network assets.</w:t>
      </w:r>
    </w:p>
    <w:p w:rsidR="00537EAD" w:rsidRPr="00537EAD" w:rsidRDefault="00537EAD" w:rsidP="00537EAD">
      <w:pPr>
        <w:pStyle w:val="HeadingBoldItalic"/>
        <w:rPr>
          <w:rStyle w:val="AERtextitalic"/>
          <w:i/>
        </w:rPr>
      </w:pPr>
      <w:r w:rsidRPr="00537EAD">
        <w:rPr>
          <w:rStyle w:val="AERtextitalic"/>
          <w:i/>
        </w:rPr>
        <w:t>Trends in the remaining service life of network assets</w:t>
      </w:r>
    </w:p>
    <w:p w:rsidR="00537EAD" w:rsidRPr="00537EAD" w:rsidRDefault="00537EAD" w:rsidP="00537EAD">
      <w:pPr>
        <w:rPr>
          <w:rStyle w:val="AERtextitalic"/>
        </w:rPr>
      </w:pPr>
      <w:r w:rsidRPr="00537EAD">
        <w:rPr>
          <w:rStyle w:val="AERbody"/>
        </w:rPr>
        <w:fldChar w:fldCharType="begin"/>
      </w:r>
      <w:r w:rsidRPr="00537EAD">
        <w:rPr>
          <w:rStyle w:val="AERbody"/>
        </w:rPr>
        <w:instrText xml:space="preserve"> REF _Ref416957249 \h </w:instrText>
      </w:r>
      <w:r w:rsidRPr="00537EAD">
        <w:rPr>
          <w:rStyle w:val="AERbody"/>
        </w:rPr>
      </w:r>
      <w:r w:rsidRPr="00537EAD">
        <w:rPr>
          <w:rStyle w:val="AERbody"/>
        </w:rPr>
        <w:fldChar w:fldCharType="separate"/>
      </w:r>
      <w:r w:rsidR="00F02131">
        <w:t xml:space="preserve">Figure </w:t>
      </w:r>
      <w:r w:rsidR="00F02131">
        <w:rPr>
          <w:noProof/>
        </w:rPr>
        <w:t>B</w:t>
      </w:r>
      <w:r w:rsidR="00F02131">
        <w:noBreakHyphen/>
      </w:r>
      <w:r w:rsidR="00F02131">
        <w:rPr>
          <w:noProof/>
        </w:rPr>
        <w:t>13</w:t>
      </w:r>
      <w:r w:rsidRPr="00537EAD">
        <w:rPr>
          <w:rStyle w:val="AERbody"/>
        </w:rPr>
        <w:fldChar w:fldCharType="end"/>
      </w:r>
      <w:r w:rsidRPr="00537EAD">
        <w:rPr>
          <w:rStyle w:val="AERbody"/>
        </w:rPr>
        <w:t xml:space="preserve"> plots the estimated residual service life of SA Power Networks' assets across time and that forecast for the 2015–20 </w:t>
      </w:r>
      <w:proofErr w:type="gramStart"/>
      <w:r w:rsidRPr="00537EAD">
        <w:rPr>
          <w:rStyle w:val="AERbody"/>
        </w:rPr>
        <w:t>period</w:t>
      </w:r>
      <w:proofErr w:type="gramEnd"/>
      <w:r w:rsidRPr="00537EAD">
        <w:rPr>
          <w:rStyle w:val="AERbody"/>
        </w:rPr>
        <w:t xml:space="preserve">. </w:t>
      </w:r>
    </w:p>
    <w:p w:rsidR="00537EAD" w:rsidRPr="00537EAD" w:rsidRDefault="00EB78CC" w:rsidP="00EB78CC">
      <w:pPr>
        <w:pStyle w:val="Caption"/>
      </w:pPr>
      <w:bookmarkStart w:id="155" w:name="_Ref416957249"/>
      <w:r>
        <w:t xml:space="preserve">Figure </w:t>
      </w:r>
      <w:fldSimple w:instr=" STYLEREF 7 \s ">
        <w:r w:rsidR="00F02131">
          <w:rPr>
            <w:noProof/>
          </w:rPr>
          <w:t>B</w:t>
        </w:r>
      </w:fldSimple>
      <w:r>
        <w:noBreakHyphen/>
      </w:r>
      <w:fldSimple w:instr=" SEQ AFigure \* ARABIC \s 7 ">
        <w:r w:rsidR="00F02131">
          <w:rPr>
            <w:noProof/>
          </w:rPr>
          <w:t>13</w:t>
        </w:r>
      </w:fldSimple>
      <w:bookmarkEnd w:id="155"/>
      <w:r w:rsidR="00537EAD" w:rsidRPr="00537EAD">
        <w:tab/>
        <w:t>SA Power Networks estimated residual service life by asset class</w:t>
      </w:r>
    </w:p>
    <w:p w:rsidR="00537EAD" w:rsidRPr="00537EAD" w:rsidRDefault="00537EAD" w:rsidP="00537EAD">
      <w:pPr>
        <w:rPr>
          <w:rStyle w:val="AERtextitalic"/>
        </w:rPr>
      </w:pPr>
      <w:r w:rsidRPr="00537EAD">
        <w:rPr>
          <w:noProof/>
          <w:lang w:eastAsia="en-AU"/>
        </w:rPr>
        <w:drawing>
          <wp:inline distT="0" distB="0" distL="0" distR="0" wp14:anchorId="6CC169CF" wp14:editId="5305218F">
            <wp:extent cx="5382895" cy="297208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2972085"/>
                    </a:xfrm>
                    <a:prstGeom prst="rect">
                      <a:avLst/>
                    </a:prstGeom>
                    <a:noFill/>
                    <a:ln>
                      <a:noFill/>
                    </a:ln>
                  </pic:spPr>
                </pic:pic>
              </a:graphicData>
            </a:graphic>
          </wp:inline>
        </w:drawing>
      </w:r>
    </w:p>
    <w:p w:rsidR="00537EAD" w:rsidRPr="00537EAD" w:rsidRDefault="00537EAD" w:rsidP="00537EAD">
      <w:pPr>
        <w:pStyle w:val="AERtablesource"/>
        <w:rPr>
          <w:rStyle w:val="AERtextitalic"/>
        </w:rPr>
      </w:pPr>
      <w:r w:rsidRPr="00537EAD">
        <w:rPr>
          <w:rStyle w:val="AERtextitalic"/>
        </w:rPr>
        <w:t xml:space="preserve">Source: </w:t>
      </w:r>
      <w:r w:rsidRPr="00537EAD">
        <w:rPr>
          <w:rStyle w:val="AERtextitalic"/>
        </w:rPr>
        <w:tab/>
        <w:t>SA Power Networks - EBT RIN - 4. Assets (RAB) - Table 4.4.2 Asset Lives – estimated residual service life (Standard control services).</w:t>
      </w:r>
    </w:p>
    <w:p w:rsidR="00537EAD" w:rsidRPr="00537EAD" w:rsidRDefault="00537EAD" w:rsidP="00537EAD">
      <w:pPr>
        <w:rPr>
          <w:rStyle w:val="AERtextitalic"/>
        </w:rPr>
      </w:pPr>
      <w:r w:rsidRPr="00537EAD">
        <w:rPr>
          <w:rStyle w:val="AERbody"/>
        </w:rPr>
        <w:lastRenderedPageBreak/>
        <w:fldChar w:fldCharType="begin"/>
      </w:r>
      <w:r w:rsidRPr="00537EAD">
        <w:rPr>
          <w:rStyle w:val="AERbody"/>
        </w:rPr>
        <w:instrText xml:space="preserve"> REF _Ref416957249 \h </w:instrText>
      </w:r>
      <w:r w:rsidRPr="00537EAD">
        <w:rPr>
          <w:rStyle w:val="AERbody"/>
        </w:rPr>
      </w:r>
      <w:r w:rsidRPr="00537EAD">
        <w:rPr>
          <w:rStyle w:val="AERbody"/>
        </w:rPr>
        <w:fldChar w:fldCharType="separate"/>
      </w:r>
      <w:r w:rsidR="00F02131">
        <w:t xml:space="preserve">Figure </w:t>
      </w:r>
      <w:r w:rsidR="00F02131">
        <w:rPr>
          <w:noProof/>
        </w:rPr>
        <w:t>B</w:t>
      </w:r>
      <w:r w:rsidR="00F02131">
        <w:noBreakHyphen/>
      </w:r>
      <w:r w:rsidR="00F02131">
        <w:rPr>
          <w:noProof/>
        </w:rPr>
        <w:t>13</w:t>
      </w:r>
      <w:r w:rsidRPr="00537EAD">
        <w:rPr>
          <w:rStyle w:val="AERbody"/>
        </w:rPr>
        <w:fldChar w:fldCharType="end"/>
      </w:r>
      <w:r w:rsidRPr="00537EAD">
        <w:rPr>
          <w:rStyle w:val="AERbody"/>
        </w:rPr>
        <w:t xml:space="preserve"> shows that SA Power Networks' residual asset lives have declined since 2006 and is forecast increase through the 2015–20 regulatory control </w:t>
      </w:r>
      <w:proofErr w:type="gramStart"/>
      <w:r w:rsidRPr="00537EAD">
        <w:rPr>
          <w:rStyle w:val="AERbody"/>
        </w:rPr>
        <w:t>period</w:t>
      </w:r>
      <w:proofErr w:type="gramEnd"/>
      <w:r w:rsidRPr="00537EAD">
        <w:rPr>
          <w:rStyle w:val="AERbody"/>
        </w:rPr>
        <w:t>.</w:t>
      </w:r>
    </w:p>
    <w:p w:rsidR="00537EAD" w:rsidRPr="00537EAD" w:rsidRDefault="00537EAD" w:rsidP="00537EAD">
      <w:r w:rsidRPr="00537EAD">
        <w:t xml:space="preserve">We acknowledge limitations exist when using estimated residual service life to indicate the trend in the underlying condition of network assets. In particular, we are mindful that increases in growth related capex relative to repex can distort this measure's effectiveness as a proxy of the trend in the existing network asset's condition. That is, if additions to the asset base are of a higher value than those being replaced the residual service life will improve without necessarily addressing any underlying asset condition deterioration. </w:t>
      </w:r>
    </w:p>
    <w:p w:rsidR="00537EAD" w:rsidRPr="00537EAD" w:rsidRDefault="00537EAD" w:rsidP="00537EAD">
      <w:r w:rsidRPr="00537EAD">
        <w:t xml:space="preserve">However, the declining historical trend in SA Power Networks residual asset lives (where age is a proxy for asset condition) suggest that while asset health may have declined, the proposed amount provides for increased repex relative to the current regulatory control period.  </w:t>
      </w:r>
    </w:p>
    <w:p w:rsidR="009F62A0" w:rsidRPr="009F62A0" w:rsidRDefault="009F62A0" w:rsidP="00722006">
      <w:pPr>
        <w:pStyle w:val="Heading8"/>
      </w:pPr>
      <w:bookmarkStart w:id="156" w:name="_Toc417725405"/>
      <w:r w:rsidRPr="009F62A0">
        <w:t xml:space="preserve">AER findings and estimates for </w:t>
      </w:r>
      <w:r w:rsidR="00EC4683">
        <w:t>capitalised o</w:t>
      </w:r>
      <w:r w:rsidRPr="009F62A0">
        <w:t>verheads</w:t>
      </w:r>
      <w:bookmarkEnd w:id="156"/>
    </w:p>
    <w:p w:rsidR="009F62A0" w:rsidRPr="009F62A0" w:rsidRDefault="009F62A0" w:rsidP="009F62A0">
      <w:r w:rsidRPr="009F62A0">
        <w:t>Capitalised overheads are costs associated with capital works that have been capitalised in accordance with SA Power Network's capitalisation policy. They are generally costs shared across different assets and cost centres.</w:t>
      </w:r>
    </w:p>
    <w:p w:rsidR="009F62A0" w:rsidRPr="009F62A0" w:rsidRDefault="009F62A0" w:rsidP="00722006">
      <w:pPr>
        <w:pStyle w:val="Heading9"/>
      </w:pPr>
      <w:bookmarkStart w:id="157" w:name="_Toc417725406"/>
      <w:r w:rsidRPr="009F62A0">
        <w:t>Position</w:t>
      </w:r>
      <w:bookmarkEnd w:id="157"/>
    </w:p>
    <w:p w:rsidR="009F62A0" w:rsidRPr="009F62A0" w:rsidRDefault="009F62A0" w:rsidP="009F62A0">
      <w:r w:rsidRPr="009F62A0">
        <w:t>We do not accept SA Power Network's proposed capitalised overheads. We have instead included in our alternative estimate of overall total capex and amount of $</w:t>
      </w:r>
      <w:r w:rsidR="001E31BB">
        <w:t>84.1</w:t>
      </w:r>
      <w:r w:rsidRPr="009F62A0">
        <w:t xml:space="preserve"> million ($2013-14) for capitalised overheads. This is </w:t>
      </w:r>
      <w:r w:rsidR="001E31BB">
        <w:t>18</w:t>
      </w:r>
      <w:r w:rsidRPr="009F62A0">
        <w:t xml:space="preserve"> per cent lower than SA Power Network's proposal of $</w:t>
      </w:r>
      <w:r w:rsidR="001E31BB">
        <w:t xml:space="preserve">102.1 </w:t>
      </w:r>
      <w:r w:rsidRPr="009F62A0">
        <w:t>million. We are satisfied that this amount reasonably reflects the capex criteria.</w:t>
      </w:r>
    </w:p>
    <w:p w:rsidR="009F62A0" w:rsidRPr="009F62A0" w:rsidRDefault="009F62A0" w:rsidP="00722006">
      <w:pPr>
        <w:pStyle w:val="Heading9"/>
      </w:pPr>
      <w:bookmarkStart w:id="158" w:name="_Toc417725407"/>
      <w:r w:rsidRPr="009F62A0">
        <w:t>Our assessment</w:t>
      </w:r>
      <w:bookmarkEnd w:id="158"/>
      <w:r w:rsidRPr="009F62A0">
        <w:t xml:space="preserve"> </w:t>
      </w:r>
    </w:p>
    <w:p w:rsidR="009F62A0" w:rsidRPr="009F62A0" w:rsidRDefault="009F62A0" w:rsidP="009F62A0">
      <w:r w:rsidRPr="009F62A0">
        <w:t>As a logical proposition we consider that reductions in SA</w:t>
      </w:r>
      <w:r w:rsidR="00C34A56">
        <w:t xml:space="preserve"> </w:t>
      </w:r>
      <w:r w:rsidRPr="009F62A0">
        <w:t>P</w:t>
      </w:r>
      <w:r w:rsidR="00C34A56">
        <w:t>ower Networks</w:t>
      </w:r>
      <w:r w:rsidRPr="009F62A0">
        <w:t xml:space="preserve"> forecast expenditure should see some reduction in the size of SA</w:t>
      </w:r>
      <w:r w:rsidR="00FA3FC1">
        <w:t xml:space="preserve"> </w:t>
      </w:r>
      <w:r w:rsidRPr="009F62A0">
        <w:t>P</w:t>
      </w:r>
      <w:r w:rsidR="00FA3FC1">
        <w:t>ower Networks</w:t>
      </w:r>
      <w:r w:rsidRPr="009F62A0">
        <w:t xml:space="preserve"> total overheads. Given that our assessment of SA</w:t>
      </w:r>
      <w:r w:rsidR="00C34A56">
        <w:t xml:space="preserve"> </w:t>
      </w:r>
      <w:r w:rsidRPr="009F62A0">
        <w:t>P</w:t>
      </w:r>
      <w:r w:rsidR="00C34A56">
        <w:t>ower Networks</w:t>
      </w:r>
      <w:r w:rsidRPr="009F62A0">
        <w:t xml:space="preserve"> proposed direct capex, demonstrates that a prudent and efficient </w:t>
      </w:r>
      <w:r w:rsidR="00C34A56">
        <w:t>distributor</w:t>
      </w:r>
      <w:r w:rsidRPr="009F62A0">
        <w:t xml:space="preserve"> would not undertake the full range of direct expenditure contained in SA</w:t>
      </w:r>
      <w:r w:rsidR="00C34A56">
        <w:t xml:space="preserve"> </w:t>
      </w:r>
      <w:r w:rsidRPr="009F62A0">
        <w:t>P</w:t>
      </w:r>
      <w:r w:rsidR="00C34A56">
        <w:t xml:space="preserve">ower Networks </w:t>
      </w:r>
      <w:r w:rsidRPr="009F62A0">
        <w:t>proposal. It follows that we would expect some reduction in the size of SA</w:t>
      </w:r>
      <w:r w:rsidR="00C34A56">
        <w:t xml:space="preserve"> </w:t>
      </w:r>
      <w:r w:rsidRPr="009F62A0">
        <w:t>P</w:t>
      </w:r>
      <w:r w:rsidR="00C34A56">
        <w:t>ower Networks</w:t>
      </w:r>
      <w:r w:rsidRPr="009F62A0">
        <w:t xml:space="preserve">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9F62A0" w:rsidRPr="009F62A0" w:rsidRDefault="009F62A0" w:rsidP="009F62A0">
      <w:r w:rsidRPr="009F62A0">
        <w:lastRenderedPageBreak/>
        <w:t>We have engaged with SA</w:t>
      </w:r>
      <w:r w:rsidR="00C34A56">
        <w:t xml:space="preserve"> </w:t>
      </w:r>
      <w:r w:rsidRPr="009F62A0">
        <w:t>P</w:t>
      </w:r>
      <w:r w:rsidR="00C34A56">
        <w:t xml:space="preserve">ower </w:t>
      </w:r>
      <w:r w:rsidRPr="009F62A0">
        <w:t>N</w:t>
      </w:r>
      <w:r w:rsidR="00C34A56">
        <w:t>etworks</w:t>
      </w:r>
      <w:r w:rsidRPr="009F62A0">
        <w:t xml:space="preserve"> regarding its overheads.</w:t>
      </w:r>
      <w:r>
        <w:rPr>
          <w:rStyle w:val="FootnoteReference"/>
        </w:rPr>
        <w:footnoteReference w:id="236"/>
      </w:r>
      <w:r w:rsidRPr="009F62A0">
        <w:t xml:space="preserve"> We sought to understand how overheads vary with the size of SA</w:t>
      </w:r>
      <w:r w:rsidR="00C34A56">
        <w:t xml:space="preserve"> </w:t>
      </w:r>
      <w:r w:rsidRPr="009F62A0">
        <w:t>P</w:t>
      </w:r>
      <w:r w:rsidR="00C34A56">
        <w:t xml:space="preserve">ower </w:t>
      </w:r>
      <w:r w:rsidRPr="009F62A0">
        <w:t>N</w:t>
      </w:r>
      <w:r w:rsidR="00C34A56">
        <w:t>etworks</w:t>
      </w:r>
      <w:r w:rsidRPr="009F62A0">
        <w:t xml:space="preserve"> expenditure program and in particular to quantify the proportion of overheads that are fixed and varied. SA</w:t>
      </w:r>
      <w:r w:rsidR="00C34A56">
        <w:t xml:space="preserve"> </w:t>
      </w:r>
      <w:r w:rsidRPr="009F62A0">
        <w:t>P</w:t>
      </w:r>
      <w:r w:rsidR="00C34A56">
        <w:t>ower Networks</w:t>
      </w:r>
      <w:r w:rsidRPr="009F62A0">
        <w:t xml:space="preserve"> provided a breakdown of the components of its overheads that it considers fixed and variable.</w:t>
      </w:r>
      <w:r>
        <w:rPr>
          <w:rStyle w:val="FootnoteReference"/>
        </w:rPr>
        <w:footnoteReference w:id="237"/>
      </w:r>
    </w:p>
    <w:p w:rsidR="009F62A0" w:rsidRPr="009F62A0" w:rsidRDefault="009F62A0" w:rsidP="009F62A0">
      <w:r w:rsidRPr="009F62A0">
        <w:t>Further SA</w:t>
      </w:r>
      <w:r w:rsidR="00C34A56">
        <w:t xml:space="preserve"> </w:t>
      </w:r>
      <w:r w:rsidRPr="009F62A0">
        <w:t>P</w:t>
      </w:r>
      <w:r w:rsidR="00C34A56">
        <w:t>ower Networks</w:t>
      </w:r>
      <w:r w:rsidRPr="009F62A0">
        <w:t xml:space="preserve"> submitted that:</w:t>
      </w:r>
      <w:r>
        <w:rPr>
          <w:rStyle w:val="FootnoteReference"/>
        </w:rPr>
        <w:footnoteReference w:id="238"/>
      </w:r>
    </w:p>
    <w:p w:rsidR="009F62A0" w:rsidRPr="009F62A0" w:rsidRDefault="009F62A0" w:rsidP="00722006">
      <w:pPr>
        <w:pStyle w:val="AERquote"/>
      </w:pPr>
      <w:r w:rsidRPr="009F62A0">
        <w:t>we would expect that for a 1% increase/decrease in total network capex, comprising augmentation, replacement and/or gross connections capex, there would be an equivalent 0.67% (averaged over 5 years) adjustment to capitalised overheads.</w:t>
      </w:r>
    </w:p>
    <w:p w:rsidR="009F62A0" w:rsidRPr="009F62A0" w:rsidRDefault="009F62A0" w:rsidP="009F62A0">
      <w:r w:rsidRPr="009F62A0">
        <w:t>We have considered the relationship between opex and capex, specifically whether it is necessary to account for the way the CAM allocates overheads between capex and opex in making this decision. We considered that this was not necessary in order to satisfy the capex criteria.  This is because:</w:t>
      </w:r>
    </w:p>
    <w:p w:rsidR="009F62A0" w:rsidRPr="009F62A0" w:rsidRDefault="009F62A0" w:rsidP="00722006">
      <w:pPr>
        <w:pStyle w:val="AERbulletlistfirststyle"/>
      </w:pPr>
      <w:r w:rsidRPr="009F62A0">
        <w:t xml:space="preserve">Our opex assessment sets the efficient level of opex inclusive of overheads and so has accounted for the efficient level of overheads required to deliver the opex program by applying techniques which utilise the best available data and information for opex. </w:t>
      </w:r>
    </w:p>
    <w:p w:rsidR="009F62A0" w:rsidRPr="009F62A0" w:rsidRDefault="009F62A0" w:rsidP="00722006">
      <w:pPr>
        <w:pStyle w:val="AERbulletlistfirststyle"/>
      </w:pPr>
      <w:r w:rsidRPr="009F62A0">
        <w:t>The starting point of our capitalised overheads assessment is SA</w:t>
      </w:r>
      <w:r w:rsidR="00FA3FC1">
        <w:t xml:space="preserve"> </w:t>
      </w:r>
      <w:r w:rsidRPr="009F62A0">
        <w:t>P</w:t>
      </w:r>
      <w:r w:rsidR="00FA3FC1">
        <w:t>ower Networks</w:t>
      </w:r>
      <w:r w:rsidRPr="009F62A0">
        <w:t xml:space="preserve"> proposal, which is based on </w:t>
      </w:r>
      <w:r w:rsidR="00EB7EE3">
        <w:t>its</w:t>
      </w:r>
      <w:r w:rsidRPr="009F62A0">
        <w:t xml:space="preserve"> CAM. As such, SA</w:t>
      </w:r>
      <w:r w:rsidR="00FA3FC1">
        <w:t xml:space="preserve"> </w:t>
      </w:r>
      <w:r w:rsidRPr="009F62A0">
        <w:t>P</w:t>
      </w:r>
      <w:r w:rsidR="00FA3FC1">
        <w:t>ower Networks</w:t>
      </w:r>
      <w:r w:rsidRPr="009F62A0">
        <w:t xml:space="preserve"> forecast application of the CAM underlies our estimate. We have only reduced the capitalised overheads to account for the reduced scale of SA</w:t>
      </w:r>
      <w:r w:rsidR="00FA3FC1">
        <w:t xml:space="preserve"> </w:t>
      </w:r>
      <w:r w:rsidRPr="009F62A0">
        <w:t>P</w:t>
      </w:r>
      <w:r w:rsidR="00FA3FC1">
        <w:t>ower Networks</w:t>
      </w:r>
      <w:r w:rsidRPr="009F62A0">
        <w:t xml:space="preserve"> approved capex based on assessment techniques best suited to each of the capex drivers.  In doing so we have accounted for there being a fixed proportion of capitalised overheads.   </w:t>
      </w:r>
    </w:p>
    <w:p w:rsidR="00083276" w:rsidRDefault="009F62A0" w:rsidP="009F62A0">
      <w:r w:rsidRPr="009F62A0">
        <w:t>We have formed our alternative estimate on the basis of the information provided by SA</w:t>
      </w:r>
      <w:r w:rsidR="00FA3FC1">
        <w:t xml:space="preserve"> Power Networks</w:t>
      </w:r>
      <w:r w:rsidRPr="009F62A0">
        <w:t xml:space="preserve">. On </w:t>
      </w:r>
      <w:r w:rsidR="00C34A56">
        <w:t>this basis we consider that a 1 per cent</w:t>
      </w:r>
      <w:r w:rsidRPr="009F62A0">
        <w:t xml:space="preserve"> reduction in SA</w:t>
      </w:r>
      <w:r w:rsidR="00C34A56">
        <w:t xml:space="preserve"> </w:t>
      </w:r>
      <w:r w:rsidRPr="009F62A0">
        <w:t>P</w:t>
      </w:r>
      <w:r w:rsidR="00C34A56">
        <w:t>ower Networks</w:t>
      </w:r>
      <w:r w:rsidRPr="009F62A0">
        <w:t xml:space="preserve"> forecas</w:t>
      </w:r>
      <w:r w:rsidR="00C34A56">
        <w:t>t capex should result in a 0.67 per cent</w:t>
      </w:r>
      <w:r w:rsidRPr="009F62A0">
        <w:t xml:space="preserve"> reduction in SA</w:t>
      </w:r>
      <w:r w:rsidR="00C34A56">
        <w:t xml:space="preserve"> </w:t>
      </w:r>
      <w:r w:rsidRPr="009F62A0">
        <w:t>P</w:t>
      </w:r>
      <w:r w:rsidR="00C34A56">
        <w:t>ower Networks</w:t>
      </w:r>
      <w:r w:rsidRPr="009F62A0">
        <w:t xml:space="preserve"> capitalised overheads.</w:t>
      </w:r>
      <w:r w:rsidR="001E31BB">
        <w:t xml:space="preserve"> </w:t>
      </w:r>
      <w:r w:rsidR="001E31BB" w:rsidRPr="001E31BB">
        <w:t xml:space="preserve">As a result of a </w:t>
      </w:r>
      <w:r w:rsidR="001E31BB">
        <w:t>26 per cent</w:t>
      </w:r>
      <w:r w:rsidR="001E31BB" w:rsidRPr="001E31BB">
        <w:t xml:space="preserve"> reduction in </w:t>
      </w:r>
      <w:r w:rsidR="001E31BB">
        <w:t>SA</w:t>
      </w:r>
      <w:r w:rsidR="00C34A56">
        <w:t xml:space="preserve"> </w:t>
      </w:r>
      <w:r w:rsidR="001E31BB">
        <w:t>P</w:t>
      </w:r>
      <w:r w:rsidR="00C34A56">
        <w:t>ower Networks</w:t>
      </w:r>
      <w:r w:rsidR="001E31BB" w:rsidRPr="001E31BB">
        <w:t xml:space="preserve"> direct capex that attract overheads</w:t>
      </w:r>
      <w:r w:rsidR="00DE5012">
        <w:t>,</w:t>
      </w:r>
      <w:r w:rsidR="001E31BB" w:rsidRPr="001E31BB">
        <w:t xml:space="preserve"> we consider a reduction of </w:t>
      </w:r>
      <w:r w:rsidR="001E31BB">
        <w:t xml:space="preserve">18 per cent </w:t>
      </w:r>
      <w:r w:rsidR="001E31BB" w:rsidRPr="001E31BB">
        <w:t>in capitalised overheads reasonably reflect the capex criteria.</w:t>
      </w:r>
    </w:p>
    <w:p w:rsidR="00083276" w:rsidRPr="00083276" w:rsidRDefault="00083276" w:rsidP="00083276">
      <w:pPr>
        <w:pStyle w:val="Heading8"/>
      </w:pPr>
      <w:bookmarkStart w:id="159" w:name="_Toc417725408"/>
      <w:r w:rsidRPr="00083276">
        <w:t>AER findings and estimates for non-network capex</w:t>
      </w:r>
      <w:bookmarkEnd w:id="159"/>
    </w:p>
    <w:p w:rsidR="00083276" w:rsidRPr="00083276" w:rsidRDefault="00083276" w:rsidP="00083276">
      <w:r w:rsidRPr="00083276">
        <w:t>Non-network capex includes expenditure on information technology (IT), buildings and property, motor vehicles, and plant and equipment.</w:t>
      </w:r>
    </w:p>
    <w:p w:rsidR="00083276" w:rsidRPr="00083276" w:rsidRDefault="00083276" w:rsidP="00083276">
      <w:pPr>
        <w:pStyle w:val="Heading9"/>
      </w:pPr>
      <w:bookmarkStart w:id="160" w:name="_Toc417725409"/>
      <w:r w:rsidRPr="00083276">
        <w:lastRenderedPageBreak/>
        <w:t>Position</w:t>
      </w:r>
      <w:bookmarkEnd w:id="160"/>
    </w:p>
    <w:p w:rsidR="00083276" w:rsidRPr="00083276" w:rsidRDefault="00083276" w:rsidP="00083276">
      <w:r w:rsidRPr="00083276">
        <w:t>SA Power Networks forecast total non-network capex of $637.7 mi</w:t>
      </w:r>
      <w:r w:rsidR="00E72826">
        <w:t>llion ($2014-15) for the 2015–</w:t>
      </w:r>
      <w:r w:rsidRPr="00083276">
        <w:t>20 regulatory control period.</w:t>
      </w:r>
      <w:r w:rsidRPr="00083276">
        <w:rPr>
          <w:rStyle w:val="FootnoteReference"/>
        </w:rPr>
        <w:footnoteReference w:id="239"/>
      </w:r>
      <w:r w:rsidRPr="00083276">
        <w:t xml:space="preserve"> We do not accept SA Power Networks' proposal. We have instead included an amount of $417.4 million ($2014-15) for forecast non-network capex in our alternative estimate which we consider reasonably reflects the capex criteria.</w:t>
      </w:r>
    </w:p>
    <w:p w:rsidR="00083276" w:rsidRPr="00083276" w:rsidRDefault="00083276" w:rsidP="00083276">
      <w:r w:rsidRPr="00083276">
        <w:t>In coming to this view, we have found that:</w:t>
      </w:r>
    </w:p>
    <w:p w:rsidR="00083276" w:rsidRPr="00083276" w:rsidRDefault="00083276" w:rsidP="00083276">
      <w:pPr>
        <w:pStyle w:val="AERbulletlistfirststyle"/>
      </w:pPr>
      <w:r w:rsidRPr="00083276">
        <w:t>SA Power Networks' forecast non-network IT capex of $353.7 million does not reasonably reflect the efficient costs that a prudent operator would require to achieve the capex objectives. We are not satisfied that the proposed portfolio of IT projects is deliverable within the 2015–</w:t>
      </w:r>
      <w:r w:rsidR="00E72826">
        <w:t>20</w:t>
      </w:r>
      <w:r w:rsidRPr="00083276">
        <w:t xml:space="preserve"> regulatory control period, or that the proposed capex reflects the efficient costs required to meet the identified need.</w:t>
      </w:r>
      <w:r w:rsidRPr="00083276">
        <w:rPr>
          <w:rStyle w:val="FootnoteReference"/>
        </w:rPr>
        <w:footnoteReference w:id="240"/>
      </w:r>
      <w:r w:rsidRPr="00083276">
        <w:t xml:space="preserve"> We consider that forecast capex of $213.6 million ($2014-15) reasonably reflects a prudent and efficient level of capex that is deliverable in the 2015–</w:t>
      </w:r>
      <w:r w:rsidR="00E72826">
        <w:t>20</w:t>
      </w:r>
      <w:r w:rsidRPr="00083276">
        <w:t xml:space="preserve"> regulatory control period.</w:t>
      </w:r>
    </w:p>
    <w:p w:rsidR="00083276" w:rsidRPr="00083276" w:rsidRDefault="00083276" w:rsidP="00083276">
      <w:pPr>
        <w:pStyle w:val="AERbulletlistfirststyle"/>
      </w:pPr>
      <w:r w:rsidRPr="00083276">
        <w:t>neither the methodology used by SA Power Networks to forecast its $111.6 million ($2014-15) buildings and property capex, nor the supporting business cases, provide evidence that the forecast capex is prudent and efficient or is required to achieve the capex objectives. We consider that an estimate of forecast capex of $71.8 million ($2014-15), reflecting SA Power Networks' historical capex in the 2010–2015 regulatory control period, will allow SA Power Networks to continue to invest in prudent construction, refurbishment, and maintenance projects as required.</w:t>
      </w:r>
    </w:p>
    <w:p w:rsidR="00083276" w:rsidRPr="00083276" w:rsidRDefault="00083276" w:rsidP="00083276">
      <w:pPr>
        <w:pStyle w:val="AERbulletlistfirststyle"/>
        <w:rPr>
          <w:rStyle w:val="AERtexthighlight"/>
        </w:rPr>
      </w:pPr>
      <w:r w:rsidRPr="00083276">
        <w:t>SA Power Networks' forecast fleet capex of $146.0 million ($2014-15) does not reasonably reflect the efficient costs that a prudent operator would require to achieve the capex objectives.</w:t>
      </w:r>
      <w:r w:rsidRPr="00083276">
        <w:rPr>
          <w:rStyle w:val="AERsuperscript"/>
        </w:rPr>
        <w:t xml:space="preserve"> </w:t>
      </w:r>
      <w:r w:rsidRPr="00083276">
        <w:t>We consider that forecast capex of $103.2 million ($2014–15) reasonably reflects the required expenditure. This represents a reduction of 29 per cent from SA Power Networks' proposed fleet capex for the 2015–</w:t>
      </w:r>
      <w:r w:rsidR="00E72826">
        <w:t>20</w:t>
      </w:r>
      <w:r w:rsidRPr="00083276">
        <w:t xml:space="preserve"> regulatory control period. We have made adjustments to SA Power Networks' proposed vehicle replacement, new fleet and safety initiatives expenditure.</w:t>
      </w:r>
    </w:p>
    <w:p w:rsidR="00083276" w:rsidRPr="00083276" w:rsidRDefault="00083276" w:rsidP="00083276">
      <w:pPr>
        <w:pStyle w:val="Heading9"/>
      </w:pPr>
      <w:bookmarkStart w:id="161" w:name="_Toc417725410"/>
      <w:r w:rsidRPr="00083276">
        <w:t>SA Power Networks' proposal</w:t>
      </w:r>
      <w:bookmarkEnd w:id="161"/>
    </w:p>
    <w:p w:rsidR="00083276" w:rsidRPr="00083276" w:rsidRDefault="00083276" w:rsidP="00083276">
      <w:r w:rsidRPr="00083276">
        <w:fldChar w:fldCharType="begin"/>
      </w:r>
      <w:r w:rsidRPr="00083276">
        <w:instrText xml:space="preserve"> REF _Ref413408669 \h </w:instrText>
      </w:r>
      <w:r w:rsidRPr="00083276">
        <w:fldChar w:fldCharType="separate"/>
      </w:r>
      <w:r w:rsidR="00F02131">
        <w:t xml:space="preserve">Figure </w:t>
      </w:r>
      <w:r w:rsidR="00F02131">
        <w:rPr>
          <w:noProof/>
        </w:rPr>
        <w:t>B</w:t>
      </w:r>
      <w:r w:rsidR="00F02131">
        <w:noBreakHyphen/>
      </w:r>
      <w:r w:rsidR="00F02131">
        <w:rPr>
          <w:noProof/>
        </w:rPr>
        <w:t>14</w:t>
      </w:r>
      <w:r w:rsidRPr="00083276">
        <w:fldChar w:fldCharType="end"/>
      </w:r>
      <w:r w:rsidRPr="00083276">
        <w:t xml:space="preserve"> shows SA Power Networks' actual and expected non-network capex for the period from 2000-01 to 2014-15, and forecast capex for the 2015–</w:t>
      </w:r>
      <w:r w:rsidR="00E72826">
        <w:t>20</w:t>
      </w:r>
      <w:r w:rsidRPr="00083276">
        <w:t xml:space="preserve"> regulatory control </w:t>
      </w:r>
      <w:proofErr w:type="gramStart"/>
      <w:r w:rsidRPr="00083276">
        <w:t>period</w:t>
      </w:r>
      <w:proofErr w:type="gramEnd"/>
      <w:r w:rsidRPr="00083276">
        <w:t>.</w:t>
      </w:r>
    </w:p>
    <w:p w:rsidR="00083276" w:rsidRPr="00083276" w:rsidRDefault="00EB78CC" w:rsidP="00EB78CC">
      <w:pPr>
        <w:pStyle w:val="Caption"/>
      </w:pPr>
      <w:bookmarkStart w:id="162" w:name="_Ref413408669"/>
      <w:r>
        <w:lastRenderedPageBreak/>
        <w:t xml:space="preserve">Figure </w:t>
      </w:r>
      <w:fldSimple w:instr=" STYLEREF 7 \s ">
        <w:r w:rsidR="00F02131">
          <w:rPr>
            <w:noProof/>
          </w:rPr>
          <w:t>B</w:t>
        </w:r>
      </w:fldSimple>
      <w:r>
        <w:noBreakHyphen/>
      </w:r>
      <w:fldSimple w:instr=" SEQ AFigure \* ARABIC \s 7 ">
        <w:r w:rsidR="00F02131">
          <w:rPr>
            <w:noProof/>
          </w:rPr>
          <w:t>14</w:t>
        </w:r>
      </w:fldSimple>
      <w:bookmarkEnd w:id="162"/>
      <w:r w:rsidR="00083276" w:rsidRPr="00083276">
        <w:tab/>
        <w:t>SA Power Networks' non-network capex 2000-01 to 2019-20 ($million, 2014</w:t>
      </w:r>
      <w:r w:rsidR="00083276" w:rsidRPr="00083276">
        <w:noBreakHyphen/>
        <w:t>15)</w:t>
      </w:r>
    </w:p>
    <w:p w:rsidR="00083276" w:rsidRPr="00083276" w:rsidRDefault="00083276" w:rsidP="00083276">
      <w:pPr>
        <w:pStyle w:val="AERtablesource"/>
      </w:pPr>
      <w:r w:rsidRPr="00083276">
        <w:rPr>
          <w:noProof/>
          <w:lang w:eastAsia="en-AU"/>
        </w:rPr>
        <w:drawing>
          <wp:inline distT="0" distB="0" distL="0" distR="0" wp14:anchorId="06E5526E" wp14:editId="2697F385">
            <wp:extent cx="5382895" cy="312939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3129392"/>
                    </a:xfrm>
                    <a:prstGeom prst="rect">
                      <a:avLst/>
                    </a:prstGeom>
                    <a:noFill/>
                    <a:ln>
                      <a:noFill/>
                    </a:ln>
                  </pic:spPr>
                </pic:pic>
              </a:graphicData>
            </a:graphic>
          </wp:inline>
        </w:drawing>
      </w:r>
    </w:p>
    <w:p w:rsidR="00083276" w:rsidRPr="00083276" w:rsidRDefault="00083276" w:rsidP="00083276">
      <w:pPr>
        <w:pStyle w:val="AERtablesource"/>
      </w:pPr>
      <w:r w:rsidRPr="00083276">
        <w:t>Source:</w:t>
      </w:r>
      <w:r w:rsidRPr="00083276">
        <w:tab/>
        <w:t xml:space="preserve">SA Power Networks, </w:t>
      </w:r>
      <w:r w:rsidRPr="00083276">
        <w:rPr>
          <w:rStyle w:val="AERtextitalic"/>
        </w:rPr>
        <w:t>Regulatory information notice</w:t>
      </w:r>
      <w:r w:rsidRPr="00083276">
        <w:t xml:space="preserve">, template 2.6; ETSA Utilities, </w:t>
      </w:r>
      <w:r w:rsidRPr="00083276">
        <w:rPr>
          <w:rStyle w:val="AERtextitalic"/>
        </w:rPr>
        <w:t>RIN response for 2010-15 regulatory control period</w:t>
      </w:r>
      <w:r w:rsidRPr="00083276">
        <w:t>, template 2.2.1; AER analysis. Includes capitalised overheads.</w:t>
      </w:r>
    </w:p>
    <w:p w:rsidR="00083276" w:rsidRPr="00083276" w:rsidRDefault="00083276" w:rsidP="00083276">
      <w:r w:rsidRPr="00083276">
        <w:t>SA Power Networks' forecast non-network capex for the 2015–</w:t>
      </w:r>
      <w:r w:rsidR="00E72826">
        <w:t>20</w:t>
      </w:r>
      <w:r w:rsidRPr="00083276">
        <w:t xml:space="preserve"> regulatory control period is 57 per cent higher than actual and expected capex in the 2010–2015 regulatory control period. </w:t>
      </w:r>
    </w:p>
    <w:p w:rsidR="00083276" w:rsidRPr="00083276" w:rsidRDefault="00083276" w:rsidP="00083276">
      <w:r w:rsidRPr="00083276">
        <w:t>Our analysis of longer term trends in non-network capex suggests that SA Power Networks has forecast capex for this category at historically high levels. Non-network capex in each year of the 2015–</w:t>
      </w:r>
      <w:r w:rsidR="00E72826">
        <w:t>20</w:t>
      </w:r>
      <w:r w:rsidRPr="00083276">
        <w:t xml:space="preserve"> regulatory control period is forecast to be higher than actual capex in any prior year for which comparable data is available. We therefore consider that SA Power Networks' forecast non-network capex program warrants further review to confirm the need and timing for the proposed expenditure.</w:t>
      </w:r>
    </w:p>
    <w:p w:rsidR="00083276" w:rsidRPr="00083276" w:rsidRDefault="00083276" w:rsidP="00083276">
      <w:r w:rsidRPr="00083276">
        <w:t xml:space="preserve">We have assessed forecast expenditure in each category of non-network capex. Analysis at this level has been used to inform our view of whether forecast capex is reasonable relative to historical rates of expenditure in each category, and to identify trends in the different category </w:t>
      </w:r>
      <w:proofErr w:type="gramStart"/>
      <w:r w:rsidRPr="00083276">
        <w:t>forecasts which</w:t>
      </w:r>
      <w:proofErr w:type="gramEnd"/>
      <w:r w:rsidRPr="00083276">
        <w:t xml:space="preserve"> may warrant further review.</w:t>
      </w:r>
      <w:r w:rsidRPr="00083276">
        <w:rPr>
          <w:rStyle w:val="FootnoteReference"/>
        </w:rPr>
        <w:footnoteReference w:id="241"/>
      </w:r>
      <w:r w:rsidRPr="00083276">
        <w:t xml:space="preserve"> </w:t>
      </w:r>
      <w:fldSimple w:instr=" REF _Ref413742894 ">
        <w:r w:rsidR="00F02131">
          <w:t xml:space="preserve">Figure </w:t>
        </w:r>
        <w:r w:rsidR="00F02131">
          <w:rPr>
            <w:noProof/>
          </w:rPr>
          <w:t>B</w:t>
        </w:r>
        <w:r w:rsidR="00F02131">
          <w:noBreakHyphen/>
        </w:r>
        <w:r w:rsidR="00F02131">
          <w:rPr>
            <w:noProof/>
          </w:rPr>
          <w:t>15</w:t>
        </w:r>
      </w:fldSimple>
      <w:r w:rsidRPr="00083276">
        <w:t xml:space="preserve"> shows SA Power Networks' actual and forecast non-network capex by sub-category for the period from 2008-09 to 2019-20.</w:t>
      </w:r>
    </w:p>
    <w:p w:rsidR="00083276" w:rsidRPr="00083276" w:rsidRDefault="00EB78CC" w:rsidP="00EB78CC">
      <w:pPr>
        <w:pStyle w:val="Caption"/>
      </w:pPr>
      <w:bookmarkStart w:id="163" w:name="_Ref413742894"/>
      <w:r>
        <w:lastRenderedPageBreak/>
        <w:t xml:space="preserve">Figure </w:t>
      </w:r>
      <w:fldSimple w:instr=" STYLEREF 7 \s ">
        <w:r w:rsidR="00F02131">
          <w:rPr>
            <w:noProof/>
          </w:rPr>
          <w:t>B</w:t>
        </w:r>
      </w:fldSimple>
      <w:r>
        <w:noBreakHyphen/>
      </w:r>
      <w:fldSimple w:instr=" SEQ AFigure \* ARABIC \s 7 ">
        <w:r w:rsidR="00F02131">
          <w:rPr>
            <w:noProof/>
          </w:rPr>
          <w:t>15</w:t>
        </w:r>
      </w:fldSimple>
      <w:bookmarkEnd w:id="163"/>
      <w:r w:rsidR="00083276" w:rsidRPr="00083276">
        <w:tab/>
        <w:t>SA Power Networks' non-network capex by category ($million, 2014-15)</w:t>
      </w:r>
    </w:p>
    <w:p w:rsidR="00083276" w:rsidRPr="00083276" w:rsidRDefault="00083276" w:rsidP="00083276">
      <w:r w:rsidRPr="00083276">
        <w:rPr>
          <w:noProof/>
          <w:lang w:eastAsia="en-AU"/>
        </w:rPr>
        <w:drawing>
          <wp:inline distT="0" distB="0" distL="0" distR="0" wp14:anchorId="2E65F994" wp14:editId="19246874">
            <wp:extent cx="5128180" cy="323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0252" cy="3246123"/>
                    </a:xfrm>
                    <a:prstGeom prst="rect">
                      <a:avLst/>
                    </a:prstGeom>
                    <a:noFill/>
                    <a:ln>
                      <a:noFill/>
                    </a:ln>
                  </pic:spPr>
                </pic:pic>
              </a:graphicData>
            </a:graphic>
          </wp:inline>
        </w:drawing>
      </w:r>
    </w:p>
    <w:p w:rsidR="00083276" w:rsidRPr="00083276" w:rsidRDefault="00083276" w:rsidP="00083276">
      <w:pPr>
        <w:pStyle w:val="AERtablesource"/>
      </w:pPr>
      <w:r w:rsidRPr="00083276">
        <w:t>Source:</w:t>
      </w:r>
      <w:r w:rsidRPr="00083276">
        <w:tab/>
        <w:t xml:space="preserve">SA Power Networks, </w:t>
      </w:r>
      <w:r w:rsidRPr="00083276">
        <w:rPr>
          <w:rStyle w:val="AERtextitalic"/>
        </w:rPr>
        <w:t>Regulatory information notice</w:t>
      </w:r>
      <w:r w:rsidRPr="00083276">
        <w:t xml:space="preserve">, template 2.6; SA Power Networks, </w:t>
      </w:r>
      <w:r w:rsidRPr="00083276">
        <w:rPr>
          <w:rStyle w:val="AERtextitalic"/>
        </w:rPr>
        <w:t>Category Analysis RIN 2014</w:t>
      </w:r>
      <w:r w:rsidRPr="00083276">
        <w:t>, template 2.6; AER analysis.</w:t>
      </w:r>
    </w:p>
    <w:p w:rsidR="00083276" w:rsidRPr="00083276" w:rsidRDefault="00083276" w:rsidP="00083276">
      <w:r w:rsidRPr="00083276">
        <w:t>SA Power Networks has forecast significant increases in capex for IT, motor vehicles, and buildings and property in the 2015–</w:t>
      </w:r>
      <w:r w:rsidR="00E72826">
        <w:t>20</w:t>
      </w:r>
      <w:r w:rsidRPr="00083276">
        <w:t xml:space="preserve"> regulatory control period. SA Power Networks has proposed to maintain capex on plant and equipment at levels consistent with the 2010–2015 regulatory control period, while communications expenditure is forecast to reduce substantially. </w:t>
      </w:r>
    </w:p>
    <w:p w:rsidR="00083276" w:rsidRPr="00083276" w:rsidRDefault="00083276" w:rsidP="00083276">
      <w:r w:rsidRPr="00083276">
        <w:t>The peak in non-network capex in 2015-16 is largely driven by peaks in the IT and motor vehicles categories in that year. Forecast capex for both of these categories generally declines after 2015-16 but remains at historically high levels throughout the remaining years of the regulatory control period. SA Power Networks also forecast buildings and property capex to be at historically high levels from 2016-17 onwards.</w:t>
      </w:r>
    </w:p>
    <w:p w:rsidR="00083276" w:rsidRDefault="00083276" w:rsidP="00083276">
      <w:r w:rsidRPr="00083276">
        <w:t>We therefore undertook a detailed review of the justification for SA Power Networks' forecast IT, motor vehicles, and buildings and property capex to confirm the need and timing of the forecast expenditure. Our conclusions on each of these categories of non-network capex are summarised below.</w:t>
      </w:r>
    </w:p>
    <w:p w:rsidR="00E36937" w:rsidRDefault="00E36937" w:rsidP="00083276"/>
    <w:p w:rsidR="00E36937" w:rsidRDefault="00E36937" w:rsidP="00083276"/>
    <w:p w:rsidR="00E36937" w:rsidRDefault="00E36937" w:rsidP="00083276"/>
    <w:p w:rsidR="00E36937" w:rsidRDefault="00E36937" w:rsidP="00083276"/>
    <w:p w:rsidR="00083276" w:rsidRPr="00083276" w:rsidRDefault="00083276" w:rsidP="00083276">
      <w:pPr>
        <w:pStyle w:val="Heading9"/>
      </w:pPr>
      <w:bookmarkStart w:id="164" w:name="_Toc417725411"/>
      <w:r w:rsidRPr="00083276">
        <w:lastRenderedPageBreak/>
        <w:t>Information technology capex</w:t>
      </w:r>
      <w:bookmarkEnd w:id="164"/>
    </w:p>
    <w:p w:rsidR="00083276" w:rsidRPr="00083276" w:rsidRDefault="00083276" w:rsidP="00083276">
      <w:r w:rsidRPr="00083276">
        <w:t>SA Power Networks has forecast non-network IT capex of $353.7 million ($2014-15) for the 2015–</w:t>
      </w:r>
      <w:r w:rsidR="00E72826">
        <w:t>20</w:t>
      </w:r>
      <w:r w:rsidRPr="00083276">
        <w:t xml:space="preserve"> regulatory control period.</w:t>
      </w:r>
      <w:r w:rsidRPr="00083276">
        <w:rPr>
          <w:rStyle w:val="FootnoteReference"/>
        </w:rPr>
        <w:footnoteReference w:id="242"/>
      </w:r>
      <w:r w:rsidRPr="00083276">
        <w:t xml:space="preserve"> This is an increase of $194.4 million or 122 per cent from actual and estimated expenditure in the 2010–2015 regulatory control period. </w:t>
      </w:r>
    </w:p>
    <w:p w:rsidR="00083276" w:rsidRPr="00083276" w:rsidRDefault="00083276" w:rsidP="00083276">
      <w:r w:rsidRPr="00083276">
        <w:t>SA Power Networks has divided its IT capex forecast into recurrent and non-recurrent expenditure segments. Recurrent expenditure is defined as the base level of expenditure necessary to keep existing IT systems and infrastructure operational during the 2015–</w:t>
      </w:r>
      <w:r w:rsidR="00E72826">
        <w:t>20</w:t>
      </w:r>
      <w:r w:rsidRPr="00083276">
        <w:t xml:space="preserve"> regulatory control period. Non-recurrent expenditure is capex needed to respond to business requirements identified for the 2015–</w:t>
      </w:r>
      <w:r w:rsidR="00E72826">
        <w:t>20</w:t>
      </w:r>
      <w:r w:rsidRPr="00083276">
        <w:t xml:space="preserve"> regulatory control period. This category includes business change costs, and is influenced by internal, external and technology drivers including risk mitigation, regulatory changes, </w:t>
      </w:r>
      <w:proofErr w:type="gramStart"/>
      <w:r w:rsidRPr="00083276">
        <w:t>customer</w:t>
      </w:r>
      <w:proofErr w:type="gramEnd"/>
      <w:r w:rsidRPr="00083276">
        <w:t xml:space="preserve"> preferences and emerging technology trends.</w:t>
      </w:r>
      <w:r w:rsidRPr="00083276">
        <w:rPr>
          <w:rStyle w:val="FootnoteReference"/>
        </w:rPr>
        <w:footnoteReference w:id="243"/>
      </w:r>
      <w:r w:rsidRPr="00083276">
        <w:t xml:space="preserve"> As shown in </w:t>
      </w:r>
      <w:fldSimple w:instr=" REF _Ref414281604 ">
        <w:r w:rsidR="00DD1B78">
          <w:t>f</w:t>
        </w:r>
        <w:r w:rsidR="00F02131">
          <w:t xml:space="preserve">igure </w:t>
        </w:r>
        <w:r w:rsidR="00F02131">
          <w:rPr>
            <w:noProof/>
          </w:rPr>
          <w:t>B</w:t>
        </w:r>
        <w:r w:rsidR="00F02131">
          <w:noBreakHyphen/>
        </w:r>
        <w:r w:rsidR="00F02131">
          <w:rPr>
            <w:noProof/>
          </w:rPr>
          <w:t>16</w:t>
        </w:r>
      </w:fldSimple>
      <w:r w:rsidRPr="00083276">
        <w:t>, the overall increase in IT capex in the 2015–</w:t>
      </w:r>
      <w:r w:rsidR="00E72826">
        <w:t>20</w:t>
      </w:r>
      <w:r w:rsidRPr="00083276">
        <w:t xml:space="preserve"> regulatory control </w:t>
      </w:r>
      <w:proofErr w:type="gramStart"/>
      <w:r w:rsidRPr="00083276">
        <w:t>period</w:t>
      </w:r>
      <w:proofErr w:type="gramEnd"/>
      <w:r w:rsidRPr="00083276">
        <w:t xml:space="preserve"> is largely driven by an increase in non-recurrent IT capex.</w:t>
      </w:r>
    </w:p>
    <w:p w:rsidR="00083276" w:rsidRPr="00083276" w:rsidRDefault="00EB78CC" w:rsidP="00EB78CC">
      <w:pPr>
        <w:pStyle w:val="Caption"/>
      </w:pPr>
      <w:bookmarkStart w:id="165" w:name="_Ref414281604"/>
      <w:r>
        <w:t xml:space="preserve">Figure </w:t>
      </w:r>
      <w:fldSimple w:instr=" STYLEREF 7 \s ">
        <w:r w:rsidR="00F02131">
          <w:rPr>
            <w:noProof/>
          </w:rPr>
          <w:t>B</w:t>
        </w:r>
      </w:fldSimple>
      <w:r>
        <w:noBreakHyphen/>
      </w:r>
      <w:fldSimple w:instr=" SEQ AFigure \* ARABIC \s 7 ">
        <w:r w:rsidR="00F02131">
          <w:rPr>
            <w:noProof/>
          </w:rPr>
          <w:t>16</w:t>
        </w:r>
      </w:fldSimple>
      <w:bookmarkEnd w:id="165"/>
      <w:r w:rsidR="00083276" w:rsidRPr="00083276">
        <w:tab/>
        <w:t>SA Power Networks' non-network IT capex from 2008-09 to 2019-20 ($million, 2014-15)</w:t>
      </w:r>
    </w:p>
    <w:p w:rsidR="00083276" w:rsidRPr="00083276" w:rsidRDefault="00083276" w:rsidP="00083276">
      <w:r w:rsidRPr="00083276">
        <w:rPr>
          <w:noProof/>
          <w:lang w:eastAsia="en-AU"/>
        </w:rPr>
        <w:drawing>
          <wp:inline distT="0" distB="0" distL="0" distR="0" wp14:anchorId="24C7DAC5" wp14:editId="22208CFD">
            <wp:extent cx="5382895" cy="339935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399354"/>
                    </a:xfrm>
                    <a:prstGeom prst="rect">
                      <a:avLst/>
                    </a:prstGeom>
                    <a:noFill/>
                    <a:ln>
                      <a:noFill/>
                    </a:ln>
                  </pic:spPr>
                </pic:pic>
              </a:graphicData>
            </a:graphic>
          </wp:inline>
        </w:drawing>
      </w:r>
    </w:p>
    <w:p w:rsidR="00083276" w:rsidRPr="00083276" w:rsidRDefault="00083276" w:rsidP="00083276">
      <w:pPr>
        <w:pStyle w:val="AERtablesource"/>
      </w:pPr>
      <w:r w:rsidRPr="00083276">
        <w:t>Source:</w:t>
      </w:r>
      <w:r w:rsidRPr="00083276">
        <w:tab/>
        <w:t xml:space="preserve">SA Power Networks, </w:t>
      </w:r>
      <w:r w:rsidRPr="00083276">
        <w:rPr>
          <w:rStyle w:val="AERtextitalic"/>
        </w:rPr>
        <w:t>Regulatory information notice</w:t>
      </w:r>
      <w:r w:rsidRPr="00083276">
        <w:t xml:space="preserve">, template 2.6; SA Power Networks, </w:t>
      </w:r>
      <w:r w:rsidRPr="00083276">
        <w:rPr>
          <w:rStyle w:val="AERtextitalic"/>
        </w:rPr>
        <w:t>CA RIN response</w:t>
      </w:r>
      <w:r w:rsidRPr="00083276">
        <w:t>, template 2.6; AER analysis.</w:t>
      </w:r>
    </w:p>
    <w:p w:rsidR="00083276" w:rsidRPr="00083276" w:rsidRDefault="00083276" w:rsidP="00083276">
      <w:r w:rsidRPr="00083276">
        <w:lastRenderedPageBreak/>
        <w:t>Non-recurrent IT capex projects and business change costs of $227.8 million account for nearly two-thirds (64 per cent) of SA Power Networks' forecast IT capex for the 2015–</w:t>
      </w:r>
      <w:r w:rsidR="00E72826">
        <w:t>20</w:t>
      </w:r>
      <w:r w:rsidRPr="00083276">
        <w:t xml:space="preserve"> regulatory control period.</w:t>
      </w:r>
      <w:r w:rsidRPr="00083276">
        <w:rPr>
          <w:rStyle w:val="FootnoteReference"/>
        </w:rPr>
        <w:footnoteReference w:id="244"/>
      </w:r>
      <w:r w:rsidRPr="00083276">
        <w:t xml:space="preserve"> While recurrent IT capex is also forecast to increase from historical levels, expenditure in this category is relatively smooth and declining across the period from a peak in 2014-15. SA Power Networks' recurrent IT capex is driven by the ongoing needs of its existing IT applications and infrastructure. By its nature, non-recurrent IT capex is more likely to relate to the introduction of new capabilities and technologies into the business, and therefore be more discretionary in nature than recurrent IT capex. For these reasons, we have focussed on this non-recurrent category in our assessment of the prudence and efficiency of SA Power Networks' forecast IT capex. </w:t>
      </w:r>
    </w:p>
    <w:p w:rsidR="00083276" w:rsidRPr="00083276" w:rsidRDefault="00083276" w:rsidP="00083276">
      <w:pPr>
        <w:pStyle w:val="HeadingBoldBlue"/>
        <w:rPr>
          <w:rStyle w:val="AERtextblue"/>
        </w:rPr>
      </w:pPr>
      <w:r w:rsidRPr="00083276">
        <w:rPr>
          <w:rStyle w:val="AERtextblue"/>
        </w:rPr>
        <w:t>Non-recurrent IT capex</w:t>
      </w:r>
    </w:p>
    <w:p w:rsidR="00083276" w:rsidRPr="00083276" w:rsidRDefault="00083276" w:rsidP="00083276">
      <w:r w:rsidRPr="00083276">
        <w:t>SA Power Networks has proposed 24 non-recurrent IT capex projects, with a total cost of $181.9 million ($2014-15). Of these projects, 14 include associated business change costs totalling a further $45.8 million.</w:t>
      </w:r>
      <w:r w:rsidRPr="00083276">
        <w:rPr>
          <w:rStyle w:val="FootnoteReference"/>
        </w:rPr>
        <w:footnoteReference w:id="245"/>
      </w:r>
      <w:r w:rsidRPr="00083276">
        <w:t xml:space="preserve"> These business change costs cover activities such as change management and business process changes, providing for additional labour resources to ensure that IT changes are managed and embedded efficiently and effectively.</w:t>
      </w:r>
      <w:r w:rsidRPr="00083276">
        <w:rPr>
          <w:rStyle w:val="FootnoteReference"/>
        </w:rPr>
        <w:footnoteReference w:id="246"/>
      </w:r>
      <w:r w:rsidRPr="00083276">
        <w:t xml:space="preserve"> We have assessed SA Power Networks' forecast non-recurrent IT capex from both a top down portfolio perspective and through a bottom up evaluation of the individual business cases to assess the prudence and efficiency of the proposed capex.</w:t>
      </w:r>
    </w:p>
    <w:p w:rsidR="00083276" w:rsidRPr="00083276" w:rsidRDefault="00083276" w:rsidP="00083276">
      <w:pPr>
        <w:pStyle w:val="HeadingBoldItalic"/>
      </w:pPr>
      <w:r w:rsidRPr="00083276">
        <w:t>IT portfolio review - resourcing and deliverability</w:t>
      </w:r>
    </w:p>
    <w:p w:rsidR="00083276" w:rsidRPr="00083276" w:rsidRDefault="00083276" w:rsidP="00083276">
      <w:r w:rsidRPr="00083276">
        <w:t>SA Power Networks' forecast non-recurrent IT capex of $227.8 million ($2014-15) is an increase of $158.5 million or 229 per cent from actual and expected non-recurrent IT capex in the 2010–2015 regulatory control period.</w:t>
      </w:r>
      <w:r w:rsidRPr="00083276">
        <w:rPr>
          <w:rStyle w:val="FootnoteReference"/>
        </w:rPr>
        <w:footnoteReference w:id="247"/>
      </w:r>
      <w:r w:rsidRPr="00083276">
        <w:t xml:space="preserve"> The proposed portfolio of projects is complex, interrelated, and affects a number of SA Power Networks' core IT systems. The proposed works will have substantial implications for SA Power Networks' ongoing operations, as evidenced by the $45.8 million in business change costs included in the program. SA Power Networks proposes to implement these wide ranging business and system changes largely within a five year regulatory control period.</w:t>
      </w:r>
      <w:r w:rsidRPr="00083276">
        <w:rPr>
          <w:rStyle w:val="FootnoteReference"/>
        </w:rPr>
        <w:footnoteReference w:id="248"/>
      </w:r>
      <w:r w:rsidRPr="00083276">
        <w:t xml:space="preserve"> We have therefore considered whether such a large scale and complex portfolio of IT investment is likely to reflect the costs of a prudent operator with respect to the deliverability and resourcing requirements of the program.</w:t>
      </w:r>
    </w:p>
    <w:p w:rsidR="00083276" w:rsidRPr="00083276" w:rsidRDefault="00083276" w:rsidP="00083276">
      <w:r w:rsidRPr="00083276">
        <w:lastRenderedPageBreak/>
        <w:t>SA Power Networks' proposal reflects its IT strategy to establish an integrated 'end state' approach to investments in data, systems, processes and people.</w:t>
      </w:r>
      <w:r w:rsidRPr="00083276">
        <w:rPr>
          <w:rStyle w:val="FootnoteReference"/>
        </w:rPr>
        <w:footnoteReference w:id="249"/>
      </w:r>
      <w:r w:rsidRPr="00083276">
        <w:t xml:space="preserve"> Based on this strategy SA Power Networks is seeking to implement a set of interrelated IT and business changes impacting on a wide range of core IT systems and business processes. SA Power Networks submitted that its IT capex program is required in order to:</w:t>
      </w:r>
      <w:r w:rsidRPr="00083276">
        <w:rPr>
          <w:rStyle w:val="FootnoteReference"/>
        </w:rPr>
        <w:footnoteReference w:id="250"/>
      </w:r>
    </w:p>
    <w:p w:rsidR="00083276" w:rsidRPr="00083276" w:rsidRDefault="00083276" w:rsidP="00083276">
      <w:pPr>
        <w:pStyle w:val="AERbulletlistfirststyle"/>
      </w:pPr>
      <w:r w:rsidRPr="00083276">
        <w:t>manage lifecycle changes of core systems</w:t>
      </w:r>
    </w:p>
    <w:p w:rsidR="00083276" w:rsidRPr="00083276" w:rsidRDefault="00083276" w:rsidP="00083276">
      <w:pPr>
        <w:pStyle w:val="AERbulletlistfirststyle"/>
      </w:pPr>
      <w:r w:rsidRPr="00083276">
        <w:t>enable regulatory and legal compliance</w:t>
      </w:r>
    </w:p>
    <w:p w:rsidR="00083276" w:rsidRPr="00083276" w:rsidRDefault="00083276" w:rsidP="00083276">
      <w:pPr>
        <w:pStyle w:val="AERbulletlistfirststyle"/>
      </w:pPr>
      <w:r w:rsidRPr="00083276">
        <w:t>move towards cost-reflective pricing tariffs and respond to changing customer preferences</w:t>
      </w:r>
    </w:p>
    <w:p w:rsidR="00083276" w:rsidRPr="00083276" w:rsidRDefault="00083276" w:rsidP="00083276">
      <w:pPr>
        <w:pStyle w:val="AERbulletlistfirststyle"/>
      </w:pPr>
      <w:r w:rsidRPr="00083276">
        <w:t>drive efficiencies across the business</w:t>
      </w:r>
    </w:p>
    <w:p w:rsidR="00083276" w:rsidRPr="00083276" w:rsidRDefault="00083276" w:rsidP="00083276">
      <w:pPr>
        <w:pStyle w:val="AERbulletlistfirststyle"/>
      </w:pPr>
      <w:r w:rsidRPr="00083276">
        <w:t>maintain current levels of service and manage risks.</w:t>
      </w:r>
    </w:p>
    <w:p w:rsidR="00083276" w:rsidRPr="00083276" w:rsidRDefault="00083276" w:rsidP="00083276">
      <w:r w:rsidRPr="00083276">
        <w:t xml:space="preserve">This is the largest portfolio of IT capital investments planned by SA Power Networks in the past 20 years, as shown in </w:t>
      </w:r>
      <w:fldSimple w:instr=" REF  _Ref414614912 ">
        <w:r w:rsidR="00F02131">
          <w:t xml:space="preserve">Figure </w:t>
        </w:r>
        <w:r w:rsidR="00F02131">
          <w:rPr>
            <w:noProof/>
          </w:rPr>
          <w:t>B</w:t>
        </w:r>
        <w:r w:rsidR="00F02131">
          <w:noBreakHyphen/>
        </w:r>
        <w:r w:rsidR="00F02131">
          <w:rPr>
            <w:noProof/>
          </w:rPr>
          <w:t>17</w:t>
        </w:r>
      </w:fldSimple>
      <w:r w:rsidRPr="00083276">
        <w:t xml:space="preserve"> below. Including business change costs, the forecast is more than three times the size of the non-recurrent IT capex program delivered in the 2010–2015 regulatory control period. In our view, the sheer scale and complexity of the portfolio of works is likely to present deliverability risks for the non-recurrent IT capex program.</w:t>
      </w:r>
    </w:p>
    <w:p w:rsidR="00083276" w:rsidRPr="00083276" w:rsidRDefault="00EB78CC" w:rsidP="00EB78CC">
      <w:pPr>
        <w:pStyle w:val="Caption"/>
      </w:pPr>
      <w:bookmarkStart w:id="166" w:name="_Ref414614912"/>
      <w:r>
        <w:t xml:space="preserve">Figure </w:t>
      </w:r>
      <w:fldSimple w:instr=" STYLEREF 7 \s ">
        <w:r w:rsidR="00F02131">
          <w:rPr>
            <w:noProof/>
          </w:rPr>
          <w:t>B</w:t>
        </w:r>
      </w:fldSimple>
      <w:r>
        <w:noBreakHyphen/>
      </w:r>
      <w:fldSimple w:instr=" SEQ AFigure \* ARABIC \s 7 ">
        <w:r w:rsidR="00F02131">
          <w:rPr>
            <w:noProof/>
          </w:rPr>
          <w:t>17</w:t>
        </w:r>
      </w:fldSimple>
      <w:bookmarkEnd w:id="166"/>
      <w:r w:rsidR="00083276" w:rsidRPr="00083276">
        <w:tab/>
        <w:t>SA Power Networks' IT investment drivers and lifecycle stages</w:t>
      </w:r>
    </w:p>
    <w:p w:rsidR="00083276" w:rsidRPr="00083276" w:rsidRDefault="00083276" w:rsidP="00083276">
      <w:r w:rsidRPr="00083276">
        <w:rPr>
          <w:noProof/>
          <w:lang w:eastAsia="en-AU"/>
        </w:rPr>
        <w:drawing>
          <wp:inline distT="0" distB="0" distL="0" distR="0" wp14:anchorId="06F91432" wp14:editId="1C887664">
            <wp:extent cx="5353050" cy="24096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4631" cy="2410394"/>
                    </a:xfrm>
                    <a:prstGeom prst="rect">
                      <a:avLst/>
                    </a:prstGeom>
                    <a:noFill/>
                    <a:ln>
                      <a:noFill/>
                    </a:ln>
                  </pic:spPr>
                </pic:pic>
              </a:graphicData>
            </a:graphic>
          </wp:inline>
        </w:drawing>
      </w:r>
    </w:p>
    <w:p w:rsidR="00083276" w:rsidRPr="00083276" w:rsidRDefault="00083276" w:rsidP="00083276">
      <w:pPr>
        <w:pStyle w:val="AERtablesource"/>
      </w:pPr>
      <w:r w:rsidRPr="00083276">
        <w:t xml:space="preserve">Source: SA Power Networks, </w:t>
      </w:r>
      <w:r w:rsidRPr="00083276">
        <w:rPr>
          <w:rStyle w:val="AERtextitalic"/>
        </w:rPr>
        <w:t>Attachment 20.43 - IT Sourcing and Resourcing Plan 2015-20</w:t>
      </w:r>
      <w:r w:rsidRPr="00083276">
        <w:t>, 20 October 2014, p. 6.</w:t>
      </w:r>
    </w:p>
    <w:p w:rsidR="00083276" w:rsidRPr="00083276" w:rsidRDefault="00083276" w:rsidP="00083276">
      <w:r w:rsidRPr="00083276">
        <w:lastRenderedPageBreak/>
        <w:t>SA Power Networks' actual IT capex in the 2010–2015 regulatory control period was itself a substantial increase on IT capex in the 2005–2010 regulatory control period. SA Power Networks stated that over the 2010–2015 regulatory control period, its IT function was challenged by the significant increase in demand for IT services and the focus on IT as a means for improving business outcomes:</w:t>
      </w:r>
      <w:r w:rsidRPr="00083276">
        <w:rPr>
          <w:rStyle w:val="FootnoteReference"/>
        </w:rPr>
        <w:footnoteReference w:id="251"/>
      </w:r>
      <w:r w:rsidRPr="00083276">
        <w:t xml:space="preserve">  </w:t>
      </w:r>
    </w:p>
    <w:p w:rsidR="00083276" w:rsidRPr="00083276" w:rsidRDefault="00083276" w:rsidP="00083276">
      <w:pPr>
        <w:pStyle w:val="AERquote"/>
      </w:pPr>
      <w:r w:rsidRPr="00083276">
        <w:t>The gap between the capabilities required to meet the demand, and the SA Power Networks IT operating model became increasingly evident, culminating in the creation of an IT Transformation program in 2013.</w:t>
      </w:r>
    </w:p>
    <w:p w:rsidR="00083276" w:rsidRPr="00083276" w:rsidRDefault="00083276" w:rsidP="00083276">
      <w:r w:rsidRPr="00083276">
        <w:t>SA Power Networks submitted an IT sourcing and resourcing plan. This provides an estimate of the resources required to deliver the forecast IT capex program, accompanied by a broad discussion on the type of sourcing to be employed.</w:t>
      </w:r>
      <w:r w:rsidRPr="00083276">
        <w:rPr>
          <w:rStyle w:val="FootnoteReference"/>
        </w:rPr>
        <w:footnoteReference w:id="252"/>
      </w:r>
      <w:r w:rsidRPr="00083276">
        <w:t xml:space="preserve"> </w:t>
      </w:r>
    </w:p>
    <w:p w:rsidR="00083276" w:rsidRPr="00083276" w:rsidRDefault="00083276" w:rsidP="00083276">
      <w:r w:rsidRPr="00083276">
        <w:t>In relation to delivering the forecast IT capex, SA Power Networks stated that this will require the IT function to operate in new and more effective ways to deliver an increased level of work within the timeframes that the business requires the new functionality.</w:t>
      </w:r>
      <w:r w:rsidRPr="00083276">
        <w:rPr>
          <w:rStyle w:val="FootnoteReference"/>
        </w:rPr>
        <w:footnoteReference w:id="253"/>
      </w:r>
      <w:r w:rsidRPr="00083276">
        <w:t xml:space="preserve"> Further, SA Power Networks acknowledged that the resource requirements derived from the 2015-</w:t>
      </w:r>
      <w:r w:rsidR="00E72826">
        <w:t>20</w:t>
      </w:r>
      <w:r w:rsidRPr="00083276">
        <w:t xml:space="preserve"> regulatory control period forecast are significant in comparison to historical demand.</w:t>
      </w:r>
      <w:r w:rsidRPr="00083276">
        <w:rPr>
          <w:rStyle w:val="FootnoteReference"/>
        </w:rPr>
        <w:footnoteReference w:id="254"/>
      </w:r>
    </w:p>
    <w:p w:rsidR="00083276" w:rsidRPr="00083276" w:rsidRDefault="00083276" w:rsidP="00083276">
      <w:r w:rsidRPr="00083276">
        <w:t>SA Power Networks has estimated that delivering the IT capex program will require between 169 and 210 full time equivalent (FTE) resources over the 2015–</w:t>
      </w:r>
      <w:r w:rsidR="00E72826">
        <w:t>20</w:t>
      </w:r>
      <w:r w:rsidRPr="00083276">
        <w:t xml:space="preserve"> regulatory control period. This represents an increase of 90 FTEs in one year from 2014-15 to 2015-16.</w:t>
      </w:r>
      <w:r w:rsidRPr="00083276">
        <w:rPr>
          <w:rStyle w:val="FootnoteReference"/>
        </w:rPr>
        <w:footnoteReference w:id="255"/>
      </w:r>
      <w:r w:rsidRPr="00083276">
        <w:t xml:space="preserve"> </w:t>
      </w:r>
    </w:p>
    <w:p w:rsidR="00083276" w:rsidRPr="00083276" w:rsidRDefault="00083276" w:rsidP="00083276">
      <w:r w:rsidRPr="00083276">
        <w:t xml:space="preserve">SA Power Networks has proposed to source the additional resources required to deliver the IT capex program from outsourced </w:t>
      </w:r>
      <w:r w:rsidR="00F456A9">
        <w:t>distributor</w:t>
      </w:r>
      <w:r w:rsidRPr="00083276">
        <w:t>s through its IT Services Panel. Given that SA Power Networks' IT capex program has historically been delivered almost entirely 'in-house',</w:t>
      </w:r>
      <w:r w:rsidRPr="00083276">
        <w:rPr>
          <w:rStyle w:val="FootnoteReference"/>
        </w:rPr>
        <w:footnoteReference w:id="256"/>
      </w:r>
      <w:r w:rsidRPr="00083276">
        <w:t xml:space="preserve"> this represents a significantly increased reliance on outsourced resources. SA Power Networks has forecast the proportion of outsourced FTEs used to deliver the IT capex program will increase from 5 per cent in 2013-14 to 47 per cent in 2014-15 and peak at 65 per cent in 2015-16.</w:t>
      </w:r>
      <w:r w:rsidRPr="00083276">
        <w:rPr>
          <w:rStyle w:val="FootnoteReference"/>
        </w:rPr>
        <w:footnoteReference w:id="257"/>
      </w:r>
      <w:r w:rsidRPr="00083276">
        <w:t xml:space="preserve"> In total, SA Power Networks has proposed to outsource the delivery of 63 per cent of the total IT capex program over the 2015–</w:t>
      </w:r>
      <w:r w:rsidR="00E72826">
        <w:t>20</w:t>
      </w:r>
      <w:r w:rsidRPr="00083276">
        <w:t xml:space="preserve"> regulatory control period. This compares to the mean level of IT outsourcing for Australian utilities in 2013, for both capital and operational roles, of 24 per cent.</w:t>
      </w:r>
      <w:r w:rsidRPr="00083276">
        <w:rPr>
          <w:rStyle w:val="FootnoteReference"/>
        </w:rPr>
        <w:footnoteReference w:id="258"/>
      </w:r>
    </w:p>
    <w:p w:rsidR="00083276" w:rsidRPr="00083276" w:rsidRDefault="00083276" w:rsidP="00083276">
      <w:r w:rsidRPr="00083276">
        <w:lastRenderedPageBreak/>
        <w:t>SA Power Networks' IT investment plan also covers aspects of SA Power Networks' delivery model including IT sourcing, vendor risk and performance management, the IT operating model, and IT delivery, management and governance.</w:t>
      </w:r>
      <w:r w:rsidRPr="00083276">
        <w:rPr>
          <w:rStyle w:val="FootnoteReference"/>
        </w:rPr>
        <w:footnoteReference w:id="259"/>
      </w:r>
      <w:r w:rsidRPr="00083276">
        <w:t xml:space="preserve"> SA Power Networks has restructured its IT services, altered governance arrangements as well as its </w:t>
      </w:r>
      <w:r w:rsidR="00F456A9">
        <w:t>distributor</w:t>
      </w:r>
      <w:r w:rsidRPr="00083276">
        <w:t xml:space="preserve"> supply model, and has defined the extent of resources it will require to undertake the proposed program of work. However, based on our review, it has not provided evidence that shows:</w:t>
      </w:r>
    </w:p>
    <w:p w:rsidR="00083276" w:rsidRPr="00083276" w:rsidRDefault="00083276" w:rsidP="00083276">
      <w:pPr>
        <w:pStyle w:val="AERbulletlistfirststyle"/>
      </w:pPr>
      <w:r w:rsidRPr="00083276">
        <w:t>how it will be able to leverage these arrangements to deliver such an extensive program in a short period of time</w:t>
      </w:r>
    </w:p>
    <w:p w:rsidR="00083276" w:rsidRPr="00083276" w:rsidRDefault="00083276" w:rsidP="00083276">
      <w:pPr>
        <w:pStyle w:val="AERbulletlistfirststyle"/>
      </w:pPr>
      <w:r w:rsidRPr="00083276">
        <w:t>whether it has the capability to manage and accommodate the extent of changes required over this period while also maintaining business as usual operations,</w:t>
      </w:r>
    </w:p>
    <w:p w:rsidR="00083276" w:rsidRPr="00083276" w:rsidRDefault="00083276" w:rsidP="00083276">
      <w:r w:rsidRPr="00083276">
        <w:t>such that it will be able to expend the forecast capex in an efficient and prudent way over the 2015–</w:t>
      </w:r>
      <w:r w:rsidR="00E72826">
        <w:t>20</w:t>
      </w:r>
      <w:r w:rsidRPr="00083276">
        <w:t xml:space="preserve"> regulatory control period.</w:t>
      </w:r>
    </w:p>
    <w:p w:rsidR="00083276" w:rsidRPr="00083276" w:rsidRDefault="00083276" w:rsidP="00083276">
      <w:r w:rsidRPr="00083276">
        <w:t>For example, in 2011 external consultancy Solisma undertook a review of SA Power Networks' management of IT functions and delivery of IT services. This review assessed the efficacy of SA Power Networks' IT service management capability, measured by a capability maturity model. Solisma found that:</w:t>
      </w:r>
      <w:r w:rsidRPr="00083276">
        <w:rPr>
          <w:rStyle w:val="FootnoteReference"/>
        </w:rPr>
        <w:footnoteReference w:id="260"/>
      </w:r>
    </w:p>
    <w:p w:rsidR="00083276" w:rsidRPr="00083276" w:rsidRDefault="00083276" w:rsidP="00083276">
      <w:pPr>
        <w:pStyle w:val="AERquote"/>
      </w:pPr>
      <w:r w:rsidRPr="00083276">
        <w:t xml:space="preserve">“…overall ISO/IEC 20000 process compliance was measured to be at 45%, with ITIL process maturity measured at 2.1 out of a maximum level of 5; this is less than ideal… targets should be of at least 80% and level 3.0 maturity overall.” </w:t>
      </w:r>
    </w:p>
    <w:p w:rsidR="00083276" w:rsidRPr="00083276" w:rsidRDefault="00083276" w:rsidP="00083276">
      <w:r w:rsidRPr="00083276">
        <w:t>SA Power Networks is now targeting a capability maturity rating of 4. However, its current assessment is that, while this rating has improved since 2011, it would not exceed 2.5 overall at this time.</w:t>
      </w:r>
      <w:r w:rsidRPr="00083276">
        <w:rPr>
          <w:rStyle w:val="FootnoteReference"/>
        </w:rPr>
        <w:footnoteReference w:id="261"/>
      </w:r>
      <w:r w:rsidRPr="00083276">
        <w:t xml:space="preserve"> In our view, this suggests that SA Power Networks' current IT service management capability is relatively immature and may struggle to deliver the proposed IT capital program in the timeframe proposed while also changing the way in which the IT function is resourced and maintaining ongoing IT operations.</w:t>
      </w:r>
    </w:p>
    <w:p w:rsidR="00083276" w:rsidRPr="00083276" w:rsidRDefault="00083276" w:rsidP="00083276">
      <w:r w:rsidRPr="00083276">
        <w:t>Despite the analysis presented by SA Power Networks of the number of resources required, in our view the question of the specific skills required, and the timely availability of these skills and resources is not clear from the information provided. Furthermore, SA Power Networks has not addressed how it will be able to draw all these resources and skills together to successfully deliver the proposed outcomes in the timeframe proposed.</w:t>
      </w:r>
    </w:p>
    <w:p w:rsidR="00083276" w:rsidRPr="00083276" w:rsidRDefault="00083276" w:rsidP="00083276">
      <w:r w:rsidRPr="00083276">
        <w:lastRenderedPageBreak/>
        <w:t>In our view, the observations set out above suggest a significant level of risk associated with SA Power Networks' ability to deliver the proposed non-recurrent IT capex program. This includes risks that:</w:t>
      </w:r>
    </w:p>
    <w:p w:rsidR="00083276" w:rsidRPr="00083276" w:rsidRDefault="00083276" w:rsidP="00083276">
      <w:pPr>
        <w:pStyle w:val="AERbulletlistfirststyle"/>
      </w:pPr>
      <w:r w:rsidRPr="00083276">
        <w:t>the program may be delayed or costs increase</w:t>
      </w:r>
    </w:p>
    <w:p w:rsidR="00083276" w:rsidRPr="00083276" w:rsidRDefault="00083276" w:rsidP="00083276">
      <w:pPr>
        <w:pStyle w:val="AERbulletlistfirststyle"/>
      </w:pPr>
      <w:r w:rsidRPr="00083276">
        <w:t>necessary resources may be difficult to obtain and utilise efficiently in a timely way</w:t>
      </w:r>
    </w:p>
    <w:p w:rsidR="00083276" w:rsidRPr="00083276" w:rsidRDefault="00083276" w:rsidP="00083276">
      <w:pPr>
        <w:pStyle w:val="AERbulletlistfirststyle"/>
      </w:pPr>
      <w:r w:rsidRPr="00083276">
        <w:t>identified benefits may not be realised</w:t>
      </w:r>
    </w:p>
    <w:p w:rsidR="00083276" w:rsidRPr="00083276" w:rsidRDefault="00083276" w:rsidP="00083276">
      <w:pPr>
        <w:pStyle w:val="AERbulletlistfirststyle"/>
      </w:pPr>
      <w:r w:rsidRPr="00083276">
        <w:t>business and process changes may prove difficult or take longer to implement.</w:t>
      </w:r>
    </w:p>
    <w:p w:rsidR="00083276" w:rsidRPr="00083276" w:rsidRDefault="00083276" w:rsidP="00083276">
      <w:r w:rsidRPr="00083276">
        <w:t>The Consumer Challenge Panel (CCP) reached a similar conclusion in its submission on SA Power Networks' regulatory proposal. The CCP submitted that, while it seems SA Power Networks' IT plans are well developed, the sheer volume of additional projects would not only require additional resources but would be high risk to the business.</w:t>
      </w:r>
      <w:r w:rsidRPr="00083276">
        <w:rPr>
          <w:rStyle w:val="FootnoteReference"/>
        </w:rPr>
        <w:footnoteReference w:id="262"/>
      </w:r>
    </w:p>
    <w:p w:rsidR="00083276" w:rsidRPr="00083276" w:rsidRDefault="00083276" w:rsidP="00083276">
      <w:r w:rsidRPr="00083276">
        <w:t>Based on our review, we are not satisfied that SA Power Networks' non-recurrent IT capex program is prudent, or that SA Power Networks is likely to deliver the full program in the 2015–</w:t>
      </w:r>
      <w:r w:rsidR="00E72826">
        <w:t>20</w:t>
      </w:r>
      <w:r w:rsidRPr="00083276">
        <w:t xml:space="preserve"> regulatory control period as proposed. This view is based on our assessment of the information provided by SA Power Networks and reflects our conclusions that: </w:t>
      </w:r>
    </w:p>
    <w:p w:rsidR="00083276" w:rsidRPr="00083276" w:rsidRDefault="00083276" w:rsidP="00083276">
      <w:pPr>
        <w:pStyle w:val="AERbulletlistfirststyle"/>
      </w:pPr>
      <w:r w:rsidRPr="00083276">
        <w:t xml:space="preserve">the proposed program is a large scale, complex and interdependent program of works which impacts broadly across core IT systems and business processes </w:t>
      </w:r>
    </w:p>
    <w:p w:rsidR="00083276" w:rsidRPr="00083276" w:rsidRDefault="00083276" w:rsidP="00083276">
      <w:pPr>
        <w:pStyle w:val="AERbulletlistfirststyle"/>
      </w:pPr>
      <w:r w:rsidRPr="00083276">
        <w:t>the program is to be delivered in a relatively short timeframe for such a complex portfolio of works</w:t>
      </w:r>
    </w:p>
    <w:p w:rsidR="00083276" w:rsidRPr="00083276" w:rsidRDefault="00083276" w:rsidP="00083276">
      <w:pPr>
        <w:pStyle w:val="AERbulletlistfirststyle"/>
      </w:pPr>
      <w:r w:rsidRPr="00083276">
        <w:t>SA Power Networks' IT service management capability is, at present, relatively immature</w:t>
      </w:r>
    </w:p>
    <w:p w:rsidR="00083276" w:rsidRPr="00083276" w:rsidRDefault="00083276" w:rsidP="00083276">
      <w:pPr>
        <w:pStyle w:val="AERbulletlistfirststyle"/>
      </w:pPr>
      <w:r w:rsidRPr="00083276">
        <w:t>SA Power Networks' proposal to substantially increase its use of outsourced resources to deliver 63 per cent of the IT capex program presents delivery risks given SA Power Networks has not previously applied this level of outsourced service delivery in the IT area</w:t>
      </w:r>
    </w:p>
    <w:p w:rsidR="00083276" w:rsidRPr="00083276" w:rsidRDefault="00083276" w:rsidP="00083276">
      <w:pPr>
        <w:pStyle w:val="AERbulletlistfirststyle"/>
      </w:pPr>
      <w:r w:rsidRPr="00083276">
        <w:t>the risks to the successful delivery of this program in the timeframe proposed, in terms of resourcing, implementation, business process changes and the realisation of benefits, appear high</w:t>
      </w:r>
    </w:p>
    <w:p w:rsidR="00083276" w:rsidRPr="00083276" w:rsidRDefault="00083276" w:rsidP="00083276">
      <w:pPr>
        <w:pStyle w:val="AERbulletlistfirststyle"/>
      </w:pPr>
      <w:r w:rsidRPr="00083276">
        <w:t xml:space="preserve">in our view, a prudent operator would undertake such a portfolio of work over a longer timeframe to reduce delivery and resourcing risk. </w:t>
      </w:r>
    </w:p>
    <w:p w:rsidR="00083276" w:rsidRPr="00083276" w:rsidRDefault="00083276" w:rsidP="00083276">
      <w:pPr>
        <w:pStyle w:val="HeadingBoldItalic"/>
      </w:pPr>
      <w:r w:rsidRPr="00083276">
        <w:t>Business case review</w:t>
      </w:r>
    </w:p>
    <w:p w:rsidR="00083276" w:rsidRPr="00083276" w:rsidRDefault="00083276" w:rsidP="00083276">
      <w:r w:rsidRPr="00083276">
        <w:t xml:space="preserve">Each non-recurrent IT capex project outlined in SA Power Networks' regulatory proposal is supported by a business case setting out the estimated costs, options </w:t>
      </w:r>
      <w:r w:rsidRPr="00083276">
        <w:lastRenderedPageBreak/>
        <w:t>analysis, cost-benefit analysis and justification for the preferred option.</w:t>
      </w:r>
      <w:r w:rsidRPr="00083276">
        <w:rPr>
          <w:rStyle w:val="FootnoteReference"/>
        </w:rPr>
        <w:footnoteReference w:id="263"/>
      </w:r>
      <w:r w:rsidRPr="00083276">
        <w:t xml:space="preserve"> SA Power Networks' business cases summarise the need, timing and scope of the proposed non-recurrent IT capex projects. Typically, the business cases consider a range of investment options, including the 'do-nothing' option, and evaluate the costs, benefits and risks of each.</w:t>
      </w:r>
    </w:p>
    <w:p w:rsidR="00083276" w:rsidRPr="00083276" w:rsidRDefault="00083276" w:rsidP="00083276">
      <w:r w:rsidRPr="00083276">
        <w:t>SA Power Networks engaged KPMG to review its methodology and approach to developing its IT capex and opex forecasts for the 2015–</w:t>
      </w:r>
      <w:r w:rsidR="00E72826">
        <w:t>20</w:t>
      </w:r>
      <w:r w:rsidRPr="00083276">
        <w:t xml:space="preserve"> regulatory control period. This included a review of a sample of the non-recurrent IT capex business cases. KPMG provided a positive assessment of SA Power Networks' IT governance and forecasting methodology.</w:t>
      </w:r>
      <w:r w:rsidRPr="00083276">
        <w:rPr>
          <w:rStyle w:val="FootnoteReference"/>
        </w:rPr>
        <w:footnoteReference w:id="264"/>
      </w:r>
      <w:r w:rsidRPr="00083276">
        <w:t xml:space="preserve"> However, KPMG identified a number of concerns in relation to the economic justification of the forecast IT capex, including that:</w:t>
      </w:r>
    </w:p>
    <w:p w:rsidR="00083276" w:rsidRPr="00083276" w:rsidRDefault="00083276" w:rsidP="00083276">
      <w:pPr>
        <w:pStyle w:val="AERbulletlistfirststyle"/>
      </w:pPr>
      <w:r w:rsidRPr="00083276">
        <w:t>SA Power Networks had used a number of regulatory obligation changes, such as RIN, Power of Choice and contestable metering changes, as justification within the IT investment plan when some of these are yet to be mandated</w:t>
      </w:r>
      <w:r w:rsidRPr="00083276">
        <w:rPr>
          <w:rStyle w:val="FootnoteReference"/>
        </w:rPr>
        <w:footnoteReference w:id="265"/>
      </w:r>
    </w:p>
    <w:p w:rsidR="00083276" w:rsidRPr="00083276" w:rsidRDefault="00083276" w:rsidP="00083276">
      <w:pPr>
        <w:pStyle w:val="AERbulletlistfirststyle"/>
      </w:pPr>
      <w:r w:rsidRPr="00083276">
        <w:t>the economic justifications for the planned expenditure increase do not comprehensively support the investments on an NPV basis, though they have been supported by strong risk analysis justifications</w:t>
      </w:r>
      <w:r w:rsidRPr="00083276">
        <w:rPr>
          <w:rStyle w:val="FootnoteReference"/>
        </w:rPr>
        <w:footnoteReference w:id="266"/>
      </w:r>
    </w:p>
    <w:p w:rsidR="00083276" w:rsidRPr="00083276" w:rsidRDefault="00083276" w:rsidP="00083276">
      <w:pPr>
        <w:pStyle w:val="AERbulletlistfirststyle"/>
      </w:pPr>
      <w:r w:rsidRPr="00083276">
        <w:t>while SA Power Networks' IT capex per customer in 2013 was below the industry average, SA Power Networks' forecast IT capex per customer in the 2015–</w:t>
      </w:r>
      <w:r w:rsidR="00E72826">
        <w:t>20</w:t>
      </w:r>
      <w:r w:rsidRPr="00083276">
        <w:t xml:space="preserve"> regulatory control period will be well above (two to three times) the 2013 industry mean.</w:t>
      </w:r>
      <w:r w:rsidRPr="00083276">
        <w:rPr>
          <w:rStyle w:val="FootnoteReference"/>
        </w:rPr>
        <w:footnoteReference w:id="267"/>
      </w:r>
    </w:p>
    <w:p w:rsidR="00083276" w:rsidRPr="00083276" w:rsidRDefault="00083276" w:rsidP="00083276">
      <w:r w:rsidRPr="00083276">
        <w:t>The Consumer Challenge Panel made a similar argument in its submission regarding SA Power Networks' use of changes in regulatory obligations to justify IT capex projects such as the implementation of back office IT capabilities to handle 'smart ready' meters and new network demand tariffs. The CCP was concerned that government and regulatory decisions on these matters are in flux, as is the timing of implementation. Given this uncertainty, the CCP considered we should not provide an ex ante allowance for SA Power Networks' proposed IT capex relating to these potential market developments.</w:t>
      </w:r>
      <w:r w:rsidRPr="00083276">
        <w:rPr>
          <w:rStyle w:val="FootnoteReference"/>
        </w:rPr>
        <w:footnoteReference w:id="268"/>
      </w:r>
      <w:r w:rsidRPr="00083276">
        <w:t xml:space="preserve"> </w:t>
      </w:r>
    </w:p>
    <w:p w:rsidR="00083276" w:rsidRPr="00083276" w:rsidRDefault="00083276" w:rsidP="00083276">
      <w:r w:rsidRPr="00083276">
        <w:lastRenderedPageBreak/>
        <w:t>We reviewed the business cases submitted by SA Power Networks in support of its proposed non-recurrent IT capex projects, to assess whether the forecast capex reflects the efficient costs that a prudent operator would incur.</w:t>
      </w:r>
      <w:r w:rsidRPr="00083276">
        <w:rPr>
          <w:rStyle w:val="FootnoteReference"/>
        </w:rPr>
        <w:footnoteReference w:id="269"/>
      </w:r>
      <w:r w:rsidRPr="00083276">
        <w:t xml:space="preserve"> </w:t>
      </w:r>
    </w:p>
    <w:p w:rsidR="00083276" w:rsidRPr="00083276" w:rsidRDefault="00083276" w:rsidP="00083276">
      <w:r w:rsidRPr="00083276">
        <w:t>In our view, and based on the information provided, we consider that SA Power Networks' non-recurrent IT capex business cases do not provide a strong economic justification for the forecast capex. Typically, individual projects provide few tangible benefits relative to forecast costs, and are not economically justified. For the 24 non-recurrent IT capex projects proposed, we found that:</w:t>
      </w:r>
    </w:p>
    <w:p w:rsidR="00083276" w:rsidRPr="00083276" w:rsidRDefault="00083276" w:rsidP="00083276">
      <w:pPr>
        <w:pStyle w:val="AERbulletlistfirststyle"/>
      </w:pPr>
      <w:r w:rsidRPr="00083276">
        <w:t>only two projects provide an economic return (positive NPV)</w:t>
      </w:r>
      <w:r w:rsidRPr="00083276">
        <w:rPr>
          <w:rStyle w:val="FootnoteReference"/>
        </w:rPr>
        <w:footnoteReference w:id="270"/>
      </w:r>
      <w:r w:rsidRPr="00083276">
        <w:t xml:space="preserve"> </w:t>
      </w:r>
    </w:p>
    <w:p w:rsidR="00083276" w:rsidRPr="00083276" w:rsidRDefault="00083276" w:rsidP="00083276">
      <w:pPr>
        <w:pStyle w:val="AERbulletlistfirststyle"/>
      </w:pPr>
      <w:r w:rsidRPr="00083276">
        <w:t>the economically preferred (highest NPV) option has been selected for only nine projects</w:t>
      </w:r>
      <w:r w:rsidRPr="00083276">
        <w:rPr>
          <w:rStyle w:val="FootnoteReference"/>
        </w:rPr>
        <w:footnoteReference w:id="271"/>
      </w:r>
    </w:p>
    <w:p w:rsidR="00083276" w:rsidRPr="00083276" w:rsidRDefault="00083276" w:rsidP="00083276">
      <w:pPr>
        <w:pStyle w:val="AERbulletlistfirststyle"/>
      </w:pPr>
      <w:r w:rsidRPr="00083276">
        <w:t>six projects provide no quantifiable benefits in terms of either cost reduction or cost avoidance</w:t>
      </w:r>
      <w:r w:rsidRPr="00083276">
        <w:rPr>
          <w:rStyle w:val="FootnoteReference"/>
        </w:rPr>
        <w:footnoteReference w:id="272"/>
      </w:r>
    </w:p>
    <w:p w:rsidR="00083276" w:rsidRPr="00083276" w:rsidRDefault="00083276" w:rsidP="00083276">
      <w:pPr>
        <w:pStyle w:val="AERbulletlistfirststyle"/>
      </w:pPr>
      <w:r w:rsidRPr="00083276">
        <w:t>in some cases, SA Power Networks' options analysis appears to inflate the cost of the 'do nothing' option through an assumption that improved capability is required and the IT project will therefore avoid future costs associated with providing that improved capability</w:t>
      </w:r>
    </w:p>
    <w:p w:rsidR="00083276" w:rsidRPr="00083276" w:rsidRDefault="00083276" w:rsidP="00083276">
      <w:pPr>
        <w:pStyle w:val="AERbulletlistfirststyle"/>
      </w:pPr>
      <w:r w:rsidRPr="00083276">
        <w:t>while the customer information system (CIS) replacement project is likely to be required in the 2015–</w:t>
      </w:r>
      <w:r w:rsidR="00E72826">
        <w:t>20</w:t>
      </w:r>
      <w:r w:rsidRPr="00083276">
        <w:t xml:space="preserve"> regulatory control period, most projects are wholly or partially discretionary in nature and are not required to maintain service levels. This point was also made by Business SA, which considered the bulk of SA Power Networks' IT capex forecast to be discretionary</w:t>
      </w:r>
      <w:r w:rsidRPr="00083276">
        <w:rPr>
          <w:rStyle w:val="FootnoteReference"/>
        </w:rPr>
        <w:footnoteReference w:id="273"/>
      </w:r>
    </w:p>
    <w:p w:rsidR="00083276" w:rsidRPr="00083276" w:rsidRDefault="00083276" w:rsidP="00083276">
      <w:pPr>
        <w:pStyle w:val="AERbulletlistfirststyle"/>
      </w:pPr>
      <w:r w:rsidRPr="00083276">
        <w:t>projects driven by efficiency comprise 13 per cent of the forecast non-recurrent IT capex but provide 35 per cent of all identified tangible benefits</w:t>
      </w:r>
      <w:r w:rsidRPr="00083276">
        <w:rPr>
          <w:rStyle w:val="FootnoteReference"/>
        </w:rPr>
        <w:footnoteReference w:id="274"/>
      </w:r>
      <w:r w:rsidRPr="00083276">
        <w:t xml:space="preserve"> </w:t>
      </w:r>
    </w:p>
    <w:p w:rsidR="00083276" w:rsidRPr="00083276" w:rsidRDefault="00083276" w:rsidP="00083276">
      <w:pPr>
        <w:pStyle w:val="AERbulletlistfirststyle"/>
      </w:pPr>
      <w:r w:rsidRPr="00083276">
        <w:t>as noted by the EUAA</w:t>
      </w:r>
      <w:r w:rsidRPr="00083276">
        <w:rPr>
          <w:rStyle w:val="FootnoteReference"/>
        </w:rPr>
        <w:footnoteReference w:id="275"/>
      </w:r>
      <w:r w:rsidRPr="00083276">
        <w:t>, the total $62.1 million of tangible benefits identified is low compared to the total proposed costs $227.8 million</w:t>
      </w:r>
    </w:p>
    <w:p w:rsidR="00083276" w:rsidRPr="00083276" w:rsidRDefault="00083276" w:rsidP="00083276">
      <w:pPr>
        <w:pStyle w:val="AERbulletlistfirststyle"/>
      </w:pPr>
      <w:r w:rsidRPr="00083276">
        <w:t>only $25.3 million of benefits, less than half of the benefits identified by SA Power Networks, are realisable through offsets to forecast opex.</w:t>
      </w:r>
      <w:r w:rsidRPr="00083276">
        <w:rPr>
          <w:rStyle w:val="FootnoteReference"/>
        </w:rPr>
        <w:footnoteReference w:id="276"/>
      </w:r>
      <w:r w:rsidRPr="00083276">
        <w:t xml:space="preserve"> Business SA </w:t>
      </w:r>
      <w:r w:rsidRPr="00083276">
        <w:lastRenderedPageBreak/>
        <w:t>submitted that, in general, IT investments should improve the efficiency of operations and be largely offset by other reductions in costs.</w:t>
      </w:r>
      <w:r w:rsidRPr="00083276">
        <w:rPr>
          <w:rStyle w:val="FootnoteReference"/>
        </w:rPr>
        <w:footnoteReference w:id="277"/>
      </w:r>
    </w:p>
    <w:p w:rsidR="00083276" w:rsidRPr="00083276" w:rsidRDefault="00083276" w:rsidP="00083276">
      <w:pPr>
        <w:pStyle w:val="AERbulletlistfirststyle"/>
      </w:pPr>
      <w:r w:rsidRPr="00083276">
        <w:t>a number of projects are, at least in part, driven by other elements of SA Power Networks' capex and opex forecasts which we have not accepted in this preliminary decision. An example of this is the IT capex related to the rollout of interval meters and increased network monitoring.</w:t>
      </w:r>
      <w:r w:rsidRPr="00083276">
        <w:rPr>
          <w:rStyle w:val="FootnoteReference"/>
        </w:rPr>
        <w:footnoteReference w:id="278"/>
      </w:r>
    </w:p>
    <w:p w:rsidR="00083276" w:rsidRPr="00083276" w:rsidRDefault="00083276" w:rsidP="00083276">
      <w:r w:rsidRPr="00083276">
        <w:t>An economic justification is not the sole basis for proceeding with a capex project, which may be otherwise necessary to meet the capex objectives of the NER.</w:t>
      </w:r>
      <w:r w:rsidRPr="00083276">
        <w:rPr>
          <w:rStyle w:val="FootnoteReference"/>
        </w:rPr>
        <w:footnoteReference w:id="279"/>
      </w:r>
      <w:r w:rsidRPr="00083276">
        <w:t xml:space="preserve"> For example, a particular capability may be necessary to comply with a regulatory obligation or to maintain the quality, reliability and security of supply. However, in assessing SA Power Networks' forecast of required capex we must be satisfied that the capex reasonably reflects the efficient costs that a prudent operator would require to achieve the capex objectives.</w:t>
      </w:r>
      <w:r w:rsidRPr="00083276">
        <w:rPr>
          <w:rStyle w:val="FootnoteReference"/>
        </w:rPr>
        <w:footnoteReference w:id="280"/>
      </w:r>
      <w:r w:rsidRPr="00083276">
        <w:t xml:space="preserve"> Based on our review, the evidence provided by SA Power Networks across the suite of non-recurrent IT capex business cases does not support this conclusion. </w:t>
      </w:r>
    </w:p>
    <w:p w:rsidR="00083276" w:rsidRPr="00083276" w:rsidRDefault="00083276" w:rsidP="00083276">
      <w:r w:rsidRPr="00083276">
        <w:t>Given the concerns identified above in relation to the economic justification of projects, SA Power Networks' selection of preferred options, the discretionary nature of many projects, and the low level of tangible benefits identified, it is not clear that the forecast non-recurrent IT capex reflects efficient costs or the costs that a prudent operator would incur. In our view, it is likely that a prudent operator would not proceed with some of the proposed non-recurrent IT capex projects in the 2015-</w:t>
      </w:r>
      <w:r w:rsidR="00E72826">
        <w:t>20</w:t>
      </w:r>
      <w:r w:rsidRPr="00083276">
        <w:t xml:space="preserve"> regulatory control period, or would pursue alternative options to meet the identified need. Our alternative estimate of an efficient and prudent forecast for non-re</w:t>
      </w:r>
      <w:r w:rsidR="006A17F7">
        <w:t>current IT capex in the 2015-20</w:t>
      </w:r>
      <w:r w:rsidRPr="00083276">
        <w:t xml:space="preserve"> regulatory control period is set out below. </w:t>
      </w:r>
    </w:p>
    <w:p w:rsidR="00083276" w:rsidRPr="00083276" w:rsidRDefault="00083276" w:rsidP="00083276">
      <w:pPr>
        <w:pStyle w:val="HeadingBoldItalic"/>
      </w:pPr>
      <w:r w:rsidRPr="00083276">
        <w:t>Conclusion</w:t>
      </w:r>
    </w:p>
    <w:p w:rsidR="00083276" w:rsidRPr="00083276" w:rsidRDefault="00083276" w:rsidP="00083276">
      <w:r w:rsidRPr="00083276">
        <w:t>For the reasons set out above, and based on our review of both the total portfolio of non-recurrent IT capex projects and the individual supporting business cases, we are not satisfied that SA Power Networks' non-network IT capex forecast reasonably reflects the efficient costs that prudent operator would require to achieve the capex objectives.</w:t>
      </w:r>
      <w:r w:rsidRPr="00083276">
        <w:rPr>
          <w:rStyle w:val="FootnoteReference"/>
        </w:rPr>
        <w:footnoteReference w:id="281"/>
      </w:r>
      <w:r w:rsidRPr="00083276">
        <w:t xml:space="preserve"> In determining our alternative estimate of non-network IT capex, we have considered the level of investment which is likely to be:</w:t>
      </w:r>
    </w:p>
    <w:p w:rsidR="00083276" w:rsidRPr="00083276" w:rsidRDefault="00083276" w:rsidP="00083276">
      <w:pPr>
        <w:pStyle w:val="AERbulletlistfirststyle"/>
      </w:pPr>
      <w:r w:rsidRPr="00083276">
        <w:t>deliverable, having regard to SA Power Networks' resourcing capacity and historical capex</w:t>
      </w:r>
    </w:p>
    <w:p w:rsidR="00083276" w:rsidRPr="00083276" w:rsidRDefault="00083276" w:rsidP="00083276">
      <w:pPr>
        <w:pStyle w:val="AERbulletlistfirststyle"/>
      </w:pPr>
      <w:r w:rsidRPr="00083276">
        <w:t>prudent, having regard to SA Power Networks' business needs in the 2015–</w:t>
      </w:r>
      <w:r w:rsidR="00E72826">
        <w:t>20</w:t>
      </w:r>
      <w:r w:rsidRPr="00083276">
        <w:t xml:space="preserve"> regulatory control period</w:t>
      </w:r>
    </w:p>
    <w:p w:rsidR="00083276" w:rsidRPr="00083276" w:rsidRDefault="00083276" w:rsidP="00083276">
      <w:pPr>
        <w:pStyle w:val="AERbulletlistfirststyle"/>
      </w:pPr>
      <w:r w:rsidRPr="00083276">
        <w:lastRenderedPageBreak/>
        <w:t>efficient and justifiable, having regard to the economic evaluation of alternative investment options.</w:t>
      </w:r>
    </w:p>
    <w:p w:rsidR="00083276" w:rsidRPr="00083276" w:rsidRDefault="00083276" w:rsidP="00083276">
      <w:r w:rsidRPr="00083276">
        <w:t>We consider that non-network IT capex of $213.6 million ($2014-15) reasonably reflects SA Power Networks' required capex for this category in the 2015–</w:t>
      </w:r>
      <w:r w:rsidR="00E72826">
        <w:t>20</w:t>
      </w:r>
      <w:r w:rsidRPr="00083276">
        <w:t xml:space="preserve"> regulatory control period. This estimate is comprised of:</w:t>
      </w:r>
    </w:p>
    <w:p w:rsidR="00083276" w:rsidRPr="00083276" w:rsidRDefault="00083276" w:rsidP="00083276">
      <w:pPr>
        <w:pStyle w:val="AERbulletlistfirststyle"/>
      </w:pPr>
      <w:r w:rsidRPr="00083276">
        <w:t>recurrent IT capex of $126.0 million ($2014-15), as forecast by SA Power Networks</w:t>
      </w:r>
    </w:p>
    <w:p w:rsidR="00083276" w:rsidRPr="00083276" w:rsidRDefault="00083276" w:rsidP="00083276">
      <w:pPr>
        <w:pStyle w:val="AERbulletlistfirststyle"/>
      </w:pPr>
      <w:r w:rsidRPr="00083276">
        <w:t>non-recurrent IT capex of $87.6 million ($2014-15), reflecting the average level of investment delivered by SA Power Networks across the 2013-14 and 2014-15 years.</w:t>
      </w:r>
    </w:p>
    <w:p w:rsidR="00083276" w:rsidRPr="00083276" w:rsidRDefault="00083276" w:rsidP="00083276">
      <w:r w:rsidRPr="00083276">
        <w:t>This is a reduction of $140.2 million or 40 per cent to SA Power Networks' forecast non-network IT capex. Nonetheless, our estimate provides for an increase of 34 per cent from actual non-network IT capex in the 2010–2015 regulatory control period. This recognises SA Power Networks' historically low levels of IT investment</w:t>
      </w:r>
      <w:r w:rsidRPr="00083276">
        <w:rPr>
          <w:rStyle w:val="FootnoteReference"/>
        </w:rPr>
        <w:footnoteReference w:id="282"/>
      </w:r>
      <w:r w:rsidRPr="00083276">
        <w:t xml:space="preserve"> and current IT asset lifecycle requirements. Importantly, we consider that our revised estimate of non-recurrent IT capex based on SA Power Networks' actual and estimated non-recurrent IT capex in 2013-14 and 2014-15 is:</w:t>
      </w:r>
    </w:p>
    <w:p w:rsidR="00083276" w:rsidRPr="00083276" w:rsidRDefault="00083276" w:rsidP="00083276">
      <w:pPr>
        <w:pStyle w:val="AERbulletlistfirststyle"/>
      </w:pPr>
      <w:r w:rsidRPr="00083276">
        <w:t xml:space="preserve">deliverable, as it: </w:t>
      </w:r>
    </w:p>
    <w:p w:rsidR="00083276" w:rsidRPr="00083276" w:rsidRDefault="00083276" w:rsidP="00083276">
      <w:pPr>
        <w:pStyle w:val="AERbulletlistsecondstyle"/>
      </w:pPr>
      <w:r w:rsidRPr="00083276">
        <w:t>reflects actual and estimated historical capex expected to be delivered by SA Power Networks in the years following its 2013 IT transformation program</w:t>
      </w:r>
    </w:p>
    <w:p w:rsidR="00083276" w:rsidRPr="00083276" w:rsidRDefault="00083276" w:rsidP="00083276">
      <w:pPr>
        <w:pStyle w:val="AERbulletlistsecondstyle"/>
      </w:pPr>
      <w:r w:rsidRPr="00083276">
        <w:t>can be implemented without a further significant increase in SA Power Networks' IT resources.</w:t>
      </w:r>
    </w:p>
    <w:p w:rsidR="00083276" w:rsidRPr="00083276" w:rsidRDefault="00083276" w:rsidP="00083276">
      <w:pPr>
        <w:pStyle w:val="AERbulletlistfirststyle"/>
      </w:pPr>
      <w:r w:rsidRPr="00083276">
        <w:t xml:space="preserve">prudent, as it: </w:t>
      </w:r>
    </w:p>
    <w:p w:rsidR="00083276" w:rsidRPr="00083276" w:rsidRDefault="00083276" w:rsidP="00083276">
      <w:pPr>
        <w:pStyle w:val="AERbulletlistsecondstyle"/>
      </w:pPr>
      <w:r w:rsidRPr="00083276">
        <w:t>provides for a smaller scale, lower risk program of IT system and business changes</w:t>
      </w:r>
    </w:p>
    <w:p w:rsidR="00083276" w:rsidRPr="00083276" w:rsidRDefault="00083276" w:rsidP="00083276">
      <w:pPr>
        <w:pStyle w:val="AERbulletlistsecondstyle"/>
      </w:pPr>
      <w:r w:rsidRPr="00083276">
        <w:t>is sufficient for SA Power Networks to undertake the key, non-discretionary CIS replacement project.</w:t>
      </w:r>
    </w:p>
    <w:p w:rsidR="00083276" w:rsidRPr="00083276" w:rsidRDefault="00083276" w:rsidP="00083276">
      <w:pPr>
        <w:pStyle w:val="AERbulletlistfirststyle"/>
      </w:pPr>
      <w:r w:rsidRPr="00083276">
        <w:t xml:space="preserve">efficient and justifiable, as it: </w:t>
      </w:r>
    </w:p>
    <w:p w:rsidR="00083276" w:rsidRPr="00083276" w:rsidRDefault="00083276" w:rsidP="00083276">
      <w:pPr>
        <w:pStyle w:val="AERbulletlistsecondstyle"/>
      </w:pPr>
      <w:r w:rsidRPr="00083276">
        <w:t>provides scope for SA Power Networks to deliver a number of additional, economically justified projects which will provide tangible benefits to both SA Power Networks and consumers.</w:t>
      </w:r>
    </w:p>
    <w:p w:rsidR="00083276" w:rsidRPr="00083276" w:rsidRDefault="00083276" w:rsidP="00083276">
      <w:r w:rsidRPr="00083276">
        <w:t>In determining our alternative estimate of non-network IT capex, we have not sought to determine which of the 24 proposed non-recurrent IT capex projects SA Power Networks should pursue in the 2015–</w:t>
      </w:r>
      <w:r w:rsidR="00E72826">
        <w:t>20</w:t>
      </w:r>
      <w:r w:rsidRPr="00083276">
        <w:t xml:space="preserve"> regulatory control period. This is a matter for SA Power Networks. Rather, we have sought to estimate a prudent and efficient level of capex that is deliverable in the 2015–</w:t>
      </w:r>
      <w:r w:rsidR="00E72826">
        <w:t>20</w:t>
      </w:r>
      <w:r w:rsidRPr="00083276">
        <w:t xml:space="preserve"> regulatory control period. We are satisfied </w:t>
      </w:r>
      <w:r w:rsidRPr="00083276">
        <w:lastRenderedPageBreak/>
        <w:t>that forecast capex of $213.6 million ($2014-15) reasonably reflects the efficient costs that a prudent operator would require to meet the capex criteria.</w:t>
      </w:r>
      <w:r w:rsidRPr="00083276">
        <w:rPr>
          <w:rStyle w:val="FootnoteReference"/>
        </w:rPr>
        <w:footnoteReference w:id="283"/>
      </w:r>
      <w:r w:rsidRPr="00083276">
        <w:t xml:space="preserve"> We will make an allowance for it in our estimate of total capex for the 2015–</w:t>
      </w:r>
      <w:r w:rsidR="00E72826">
        <w:t>20</w:t>
      </w:r>
      <w:r w:rsidRPr="00083276">
        <w:t xml:space="preserve"> regulatory control period.</w:t>
      </w:r>
    </w:p>
    <w:p w:rsidR="00083276" w:rsidRPr="00083276" w:rsidRDefault="00083276" w:rsidP="00083276">
      <w:pPr>
        <w:pStyle w:val="Heading9"/>
      </w:pPr>
      <w:bookmarkStart w:id="167" w:name="_Toc417725412"/>
      <w:r w:rsidRPr="00083276">
        <w:t>Buildings and property capex</w:t>
      </w:r>
      <w:bookmarkEnd w:id="167"/>
    </w:p>
    <w:p w:rsidR="00083276" w:rsidRPr="00083276" w:rsidRDefault="00083276" w:rsidP="00083276">
      <w:r w:rsidRPr="00083276">
        <w:t>SA Power Networks forecast capex of $111.6 million ($2014-15) for non-network buildings and property projects in the 2015–</w:t>
      </w:r>
      <w:r w:rsidR="00E72826">
        <w:t>20</w:t>
      </w:r>
      <w:r w:rsidRPr="00083276">
        <w:t xml:space="preserve"> regulatory control period. The majority of this expenditure relates to buildings ($107.3 million), with further minor expenditure related to land and easements.</w:t>
      </w:r>
      <w:r w:rsidRPr="00083276">
        <w:rPr>
          <w:rStyle w:val="FootnoteReference"/>
        </w:rPr>
        <w:footnoteReference w:id="284"/>
      </w:r>
      <w:r w:rsidRPr="00083276">
        <w:t xml:space="preserve"> The forecast buildings and property capex represents an increase of 55 per cent above actual and estimated capex in the 2010–2015 regulatory control period.</w:t>
      </w:r>
    </w:p>
    <w:p w:rsidR="00083276" w:rsidRPr="00083276" w:rsidRDefault="00083276" w:rsidP="00083276">
      <w:r w:rsidRPr="00083276">
        <w:t>SA Power Networks submitted that its buildings and property capex forecast is based on a bottom up analysis of requirements, reflecting:</w:t>
      </w:r>
      <w:r w:rsidRPr="00083276">
        <w:rPr>
          <w:rStyle w:val="FootnoteReference"/>
        </w:rPr>
        <w:footnoteReference w:id="285"/>
      </w:r>
    </w:p>
    <w:p w:rsidR="00083276" w:rsidRPr="00083276" w:rsidRDefault="00083276" w:rsidP="00083276">
      <w:pPr>
        <w:pStyle w:val="AERbulletlistfirststyle"/>
      </w:pPr>
      <w:r w:rsidRPr="00083276">
        <w:t>consultation with key internal stakeholders</w:t>
      </w:r>
    </w:p>
    <w:p w:rsidR="00083276" w:rsidRPr="00083276" w:rsidRDefault="00083276" w:rsidP="00083276">
      <w:pPr>
        <w:pStyle w:val="AERbulletlistfirststyle"/>
      </w:pPr>
      <w:r w:rsidRPr="00083276">
        <w:t>analysis of forecast employee growth</w:t>
      </w:r>
    </w:p>
    <w:p w:rsidR="00083276" w:rsidRPr="00083276" w:rsidRDefault="00083276" w:rsidP="00083276">
      <w:pPr>
        <w:pStyle w:val="AERbulletlistfirststyle"/>
      </w:pPr>
      <w:r w:rsidRPr="00083276">
        <w:t>an assessment of each property's location, functionality, condition and compliance</w:t>
      </w:r>
    </w:p>
    <w:p w:rsidR="00083276" w:rsidRPr="00083276" w:rsidRDefault="00083276" w:rsidP="00083276">
      <w:pPr>
        <w:pStyle w:val="AERbulletlistfirststyle"/>
      </w:pPr>
      <w:r w:rsidRPr="00083276">
        <w:t>consideration of relevant options</w:t>
      </w:r>
    </w:p>
    <w:p w:rsidR="00083276" w:rsidRPr="00083276" w:rsidRDefault="00083276" w:rsidP="00083276">
      <w:pPr>
        <w:pStyle w:val="AERbulletlistfirststyle"/>
      </w:pPr>
      <w:r w:rsidRPr="00083276">
        <w:t>preparation of business cases for major projects.</w:t>
      </w:r>
    </w:p>
    <w:p w:rsidR="00083276" w:rsidRPr="00083276" w:rsidRDefault="00083276" w:rsidP="00083276">
      <w:r w:rsidRPr="00083276">
        <w:t>The process used to develop SA Power Networks' forecast buildings and property capex program is summarised in SA Power Networks' strategic property plan, and set out in more detail in the property portfolio review report prepared by MRS Property.</w:t>
      </w:r>
      <w:r w:rsidRPr="00083276">
        <w:rPr>
          <w:rStyle w:val="FootnoteReference"/>
        </w:rPr>
        <w:footnoteReference w:id="286"/>
      </w:r>
      <w:r w:rsidRPr="00083276">
        <w:t xml:space="preserve"> In summary, SA Power Networks developed the buildings and property capex program as follows:</w:t>
      </w:r>
    </w:p>
    <w:p w:rsidR="00083276" w:rsidRPr="00083276" w:rsidRDefault="00083276" w:rsidP="00083276">
      <w:pPr>
        <w:pStyle w:val="AERbulletlistfirststyle"/>
      </w:pPr>
      <w:r w:rsidRPr="00083276">
        <w:t>Phase I ('Blue Sky')—SA Power Networks retained MRS Property to facilitate a workshop for internal SA Power Networks stakeholders examining forecast business operations, staffing and locations. This shaped the strategy to be applied to key commercial and industrial properties in the 2015–</w:t>
      </w:r>
      <w:r w:rsidR="00E72826">
        <w:t>20</w:t>
      </w:r>
      <w:r w:rsidRPr="00083276">
        <w:t xml:space="preserve"> regulatory control period.</w:t>
      </w:r>
      <w:r w:rsidRPr="00083276">
        <w:rPr>
          <w:rStyle w:val="FootnoteReference"/>
        </w:rPr>
        <w:footnoteReference w:id="287"/>
      </w:r>
    </w:p>
    <w:p w:rsidR="00083276" w:rsidRPr="00083276" w:rsidRDefault="00083276" w:rsidP="00083276">
      <w:pPr>
        <w:pStyle w:val="AERbulletlistfirststyle"/>
      </w:pPr>
      <w:r w:rsidRPr="00083276">
        <w:t>Phase II Stage I ('Blue Sky Detail Review')—each property was subject to a capacity review and assessed based on location, functionality, condition and compliance. MRS Property then identified a scope of works, cost estimate and approximate timing of expenditure for each location across the 2015–</w:t>
      </w:r>
      <w:r w:rsidR="00E72826">
        <w:t>20</w:t>
      </w:r>
      <w:r w:rsidRPr="00083276">
        <w:t xml:space="preserve"> regulatory control period. Cost estimates were based on recent works commissioned by SA </w:t>
      </w:r>
      <w:r w:rsidRPr="00083276">
        <w:lastRenderedPageBreak/>
        <w:t>Power Networks, supported by input from expert quantity surveyors and MRS Property. The total Phase II Stage I cost estimate was $223.5 million.</w:t>
      </w:r>
      <w:r w:rsidRPr="00083276">
        <w:rPr>
          <w:rStyle w:val="FootnoteReference"/>
        </w:rPr>
        <w:footnoteReference w:id="288"/>
      </w:r>
    </w:p>
    <w:p w:rsidR="00083276" w:rsidRPr="00083276" w:rsidRDefault="00083276" w:rsidP="00083276">
      <w:pPr>
        <w:pStyle w:val="AERbulletlistfirststyle"/>
      </w:pPr>
      <w:r w:rsidRPr="00083276">
        <w:t>Phase II Stage II ('Prudent' Approach)—this stage included revisions to reflect 'variations to the aspirations' of earlier phases, resulting in a reduced cost estimate for land and buildings of $101.4 million ($2013-14). MRS Property and SA Power Networks identified efficiencies through:</w:t>
      </w:r>
      <w:r w:rsidRPr="00083276">
        <w:rPr>
          <w:rStyle w:val="FootnoteReference"/>
        </w:rPr>
        <w:footnoteReference w:id="289"/>
      </w:r>
    </w:p>
    <w:p w:rsidR="00083276" w:rsidRPr="00083276" w:rsidRDefault="00083276" w:rsidP="00083276">
      <w:pPr>
        <w:pStyle w:val="AERbulletlistsecondstyle"/>
      </w:pPr>
      <w:r w:rsidRPr="00083276">
        <w:t>reconfiguration of existing properties to facilitate revised business functions</w:t>
      </w:r>
    </w:p>
    <w:p w:rsidR="00083276" w:rsidRPr="00083276" w:rsidRDefault="00083276" w:rsidP="00083276">
      <w:pPr>
        <w:pStyle w:val="AERbulletlistsecondstyle"/>
      </w:pPr>
      <w:r w:rsidRPr="00083276">
        <w:t>revised expansion and rebuild expectations through the depot portfolio</w:t>
      </w:r>
    </w:p>
    <w:p w:rsidR="00083276" w:rsidRPr="00083276" w:rsidRDefault="00083276" w:rsidP="00083276">
      <w:pPr>
        <w:pStyle w:val="AERbulletlistsecondstyle"/>
      </w:pPr>
      <w:r w:rsidRPr="00083276">
        <w:t>retention of leased property and previously identified 'surplus' properties</w:t>
      </w:r>
    </w:p>
    <w:p w:rsidR="00083276" w:rsidRPr="00083276" w:rsidRDefault="00083276" w:rsidP="00083276">
      <w:pPr>
        <w:pStyle w:val="AERbulletlistsecondstyle"/>
      </w:pPr>
      <w:r w:rsidRPr="00083276">
        <w:t>acceptance by the business that existing properties can, in the main, facilitate the strategic growth of resources and functions.</w:t>
      </w:r>
    </w:p>
    <w:p w:rsidR="00083276" w:rsidRPr="00083276" w:rsidRDefault="00083276" w:rsidP="00083276">
      <w:r w:rsidRPr="00083276">
        <w:t>As a result of this process, SA Power Networks identified the need for eight major investments at Seaford (new depot and industrial facility), Angle Park North, Marleston North, Keswick, St Marys, Nuriootpa and Clare. The remainder of the capex program comprises moderate and minor works to address the outcomes of the location, functionality, condition and compliance based assessment of existing properties.</w:t>
      </w:r>
      <w:r w:rsidRPr="00083276">
        <w:rPr>
          <w:rStyle w:val="FootnoteReference"/>
        </w:rPr>
        <w:footnoteReference w:id="290"/>
      </w:r>
    </w:p>
    <w:p w:rsidR="00083276" w:rsidRPr="00083276" w:rsidRDefault="00083276" w:rsidP="00083276">
      <w:r w:rsidRPr="00083276">
        <w:t>Clearly, SA Power Networks' top down review of the initial $223.5 million estimate of required buildings and property capex has resulted in a more prudent and efficient estimate. However, it is not clear what process of rationalisation or prioritisation SA Power Networks applied to the initial 'Blue Sky' estimate to reduce this to the $101.4 million ($2013-14) proposed for the 2015–</w:t>
      </w:r>
      <w:r w:rsidR="00E72826">
        <w:t>20</w:t>
      </w:r>
      <w:r w:rsidRPr="00083276">
        <w:t xml:space="preserve"> regulatory control period. For example, it is not apparent that SA Power Networks has:</w:t>
      </w:r>
    </w:p>
    <w:p w:rsidR="00083276" w:rsidRPr="00083276" w:rsidRDefault="00083276" w:rsidP="00083276">
      <w:pPr>
        <w:pStyle w:val="AERbulletlistfirststyle"/>
      </w:pPr>
      <w:r w:rsidRPr="00083276">
        <w:t>applied a specific set of criteria or a defined process to prioritise the range of possible projects</w:t>
      </w:r>
    </w:p>
    <w:p w:rsidR="00083276" w:rsidRPr="00083276" w:rsidRDefault="00083276" w:rsidP="00083276">
      <w:pPr>
        <w:pStyle w:val="AERbulletlistfirststyle"/>
      </w:pPr>
      <w:r w:rsidRPr="00083276">
        <w:t>assessed or compared the risk of different projects or portfolios of work</w:t>
      </w:r>
    </w:p>
    <w:p w:rsidR="00083276" w:rsidRPr="00083276" w:rsidRDefault="00083276" w:rsidP="00083276">
      <w:pPr>
        <w:pStyle w:val="AERbulletlistfirststyle"/>
      </w:pPr>
      <w:r w:rsidRPr="00083276">
        <w:t>assessed or compared the benefits of different projects or portfolios of work</w:t>
      </w:r>
    </w:p>
    <w:p w:rsidR="00083276" w:rsidRPr="00083276" w:rsidRDefault="00083276" w:rsidP="00083276">
      <w:pPr>
        <w:pStyle w:val="AERbulletlistfirststyle"/>
      </w:pPr>
      <w:r w:rsidRPr="00083276">
        <w:t>identified the portfolio of works which provides the optimum balance of cost, benefit, and risk.</w:t>
      </w:r>
    </w:p>
    <w:p w:rsidR="00083276" w:rsidRPr="00083276" w:rsidRDefault="00083276" w:rsidP="00083276">
      <w:r w:rsidRPr="00083276">
        <w:t xml:space="preserve">Based on the material submitted, it appears that SA Power Networks' rationalisation of projects was based on an adjustment in the businesses 'aspirations' and 'expectations' of the non-network property program. </w:t>
      </w:r>
      <w:r w:rsidRPr="00083276">
        <w:rPr>
          <w:rStyle w:val="FootnoteReference"/>
        </w:rPr>
        <w:footnoteReference w:id="291"/>
      </w:r>
      <w:r w:rsidRPr="00083276">
        <w:t xml:space="preserve"> SA Power Networks has not provided evidence of a systematic and transparent optimisation process that might justify the prudence and efficiency of the proposed works program. For this reason, we are not </w:t>
      </w:r>
      <w:r w:rsidRPr="00083276">
        <w:lastRenderedPageBreak/>
        <w:t>satisfied that SA Power Networks' forecast reasonably reflects the efficient costs that a prudent operator would require to achieve the capex objectives.</w:t>
      </w:r>
      <w:r w:rsidRPr="00083276">
        <w:rPr>
          <w:rStyle w:val="FootnoteReference"/>
        </w:rPr>
        <w:footnoteReference w:id="292"/>
      </w:r>
    </w:p>
    <w:p w:rsidR="00083276" w:rsidRPr="00083276" w:rsidRDefault="00083276" w:rsidP="00083276">
      <w:r w:rsidRPr="00083276">
        <w:t>We also examined the eight business cases submitted by SA Power Networks in support of the proposed major property projects, to assess whether they provided justification for the proposed expenditure.</w:t>
      </w:r>
      <w:r w:rsidRPr="00083276">
        <w:rPr>
          <w:rStyle w:val="FootnoteReference"/>
        </w:rPr>
        <w:footnoteReference w:id="293"/>
      </w:r>
      <w:r w:rsidRPr="00083276">
        <w:t xml:space="preserve"> We found that, in every instance, the business cases prepared by SA Power Networks did not address key factors which we consider would typically be evident in documentation used to justify the prudence and efficiency of a proposed capex project. While the business cases provide a description of proposed works, costs and delivery timeframes, they typically do not provide: </w:t>
      </w:r>
    </w:p>
    <w:p w:rsidR="00083276" w:rsidRPr="00083276" w:rsidRDefault="00083276" w:rsidP="00083276">
      <w:pPr>
        <w:pStyle w:val="AERbulletlistfirststyle"/>
      </w:pPr>
      <w:r w:rsidRPr="00083276">
        <w:t xml:space="preserve">a detailed description of the need for investment, with supporting evidence as to forecast staff numbers and work volumes, designed and actual occupancy levels, contamination and remediation costs, the nature of asset obsolescence, or other specific site condition, compliance, capacity or service demand issues </w:t>
      </w:r>
    </w:p>
    <w:p w:rsidR="00083276" w:rsidRPr="00083276" w:rsidRDefault="00083276" w:rsidP="00083276">
      <w:pPr>
        <w:pStyle w:val="AERbulletlistfirststyle"/>
      </w:pPr>
      <w:r w:rsidRPr="00083276">
        <w:t>evidence that a suitable range of alternative options, including a 'do nothing' option, has been considered</w:t>
      </w:r>
      <w:r w:rsidRPr="00083276">
        <w:rPr>
          <w:rStyle w:val="FootnoteReference"/>
        </w:rPr>
        <w:footnoteReference w:id="294"/>
      </w:r>
    </w:p>
    <w:p w:rsidR="00083276" w:rsidRPr="00083276" w:rsidRDefault="00083276" w:rsidP="00083276">
      <w:pPr>
        <w:pStyle w:val="AERbulletlistfirststyle"/>
      </w:pPr>
      <w:r w:rsidRPr="00083276">
        <w:t>evidence of a formal risk assessment or analysis performed as part of the need identification or options analysis process</w:t>
      </w:r>
    </w:p>
    <w:p w:rsidR="00083276" w:rsidRPr="00083276" w:rsidRDefault="00083276" w:rsidP="00083276">
      <w:pPr>
        <w:pStyle w:val="AERbulletlistfirststyle"/>
      </w:pPr>
      <w:r w:rsidRPr="00083276">
        <w:t>evidence that tangible and intangible benefits have been identified and quantified for all options considered</w:t>
      </w:r>
    </w:p>
    <w:p w:rsidR="00083276" w:rsidRPr="00083276" w:rsidRDefault="00083276" w:rsidP="00083276">
      <w:pPr>
        <w:pStyle w:val="AERbulletlistfirststyle"/>
      </w:pPr>
      <w:r w:rsidRPr="00083276">
        <w:t>a comparison of costs and benefits for each option considered</w:t>
      </w:r>
      <w:r w:rsidRPr="00083276">
        <w:rPr>
          <w:rStyle w:val="FootnoteReference"/>
        </w:rPr>
        <w:footnoteReference w:id="295"/>
      </w:r>
    </w:p>
    <w:p w:rsidR="00083276" w:rsidRPr="00083276" w:rsidRDefault="00083276" w:rsidP="00083276">
      <w:pPr>
        <w:pStyle w:val="AERbulletlistfirststyle"/>
      </w:pPr>
      <w:r w:rsidRPr="00083276">
        <w:t>evidence of a positive net present value (NPV), or that the highest NPV option has been selected such that the preferred option is economically justified</w:t>
      </w:r>
    </w:p>
    <w:p w:rsidR="00083276" w:rsidRPr="00083276" w:rsidRDefault="00083276" w:rsidP="00083276">
      <w:pPr>
        <w:pStyle w:val="AERbulletlistfirststyle"/>
      </w:pPr>
      <w:r w:rsidRPr="00083276">
        <w:t>evidence to justify the inclusion of any contingency amount.</w:t>
      </w:r>
    </w:p>
    <w:p w:rsidR="00083276" w:rsidRPr="00083276" w:rsidRDefault="00083276" w:rsidP="00083276">
      <w:r w:rsidRPr="00083276">
        <w:t>We sought further information from SA Power Networks to support the need for the proposed major projects.</w:t>
      </w:r>
      <w:r w:rsidRPr="00083276">
        <w:rPr>
          <w:rStyle w:val="FootnoteReference"/>
        </w:rPr>
        <w:footnoteReference w:id="296"/>
      </w:r>
      <w:r w:rsidRPr="00083276">
        <w:t xml:space="preserve"> SA Power Networks provided a range of documentation, including site drawings, drainage and fire assessments, office accommodation standards, and a site assessment for each property.</w:t>
      </w:r>
      <w:r w:rsidRPr="00083276">
        <w:rPr>
          <w:rStyle w:val="FootnoteReference"/>
        </w:rPr>
        <w:footnoteReference w:id="297"/>
      </w:r>
      <w:r w:rsidRPr="00083276">
        <w:t xml:space="preserve"> Typically, each site assessment provided a number of photographs and a high level dot point summary of identified issues at each site.</w:t>
      </w:r>
      <w:r w:rsidRPr="00083276">
        <w:rPr>
          <w:rStyle w:val="FootnoteReference"/>
        </w:rPr>
        <w:footnoteReference w:id="298"/>
      </w:r>
      <w:r w:rsidRPr="00083276">
        <w:t xml:space="preserve"> In our view, the additional documentation submitted by SA Power Networks provided some further support for the need for investment at individual sites, albeit at a high level. However, the information did not address the range of deficiencies in SA Power Networks' business cases identified above.</w:t>
      </w:r>
    </w:p>
    <w:p w:rsidR="00083276" w:rsidRPr="00083276" w:rsidRDefault="00083276" w:rsidP="00083276">
      <w:r w:rsidRPr="00083276">
        <w:lastRenderedPageBreak/>
        <w:t>SA Power Networks describes the preparation of these business cases for the identified major property projects as the final step in its forecasting process.</w:t>
      </w:r>
      <w:r w:rsidRPr="00083276">
        <w:rPr>
          <w:rStyle w:val="FootnoteReference"/>
        </w:rPr>
        <w:footnoteReference w:id="299"/>
      </w:r>
      <w:r w:rsidRPr="00083276">
        <w:t xml:space="preserve"> In our view, this is apparent in the focus on the preferred option and absence of detail evaluating the costs, benefits and risks of alternative options presented in the business cases. </w:t>
      </w:r>
    </w:p>
    <w:p w:rsidR="00083276" w:rsidRPr="00083276" w:rsidRDefault="00083276" w:rsidP="00083276">
      <w:r w:rsidRPr="00083276">
        <w:t>Based on the information available, we are not satisfied that either the process used by SA Power Networks to forecast its buildings and property capex or the business cases submitted provide evidence that the forecast capex is prudent and efficient or is required to achieve the capex objectives.</w:t>
      </w:r>
    </w:p>
    <w:p w:rsidR="00083276" w:rsidRPr="00083276" w:rsidRDefault="00083276" w:rsidP="00083276">
      <w:r w:rsidRPr="00083276">
        <w:t>In considering our alternative estimate of non-network buildings and property capex which is likely to be prudent and efficient, we have had regard to SA Power Networks' actual and expected buildings and property capex for the 2010–2015 regulatory control period.</w:t>
      </w:r>
      <w:r w:rsidRPr="00083276">
        <w:rPr>
          <w:rStyle w:val="FootnoteReference"/>
        </w:rPr>
        <w:footnoteReference w:id="300"/>
      </w:r>
      <w:r w:rsidRPr="00083276">
        <w:t xml:space="preserve"> Due to the issues associated with SA Power Networks' forecasting process and project justifications identified above, we are not satisfied that any specific adjustment to SA Power Networks' forecast would necessarily result in a reasonable estimate of prudent and efficient costs. </w:t>
      </w:r>
    </w:p>
    <w:p w:rsidR="00083276" w:rsidRPr="00083276" w:rsidRDefault="00083276" w:rsidP="00083276">
      <w:r w:rsidRPr="00083276">
        <w:t>SA Power Networks' actual and estimated buildings and property capex for the 2010–2015 regulatory control period of $68.0 million ($nominal) is 24 per cent below the AER's allowance for that period. SA Power Networks advised that a number of planned projects were deferred or alternative approaches adopted, including:</w:t>
      </w:r>
      <w:r w:rsidRPr="00083276">
        <w:rPr>
          <w:rStyle w:val="FootnoteReference"/>
        </w:rPr>
        <w:footnoteReference w:id="301"/>
      </w:r>
    </w:p>
    <w:p w:rsidR="00083276" w:rsidRPr="00083276" w:rsidRDefault="00083276" w:rsidP="00083276">
      <w:pPr>
        <w:pStyle w:val="AERbulletlistfirststyle"/>
      </w:pPr>
      <w:r w:rsidRPr="00083276">
        <w:t>an increased number of leased properties where it was more cost-effective to lease than own</w:t>
      </w:r>
    </w:p>
    <w:p w:rsidR="00083276" w:rsidRPr="00083276" w:rsidRDefault="00083276" w:rsidP="00083276">
      <w:pPr>
        <w:pStyle w:val="AERbulletlistfirststyle"/>
      </w:pPr>
      <w:r w:rsidRPr="00083276">
        <w:t>delayed land acquisition and construction in response to the downturn in outer metropolitan residential growth and difficulties in sourcing suitable properties.</w:t>
      </w:r>
    </w:p>
    <w:p w:rsidR="00083276" w:rsidRPr="00083276" w:rsidRDefault="00083276" w:rsidP="00083276">
      <w:r w:rsidRPr="00083276">
        <w:t>For example, SA Power Networks submitted that it deferred construction of the Seaford depot until housing development growth in this area increased in line with expectations.</w:t>
      </w:r>
      <w:r w:rsidRPr="00083276">
        <w:rPr>
          <w:rStyle w:val="FootnoteReference"/>
        </w:rPr>
        <w:footnoteReference w:id="302"/>
      </w:r>
      <w:r w:rsidRPr="00083276">
        <w:t xml:space="preserve"> Nonetheless, SA Power Networks submitted that it had made significant investment during the 2010–2015 regulatory control period, including construction of a new depot at Holden Hill and a range of other major refurbishment projects. On that basis, we consider that an estimate of forecast capex of $71.8 million ($2014-15), reflecting SA Power Networks' historical capex in the 2010–2015 regulatory control period:</w:t>
      </w:r>
    </w:p>
    <w:p w:rsidR="00083276" w:rsidRPr="00083276" w:rsidRDefault="00083276" w:rsidP="00083276">
      <w:pPr>
        <w:pStyle w:val="AERbulletlistfirststyle"/>
      </w:pPr>
      <w:r w:rsidRPr="00083276">
        <w:t xml:space="preserve">will allow SA Power Networks to continue to invest in prudent construction, refurbishment, and maintenance projects as required. For example, this amount is sufficient for SA Power Networks to undertake all eight major projects proposed for </w:t>
      </w:r>
      <w:r w:rsidRPr="00083276">
        <w:lastRenderedPageBreak/>
        <w:t>the 2015–</w:t>
      </w:r>
      <w:r w:rsidR="00E72826">
        <w:t>20</w:t>
      </w:r>
      <w:r w:rsidRPr="00083276">
        <w:t xml:space="preserve"> regulatory control period, or a mix of major, moderate and minor projects as determined by SA Power Networks</w:t>
      </w:r>
    </w:p>
    <w:p w:rsidR="00083276" w:rsidRPr="00083276" w:rsidRDefault="00083276" w:rsidP="00083276">
      <w:pPr>
        <w:pStyle w:val="AERbulletlistfirststyle"/>
      </w:pPr>
      <w:r w:rsidRPr="00083276">
        <w:t>is deliverable, as it reflects actual and estimated historical capex expected to be delivered by SA Power Networks</w:t>
      </w:r>
    </w:p>
    <w:p w:rsidR="00083276" w:rsidRPr="00083276" w:rsidRDefault="00083276" w:rsidP="00083276">
      <w:pPr>
        <w:pStyle w:val="AERbulletlistfirststyle"/>
      </w:pPr>
      <w:r w:rsidRPr="00083276">
        <w:t>reasonably reflects the efficient costs that a prudent operator would require to meet the capex criteria.</w:t>
      </w:r>
    </w:p>
    <w:p w:rsidR="00083276" w:rsidRPr="00083276" w:rsidRDefault="00083276" w:rsidP="00083276">
      <w:r w:rsidRPr="00083276">
        <w:t>In determining our alternative estimate of non-network buildings and property capex, we have not sought to determine which of the proposed non-network buildings and property capex projects SA Power Networks should pursue in the 2015–</w:t>
      </w:r>
      <w:r w:rsidR="00E72826">
        <w:t>20</w:t>
      </w:r>
      <w:r w:rsidRPr="00083276">
        <w:t xml:space="preserve"> regulatory control period. This is a matter for SA Power Networks. Rather, we have sought to estimate a prudent and efficient level of capex that is deliverable in the 2015–</w:t>
      </w:r>
      <w:r w:rsidR="00E72826">
        <w:t>20</w:t>
      </w:r>
      <w:r w:rsidRPr="00083276">
        <w:t xml:space="preserve"> regulatory control period. We are satisfied that forecast capex of $71.8 million ($2014-15), a reduction of $39.7 million ($2014-15) or 36 per cent from SA Power Networks' forecast, reasonably reflects the efficient costs that a prudent operator would require to meet the capex objectives.</w:t>
      </w:r>
      <w:r w:rsidRPr="00083276">
        <w:rPr>
          <w:rStyle w:val="FootnoteReference"/>
        </w:rPr>
        <w:footnoteReference w:id="303"/>
      </w:r>
      <w:r w:rsidRPr="00083276">
        <w:t xml:space="preserve"> We will make an allowance for it in our estimate of total capex for the 2015–</w:t>
      </w:r>
      <w:r w:rsidR="00E72826">
        <w:t>20</w:t>
      </w:r>
      <w:r w:rsidRPr="00083276">
        <w:t xml:space="preserve"> regulatory control period.</w:t>
      </w:r>
    </w:p>
    <w:p w:rsidR="00083276" w:rsidRPr="00083276" w:rsidRDefault="00083276" w:rsidP="00083276">
      <w:pPr>
        <w:pStyle w:val="Heading9"/>
      </w:pPr>
      <w:bookmarkStart w:id="168" w:name="_Toc417725413"/>
      <w:r w:rsidRPr="00083276">
        <w:t>Fleet capex</w:t>
      </w:r>
      <w:bookmarkEnd w:id="168"/>
    </w:p>
    <w:p w:rsidR="00083276" w:rsidRPr="00083276" w:rsidRDefault="00083276" w:rsidP="00083276">
      <w:r w:rsidRPr="00083276">
        <w:t>SA Power Networks forecast capex of $146.0 million ($2014-15) for fleet assets in the 2015-</w:t>
      </w:r>
      <w:r w:rsidR="00E72826">
        <w:t>20</w:t>
      </w:r>
      <w:r w:rsidRPr="00083276">
        <w:t xml:space="preserve"> regulatory control period.</w:t>
      </w:r>
      <w:r w:rsidRPr="00083276">
        <w:rPr>
          <w:rStyle w:val="FootnoteReference"/>
        </w:rPr>
        <w:footnoteReference w:id="304"/>
      </w:r>
      <w:r w:rsidRPr="00083276">
        <w:t xml:space="preserve"> SA Power Networks stated that it owns and operates a range of fleet assets to enable delivery of its network program of work, including passenger and light commercial vehicles, heavy vehicles such as line trucks, Elevating Work Platforms (EWP), cranes, forklifts, trailers and associated plant and equipment. SA Power Networks also stated that the majority of its fleet is owned and that its core operational activities include the management, acquisition, maintenance, replacement and disposal of fleet assets.</w:t>
      </w:r>
      <w:r w:rsidRPr="00083276">
        <w:rPr>
          <w:rStyle w:val="FootnoteReference"/>
        </w:rPr>
        <w:footnoteReference w:id="305"/>
      </w:r>
      <w:r w:rsidRPr="00083276">
        <w:t xml:space="preserve"> </w:t>
      </w:r>
    </w:p>
    <w:p w:rsidR="00083276" w:rsidRPr="00083276" w:rsidRDefault="00083276" w:rsidP="00083276">
      <w:pPr>
        <w:pStyle w:val="HeadingBoldBlue"/>
      </w:pPr>
      <w:r w:rsidRPr="00083276">
        <w:t>SA Power Networks proposed fleet capex</w:t>
      </w:r>
    </w:p>
    <w:p w:rsidR="00083276" w:rsidRPr="00083276" w:rsidRDefault="00083276" w:rsidP="00083276">
      <w:r w:rsidRPr="00083276">
        <w:t>SA Power Networks stated that its proposed fleet capex program for the 2015-</w:t>
      </w:r>
      <w:r w:rsidR="00E72826">
        <w:t>20</w:t>
      </w:r>
      <w:r w:rsidRPr="00083276">
        <w:t xml:space="preserve"> regulatory control period is being driven by:</w:t>
      </w:r>
      <w:r w:rsidRPr="00083276">
        <w:rPr>
          <w:rStyle w:val="FootnoteReference"/>
        </w:rPr>
        <w:footnoteReference w:id="306"/>
      </w:r>
      <w:r w:rsidRPr="00083276">
        <w:t xml:space="preserve"> </w:t>
      </w:r>
    </w:p>
    <w:p w:rsidR="00083276" w:rsidRPr="00083276" w:rsidRDefault="00083276" w:rsidP="00083276">
      <w:pPr>
        <w:pStyle w:val="AERbulletlistfirststyle"/>
      </w:pPr>
      <w:r w:rsidRPr="00083276">
        <w:t xml:space="preserve">a fleet replacement plan for heavy and light vehicles, including proposed changes to the replacement criteria; </w:t>
      </w:r>
    </w:p>
    <w:p w:rsidR="00083276" w:rsidRPr="00083276" w:rsidRDefault="00083276" w:rsidP="00083276">
      <w:pPr>
        <w:pStyle w:val="AERbulletlistfirststyle"/>
      </w:pPr>
      <w:r w:rsidRPr="00083276">
        <w:t>new fleet requirements driven by forecast employee growth and the associated resourcing strategy to deliver the network program of work; and</w:t>
      </w:r>
    </w:p>
    <w:p w:rsidR="00083276" w:rsidRPr="00083276" w:rsidRDefault="00083276" w:rsidP="00083276">
      <w:pPr>
        <w:pStyle w:val="AERbulletlistfirststyle"/>
      </w:pPr>
      <w:r w:rsidRPr="00083276">
        <w:lastRenderedPageBreak/>
        <w:t xml:space="preserve">two specific business initiatives identified (In-Vehicle Management System (IVMS) and Vehicle Weight Management) in response to legislative and WH&amp;S obligations, strategic and operational business requirements and the availability of new technology to offer an effective solution to these requirements. </w:t>
      </w:r>
    </w:p>
    <w:p w:rsidR="00083276" w:rsidRPr="00083276" w:rsidRDefault="00083276" w:rsidP="00083276">
      <w:r w:rsidRPr="00083276">
        <w:t>SA Power Networks' forecast fleet capex for the 2015-20 regulatory control period is 46 per cent higher than the actual/estimated expenditure of $99.7 million ($2014-15) for the 2010-15 regulatory period, with expenditure forecast to be higher in 2015-16 and 2016-17 and flat across each of the remaining forecast years.</w:t>
      </w:r>
      <w:r w:rsidRPr="00083276">
        <w:rPr>
          <w:rStyle w:val="FootnoteReference"/>
        </w:rPr>
        <w:footnoteReference w:id="307"/>
      </w:r>
      <w:r w:rsidRPr="00083276">
        <w:t xml:space="preserve"> SA Power Networks' actual/forecast fleet capex for the 2010-15 regulatory period is 7.2 per cent higher than the AER allowance for the period. </w:t>
      </w:r>
      <w:fldSimple w:instr=" REF _Ref416766981 ">
        <w:r w:rsidR="00F02131" w:rsidRPr="00083276">
          <w:t xml:space="preserve">Table </w:t>
        </w:r>
        <w:r w:rsidR="00F02131">
          <w:rPr>
            <w:noProof/>
          </w:rPr>
          <w:t>B</w:t>
        </w:r>
        <w:r w:rsidR="00F02131" w:rsidRPr="00083276">
          <w:noBreakHyphen/>
        </w:r>
        <w:r w:rsidR="00F02131">
          <w:rPr>
            <w:noProof/>
          </w:rPr>
          <w:t>6</w:t>
        </w:r>
      </w:fldSimple>
      <w:r w:rsidRPr="00083276">
        <w:t xml:space="preserve"> shows a breakdown of SA Power Networks' proposed fleet expenditure by vehicle type for the 2015-20 regulatory control </w:t>
      </w:r>
      <w:proofErr w:type="gramStart"/>
      <w:r w:rsidRPr="00083276">
        <w:t>period</w:t>
      </w:r>
      <w:proofErr w:type="gramEnd"/>
      <w:r w:rsidRPr="00083276">
        <w:t xml:space="preserve">. </w:t>
      </w:r>
    </w:p>
    <w:p w:rsidR="00083276" w:rsidRPr="00083276" w:rsidRDefault="00083276" w:rsidP="00083276">
      <w:pPr>
        <w:pStyle w:val="Caption"/>
      </w:pPr>
      <w:bookmarkStart w:id="169" w:name="_Ref416766981"/>
      <w:r w:rsidRPr="00083276">
        <w:t xml:space="preserve">Table </w:t>
      </w:r>
      <w:fldSimple w:instr=" STYLEREF 7 \s ">
        <w:r w:rsidR="00F02131">
          <w:rPr>
            <w:noProof/>
          </w:rPr>
          <w:t>B</w:t>
        </w:r>
      </w:fldSimple>
      <w:r w:rsidRPr="00083276">
        <w:noBreakHyphen/>
      </w:r>
      <w:fldSimple w:instr=" SEQ Table \* ARABIC \s 7 ">
        <w:r w:rsidR="00F02131">
          <w:rPr>
            <w:noProof/>
          </w:rPr>
          <w:t>6</w:t>
        </w:r>
      </w:fldSimple>
      <w:bookmarkEnd w:id="169"/>
      <w:r w:rsidRPr="00083276">
        <w:tab/>
        <w:t>SA Power Networks' Fleet forecast capex for 2015-20 ($ million, 2014-15)</w:t>
      </w:r>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083276" w:rsidRPr="00AA2F1B" w:rsidTr="007F21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083276" w:rsidRPr="00083276" w:rsidRDefault="00083276" w:rsidP="00083276">
            <w:r w:rsidRPr="00083276">
              <w:t>Vehicle Category</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2015-16</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2016-17</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2017-18</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2018-19</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2019-20</w:t>
            </w:r>
          </w:p>
        </w:tc>
        <w:tc>
          <w:tcPr>
            <w:tcW w:w="625" w:type="pct"/>
            <w:hideMark/>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Total</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083276" w:rsidRPr="00083276" w:rsidRDefault="00083276" w:rsidP="00083276">
            <w:r w:rsidRPr="00083276">
              <w:t>Vehicle replacement</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36.7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20.9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15.3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18.5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22.4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113.8 </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rsidR="00083276" w:rsidRPr="00083276" w:rsidRDefault="00083276" w:rsidP="00083276">
            <w:r w:rsidRPr="00083276">
              <w:t>New fleet</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1.7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5.9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8.2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5.9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3.9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25.6 </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249" w:type="pct"/>
          </w:tcPr>
          <w:p w:rsidR="00083276" w:rsidRPr="00083276" w:rsidRDefault="00083276" w:rsidP="00083276">
            <w:r w:rsidRPr="00083276">
              <w:t>Safety initiatives</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0.7</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2.3</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2.4</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1.2</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0.0</w:t>
            </w:r>
          </w:p>
        </w:tc>
        <w:tc>
          <w:tcPr>
            <w:tcW w:w="625"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6.6</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rsidR="00083276" w:rsidRPr="00083276" w:rsidRDefault="00083276" w:rsidP="00083276">
            <w:pPr>
              <w:pStyle w:val="ListContinue"/>
            </w:pPr>
            <w:r w:rsidRPr="00083276">
              <w:t>In-Vehicle Management system</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0.7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1.1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1.2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0.0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0.0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 xml:space="preserve">3.0 </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249" w:type="pct"/>
          </w:tcPr>
          <w:p w:rsidR="00083276" w:rsidRPr="00083276" w:rsidRDefault="00083276" w:rsidP="00083276">
            <w:pPr>
              <w:pStyle w:val="ListContinue"/>
            </w:pPr>
            <w:r w:rsidRPr="00083276">
              <w:t>Vehicle weight compliance</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0.0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1.2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1.2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1.2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0.0 </w:t>
            </w:r>
          </w:p>
        </w:tc>
        <w:tc>
          <w:tcPr>
            <w:tcW w:w="625"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 xml:space="preserve">3.6 </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rsidR="00083276" w:rsidRPr="00083276" w:rsidRDefault="00083276" w:rsidP="00083276">
            <w:r w:rsidRPr="00083276">
              <w:t>Total</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39.1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29.1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25.9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25.6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26.3 </w:t>
            </w:r>
          </w:p>
        </w:tc>
        <w:tc>
          <w:tcPr>
            <w:tcW w:w="625"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rPr>
                <w:rStyle w:val="Strong"/>
              </w:rPr>
            </w:pPr>
            <w:r w:rsidRPr="00083276">
              <w:rPr>
                <w:rStyle w:val="Strong"/>
              </w:rPr>
              <w:t xml:space="preserve">146.0 </w:t>
            </w:r>
          </w:p>
        </w:tc>
      </w:tr>
    </w:tbl>
    <w:p w:rsidR="00083276" w:rsidRPr="00083276" w:rsidRDefault="00083276" w:rsidP="00083276">
      <w:pPr>
        <w:pStyle w:val="AERtablesource"/>
      </w:pPr>
      <w:r w:rsidRPr="00083276">
        <w:t>Source:</w:t>
      </w:r>
      <w:r w:rsidRPr="00083276">
        <w:tab/>
        <w:t xml:space="preserve">SA Power Networks, </w:t>
      </w:r>
      <w:r w:rsidRPr="00083276">
        <w:rPr>
          <w:rStyle w:val="AERtextitalic"/>
        </w:rPr>
        <w:t>Revenue proposal</w:t>
      </w:r>
      <w:r w:rsidRPr="00083276">
        <w:t>, October 2015, p. 244.</w:t>
      </w:r>
    </w:p>
    <w:p w:rsidR="00083276" w:rsidRPr="00083276" w:rsidRDefault="00083276" w:rsidP="00083276">
      <w:pPr>
        <w:pStyle w:val="AERtablesource"/>
      </w:pPr>
      <w:r w:rsidRPr="00083276">
        <w:t>Note:</w:t>
      </w:r>
      <w:r w:rsidRPr="00083276" w:rsidDel="002A0B9F">
        <w:t xml:space="preserve"> </w:t>
      </w:r>
      <w:r w:rsidRPr="00083276">
        <w:tab/>
        <w:t>Numbers may not add up due to rounding.</w:t>
      </w:r>
    </w:p>
    <w:p w:rsidR="00083276" w:rsidRPr="00083276" w:rsidRDefault="00083276" w:rsidP="00083276">
      <w:r w:rsidRPr="00083276">
        <w:t>For the 2015-20 regulatory control period, SA Power Networks' is proposing to:</w:t>
      </w:r>
    </w:p>
    <w:p w:rsidR="00083276" w:rsidRPr="00083276" w:rsidRDefault="00083276" w:rsidP="00083276">
      <w:pPr>
        <w:pStyle w:val="AERbulletlistfirststyle"/>
      </w:pPr>
      <w:r w:rsidRPr="00083276">
        <w:t xml:space="preserve">change the replacement criteria for other specialist heavy commercial vehicles from 20 years to 15 years and passenger and light commercial vehicles from 5 years to 4 years. SA Power Networks stated that these changes are driven by an increasing number of vehicles being replaced early due to poor condition and safety concerns. SA Power Networks also stated that a comparison with other </w:t>
      </w:r>
      <w:r w:rsidR="00F456A9">
        <w:t>distributors</w:t>
      </w:r>
      <w:r w:rsidR="00F456A9" w:rsidRPr="00083276">
        <w:t xml:space="preserve"> </w:t>
      </w:r>
      <w:r w:rsidRPr="00083276">
        <w:t>showed that SA Power Networks maintain one of the oldest aged and condition based commercial and light and passenger fleets in Australia.</w:t>
      </w:r>
      <w:r w:rsidRPr="00083276">
        <w:rPr>
          <w:rStyle w:val="FootnoteReference"/>
        </w:rPr>
        <w:footnoteReference w:id="308"/>
      </w:r>
    </w:p>
    <w:p w:rsidR="00083276" w:rsidRPr="00083276" w:rsidRDefault="00083276" w:rsidP="00083276">
      <w:pPr>
        <w:pStyle w:val="AERbulletlistfirststyle"/>
      </w:pPr>
      <w:r w:rsidRPr="00083276">
        <w:lastRenderedPageBreak/>
        <w:t>maintain the change in its fleet replacement criteria for Elevated Work Platforms (EWP) from 20 years to 10 years which occurred in January 2012</w:t>
      </w:r>
      <w:r w:rsidRPr="00083276">
        <w:rPr>
          <w:rStyle w:val="FootnoteReference"/>
        </w:rPr>
        <w:footnoteReference w:id="309"/>
      </w:r>
    </w:p>
    <w:p w:rsidR="00083276" w:rsidRPr="00083276" w:rsidRDefault="00083276" w:rsidP="00083276">
      <w:pPr>
        <w:pStyle w:val="AERbulletlistfirststyle"/>
      </w:pPr>
      <w:r w:rsidRPr="00083276">
        <w:t>link its new fleet requirements with forecast employee growth and operating crew structures required to deliver the proposed network program of growth, which includes the recruitment of an additional 90 Trade Skilled Workers</w:t>
      </w:r>
      <w:r w:rsidRPr="00083276">
        <w:rPr>
          <w:rStyle w:val="FootnoteReference"/>
        </w:rPr>
        <w:footnoteReference w:id="310"/>
      </w:r>
    </w:p>
    <w:p w:rsidR="00083276" w:rsidRPr="00083276" w:rsidRDefault="00083276" w:rsidP="00083276">
      <w:pPr>
        <w:pStyle w:val="AERbulletlistfirststyle"/>
      </w:pPr>
      <w:r w:rsidRPr="00083276">
        <w:t>maintain its recent increases in expenditure in the vehicle category Miscellaneous</w:t>
      </w:r>
      <w:r w:rsidRPr="00083276">
        <w:rPr>
          <w:rStyle w:val="FootnoteReference"/>
        </w:rPr>
        <w:footnoteReference w:id="311"/>
      </w:r>
    </w:p>
    <w:p w:rsidR="00083276" w:rsidRPr="00083276" w:rsidRDefault="00083276" w:rsidP="00083276">
      <w:pPr>
        <w:pStyle w:val="AERbulletlistfirststyle"/>
      </w:pPr>
      <w:r w:rsidRPr="00083276">
        <w:t>introduce its IVMS to meet WH&amp;S legislative requirements, and so as to improve driver behaviour</w:t>
      </w:r>
      <w:r w:rsidRPr="00083276">
        <w:rPr>
          <w:rStyle w:val="FootnoteReference"/>
        </w:rPr>
        <w:footnoteReference w:id="312"/>
      </w:r>
      <w:r w:rsidRPr="00083276">
        <w:t>, and</w:t>
      </w:r>
    </w:p>
    <w:p w:rsidR="00083276" w:rsidRPr="00083276" w:rsidRDefault="00083276" w:rsidP="00083276">
      <w:pPr>
        <w:pStyle w:val="AERbulletlistfirststyle"/>
      </w:pPr>
      <w:r w:rsidRPr="00083276">
        <w:t>introduce vehicle weight compliance expenditure of $3.6 million ($2014-15).</w:t>
      </w:r>
    </w:p>
    <w:p w:rsidR="00083276" w:rsidRPr="00083276" w:rsidRDefault="00083276" w:rsidP="00083276">
      <w:r w:rsidRPr="00083276">
        <w:t>On the basis of the significant increase in SA Power Networks' proposed fleet capex program for the 2015-20 regulatory control period and to seek clarification on a number of issues we identified, we sought further information from SA Power Networks to justify the proposed increased level of fleet capex.</w:t>
      </w:r>
      <w:r w:rsidRPr="00083276">
        <w:rPr>
          <w:rStyle w:val="FootnoteReference"/>
        </w:rPr>
        <w:footnoteReference w:id="313"/>
      </w:r>
      <w:r w:rsidRPr="00083276">
        <w:t xml:space="preserve"> A summary of SA Power Networks' response is provided below:</w:t>
      </w:r>
      <w:r w:rsidRPr="00083276">
        <w:rPr>
          <w:rStyle w:val="FootnoteReference"/>
        </w:rPr>
        <w:footnoteReference w:id="314"/>
      </w:r>
    </w:p>
    <w:p w:rsidR="00083276" w:rsidRPr="00083276" w:rsidRDefault="00083276" w:rsidP="00083276">
      <w:pPr>
        <w:pStyle w:val="AERbulletlistfirststyle"/>
      </w:pPr>
      <w:r w:rsidRPr="00083276">
        <w:t xml:space="preserve">SA Power Networks provided business cases based on NPV calculations for each vehicle type to justify a higher turnover of vehicles. The NPV calculations are predicated on cost input assumptions for each vehicle type. The cost input assumptions are fed into NPV calculations for each vehicle type (EWPs, Heavy Commercial and Passenger and Light Commercial) based on a range of disposal periods. </w:t>
      </w:r>
    </w:p>
    <w:p w:rsidR="00083276" w:rsidRPr="00083276" w:rsidRDefault="00083276" w:rsidP="00083276">
      <w:pPr>
        <w:pStyle w:val="AERbulletlistfirststyle"/>
      </w:pPr>
      <w:r w:rsidRPr="00083276">
        <w:t>In relation to heavy commercial vehicles, SA Power Networks' business case showed that a replacement period of 15 years was marginally more cost effective than the current replacement period of 20 years but slightly less cost effective than a replacement period of 10 years.</w:t>
      </w:r>
      <w:r w:rsidRPr="00083276">
        <w:rPr>
          <w:rStyle w:val="FootnoteReference"/>
        </w:rPr>
        <w:footnoteReference w:id="315"/>
      </w:r>
      <w:r w:rsidRPr="00083276">
        <w:t xml:space="preserve"> SA Power Networks emphasised a number of benefits of earlier replacement, including:</w:t>
      </w:r>
      <w:r w:rsidRPr="00083276">
        <w:rPr>
          <w:rStyle w:val="FootnoteReference"/>
        </w:rPr>
        <w:footnoteReference w:id="316"/>
      </w:r>
    </w:p>
    <w:p w:rsidR="00083276" w:rsidRPr="00083276" w:rsidRDefault="00083276" w:rsidP="00083276">
      <w:pPr>
        <w:pStyle w:val="AERbulletlistsecondstyle"/>
      </w:pPr>
      <w:r w:rsidRPr="00083276">
        <w:t>new safety features to be incorporated in vehicles earlier</w:t>
      </w:r>
    </w:p>
    <w:p w:rsidR="00083276" w:rsidRPr="00083276" w:rsidRDefault="00083276" w:rsidP="00083276">
      <w:pPr>
        <w:pStyle w:val="AERbulletlistsecondstyle"/>
      </w:pPr>
      <w:r w:rsidRPr="00083276">
        <w:t>new environmental features to be incorporated in new vehicles earlier</w:t>
      </w:r>
    </w:p>
    <w:p w:rsidR="00083276" w:rsidRPr="00083276" w:rsidRDefault="00083276" w:rsidP="00083276">
      <w:pPr>
        <w:pStyle w:val="AERbulletlistsecondstyle"/>
      </w:pPr>
      <w:r w:rsidRPr="00083276">
        <w:lastRenderedPageBreak/>
        <w:t>eliminating a general level of dissatisfaction with crews with respect to the age, maintenance and breakdowns; and</w:t>
      </w:r>
    </w:p>
    <w:p w:rsidR="00083276" w:rsidRPr="00083276" w:rsidRDefault="00083276" w:rsidP="00083276">
      <w:pPr>
        <w:pStyle w:val="AERbulletlistsecondstyle"/>
      </w:pPr>
      <w:r w:rsidRPr="00083276">
        <w:t>enabling the latest compatible technology.</w:t>
      </w:r>
    </w:p>
    <w:p w:rsidR="00083276" w:rsidRPr="00083276" w:rsidRDefault="00083276" w:rsidP="00E36937">
      <w:r w:rsidRPr="00083276">
        <w:t>In relation to passenger and light commercial vehicles, SA Power Networks' NPV analysis showed that it is less cost effective to replace vehicles at four years compared to the current rate of five years. Based on SA Power Networks' RIN response for motor vehicle metrics we have calculated the difference to be equivalent to an additional cost of $12.3 million ($2014-15) over the 2015-20 regulatory control period.</w:t>
      </w:r>
      <w:r w:rsidRPr="00083276">
        <w:rPr>
          <w:rStyle w:val="FootnoteReference"/>
        </w:rPr>
        <w:footnoteReference w:id="317"/>
      </w:r>
      <w:r w:rsidRPr="00083276">
        <w:t xml:space="preserve"> SA Power Networks justified these additional costs by claiming that these costs would be more than offset by gains in technological and safety advances in the motor industry and the improvement in the flexibility in operational changes that are likely as the distribution business environment evolves.</w:t>
      </w:r>
      <w:r w:rsidRPr="00083276">
        <w:rPr>
          <w:rStyle w:val="FootnoteReference"/>
        </w:rPr>
        <w:footnoteReference w:id="318"/>
      </w:r>
      <w:r w:rsidRPr="00083276">
        <w:t xml:space="preserve"> SA Power Networks did not identify the alleged technological and safety advances or the operational changes, nor quantify their anticipated impact.</w:t>
      </w:r>
    </w:p>
    <w:p w:rsidR="00083276" w:rsidRPr="00083276" w:rsidRDefault="00083276" w:rsidP="00E36937">
      <w:r w:rsidRPr="00083276">
        <w:t>In relation to EWPs, SA Power Networks' NPV analysis shows that the difference between replacement at 10 and 20 years is very slightly more per EWP at 10 years replacement).</w:t>
      </w:r>
      <w:r w:rsidRPr="00083276">
        <w:rPr>
          <w:rStyle w:val="FootnoteReference"/>
        </w:rPr>
        <w:footnoteReference w:id="319"/>
      </w:r>
      <w:r w:rsidRPr="00083276">
        <w:t xml:space="preserve"> SA Power Networks stated the drivers for replacement of EWPs at 10 years are:</w:t>
      </w:r>
    </w:p>
    <w:p w:rsidR="00083276" w:rsidRPr="00083276" w:rsidRDefault="00083276" w:rsidP="00083276">
      <w:pPr>
        <w:pStyle w:val="AERbulletlistsecondstyle"/>
      </w:pPr>
      <w:r w:rsidRPr="00083276">
        <w:t>new safety features to be incorporated in vehicles earlier</w:t>
      </w:r>
    </w:p>
    <w:p w:rsidR="00083276" w:rsidRPr="00083276" w:rsidRDefault="00083276" w:rsidP="00083276">
      <w:pPr>
        <w:pStyle w:val="AERbulletlistsecondstyle"/>
      </w:pPr>
      <w:r w:rsidRPr="00083276">
        <w:t>new environmental features to be incorporated in new vehicles earlier</w:t>
      </w:r>
    </w:p>
    <w:p w:rsidR="00083276" w:rsidRPr="00083276" w:rsidRDefault="00083276" w:rsidP="00083276">
      <w:pPr>
        <w:pStyle w:val="AERbulletlistsecondstyle"/>
      </w:pPr>
      <w:r w:rsidRPr="00083276">
        <w:t>eliminating the requirement of the EWPs being off the road for up to three months during each rebuild, and</w:t>
      </w:r>
    </w:p>
    <w:p w:rsidR="00083276" w:rsidRPr="00083276" w:rsidRDefault="00083276" w:rsidP="00083276">
      <w:pPr>
        <w:pStyle w:val="AERbulletlistsecondstyle"/>
      </w:pPr>
      <w:r w:rsidRPr="00083276">
        <w:t>eliminating a general level of dissatisfaction with crews with respect to age, maintenance and breakdowns.</w:t>
      </w:r>
    </w:p>
    <w:p w:rsidR="00083276" w:rsidRPr="00083276" w:rsidRDefault="00083276" w:rsidP="00E36937">
      <w:r w:rsidRPr="00083276">
        <w:t>SA Power Networks further supported its proposal by referring to reviews which showed faults and remedial work to its EWP fleet chassis and mechanics. SA Power Networks stated that these reviews supported its proposal for EWP replacement at 10 years.</w:t>
      </w:r>
      <w:r w:rsidRPr="00083276">
        <w:rPr>
          <w:rStyle w:val="FootnoteReference"/>
        </w:rPr>
        <w:footnoteReference w:id="320"/>
      </w:r>
    </w:p>
    <w:p w:rsidR="00083276" w:rsidRPr="00083276" w:rsidRDefault="00083276" w:rsidP="00E36937">
      <w:r w:rsidRPr="00083276">
        <w:t xml:space="preserve">SA Power Networks justified its change in vehicle replacement criteria by reference to changes in its health and safety obligations, particularly the harmonised WHS Act which commenced on 1 January 2013 and Heavy Vehicle National Law. SA Power Networks stated that the guiding principle of the WHS Act is that workers are to be given the highest level of health and safety protection so far as is reasonably practicable. SA Power Networks stated that it interpreted the term ‘reasonably </w:t>
      </w:r>
      <w:r w:rsidRPr="00083276">
        <w:lastRenderedPageBreak/>
        <w:t>practicable’ to mean what could be reasonably done at a particular time and as such is not a static concept but something that changes over time. SA Power Networks provided an example in respect of regulation 213 of the WHS Act which SA Power Networks stated imposes a new obligation to carry out inspection of vehicles in accordance with manufacturer’s obligations. SA Power Networks did not, however, provide any additional examples of potentially new obligations. SA Power Networks also referred to part of the WHS Act that specifies that cost is not to be considered to be a key factor unless it can be shown to be “grossly disproportionate" to the risk.</w:t>
      </w:r>
      <w:r w:rsidRPr="00083276">
        <w:rPr>
          <w:rStyle w:val="FootnoteReference"/>
        </w:rPr>
        <w:footnoteReference w:id="321"/>
      </w:r>
    </w:p>
    <w:p w:rsidR="00083276" w:rsidRPr="00083276" w:rsidRDefault="00083276" w:rsidP="00E36937">
      <w:r w:rsidRPr="00083276">
        <w:t>SA Power Networks stated that the miscellaneous vehicle category includes forklifts, all-terrain vehicles and earthmoving equipment and that the proposed capex increase is due to in part growth in its proposed capital works program and replacement of long term hired equipment.</w:t>
      </w:r>
      <w:r w:rsidRPr="00083276">
        <w:rPr>
          <w:rStyle w:val="FootnoteReference"/>
        </w:rPr>
        <w:footnoteReference w:id="322"/>
      </w:r>
    </w:p>
    <w:p w:rsidR="00083276" w:rsidRPr="00083276" w:rsidRDefault="00083276" w:rsidP="00E36937">
      <w:r w:rsidRPr="00083276">
        <w:t>In its response to an information request regarding its justification of its proposed IVMS on the basis of WHS legislative requirements and improved driver behaviour, SA Power Networks responded with the same justification for its change to its vehicle replacement criteria. In particular, SA Power Networks provided a business case which stated that the cost of doing nothing was that any health and safety risks are not mitigated or that any benefits are realised. The business case identified the benefits as being able to measure the following driver vehicle behaviours:</w:t>
      </w:r>
    </w:p>
    <w:p w:rsidR="00083276" w:rsidRPr="00083276" w:rsidRDefault="00083276" w:rsidP="00E36937">
      <w:pPr>
        <w:pStyle w:val="AERbulletlistfirststyle"/>
      </w:pPr>
      <w:r w:rsidRPr="00083276">
        <w:t>harsh braking</w:t>
      </w:r>
    </w:p>
    <w:p w:rsidR="00083276" w:rsidRPr="00083276" w:rsidRDefault="00083276" w:rsidP="00E36937">
      <w:pPr>
        <w:pStyle w:val="AERbulletlistfirststyle"/>
      </w:pPr>
      <w:r w:rsidRPr="00083276">
        <w:t>harsh cornering</w:t>
      </w:r>
    </w:p>
    <w:p w:rsidR="00083276" w:rsidRPr="00083276" w:rsidRDefault="00083276" w:rsidP="00E36937">
      <w:pPr>
        <w:pStyle w:val="AERbulletlistfirststyle"/>
      </w:pPr>
      <w:r w:rsidRPr="00083276">
        <w:t>rapid acceleration; and</w:t>
      </w:r>
    </w:p>
    <w:p w:rsidR="00083276" w:rsidRPr="00083276" w:rsidRDefault="00083276" w:rsidP="00E36937">
      <w:pPr>
        <w:pStyle w:val="AERbulletlistfirststyle"/>
      </w:pPr>
      <w:r w:rsidRPr="00083276">
        <w:t>speeding.</w:t>
      </w:r>
    </w:p>
    <w:p w:rsidR="00083276" w:rsidRPr="00083276" w:rsidRDefault="00083276" w:rsidP="00E36937">
      <w:r w:rsidRPr="00083276">
        <w:t>SA Power Networks also stated that additional functionality was provided by:</w:t>
      </w:r>
    </w:p>
    <w:p w:rsidR="00083276" w:rsidRPr="00083276" w:rsidRDefault="00083276" w:rsidP="00E36937">
      <w:pPr>
        <w:pStyle w:val="AERbulletlistfirststyle"/>
      </w:pPr>
      <w:r w:rsidRPr="00083276">
        <w:t>'man-down' function (measures if wearer of the device is orientated at less than 45 degrees for greater than 30 seconds), and</w:t>
      </w:r>
    </w:p>
    <w:p w:rsidR="00083276" w:rsidRPr="00083276" w:rsidRDefault="00083276" w:rsidP="00E36937">
      <w:pPr>
        <w:pStyle w:val="AERbulletlistfirststyle"/>
      </w:pPr>
      <w:r w:rsidRPr="00083276">
        <w:t>a duress button.</w:t>
      </w:r>
    </w:p>
    <w:p w:rsidR="00083276" w:rsidRPr="00083276" w:rsidRDefault="00083276" w:rsidP="00E36937">
      <w:r w:rsidRPr="00083276">
        <w:t>SA Power Networks proposes to install the IVMS to all its 933 fleet by 30 June 2017 at a cost of $3 million.</w:t>
      </w:r>
    </w:p>
    <w:p w:rsidR="00083276" w:rsidRDefault="00083276" w:rsidP="00E36937">
      <w:r w:rsidRPr="00083276">
        <w:t xml:space="preserve">SA Power Networks claimed that about three years ago it observed an increasing number of vehicle incidents involving its workers. A </w:t>
      </w:r>
      <w:proofErr w:type="gramStart"/>
      <w:r w:rsidRPr="00083276">
        <w:t>driver incident safety report</w:t>
      </w:r>
      <w:proofErr w:type="gramEnd"/>
      <w:r w:rsidRPr="00083276">
        <w:t xml:space="preserve"> provided by SA Power Networks</w:t>
      </w:r>
      <w:r w:rsidR="00E36937">
        <w:t xml:space="preserve"> (</w:t>
      </w:r>
      <w:r w:rsidR="00E36937">
        <w:fldChar w:fldCharType="begin"/>
      </w:r>
      <w:r w:rsidR="00E36937">
        <w:instrText xml:space="preserve"> REF _Ref416767134 \h </w:instrText>
      </w:r>
      <w:r w:rsidR="00E36937">
        <w:fldChar w:fldCharType="separate"/>
      </w:r>
      <w:r w:rsidR="00E36937" w:rsidRPr="00083276">
        <w:t xml:space="preserve">Table </w:t>
      </w:r>
      <w:r w:rsidR="00E36937">
        <w:rPr>
          <w:noProof/>
        </w:rPr>
        <w:t>B</w:t>
      </w:r>
      <w:r w:rsidR="00E36937" w:rsidRPr="00083276">
        <w:noBreakHyphen/>
      </w:r>
      <w:r w:rsidR="00E36937">
        <w:rPr>
          <w:noProof/>
        </w:rPr>
        <w:t>7</w:t>
      </w:r>
      <w:r w:rsidR="00E36937">
        <w:fldChar w:fldCharType="end"/>
      </w:r>
      <w:r w:rsidR="00E36937">
        <w:t>)</w:t>
      </w:r>
      <w:r w:rsidRPr="00083276">
        <w:t xml:space="preserve"> shows the vehicle damage driving stati</w:t>
      </w:r>
      <w:r w:rsidR="00E36937">
        <w:t>stics between 2012 to 2014.</w:t>
      </w:r>
    </w:p>
    <w:p w:rsidR="00E36937" w:rsidRPr="00083276" w:rsidRDefault="00E36937" w:rsidP="00083276">
      <w:pPr>
        <w:pStyle w:val="ListContinue"/>
      </w:pPr>
    </w:p>
    <w:p w:rsidR="00083276" w:rsidRPr="00083276" w:rsidRDefault="00083276" w:rsidP="00083276">
      <w:pPr>
        <w:pStyle w:val="Caption"/>
      </w:pPr>
      <w:bookmarkStart w:id="170" w:name="_Ref416767134"/>
      <w:r w:rsidRPr="00083276">
        <w:lastRenderedPageBreak/>
        <w:t xml:space="preserve">Table </w:t>
      </w:r>
      <w:fldSimple w:instr=" STYLEREF 7 \s ">
        <w:r w:rsidR="00F02131">
          <w:rPr>
            <w:noProof/>
          </w:rPr>
          <w:t>B</w:t>
        </w:r>
      </w:fldSimple>
      <w:r w:rsidRPr="00083276">
        <w:noBreakHyphen/>
      </w:r>
      <w:fldSimple w:instr=" SEQ Table \* ARABIC \s 7 ">
        <w:r w:rsidR="00F02131">
          <w:rPr>
            <w:noProof/>
          </w:rPr>
          <w:t>7</w:t>
        </w:r>
      </w:fldSimple>
      <w:bookmarkEnd w:id="170"/>
      <w:r w:rsidRPr="00083276">
        <w:tab/>
        <w:t>SA Power Networks Driving statistics 2012 to 2014</w:t>
      </w:r>
    </w:p>
    <w:tbl>
      <w:tblPr>
        <w:tblStyle w:val="AERtable-numbers"/>
        <w:tblW w:w="4547" w:type="pct"/>
        <w:tblLook w:val="04A0" w:firstRow="1" w:lastRow="0" w:firstColumn="1" w:lastColumn="0" w:noHBand="0" w:noVBand="1"/>
      </w:tblPr>
      <w:tblGrid>
        <w:gridCol w:w="2171"/>
        <w:gridCol w:w="2757"/>
        <w:gridCol w:w="2977"/>
      </w:tblGrid>
      <w:tr w:rsidR="00083276" w:rsidRPr="00AA2F1B" w:rsidTr="007F21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3" w:type="pct"/>
            <w:hideMark/>
          </w:tcPr>
          <w:p w:rsidR="00083276" w:rsidRPr="00083276" w:rsidRDefault="00083276" w:rsidP="00083276">
            <w:r w:rsidRPr="00083276">
              <w:t xml:space="preserve">Year </w:t>
            </w:r>
          </w:p>
        </w:tc>
        <w:tc>
          <w:tcPr>
            <w:tcW w:w="1744" w:type="pct"/>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Vehicles damaged (number)</w:t>
            </w:r>
          </w:p>
        </w:tc>
        <w:tc>
          <w:tcPr>
            <w:tcW w:w="1883" w:type="pct"/>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At fault (per cent)</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373" w:type="pct"/>
          </w:tcPr>
          <w:p w:rsidR="00083276" w:rsidRPr="00083276" w:rsidRDefault="00083276" w:rsidP="00083276">
            <w:r w:rsidRPr="00083276">
              <w:t>2012</w:t>
            </w:r>
          </w:p>
        </w:tc>
        <w:tc>
          <w:tcPr>
            <w:tcW w:w="1744"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273</w:t>
            </w:r>
          </w:p>
        </w:tc>
        <w:tc>
          <w:tcPr>
            <w:tcW w:w="1883"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47%</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3" w:type="pct"/>
          </w:tcPr>
          <w:p w:rsidR="00083276" w:rsidRPr="00083276" w:rsidRDefault="00083276" w:rsidP="00083276">
            <w:r w:rsidRPr="00083276">
              <w:t>2013</w:t>
            </w:r>
          </w:p>
        </w:tc>
        <w:tc>
          <w:tcPr>
            <w:tcW w:w="1744"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252</w:t>
            </w:r>
          </w:p>
        </w:tc>
        <w:tc>
          <w:tcPr>
            <w:tcW w:w="1883"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45%</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373" w:type="pct"/>
          </w:tcPr>
          <w:p w:rsidR="00083276" w:rsidRPr="00083276" w:rsidRDefault="00083276" w:rsidP="00083276">
            <w:r w:rsidRPr="00083276">
              <w:t>2014 (January to June)</w:t>
            </w:r>
          </w:p>
        </w:tc>
        <w:tc>
          <w:tcPr>
            <w:tcW w:w="1744"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122 (244 pro-rated for 12 months)</w:t>
            </w:r>
          </w:p>
        </w:tc>
        <w:tc>
          <w:tcPr>
            <w:tcW w:w="1883"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39%</w:t>
            </w:r>
          </w:p>
        </w:tc>
      </w:tr>
    </w:tbl>
    <w:p w:rsidR="00083276" w:rsidRPr="00083276" w:rsidRDefault="00083276" w:rsidP="00083276">
      <w:pPr>
        <w:pStyle w:val="AERtablesource"/>
      </w:pPr>
      <w:r w:rsidRPr="00083276">
        <w:t xml:space="preserve">Source: AER, </w:t>
      </w:r>
      <w:r w:rsidRPr="00083276">
        <w:rPr>
          <w:rStyle w:val="AERtextitalic"/>
        </w:rPr>
        <w:t>Information request SA Power Networks 009 - fleet, Attachment, PUBLIC SA Power Networks AER 009 - Fleet attachment Q6.2, 16</w:t>
      </w:r>
      <w:r w:rsidRPr="00083276">
        <w:t xml:space="preserve"> January 2015; AER analysis.</w:t>
      </w:r>
    </w:p>
    <w:p w:rsidR="00083276" w:rsidRPr="00083276" w:rsidRDefault="00083276" w:rsidP="00E36937">
      <w:r w:rsidRPr="00083276">
        <w:t>SA Power Networks also stated that as a large number of its workers often work alone, the IVMS offers increased levels of connectivity which is critical.</w:t>
      </w:r>
    </w:p>
    <w:p w:rsidR="00083276" w:rsidRPr="00083276" w:rsidRDefault="00083276" w:rsidP="00E36937">
      <w:r w:rsidRPr="00083276">
        <w:t>Similar to its response to justifying its proposed IVMS expenditure, SA Power Networks referred to relevant legislative requirements as the basis to justify its proposed vehicle weight compliance expenditure, particularly the mass, dimension and loading requirements under the Road Traffic Act and Regulations and the Heavy Vehicle National Law and Regulations which commenced in February 2014. SA Power Networks stated that they currently use public weighbridges to weigh vehicles, which exposes them to risk of non-compliance when the vehicle is driven to the public weighbridge and when any additional weight is loaded onto the vehicle during the course of the working day. SA Power Networks claimed that there are 700 vehicles in its fleet that are considered to be at risk of weight management non-compliance.</w:t>
      </w:r>
    </w:p>
    <w:p w:rsidR="00083276" w:rsidRPr="00083276" w:rsidRDefault="00083276" w:rsidP="00E36937">
      <w:r w:rsidRPr="00083276">
        <w:t xml:space="preserve">SA Power Networks stated that the use of portable vehicle scales are impractical to use in the work environment, there is difficulty in ensuring that there is adequate space and GVM capacity on the vehicle to carry them and that they are costly to maintain and calibrate. </w:t>
      </w:r>
    </w:p>
    <w:p w:rsidR="00083276" w:rsidRPr="00083276" w:rsidRDefault="00083276" w:rsidP="00E36937">
      <w:r w:rsidRPr="00083276">
        <w:t>SA Power Networks stated that by integrating the vehicle weight management system with the IVMS, the cost of the vehicle weight management system is reduced. SA Power Networks has evaluated the option of permanent and semi-permanent weighbridges at 26 locations and stated that this solution does not mitigate the risk of the driver loading additional materials after leaving the depot.</w:t>
      </w:r>
    </w:p>
    <w:p w:rsidR="00083276" w:rsidRPr="00083276" w:rsidRDefault="00083276" w:rsidP="00083276">
      <w:pPr>
        <w:pStyle w:val="HeadingBoldBlue"/>
      </w:pPr>
      <w:r w:rsidRPr="00083276">
        <w:t>AER assessment</w:t>
      </w:r>
    </w:p>
    <w:p w:rsidR="00083276" w:rsidRPr="00083276" w:rsidRDefault="00083276" w:rsidP="00083276">
      <w:r w:rsidRPr="00083276">
        <w:t>We have reviewed SA Power Networks' proposal and its response to our information requests.</w:t>
      </w:r>
    </w:p>
    <w:p w:rsidR="00083276" w:rsidRPr="00083276" w:rsidRDefault="00083276" w:rsidP="00083276">
      <w:r w:rsidRPr="00083276">
        <w:t>Table 2.6.3 of SA Power Networks' RIN response titled 'Motor Vehicle Metrics' shows the volumes of proposed fleet numbers and purchases by fleet type for the last year of the 2010-15 regulatory control period and the 2015-20 regulatory control period.</w:t>
      </w:r>
      <w:r w:rsidRPr="00083276">
        <w:rPr>
          <w:rStyle w:val="FootnoteReference"/>
        </w:rPr>
        <w:footnoteReference w:id="323"/>
      </w:r>
      <w:r w:rsidRPr="00083276">
        <w:t xml:space="preserve"> In </w:t>
      </w:r>
      <w:r w:rsidRPr="00083276">
        <w:lastRenderedPageBreak/>
        <w:t xml:space="preserve">comparison to SA Power Networks' estimate for 2014-15, total fleet numbers of passenger vehicles and heavy commercial vehicles are forecast to remain unchanged at 158 and 30 vehicles, respectively, throughout the 2015-20 regulatory control period. Fleet numbers for light commercial vehicles and EWPs are forecast to increase by 6.6 per cent (from 440 to 469 vehicles) and 23.6 per cent (from 123 to 152 vehicles), respectively. </w:t>
      </w:r>
      <w:fldSimple w:instr=" REF _Ref416767051 ">
        <w:r w:rsidR="00F02131" w:rsidRPr="00083276">
          <w:t xml:space="preserve">Table </w:t>
        </w:r>
        <w:r w:rsidR="00F02131">
          <w:rPr>
            <w:noProof/>
          </w:rPr>
          <w:t>B</w:t>
        </w:r>
        <w:r w:rsidR="00F02131" w:rsidRPr="00083276">
          <w:noBreakHyphen/>
        </w:r>
        <w:r w:rsidR="00F02131">
          <w:rPr>
            <w:noProof/>
          </w:rPr>
          <w:t>8</w:t>
        </w:r>
      </w:fldSimple>
      <w:r w:rsidRPr="00083276">
        <w:t xml:space="preserve"> shows fleet purchases are forecast to increase for all vehicle categories, except for EWPs (HCV</w:t>
      </w:r>
      <w:proofErr w:type="gramStart"/>
      <w:r w:rsidRPr="00083276">
        <w:t>) which</w:t>
      </w:r>
      <w:proofErr w:type="gramEnd"/>
      <w:r w:rsidRPr="00083276">
        <w:t xml:space="preserve"> has a longer replacement period than other vehicles.</w:t>
      </w:r>
    </w:p>
    <w:p w:rsidR="00083276" w:rsidRPr="00083276" w:rsidRDefault="00083276" w:rsidP="00083276">
      <w:pPr>
        <w:pStyle w:val="Caption"/>
      </w:pPr>
      <w:bookmarkStart w:id="171" w:name="_Ref416767051"/>
      <w:r w:rsidRPr="00083276">
        <w:t xml:space="preserve">Table </w:t>
      </w:r>
      <w:fldSimple w:instr=" STYLEREF 7 \s ">
        <w:r w:rsidR="00F02131">
          <w:rPr>
            <w:noProof/>
          </w:rPr>
          <w:t>B</w:t>
        </w:r>
      </w:fldSimple>
      <w:r w:rsidRPr="00083276">
        <w:noBreakHyphen/>
      </w:r>
      <w:fldSimple w:instr=" SEQ Table \* ARABIC \s 7 ">
        <w:r w:rsidR="00F02131">
          <w:rPr>
            <w:noProof/>
          </w:rPr>
          <w:t>8</w:t>
        </w:r>
      </w:fldSimple>
      <w:bookmarkEnd w:id="171"/>
      <w:r w:rsidRPr="00083276">
        <w:tab/>
        <w:t>SA Power Networks Proposed new vehicles purchases 2015-20</w:t>
      </w:r>
    </w:p>
    <w:tbl>
      <w:tblPr>
        <w:tblStyle w:val="AERtable-numbers"/>
        <w:tblW w:w="4383" w:type="pct"/>
        <w:tblLook w:val="04A0" w:firstRow="1" w:lastRow="0" w:firstColumn="1" w:lastColumn="0" w:noHBand="0" w:noVBand="1"/>
      </w:tblPr>
      <w:tblGrid>
        <w:gridCol w:w="2172"/>
        <w:gridCol w:w="2757"/>
        <w:gridCol w:w="2691"/>
      </w:tblGrid>
      <w:tr w:rsidR="00083276" w:rsidRPr="00AA2F1B" w:rsidTr="007F21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hideMark/>
          </w:tcPr>
          <w:p w:rsidR="00083276" w:rsidRPr="00083276" w:rsidRDefault="00083276" w:rsidP="00083276">
            <w:r w:rsidRPr="00083276">
              <w:t xml:space="preserve">Year </w:t>
            </w:r>
          </w:p>
        </w:tc>
        <w:tc>
          <w:tcPr>
            <w:tcW w:w="1809" w:type="pct"/>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Estimated number purchased 2014-15</w:t>
            </w:r>
          </w:p>
        </w:tc>
        <w:tc>
          <w:tcPr>
            <w:tcW w:w="1766" w:type="pct"/>
          </w:tcPr>
          <w:p w:rsidR="00083276" w:rsidRPr="00083276" w:rsidRDefault="00083276" w:rsidP="00083276">
            <w:pPr>
              <w:cnfStyle w:val="100000000000" w:firstRow="1" w:lastRow="0" w:firstColumn="0" w:lastColumn="0" w:oddVBand="0" w:evenVBand="0" w:oddHBand="0" w:evenHBand="0" w:firstRowFirstColumn="0" w:firstRowLastColumn="0" w:lastRowFirstColumn="0" w:lastRowLastColumn="0"/>
            </w:pPr>
            <w:r w:rsidRPr="00083276">
              <w:t>Forecast average annual number purchased 2015-20</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425" w:type="pct"/>
          </w:tcPr>
          <w:p w:rsidR="00083276" w:rsidRPr="00083276" w:rsidRDefault="00083276" w:rsidP="00083276">
            <w:r w:rsidRPr="00083276">
              <w:t>Passenger</w:t>
            </w:r>
          </w:p>
        </w:tc>
        <w:tc>
          <w:tcPr>
            <w:tcW w:w="1809"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50</w:t>
            </w:r>
          </w:p>
        </w:tc>
        <w:tc>
          <w:tcPr>
            <w:tcW w:w="1766" w:type="pct"/>
            <w:vAlign w:val="top"/>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58</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tcPr>
          <w:p w:rsidR="00083276" w:rsidRPr="00083276" w:rsidRDefault="00083276" w:rsidP="00083276">
            <w:r w:rsidRPr="00083276">
              <w:t xml:space="preserve">Light commercial </w:t>
            </w:r>
          </w:p>
        </w:tc>
        <w:tc>
          <w:tcPr>
            <w:tcW w:w="1809"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80</w:t>
            </w:r>
          </w:p>
        </w:tc>
        <w:tc>
          <w:tcPr>
            <w:tcW w:w="1766" w:type="pct"/>
            <w:vAlign w:val="top"/>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134</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425" w:type="pct"/>
          </w:tcPr>
          <w:p w:rsidR="00083276" w:rsidRPr="00083276" w:rsidRDefault="00083276" w:rsidP="00083276">
            <w:r w:rsidRPr="00083276">
              <w:t>Elevated Work Platform (HCV)</w:t>
            </w:r>
          </w:p>
        </w:tc>
        <w:tc>
          <w:tcPr>
            <w:tcW w:w="1809"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25</w:t>
            </w:r>
          </w:p>
        </w:tc>
        <w:tc>
          <w:tcPr>
            <w:tcW w:w="1766"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20</w:t>
            </w:r>
          </w:p>
        </w:tc>
      </w:tr>
      <w:tr w:rsidR="00083276" w:rsidRPr="00AA2F1B" w:rsidTr="007F21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tcPr>
          <w:p w:rsidR="00083276" w:rsidRPr="00083276" w:rsidRDefault="00083276" w:rsidP="00083276">
            <w:r w:rsidRPr="00083276">
              <w:t>Heavy commercial vehicle</w:t>
            </w:r>
          </w:p>
        </w:tc>
        <w:tc>
          <w:tcPr>
            <w:tcW w:w="1809" w:type="pct"/>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0</w:t>
            </w:r>
          </w:p>
        </w:tc>
        <w:tc>
          <w:tcPr>
            <w:tcW w:w="1766" w:type="pct"/>
          </w:tcPr>
          <w:p w:rsidR="00083276" w:rsidRPr="00083276" w:rsidRDefault="00083276" w:rsidP="00083276">
            <w:pPr>
              <w:cnfStyle w:val="000000010000" w:firstRow="0" w:lastRow="0" w:firstColumn="0" w:lastColumn="0" w:oddVBand="0" w:evenVBand="0" w:oddHBand="0" w:evenHBand="1" w:firstRowFirstColumn="0" w:firstRowLastColumn="0" w:lastRowFirstColumn="0" w:lastRowLastColumn="0"/>
            </w:pPr>
            <w:r w:rsidRPr="00083276">
              <w:t>4</w:t>
            </w:r>
          </w:p>
        </w:tc>
      </w:tr>
      <w:tr w:rsidR="00083276" w:rsidRPr="00AA2F1B" w:rsidTr="007F21A7">
        <w:trPr>
          <w:trHeight w:val="300"/>
        </w:trPr>
        <w:tc>
          <w:tcPr>
            <w:cnfStyle w:val="001000000000" w:firstRow="0" w:lastRow="0" w:firstColumn="1" w:lastColumn="0" w:oddVBand="0" w:evenVBand="0" w:oddHBand="0" w:evenHBand="0" w:firstRowFirstColumn="0" w:firstRowLastColumn="0" w:lastRowFirstColumn="0" w:lastRowLastColumn="0"/>
            <w:tcW w:w="1425" w:type="pct"/>
          </w:tcPr>
          <w:p w:rsidR="00083276" w:rsidRPr="00083276" w:rsidRDefault="00083276" w:rsidP="00083276">
            <w:r w:rsidRPr="00083276">
              <w:t xml:space="preserve">Total </w:t>
            </w:r>
          </w:p>
        </w:tc>
        <w:tc>
          <w:tcPr>
            <w:tcW w:w="1809"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155</w:t>
            </w:r>
          </w:p>
        </w:tc>
        <w:tc>
          <w:tcPr>
            <w:tcW w:w="1766" w:type="pct"/>
          </w:tcPr>
          <w:p w:rsidR="00083276" w:rsidRPr="00083276" w:rsidRDefault="00083276" w:rsidP="00083276">
            <w:pPr>
              <w:cnfStyle w:val="000000000000" w:firstRow="0" w:lastRow="0" w:firstColumn="0" w:lastColumn="0" w:oddVBand="0" w:evenVBand="0" w:oddHBand="0" w:evenHBand="0" w:firstRowFirstColumn="0" w:firstRowLastColumn="0" w:lastRowFirstColumn="0" w:lastRowLastColumn="0"/>
            </w:pPr>
            <w:r w:rsidRPr="00083276">
              <w:t>216</w:t>
            </w:r>
          </w:p>
        </w:tc>
      </w:tr>
    </w:tbl>
    <w:p w:rsidR="00083276" w:rsidRPr="00083276" w:rsidRDefault="00083276" w:rsidP="00083276">
      <w:pPr>
        <w:pStyle w:val="AERtablesource"/>
      </w:pPr>
      <w:r w:rsidRPr="00083276">
        <w:t xml:space="preserve">Source: SA Power Networks, </w:t>
      </w:r>
      <w:r w:rsidRPr="00083276">
        <w:rPr>
          <w:rStyle w:val="AERtextitalic"/>
        </w:rPr>
        <w:t xml:space="preserve">Revenue Proposal, </w:t>
      </w:r>
      <w:hyperlink r:id="rId37" w:history="1">
        <w:r w:rsidRPr="00083276">
          <w:rPr>
            <w:rStyle w:val="AERtextitalic"/>
          </w:rPr>
          <w:t>SA Power Networks - RESET RIN 2015-20 PUBLIC</w:t>
        </w:r>
      </w:hyperlink>
      <w:r w:rsidRPr="00083276">
        <w:rPr>
          <w:rStyle w:val="AERtextitalic"/>
        </w:rPr>
        <w:t>, template 2.6 Non-network, Table 2.6.3</w:t>
      </w:r>
      <w:r w:rsidRPr="00083276">
        <w:t>, October 2015; AER analysis.</w:t>
      </w:r>
    </w:p>
    <w:p w:rsidR="00083276" w:rsidRPr="00083276" w:rsidRDefault="00083276" w:rsidP="00083276">
      <w:r w:rsidRPr="00083276">
        <w:t>The increase in new vehicle purchases is driven by two factors:</w:t>
      </w:r>
    </w:p>
    <w:p w:rsidR="00083276" w:rsidRPr="00083276" w:rsidRDefault="00083276" w:rsidP="00083276">
      <w:pPr>
        <w:pStyle w:val="AERbulletlistfirststyle"/>
      </w:pPr>
      <w:r w:rsidRPr="00083276">
        <w:t>reduced replacement periods for passenger and light commercial and other commercial vehicles; and</w:t>
      </w:r>
    </w:p>
    <w:p w:rsidR="00083276" w:rsidRPr="00083276" w:rsidRDefault="00083276" w:rsidP="00083276">
      <w:pPr>
        <w:pStyle w:val="AERbulletlistfirststyle"/>
      </w:pPr>
      <w:r w:rsidRPr="00083276">
        <w:t>the forecast employee growth and associated resourcing strategy to deliver the proposed network growth program.</w:t>
      </w:r>
    </w:p>
    <w:p w:rsidR="00083276" w:rsidRPr="00083276" w:rsidRDefault="00083276" w:rsidP="00083276">
      <w:r w:rsidRPr="00083276">
        <w:t xml:space="preserve">As shown in </w:t>
      </w:r>
      <w:fldSimple w:instr=" REF _Ref416766981 ">
        <w:r w:rsidR="00F02131" w:rsidRPr="00083276">
          <w:t xml:space="preserve">Table </w:t>
        </w:r>
        <w:r w:rsidR="00F02131">
          <w:rPr>
            <w:noProof/>
          </w:rPr>
          <w:t>B</w:t>
        </w:r>
        <w:r w:rsidR="00F02131" w:rsidRPr="00083276">
          <w:noBreakHyphen/>
        </w:r>
        <w:r w:rsidR="00F02131">
          <w:rPr>
            <w:noProof/>
          </w:rPr>
          <w:t>6</w:t>
        </w:r>
      </w:fldSimple>
      <w:r w:rsidRPr="00083276">
        <w:t xml:space="preserve">, SA Power Networks has forecast an outlay of $113.8 million ($2014-15) for fleet replacement capex and $25.6 million ($2014-15) for new fleet capex associated with its proposed network growth program. Further, an additional $6.6 million ($2014-15) capex has been proposed for safety initiatives. </w:t>
      </w:r>
    </w:p>
    <w:p w:rsidR="00083276" w:rsidRDefault="00083276" w:rsidP="00083276">
      <w:r w:rsidRPr="00083276">
        <w:t>Our analysis and conclusions on each of these three components of SA Power Networks' proposed fleet capex program for the 201</w:t>
      </w:r>
      <w:r w:rsidR="001431AA">
        <w:t>5</w:t>
      </w:r>
      <w:r w:rsidRPr="00083276">
        <w:t>-</w:t>
      </w:r>
      <w:r w:rsidR="001431AA">
        <w:t>20</w:t>
      </w:r>
      <w:r w:rsidRPr="00083276">
        <w:t xml:space="preserve"> regulatory control period is set out below.</w:t>
      </w:r>
    </w:p>
    <w:p w:rsidR="00083276" w:rsidRPr="00083276" w:rsidRDefault="00083276" w:rsidP="00083276">
      <w:pPr>
        <w:pStyle w:val="HeadingBoldItalic"/>
        <w:rPr>
          <w:rStyle w:val="AERtextitalic"/>
        </w:rPr>
      </w:pPr>
      <w:r w:rsidRPr="00083276">
        <w:rPr>
          <w:rStyle w:val="AERtextitalic"/>
        </w:rPr>
        <w:t>Vehicle replacement</w:t>
      </w:r>
    </w:p>
    <w:p w:rsidR="00083276" w:rsidRPr="00083276" w:rsidRDefault="00083276" w:rsidP="00083276">
      <w:r w:rsidRPr="00083276">
        <w:t xml:space="preserve">We consider SA Power Networks' proposed replacement criteria for specialist heavy commercial vehicles and EWPs to be reasonable based on: </w:t>
      </w:r>
    </w:p>
    <w:p w:rsidR="00083276" w:rsidRPr="00083276" w:rsidRDefault="00083276" w:rsidP="00083276">
      <w:pPr>
        <w:pStyle w:val="AERbulletlistfirststyle"/>
        <w:rPr>
          <w:rStyle w:val="AERtexthighlight"/>
        </w:rPr>
      </w:pPr>
      <w:r w:rsidRPr="00083276">
        <w:t>SA Power Networks' NPV analysis, which is based on cost inputs which we consider are reasonable and in line with our expectation of commercial rates</w:t>
      </w:r>
    </w:p>
    <w:p w:rsidR="00083276" w:rsidRPr="00083276" w:rsidRDefault="00083276" w:rsidP="00083276">
      <w:pPr>
        <w:pStyle w:val="AERbulletlistfirststyle"/>
      </w:pPr>
      <w:r w:rsidRPr="00083276">
        <w:lastRenderedPageBreak/>
        <w:t>the potential for newer vehicles to incorporate updated safety features and other features that may improve the operation or efficiency of the vehicle</w:t>
      </w:r>
    </w:p>
    <w:p w:rsidR="00083276" w:rsidRPr="00083276" w:rsidRDefault="00083276" w:rsidP="00083276">
      <w:pPr>
        <w:pStyle w:val="AERbulletlistfirststyle"/>
      </w:pPr>
      <w:r w:rsidRPr="00083276">
        <w:t>the potential for a reduced number of breakdowns; and</w:t>
      </w:r>
    </w:p>
    <w:p w:rsidR="00083276" w:rsidRPr="00083276" w:rsidRDefault="00083276" w:rsidP="00083276">
      <w:pPr>
        <w:pStyle w:val="AERbulletlistfirststyle"/>
      </w:pPr>
      <w:r w:rsidRPr="00083276">
        <w:t>SA Power Networks' reported comparison of vehicle replacement criteria which shows that its proposed replacement criteria for other specialist heavy commercial vehicles and EWPs is consistent with other Australian electricity</w:t>
      </w:r>
      <w:r w:rsidR="00F456A9">
        <w:t xml:space="preserve"> distributors.</w:t>
      </w:r>
      <w:r w:rsidRPr="00083276">
        <w:rPr>
          <w:rStyle w:val="FootnoteReference"/>
        </w:rPr>
        <w:footnoteReference w:id="324"/>
      </w:r>
    </w:p>
    <w:p w:rsidR="00083276" w:rsidRPr="00083276" w:rsidRDefault="00083276" w:rsidP="00083276">
      <w:r w:rsidRPr="00083276">
        <w:t>We consider that collectively the above factors suggest that this element of SA Power Networks' fleet capex is likely to reflect the capex criteria.</w:t>
      </w:r>
    </w:p>
    <w:p w:rsidR="00083276" w:rsidRPr="00083276" w:rsidRDefault="00083276" w:rsidP="00083276">
      <w:r w:rsidRPr="00083276">
        <w:t>In respect of passenger and light commercial vehicles, however, we do not accept SA Power Networks' proposed replacement period from five to four years because:</w:t>
      </w:r>
    </w:p>
    <w:p w:rsidR="00083276" w:rsidRPr="00083276" w:rsidRDefault="00083276" w:rsidP="00083276">
      <w:pPr>
        <w:pStyle w:val="AERbulletlistfirststyle"/>
      </w:pPr>
      <w:r w:rsidRPr="00083276">
        <w:tab/>
        <w:t>SA Power Networks' NPV analysis shows that it costs more to replace passenger and light commercial vehicles at four years compared to the current rate of five years</w:t>
      </w:r>
      <w:r w:rsidRPr="00083276">
        <w:rPr>
          <w:rStyle w:val="FootnoteReference"/>
        </w:rPr>
        <w:footnoteReference w:id="325"/>
      </w:r>
      <w:r w:rsidRPr="00083276">
        <w:t xml:space="preserve"> </w:t>
      </w:r>
    </w:p>
    <w:p w:rsidR="00083276" w:rsidRPr="00083276" w:rsidRDefault="00083276" w:rsidP="00083276">
      <w:pPr>
        <w:pStyle w:val="AERbulletlistfirststyle"/>
      </w:pPr>
      <w:r w:rsidRPr="00083276">
        <w:t>SA Power Networks' justification that these additional costs would be more than offset by gains in technological and safety advances in the motor industry and the improvement in the operational flexibility have not been substantiated by SA Power Networks; and</w:t>
      </w:r>
    </w:p>
    <w:p w:rsidR="00083276" w:rsidRPr="00083276" w:rsidRDefault="00083276" w:rsidP="00083276">
      <w:pPr>
        <w:pStyle w:val="AERbulletlistfirststyle"/>
      </w:pPr>
      <w:r w:rsidRPr="00083276">
        <w:t xml:space="preserve">SA Power Networks' reported comparison of vehicle replacement criteria shows that a number of other Australian electricity </w:t>
      </w:r>
      <w:r w:rsidR="00F456A9">
        <w:t>distributor</w:t>
      </w:r>
      <w:r w:rsidRPr="00083276">
        <w:t>s have passenger and light commercial vehicle replacement criteria similar to SA Power Networks' current criteria.</w:t>
      </w:r>
    </w:p>
    <w:p w:rsidR="00083276" w:rsidRDefault="00083276" w:rsidP="00083276">
      <w:r w:rsidRPr="00083276">
        <w:t>We have calculated that on the basis of SA Power Networks' proposed purchases of 288 passenger vehicles and 669 light commercial vehicles during the 2015-</w:t>
      </w:r>
      <w:r w:rsidR="00E72826">
        <w:t>20</w:t>
      </w:r>
      <w:r w:rsidRPr="00083276">
        <w:t xml:space="preserve"> regulatory control period, maintaining a replacement period of five years for these vehicles would result in a reduction of $10.6 million ($2014-15) to SA Power Networks' proposed vehicle replacement capex of $113.8 million ($2014-15).</w:t>
      </w:r>
    </w:p>
    <w:p w:rsidR="00083276" w:rsidRPr="00083276" w:rsidRDefault="00083276" w:rsidP="00083276">
      <w:pPr>
        <w:pStyle w:val="HeadingBoldItalic"/>
        <w:rPr>
          <w:rStyle w:val="AERtextitalic"/>
        </w:rPr>
      </w:pPr>
      <w:r w:rsidRPr="00083276">
        <w:rPr>
          <w:rStyle w:val="AERtextitalic"/>
        </w:rPr>
        <w:t>New fleet expenditure</w:t>
      </w:r>
    </w:p>
    <w:p w:rsidR="00083276" w:rsidRPr="00083276" w:rsidRDefault="00083276" w:rsidP="00083276">
      <w:r w:rsidRPr="00083276">
        <w:t>SA Power Networks has forecast $26.7 million ($2014-15) for new fleet capex expenditure for the 2015-20 regulatory control period. SA Power Networks stated that this expenditure is driven by forecast employee growth and the associated resourcing strategy to deliver the network program of growth.</w:t>
      </w:r>
      <w:r w:rsidRPr="00083276">
        <w:rPr>
          <w:rStyle w:val="FootnoteReference"/>
        </w:rPr>
        <w:footnoteReference w:id="326"/>
      </w:r>
    </w:p>
    <w:p w:rsidR="00083276" w:rsidRPr="00083276" w:rsidRDefault="00083276" w:rsidP="00083276">
      <w:r w:rsidRPr="00083276">
        <w:lastRenderedPageBreak/>
        <w:t>Our estimate of total capex for the 2015-</w:t>
      </w:r>
      <w:r w:rsidR="00E72826">
        <w:t>20</w:t>
      </w:r>
      <w:r w:rsidRPr="00083276">
        <w:t xml:space="preserve"> regulatory control period is in line with SA Power Networks' actual expenditure during the 2010-2015 regulatory control period. Accordingly, we do not consider that SA Power Networks' forecast new fleet expenditure of $26.7 million ($2014-15) is justified. </w:t>
      </w:r>
    </w:p>
    <w:p w:rsidR="00083276" w:rsidRPr="00083276" w:rsidRDefault="00083276" w:rsidP="00083276">
      <w:pPr>
        <w:pStyle w:val="HeadingBoldItalic"/>
        <w:rPr>
          <w:rStyle w:val="AERtextitalic"/>
        </w:rPr>
      </w:pPr>
      <w:r w:rsidRPr="00083276">
        <w:rPr>
          <w:rStyle w:val="AERtextitalic"/>
        </w:rPr>
        <w:t>Safety initiatives</w:t>
      </w:r>
    </w:p>
    <w:p w:rsidR="00083276" w:rsidRPr="00083276" w:rsidRDefault="00083276" w:rsidP="00083276">
      <w:r w:rsidRPr="00083276">
        <w:t xml:space="preserve">SA Power Networks justified its forecast capex of $6.6 million ($2014-15) for two safety initiatives largely on recent changes to legislative and WH&amp;S obligations. We consider that whilst there may be some merit in these proposed safety initiatives, SA Power Networks did not provide persuasive justification that its proposed IVMS expenditure is necessary to meet new legislative and WH&amp;S obligations. SA Power Networks' recent vehicle damage driving statistics, as shown in </w:t>
      </w:r>
      <w:fldSimple w:instr=" REF _Ref416767134 ">
        <w:r w:rsidR="00F02131" w:rsidRPr="00083276">
          <w:t xml:space="preserve">Table </w:t>
        </w:r>
        <w:r w:rsidR="00F02131">
          <w:rPr>
            <w:noProof/>
          </w:rPr>
          <w:t>B</w:t>
        </w:r>
        <w:r w:rsidR="00F02131" w:rsidRPr="00083276">
          <w:noBreakHyphen/>
        </w:r>
        <w:r w:rsidR="00F02131">
          <w:rPr>
            <w:noProof/>
          </w:rPr>
          <w:t>7</w:t>
        </w:r>
      </w:fldSimple>
      <w:r w:rsidRPr="00083276">
        <w:t xml:space="preserve">, do not support its claim that there is either an increasing number of SA Power Networks vehicles incidents or SA Power Networks drivers responsible for the incident. </w:t>
      </w:r>
    </w:p>
    <w:p w:rsidR="00083276" w:rsidRPr="00083276" w:rsidRDefault="00083276" w:rsidP="00083276">
      <w:r w:rsidRPr="00083276">
        <w:t>In relation to SA Power Networks' proposed vehicle weighing system, we consider there have been no material changes to the compliance requirements with respect to the weight that its vehicles are required to operate. In particular, we are of the view that the commencement of the Heavy Vehicle National Law in February 2014 did not change SA Power Networks' obligations in respect to the weight of its vehicles. We consider that these obligations existed in the 2010-15 regulatory control period and therefore do not consider the proposed expenditure to be justified and necessary to meet the capex criteria.</w:t>
      </w:r>
      <w:r w:rsidRPr="00083276">
        <w:rPr>
          <w:rStyle w:val="FootnoteReference"/>
        </w:rPr>
        <w:footnoteReference w:id="327"/>
      </w:r>
      <w:r w:rsidRPr="00083276">
        <w:t xml:space="preserve"> </w:t>
      </w:r>
    </w:p>
    <w:p w:rsidR="00083276" w:rsidRPr="00083276" w:rsidRDefault="00083276" w:rsidP="00083276">
      <w:pPr>
        <w:pStyle w:val="HeadingBoldItalic"/>
      </w:pPr>
      <w:r w:rsidRPr="00083276">
        <w:t>Conclusion</w:t>
      </w:r>
    </w:p>
    <w:p w:rsidR="00083276" w:rsidRPr="00083276" w:rsidRDefault="00083276" w:rsidP="00083276">
      <w:r w:rsidRPr="00083276">
        <w:t>In summary, we are not satisfied that SA Power Networks' forecast fleet capex reasonably reflects the efficient costs that a prudent operator would require to meet the capex criteria.</w:t>
      </w:r>
      <w:r w:rsidRPr="00083276">
        <w:rPr>
          <w:rStyle w:val="FootnoteReference"/>
        </w:rPr>
        <w:footnoteReference w:id="328"/>
      </w:r>
      <w:r w:rsidRPr="00083276">
        <w:t xml:space="preserve"> We consider that forecast capex of $103.2 million ($2014–15) reasonably reflects the required expenditure. This represents a reduction of 29 per cent from SA Power Networks' proposed fleet capex for the 2015–</w:t>
      </w:r>
      <w:r w:rsidR="00E72826">
        <w:t>20</w:t>
      </w:r>
      <w:r w:rsidRPr="00083276">
        <w:t xml:space="preserve"> regulatory control period. We will make an allowance for it in our estimate of total capex for the 2015–</w:t>
      </w:r>
      <w:r w:rsidR="00E72826">
        <w:t>20</w:t>
      </w:r>
      <w:r w:rsidRPr="00083276">
        <w:t xml:space="preserve"> regulatory control period</w:t>
      </w:r>
      <w:r w:rsidR="00C1345C">
        <w:t>.</w:t>
      </w:r>
    </w:p>
    <w:p w:rsidR="00525DDF" w:rsidRPr="00525DDF" w:rsidRDefault="00525DDF" w:rsidP="00525DDF">
      <w:pPr>
        <w:pStyle w:val="Heading8"/>
      </w:pPr>
      <w:bookmarkStart w:id="172" w:name="_Toc417725414"/>
      <w:r w:rsidRPr="00525DDF">
        <w:t>Demand management</w:t>
      </w:r>
      <w:bookmarkEnd w:id="172"/>
    </w:p>
    <w:p w:rsidR="00525DDF" w:rsidRPr="00525DDF" w:rsidRDefault="00525DDF" w:rsidP="00525DDF">
      <w:r w:rsidRPr="00525DDF">
        <w:t>Demand management refers to non-network strategies to address growth in demand and/or peak demand. Demand management can have positive economic impacts by reducing peak demand and encouraging the more efficient use of existing network assets, resulting in lower prices for network users, reduced risk of stranded network assets and benefits for the environment.</w:t>
      </w:r>
    </w:p>
    <w:p w:rsidR="00525DDF" w:rsidRPr="00525DDF" w:rsidRDefault="00525DDF" w:rsidP="00525DDF">
      <w:pPr>
        <w:pStyle w:val="ListParagraph"/>
        <w:numPr>
          <w:ilvl w:val="0"/>
          <w:numId w:val="24"/>
        </w:numPr>
      </w:pPr>
      <w:r w:rsidRPr="00525DDF">
        <w:lastRenderedPageBreak/>
        <w:t xml:space="preserve">Demand management is an integral part of good asset management for network businesses. Network owners can seek to undertake demand management through a range of mechanisms, such as incentives for customers to change their demand patterns, operational efficiency programs, load control technologies, or alternative sources of supply (such as distributed or embedded generation and energy storage).  </w:t>
      </w:r>
    </w:p>
    <w:p w:rsidR="00525DDF" w:rsidRPr="00525DDF" w:rsidRDefault="00525DDF" w:rsidP="00525DDF">
      <w:r w:rsidRPr="00525DDF">
        <w:t xml:space="preserve">The current incentive frameworks and obligations in the NER are designed to encourage distributors to make efficient investment and expenditure decisions. However, the NER recognises that the planning and investment framework and the incentive regulation structure may not be sufficient by themselves to remove any bias towards network capital investment over non-network responses. </w:t>
      </w:r>
    </w:p>
    <w:p w:rsidR="00FD6D4B" w:rsidRDefault="00525DDF" w:rsidP="00525DDF">
      <w:r w:rsidRPr="00525DDF">
        <w:t xml:space="preserve">As such, the NER set out that distributors should examine non-network alternatives when developing network investments through the regulatory investment test for distribution (RIT-D) process. </w:t>
      </w:r>
      <w:r w:rsidR="00FD6D4B" w:rsidRPr="00DC7A25">
        <w:t xml:space="preserve">The RIT-D requires </w:t>
      </w:r>
      <w:r w:rsidR="00FD6D4B">
        <w:t>distributors</w:t>
      </w:r>
      <w:r w:rsidR="00FD6D4B" w:rsidRPr="00DC7A25">
        <w:t xml:space="preserve"> to consult with stakeholders on the need for new capex projects and consider all credible network and non-network options as part of their planning processes. Its aim is to create a level playing field for the assessment of non-network options, such as demand-side management, against network options.</w:t>
      </w:r>
    </w:p>
    <w:p w:rsidR="00525DDF" w:rsidRPr="00525DDF" w:rsidRDefault="00525DDF" w:rsidP="00525DDF">
      <w:r w:rsidRPr="00525DDF">
        <w:t>The NER also require us to consider the extent to which a business has considered efficient and prudent non-network alternatives in our assessment of capex proposals.</w:t>
      </w:r>
      <w:r w:rsidRPr="00525DDF">
        <w:rPr>
          <w:rStyle w:val="FootnoteReference"/>
        </w:rPr>
        <w:footnoteReference w:id="329"/>
      </w:r>
      <w:r w:rsidRPr="00525DDF">
        <w:t xml:space="preserve"> In addition, the NER require us to develop and implement mechanisms to incentivise distributors to consider economically efficient alternatives to network solutions.  As set out in our demand management incentive scheme attachment (attachment 12), we are continuing SA Power Networks' demand management innovation allowance. </w:t>
      </w:r>
    </w:p>
    <w:p w:rsidR="00525DDF" w:rsidRPr="00525DDF" w:rsidRDefault="00525DDF" w:rsidP="00525DDF">
      <w:pPr>
        <w:pStyle w:val="Heading9"/>
      </w:pPr>
      <w:bookmarkStart w:id="173" w:name="_Toc417725415"/>
      <w:r w:rsidRPr="00525DDF">
        <w:t>Position</w:t>
      </w:r>
      <w:bookmarkEnd w:id="173"/>
    </w:p>
    <w:p w:rsidR="00525DDF" w:rsidRPr="00525DDF" w:rsidRDefault="00525DDF" w:rsidP="00525DDF">
      <w:r w:rsidRPr="00525DDF">
        <w:t>Our preliminary decision is that it is most appropriate to rely on the incentive framework, together with the requirements in the RIT-D and the distribution Annual Planning Report, to drive the efficient use of demand management. The benefits of capex deferral would be shared with consumers through the Capital Expenditure Sharing Scheme (CESS).</w:t>
      </w:r>
    </w:p>
    <w:p w:rsidR="00525DDF" w:rsidRPr="00525DDF" w:rsidRDefault="00525DDF" w:rsidP="00525DDF">
      <w:pPr>
        <w:numPr>
          <w:ilvl w:val="0"/>
          <w:numId w:val="24"/>
        </w:numPr>
      </w:pPr>
      <w:r w:rsidRPr="00525DDF">
        <w:t xml:space="preserve">Accordingly, our alternative estimate of required capex does not include a generic reduction to overall system capex for potential for deferred capital needs through the use of demand management initiatives. </w:t>
      </w:r>
    </w:p>
    <w:p w:rsidR="00525DDF" w:rsidRPr="00525DDF" w:rsidRDefault="00525DDF" w:rsidP="00525DDF">
      <w:pPr>
        <w:numPr>
          <w:ilvl w:val="0"/>
          <w:numId w:val="24"/>
        </w:numPr>
      </w:pPr>
      <w:r w:rsidRPr="00525DDF">
        <w:t xml:space="preserve">Our preliminary decision not to include a generic capex offset for possible future demand management activities does not impact on our consideration of the business cases for specific demand management proposals, or the consideration of non-network alternatives within the RIT-D process. Where a specific capex/opex trade-off can be shown to meet the capex and opex criteria we will include the amounts in the </w:t>
      </w:r>
      <w:r w:rsidRPr="00525DDF">
        <w:lastRenderedPageBreak/>
        <w:t>forecasts. This approach is consistent with the capital expenditure factor that requires us to have regard to the extent to which the distributor has considered, and made provision for, efficient and prudent non-network alternatives.</w:t>
      </w:r>
      <w:r w:rsidRPr="00525DDF">
        <w:rPr>
          <w:rStyle w:val="FootnoteReference"/>
        </w:rPr>
        <w:footnoteReference w:id="330"/>
      </w:r>
      <w:r w:rsidRPr="00525DDF">
        <w:t xml:space="preserve"> </w:t>
      </w:r>
    </w:p>
    <w:p w:rsidR="00525DDF" w:rsidRPr="00525DDF" w:rsidRDefault="00525DDF" w:rsidP="00525DDF">
      <w:pPr>
        <w:pStyle w:val="Heading9"/>
      </w:pPr>
      <w:bookmarkStart w:id="174" w:name="_Toc417725416"/>
      <w:r w:rsidRPr="00525DDF">
        <w:t>Reasons for preliminary decision</w:t>
      </w:r>
      <w:bookmarkEnd w:id="174"/>
      <w:r w:rsidRPr="00525DDF">
        <w:t xml:space="preserve"> </w:t>
      </w:r>
    </w:p>
    <w:p w:rsidR="00525DDF" w:rsidRPr="00525DDF" w:rsidRDefault="00525DDF" w:rsidP="00525DDF">
      <w:r w:rsidRPr="00525DDF">
        <w:t xml:space="preserve">Distributors are required to transparently consider non-network alternatives through the RIT-D process. Through the RIT-D process and other initiatives developed as part of the demand management innovation allowance, it is expected that some amount of system capex currently in the forecast will be efficiently deferred. We are therefore considering whether it is appropriate to estimate the amount of capex that may be efficiently deferred through the use of demand management initiatives and explicitly reduce the capex forecast by this amount. </w:t>
      </w:r>
    </w:p>
    <w:p w:rsidR="00525DDF" w:rsidRPr="00525DDF" w:rsidRDefault="00525DDF" w:rsidP="00525DDF">
      <w:pPr>
        <w:numPr>
          <w:ilvl w:val="0"/>
          <w:numId w:val="24"/>
        </w:numPr>
      </w:pPr>
      <w:r w:rsidRPr="00525DDF">
        <w:t xml:space="preserve">If we were to include an additional generic reduction to system capex to take account of the potential for capex deferrals, we would also need to assess the efficient opex required to support this capex offset. Given that we do not currently have actual expenditure data from which to accurately calculate a capex/opex trade-off, our preliminary decision is to not include an explicit reference in the capex or opex forecasts for broad based demand management activities. </w:t>
      </w:r>
    </w:p>
    <w:p w:rsidR="00525DDF" w:rsidRPr="00525DDF" w:rsidRDefault="00525DDF" w:rsidP="00525DDF">
      <w:pPr>
        <w:numPr>
          <w:ilvl w:val="0"/>
          <w:numId w:val="24"/>
        </w:numPr>
      </w:pPr>
      <w:r w:rsidRPr="00525DDF">
        <w:t>However, we welcome views on whether this is the most appropriate approach in providing incentives for the optimal amount of demand management. To the extent that stakeholders consider that the long term interests of consumers may be better promoted through explicit recognition of demand management and consequential adjustments to capex and opex, we seek views on the appropriate capex/opex trade-off that should be included.</w:t>
      </w:r>
    </w:p>
    <w:p w:rsidR="00525DDF" w:rsidRPr="009F62A0" w:rsidRDefault="00525DDF" w:rsidP="009F62A0"/>
    <w:p w:rsidR="009F62A0" w:rsidRPr="009F62A0" w:rsidRDefault="009F62A0" w:rsidP="009F62A0"/>
    <w:p w:rsidR="00A76603" w:rsidRPr="00A76603" w:rsidRDefault="00A76603" w:rsidP="00A76603"/>
    <w:p w:rsidR="005D7BA2" w:rsidRDefault="005D7BA2" w:rsidP="00DB5074"/>
    <w:p w:rsidR="00834D39" w:rsidRDefault="00834D39" w:rsidP="005531F2"/>
    <w:p w:rsidR="00834D39" w:rsidRDefault="00834D39" w:rsidP="005531F2"/>
    <w:p w:rsidR="00834D39" w:rsidRDefault="00834D39" w:rsidP="005531F2"/>
    <w:p w:rsidR="00834D39" w:rsidRDefault="00834D39" w:rsidP="005531F2"/>
    <w:p w:rsidR="00834D39" w:rsidRDefault="00834D39" w:rsidP="005531F2"/>
    <w:p w:rsidR="00525DDF" w:rsidRPr="00525DDF" w:rsidRDefault="00525DDF" w:rsidP="00525DDF">
      <w:pPr>
        <w:pStyle w:val="Heading7"/>
      </w:pPr>
      <w:bookmarkStart w:id="175" w:name="_Ref416180210"/>
      <w:bookmarkStart w:id="176" w:name="_Toc417725417"/>
      <w:bookmarkStart w:id="177" w:name="_Ref404106404"/>
      <w:bookmarkStart w:id="178" w:name="_Toc404164377"/>
      <w:r w:rsidRPr="00525DDF">
        <w:lastRenderedPageBreak/>
        <w:t>Demand</w:t>
      </w:r>
      <w:bookmarkEnd w:id="175"/>
      <w:bookmarkEnd w:id="176"/>
    </w:p>
    <w:p w:rsidR="00525DDF" w:rsidRPr="00525DDF" w:rsidRDefault="00525DDF" w:rsidP="00525DDF">
      <w:pPr>
        <w:numPr>
          <w:ilvl w:val="0"/>
          <w:numId w:val="24"/>
        </w:numPr>
      </w:pPr>
      <w:r w:rsidRPr="00525DDF">
        <w:t>This appendix sets out our observations of forecast demand in SA Power N</w:t>
      </w:r>
      <w:r w:rsidR="00DD1B78">
        <w:t>etworks' network for the 2015–</w:t>
      </w:r>
      <w:r w:rsidRPr="00525DDF">
        <w:t>20</w:t>
      </w:r>
      <w:r w:rsidR="00DD1B78">
        <w:t xml:space="preserve"> regulatory control </w:t>
      </w:r>
      <w:r w:rsidRPr="00525DDF">
        <w:t>period.</w:t>
      </w:r>
      <w:r w:rsidRPr="00525DDF">
        <w:rPr>
          <w:rStyle w:val="FootnoteReference"/>
        </w:rPr>
        <w:footnoteReference w:id="331"/>
      </w:r>
    </w:p>
    <w:p w:rsidR="00525DDF" w:rsidRPr="00525DDF" w:rsidRDefault="00525DDF" w:rsidP="00525DDF">
      <w:pPr>
        <w:numPr>
          <w:ilvl w:val="0"/>
          <w:numId w:val="24"/>
        </w:numPr>
      </w:pPr>
      <w:r w:rsidRPr="00525DDF">
        <w:t>Demand forecasts are fundamental to forecasting an NSP's capex and opex, and to the AER's assessment of that forecast expenditure.</w:t>
      </w:r>
      <w:r w:rsidRPr="00525DDF">
        <w:rPr>
          <w:rStyle w:val="FootnoteReference"/>
        </w:rPr>
        <w:footnoteReference w:id="332"/>
      </w:r>
      <w:r w:rsidRPr="00525DDF">
        <w:t xml:space="preserve"> SA Power Networks must deliver electricity to its customers and build, operate and maintain its network to manage expected changes in demand for electricity. When SA Power Networks invests in its network to meet demand and increases in electricity consumption, it incurs capex. In particular, the expected growth in demand is an important factor driving network augmentation expenditure and connections expenditure (growth capex).</w:t>
      </w:r>
      <w:r w:rsidRPr="00525DDF">
        <w:rPr>
          <w:rStyle w:val="FootnoteReference"/>
        </w:rPr>
        <w:footnoteReference w:id="333"/>
      </w:r>
      <w:r w:rsidRPr="00525DDF">
        <w:t xml:space="preserve"> SA Power Networks uses demand forecasts in conjunction with network planning to determine the amount and timing of such expenditure. SA Power Networks also incurs opex in relation to the new assets it builds to meet demand.</w:t>
      </w:r>
    </w:p>
    <w:p w:rsidR="00525DDF" w:rsidRPr="00525DDF" w:rsidRDefault="00525DDF" w:rsidP="00525DDF">
      <w:pPr>
        <w:numPr>
          <w:ilvl w:val="0"/>
          <w:numId w:val="24"/>
        </w:numPr>
      </w:pPr>
      <w:r w:rsidRPr="00525DDF">
        <w:t>System demand represents total demand in the SA Power Networks distribution network. This appendix considers demand forecasts in SA Power Networks' network at the system level. System demand trends give a high level indication of the need for expenditure on the network to meet changes in demand. Forecasts of increasing system demand generally signal an increased requirement for growth capex, and converse for forecasts of stagnant or falling system demand.</w:t>
      </w:r>
      <w:r w:rsidRPr="00525DDF">
        <w:rPr>
          <w:rStyle w:val="FootnoteReference"/>
        </w:rPr>
        <w:footnoteReference w:id="334"/>
      </w:r>
      <w:r w:rsidRPr="00525DDF">
        <w:t xml:space="preserve"> Accurate, or at least unbiased, demand forecasts are important inputs to ensuring efficient levels of investment in the network. For example, overly high demand forecasts may lead to inefficient expenditure as NSPs install unnecessary capacity on the network.</w:t>
      </w:r>
    </w:p>
    <w:p w:rsidR="00525DDF" w:rsidRPr="00525DDF" w:rsidRDefault="00525DDF" w:rsidP="004B575E">
      <w:pPr>
        <w:pStyle w:val="Heading8"/>
        <w:numPr>
          <w:ilvl w:val="1"/>
          <w:numId w:val="51"/>
        </w:numPr>
      </w:pPr>
      <w:bookmarkStart w:id="179" w:name="_Toc417725418"/>
      <w:r w:rsidRPr="00525DDF">
        <w:t>AER position on system demand trends</w:t>
      </w:r>
      <w:bookmarkEnd w:id="179"/>
    </w:p>
    <w:p w:rsidR="00525DDF" w:rsidRPr="00525DDF" w:rsidRDefault="00525DDF" w:rsidP="00525DDF">
      <w:pPr>
        <w:numPr>
          <w:ilvl w:val="0"/>
          <w:numId w:val="24"/>
        </w:numPr>
      </w:pPr>
      <w:r w:rsidRPr="00525DDF">
        <w:t>We are satisfied the system demand forecast in SA Power Networks' regulatory proposal for the 2015–20 period reasonably reflects a realistic expectation of demand.</w:t>
      </w:r>
      <w:r w:rsidRPr="00525DDF">
        <w:rPr>
          <w:rStyle w:val="FootnoteReference"/>
        </w:rPr>
        <w:footnoteReference w:id="335"/>
      </w:r>
      <w:r w:rsidRPr="00525DDF">
        <w:t xml:space="preserve"> We formed this view after comparing SA Power Networks' forecasts against the trend in demand and the most recent independent system demand forecasts for South Australia prepared by the Australian Energy Market Operator (AEMO). </w:t>
      </w:r>
    </w:p>
    <w:p w:rsidR="00525DDF" w:rsidRPr="00525DDF" w:rsidRDefault="00525DDF" w:rsidP="00525DDF">
      <w:pPr>
        <w:numPr>
          <w:ilvl w:val="0"/>
          <w:numId w:val="24"/>
        </w:numPr>
      </w:pPr>
      <w:r w:rsidRPr="00525DDF">
        <w:t xml:space="preserve">SA Power Networks forecasts that maximum demand will 'flatten' in </w:t>
      </w:r>
      <w:r w:rsidR="00DD1B78">
        <w:t>South Australia over the 2015–</w:t>
      </w:r>
      <w:r w:rsidRPr="00525DDF">
        <w:t xml:space="preserve">20 regulatory control period. This is consistent with the flattening of demand over the 2010-15 period. As set out in section </w:t>
      </w:r>
      <w:r w:rsidRPr="00525DDF">
        <w:fldChar w:fldCharType="begin"/>
      </w:r>
      <w:r w:rsidRPr="00525DDF">
        <w:instrText xml:space="preserve"> REF _Ref416354358 \r \h </w:instrText>
      </w:r>
      <w:r w:rsidRPr="00525DDF">
        <w:fldChar w:fldCharType="separate"/>
      </w:r>
      <w:r w:rsidR="00F02131">
        <w:t>C.4</w:t>
      </w:r>
      <w:r w:rsidRPr="00525DDF">
        <w:fldChar w:fldCharType="end"/>
      </w:r>
      <w:r w:rsidRPr="00525DDF">
        <w:t xml:space="preserve"> below, AEMO also forecasts a similar flattening of demand growth for SA Power Networks' network. </w:t>
      </w:r>
    </w:p>
    <w:p w:rsidR="00525DDF" w:rsidRPr="00525DDF" w:rsidRDefault="00525DDF" w:rsidP="00525DDF">
      <w:pPr>
        <w:numPr>
          <w:ilvl w:val="0"/>
          <w:numId w:val="24"/>
        </w:numPr>
      </w:pPr>
      <w:r w:rsidRPr="00525DDF">
        <w:lastRenderedPageBreak/>
        <w:t>AEMO's system demand forecast is 3 per cent higher than SA Power Networks' demand forecast over a 10 year period.</w:t>
      </w:r>
      <w:r w:rsidRPr="00525DDF">
        <w:rPr>
          <w:rStyle w:val="FootnoteReference"/>
        </w:rPr>
        <w:footnoteReference w:id="336"/>
      </w:r>
      <w:r w:rsidRPr="00525DDF">
        <w:t xml:space="preserve"> Both SA Power Networks and AEMO arrived at their forecasts using consistent methodologies, which likely explain the similarities between forecasts. The small differences between the forecasts are discussed further in section </w:t>
      </w:r>
      <w:r w:rsidRPr="00525DDF">
        <w:fldChar w:fldCharType="begin"/>
      </w:r>
      <w:r w:rsidRPr="00525DDF">
        <w:instrText xml:space="preserve"> REF _Ref416354358 \r \h </w:instrText>
      </w:r>
      <w:r w:rsidRPr="00525DDF">
        <w:fldChar w:fldCharType="separate"/>
      </w:r>
      <w:r w:rsidR="00F02131">
        <w:t>C.4</w:t>
      </w:r>
      <w:r w:rsidRPr="00525DDF">
        <w:fldChar w:fldCharType="end"/>
      </w:r>
      <w:r w:rsidRPr="00525DDF">
        <w:t xml:space="preserve"> below)</w:t>
      </w:r>
    </w:p>
    <w:p w:rsidR="00525DDF" w:rsidRPr="00525DDF" w:rsidRDefault="00525DDF" w:rsidP="00525DDF">
      <w:pPr>
        <w:numPr>
          <w:ilvl w:val="0"/>
          <w:numId w:val="24"/>
        </w:numPr>
      </w:pPr>
      <w:r w:rsidRPr="00525DDF">
        <w:t xml:space="preserve">On the basis that SA Power Networks' system demand forecasts overlaps to a high degree with the independently determined forecasts of AEMO, we are satisfied that SA Power Networks' system demand forecasts reflect a realistic expectation of demand for the 2015-20 </w:t>
      </w:r>
      <w:r w:rsidR="00C35CCD">
        <w:t xml:space="preserve">regulatory control </w:t>
      </w:r>
      <w:r w:rsidRPr="00525DDF">
        <w:t>period.</w:t>
      </w:r>
    </w:p>
    <w:p w:rsidR="00525DDF" w:rsidRPr="00525DDF" w:rsidRDefault="00525DDF" w:rsidP="00525DDF">
      <w:pPr>
        <w:pStyle w:val="Heading8"/>
      </w:pPr>
      <w:bookmarkStart w:id="180" w:name="_Toc417725419"/>
      <w:r w:rsidRPr="00525DDF">
        <w:t>AER approach</w:t>
      </w:r>
      <w:bookmarkEnd w:id="180"/>
    </w:p>
    <w:p w:rsidR="00525DDF" w:rsidRPr="00525DDF" w:rsidRDefault="00525DDF" w:rsidP="00525DDF">
      <w:pPr>
        <w:numPr>
          <w:ilvl w:val="0"/>
          <w:numId w:val="24"/>
        </w:numPr>
      </w:pPr>
      <w:r w:rsidRPr="00525DDF">
        <w:t>Our consideration of demand trends in SA Power Networks' network relied primarily on comparing demand information from the following sources:</w:t>
      </w:r>
    </w:p>
    <w:p w:rsidR="00525DDF" w:rsidRPr="00525DDF" w:rsidRDefault="00525DDF" w:rsidP="00525DDF">
      <w:pPr>
        <w:pStyle w:val="AERbulletlistfirststyle"/>
      </w:pPr>
      <w:r w:rsidRPr="00525DDF">
        <w:t>SA Power Networks' regulatory proposal</w:t>
      </w:r>
    </w:p>
    <w:p w:rsidR="00525DDF" w:rsidRPr="00525DDF" w:rsidRDefault="00525DDF" w:rsidP="00525DDF">
      <w:pPr>
        <w:pStyle w:val="AERbulletlistfirststyle"/>
      </w:pPr>
      <w:r w:rsidRPr="00525DDF">
        <w:t xml:space="preserve">AEMO's 2014 transmission connection point forecast report for South Australia </w:t>
      </w:r>
    </w:p>
    <w:p w:rsidR="00525DDF" w:rsidRPr="00525DDF" w:rsidRDefault="00525DDF" w:rsidP="00525DDF">
      <w:pPr>
        <w:pStyle w:val="AERbulletlistfirststyle"/>
      </w:pPr>
      <w:r w:rsidRPr="00525DDF">
        <w:t xml:space="preserve">stakeholder submissions on SA Power Networks' regulatory proposal. </w:t>
      </w:r>
    </w:p>
    <w:p w:rsidR="00525DDF" w:rsidRPr="00525DDF" w:rsidRDefault="00525DDF" w:rsidP="00525DDF">
      <w:pPr>
        <w:pStyle w:val="Heading8"/>
      </w:pPr>
      <w:bookmarkStart w:id="181" w:name="_Toc417725420"/>
      <w:r w:rsidRPr="00525DDF">
        <w:t>SA Power Networks' proposal</w:t>
      </w:r>
      <w:bookmarkEnd w:id="181"/>
    </w:p>
    <w:p w:rsidR="00525DDF" w:rsidRDefault="00525DDF" w:rsidP="00525DDF">
      <w:r w:rsidRPr="00525DDF">
        <w:t>SA Power Networks has forecast a flat demand outlook with an annual downward reduction of aro</w:t>
      </w:r>
      <w:r w:rsidR="00C35CCD">
        <w:t>und 0.32 per cent in the 2015–</w:t>
      </w:r>
      <w:r w:rsidRPr="00525DDF">
        <w:t xml:space="preserve">20 regulatory control period. This is broadly consistent with the "flattened" demand trend over the 2010–15 </w:t>
      </w:r>
      <w:proofErr w:type="gramStart"/>
      <w:r w:rsidRPr="00525DDF">
        <w:t>period</w:t>
      </w:r>
      <w:proofErr w:type="gramEnd"/>
      <w:r w:rsidRPr="00525DDF">
        <w:t xml:space="preserve">, as shown in </w:t>
      </w:r>
      <w:r w:rsidRPr="00525DDF">
        <w:fldChar w:fldCharType="begin"/>
      </w:r>
      <w:r w:rsidRPr="00525DDF">
        <w:instrText xml:space="preserve"> REF _Ref416795285 \h </w:instrText>
      </w:r>
      <w:r w:rsidRPr="00525DDF">
        <w:fldChar w:fldCharType="separate"/>
      </w:r>
      <w:r w:rsidR="00C35CCD">
        <w:t>f</w:t>
      </w:r>
      <w:r w:rsidR="00F02131">
        <w:t xml:space="preserve">igure </w:t>
      </w:r>
      <w:r w:rsidR="00F02131">
        <w:rPr>
          <w:noProof/>
        </w:rPr>
        <w:t>C</w:t>
      </w:r>
      <w:r w:rsidR="00F02131">
        <w:noBreakHyphen/>
      </w:r>
      <w:r w:rsidR="00F02131">
        <w:rPr>
          <w:noProof/>
        </w:rPr>
        <w:t>1</w:t>
      </w:r>
      <w:r w:rsidRPr="00525DDF">
        <w:fldChar w:fldCharType="end"/>
      </w:r>
      <w:r w:rsidRPr="00525DDF">
        <w:t xml:space="preserve">. SA Power Networks' forecast system maximum demand for the 2015–20 </w:t>
      </w:r>
      <w:r w:rsidR="00C35CCD">
        <w:t xml:space="preserve">regulatory control </w:t>
      </w:r>
      <w:r w:rsidRPr="00525DDF">
        <w:t>period is based on the latest available data following the 2013 winter and 2013–14 summer season.</w:t>
      </w:r>
    </w:p>
    <w:p w:rsidR="00E36937" w:rsidRDefault="00E36937" w:rsidP="00525DDF"/>
    <w:p w:rsidR="00E36937" w:rsidRDefault="00E36937" w:rsidP="00525DDF"/>
    <w:p w:rsidR="00E36937" w:rsidRDefault="00E36937" w:rsidP="00525DDF"/>
    <w:p w:rsidR="00E36937" w:rsidRDefault="00E36937" w:rsidP="00525DDF"/>
    <w:p w:rsidR="00E36937" w:rsidRDefault="00E36937" w:rsidP="00525DDF"/>
    <w:p w:rsidR="00E36937" w:rsidRDefault="00E36937" w:rsidP="00525DDF"/>
    <w:p w:rsidR="00E36937" w:rsidRDefault="00E36937" w:rsidP="00525DDF"/>
    <w:p w:rsidR="00E36937" w:rsidRDefault="00E36937" w:rsidP="00525DDF"/>
    <w:p w:rsidR="00E36937" w:rsidRPr="00525DDF" w:rsidRDefault="00E36937" w:rsidP="00525DDF"/>
    <w:p w:rsidR="00525DDF" w:rsidRPr="00525DDF" w:rsidRDefault="00EB78CC" w:rsidP="004B575E">
      <w:pPr>
        <w:pStyle w:val="Caption"/>
      </w:pPr>
      <w:bookmarkStart w:id="182" w:name="_Ref416795285"/>
      <w:r>
        <w:lastRenderedPageBreak/>
        <w:t xml:space="preserve">Figure </w:t>
      </w:r>
      <w:fldSimple w:instr=" STYLEREF 7 \s ">
        <w:r w:rsidR="00F02131">
          <w:rPr>
            <w:noProof/>
          </w:rPr>
          <w:t>C</w:t>
        </w:r>
      </w:fldSimple>
      <w:r>
        <w:noBreakHyphen/>
      </w:r>
      <w:fldSimple w:instr=" SEQ AFigure \* ARABIC \s 7 ">
        <w:r w:rsidR="00F02131">
          <w:rPr>
            <w:noProof/>
          </w:rPr>
          <w:t>1</w:t>
        </w:r>
      </w:fldSimple>
      <w:bookmarkEnd w:id="182"/>
      <w:r w:rsidR="00525DDF" w:rsidRPr="00525DDF">
        <w:tab/>
      </w:r>
      <w:r w:rsidR="00525DDF" w:rsidRPr="00525DDF">
        <w:tab/>
        <w:t>SA Power Networks maximum demand (summer)</w:t>
      </w:r>
    </w:p>
    <w:p w:rsidR="00525DDF" w:rsidRPr="00525DDF" w:rsidRDefault="00525DDF" w:rsidP="00525DDF">
      <w:r w:rsidRPr="00525DDF">
        <w:rPr>
          <w:noProof/>
          <w:lang w:eastAsia="en-AU"/>
        </w:rPr>
        <w:drawing>
          <wp:inline distT="0" distB="0" distL="0" distR="0" wp14:anchorId="10B8DDE0" wp14:editId="1F2484DD">
            <wp:extent cx="5382895" cy="3406512"/>
            <wp:effectExtent l="0" t="0" r="27305" b="22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25DDF" w:rsidRPr="00525DDF" w:rsidRDefault="00525DDF" w:rsidP="00525DDF">
      <w:pPr>
        <w:pStyle w:val="AERtablesource"/>
      </w:pPr>
      <w:bookmarkStart w:id="183" w:name="_Ref412445365"/>
      <w:r w:rsidRPr="00525DDF">
        <w:t>Source:</w:t>
      </w:r>
      <w:r w:rsidRPr="00525DDF">
        <w:tab/>
        <w:t xml:space="preserve">AER analysis based on data from AEMO. </w:t>
      </w:r>
    </w:p>
    <w:p w:rsidR="00525DDF" w:rsidRPr="00525DDF" w:rsidRDefault="00525DDF" w:rsidP="00525DDF">
      <w:pPr>
        <w:pStyle w:val="AERtablesource"/>
      </w:pPr>
      <w:r w:rsidRPr="00525DDF">
        <w:t>Note:</w:t>
      </w:r>
      <w:r w:rsidRPr="00525DDF">
        <w:tab/>
        <w:t>There is a slight difference between AEMO's data and the data SA Power Networks provided in its RIN. However, this difference did not impact on our analysis. We have used AEMO's data for this comparison between AEMO's and SA Power Networks' demand forecasts.</w:t>
      </w:r>
    </w:p>
    <w:bookmarkEnd w:id="183"/>
    <w:p w:rsidR="00525DDF" w:rsidRPr="00525DDF" w:rsidRDefault="00525DDF" w:rsidP="00525DDF">
      <w:pPr>
        <w:pStyle w:val="Caption"/>
        <w:numPr>
          <w:ilvl w:val="0"/>
          <w:numId w:val="24"/>
        </w:numPr>
      </w:pPr>
      <w:r w:rsidRPr="00525DDF">
        <w:t xml:space="preserve">Table </w:t>
      </w:r>
      <w:fldSimple w:instr=" STYLEREF 7 \s ">
        <w:r w:rsidR="00F02131">
          <w:rPr>
            <w:noProof/>
          </w:rPr>
          <w:t>C</w:t>
        </w:r>
      </w:fldSimple>
      <w:r w:rsidRPr="00525DDF">
        <w:noBreakHyphen/>
      </w:r>
      <w:fldSimple w:instr=" SEQ Table \* ARABIC \s 7 ">
        <w:r w:rsidR="00F02131">
          <w:rPr>
            <w:noProof/>
          </w:rPr>
          <w:t>1</w:t>
        </w:r>
      </w:fldSimple>
      <w:r w:rsidRPr="00525DDF">
        <w:tab/>
        <w:t>Maximum system demand (summer) – Weather corrected (50% PoE) (MW)</w:t>
      </w:r>
    </w:p>
    <w:tbl>
      <w:tblPr>
        <w:tblStyle w:val="AERtable-numbers"/>
        <w:tblW w:w="0" w:type="auto"/>
        <w:tblLayout w:type="fixed"/>
        <w:tblLook w:val="04A0" w:firstRow="1" w:lastRow="0" w:firstColumn="1" w:lastColumn="0" w:noHBand="0" w:noVBand="1"/>
      </w:tblPr>
      <w:tblGrid>
        <w:gridCol w:w="2802"/>
        <w:gridCol w:w="977"/>
        <w:gridCol w:w="978"/>
        <w:gridCol w:w="977"/>
        <w:gridCol w:w="978"/>
        <w:gridCol w:w="977"/>
        <w:gridCol w:w="978"/>
      </w:tblGrid>
      <w:tr w:rsidR="00525DDF" w:rsidTr="007F21A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tcPr>
          <w:p w:rsidR="00525DDF" w:rsidRPr="00525DDF" w:rsidRDefault="00525DDF" w:rsidP="00525DDF">
            <w:bookmarkStart w:id="184" w:name="OLE_LINK1"/>
          </w:p>
        </w:tc>
        <w:tc>
          <w:tcPr>
            <w:tcW w:w="977"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 xml:space="preserve">   2015-16</w:t>
            </w:r>
          </w:p>
        </w:tc>
        <w:tc>
          <w:tcPr>
            <w:tcW w:w="978"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2016-17</w:t>
            </w:r>
          </w:p>
        </w:tc>
        <w:tc>
          <w:tcPr>
            <w:tcW w:w="977"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2017-18</w:t>
            </w:r>
          </w:p>
        </w:tc>
        <w:tc>
          <w:tcPr>
            <w:tcW w:w="978"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2018-19</w:t>
            </w:r>
          </w:p>
        </w:tc>
        <w:tc>
          <w:tcPr>
            <w:tcW w:w="977"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2019-20</w:t>
            </w:r>
          </w:p>
        </w:tc>
        <w:tc>
          <w:tcPr>
            <w:tcW w:w="978" w:type="dxa"/>
          </w:tcPr>
          <w:p w:rsidR="00525DDF" w:rsidRPr="00525DDF" w:rsidRDefault="00525DDF" w:rsidP="00525DDF">
            <w:pPr>
              <w:cnfStyle w:val="100000000000" w:firstRow="1" w:lastRow="0" w:firstColumn="0" w:lastColumn="0" w:oddVBand="0" w:evenVBand="0" w:oddHBand="0" w:evenHBand="0" w:firstRowFirstColumn="0" w:firstRowLastColumn="0" w:lastRowFirstColumn="0" w:lastRowLastColumn="0"/>
            </w:pPr>
            <w:r w:rsidRPr="00525DDF">
              <w:t>Average annual growth (2015-20)</w:t>
            </w:r>
          </w:p>
        </w:tc>
      </w:tr>
      <w:tr w:rsidR="00525DDF" w:rsidTr="007F21A7">
        <w:trPr>
          <w:trHeight w:val="846"/>
        </w:trPr>
        <w:tc>
          <w:tcPr>
            <w:cnfStyle w:val="001000000000" w:firstRow="0" w:lastRow="0" w:firstColumn="1" w:lastColumn="0" w:oddVBand="0" w:evenVBand="0" w:oddHBand="0" w:evenHBand="0" w:firstRowFirstColumn="0" w:firstRowLastColumn="0" w:lastRowFirstColumn="0" w:lastRowLastColumn="0"/>
            <w:tcW w:w="2802" w:type="dxa"/>
          </w:tcPr>
          <w:p w:rsidR="00525DDF" w:rsidRPr="00525DDF" w:rsidRDefault="00525DDF" w:rsidP="00525DDF">
            <w:r w:rsidRPr="00525DDF">
              <w:t xml:space="preserve">Regulatory proposal (October 2014) </w:t>
            </w:r>
          </w:p>
        </w:tc>
        <w:tc>
          <w:tcPr>
            <w:tcW w:w="977"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2625</w:t>
            </w:r>
          </w:p>
        </w:tc>
        <w:tc>
          <w:tcPr>
            <w:tcW w:w="978"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2608</w:t>
            </w:r>
          </w:p>
        </w:tc>
        <w:tc>
          <w:tcPr>
            <w:tcW w:w="977"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2607</w:t>
            </w:r>
          </w:p>
        </w:tc>
        <w:tc>
          <w:tcPr>
            <w:tcW w:w="978"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2595</w:t>
            </w:r>
          </w:p>
        </w:tc>
        <w:tc>
          <w:tcPr>
            <w:tcW w:w="977"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2592</w:t>
            </w:r>
          </w:p>
        </w:tc>
        <w:tc>
          <w:tcPr>
            <w:tcW w:w="978" w:type="dxa"/>
          </w:tcPr>
          <w:p w:rsidR="00525DDF" w:rsidRPr="00525DDF" w:rsidRDefault="00525DDF" w:rsidP="00525DDF">
            <w:pPr>
              <w:cnfStyle w:val="000000000000" w:firstRow="0" w:lastRow="0" w:firstColumn="0" w:lastColumn="0" w:oddVBand="0" w:evenVBand="0" w:oddHBand="0" w:evenHBand="0" w:firstRowFirstColumn="0" w:firstRowLastColumn="0" w:lastRowFirstColumn="0" w:lastRowLastColumn="0"/>
            </w:pPr>
            <w:r w:rsidRPr="00525DDF">
              <w:t>-0.32%</w:t>
            </w:r>
          </w:p>
        </w:tc>
      </w:tr>
    </w:tbl>
    <w:bookmarkEnd w:id="184"/>
    <w:p w:rsidR="00525DDF" w:rsidRPr="00525DDF" w:rsidRDefault="00525DDF" w:rsidP="00525DDF">
      <w:pPr>
        <w:pStyle w:val="AERtablesource"/>
      </w:pPr>
      <w:r w:rsidRPr="00525DDF">
        <w:t>Source:</w:t>
      </w:r>
      <w:r w:rsidRPr="00525DDF">
        <w:tab/>
        <w:t>SA Power Networks regulatory proposal, SA Power Networks reset RIN</w:t>
      </w:r>
    </w:p>
    <w:p w:rsidR="00525DDF" w:rsidRPr="00525DDF" w:rsidRDefault="00525DDF" w:rsidP="00525DDF">
      <w:pPr>
        <w:numPr>
          <w:ilvl w:val="0"/>
          <w:numId w:val="24"/>
        </w:numPr>
      </w:pPr>
      <w:r w:rsidRPr="00525DDF">
        <w:t>While SA Power Networks did not repeat its forecasting methodology in its regulatory proposal, the 2014 Transmission Connection Point Forecasting Report for South Australia contains an assessment of their methodology compared to that of AEMO.</w:t>
      </w:r>
      <w:r w:rsidRPr="00525DDF">
        <w:rPr>
          <w:rStyle w:val="FootnoteReference"/>
        </w:rPr>
        <w:footnoteReference w:id="337"/>
      </w:r>
      <w:r w:rsidRPr="00525DDF">
        <w:rPr>
          <w:rStyle w:val="FootnoteReference"/>
        </w:rPr>
        <w:t xml:space="preserve"> </w:t>
      </w:r>
      <w:r w:rsidRPr="00525DDF">
        <w:t xml:space="preserve">AEMO's analysis showed that SA Power Networks started its system demand </w:t>
      </w:r>
      <w:r w:rsidRPr="00525DDF">
        <w:lastRenderedPageBreak/>
        <w:t>forecasts from the most recent historical point and adopts a consistent forecasting methodology to AEMO. Details of this analysis can be found in AEMO's report.</w:t>
      </w:r>
      <w:r w:rsidRPr="00525DDF">
        <w:rPr>
          <w:rStyle w:val="FootnoteReference"/>
        </w:rPr>
        <w:footnoteReference w:id="338"/>
      </w:r>
    </w:p>
    <w:p w:rsidR="00525DDF" w:rsidRPr="00525DDF" w:rsidRDefault="00525DDF" w:rsidP="00525DDF">
      <w:pPr>
        <w:pStyle w:val="ListParagraph"/>
        <w:numPr>
          <w:ilvl w:val="0"/>
          <w:numId w:val="24"/>
        </w:numPr>
      </w:pPr>
      <w:r w:rsidRPr="00525DDF">
        <w:t>Several stakeholders acknowledged the flattening demand trend since 2010.</w:t>
      </w:r>
      <w:r w:rsidRPr="00525DDF">
        <w:rPr>
          <w:rStyle w:val="FootnoteReference"/>
        </w:rPr>
        <w:footnoteReference w:id="339"/>
      </w:r>
      <w:r w:rsidRPr="00525DDF">
        <w:t xml:space="preserve"> Some stakeholders attributed this trend to increased uptake of rooftop PV.</w:t>
      </w:r>
      <w:r w:rsidRPr="00525DDF">
        <w:rPr>
          <w:rStyle w:val="FootnoteReference"/>
        </w:rPr>
        <w:footnoteReference w:id="340"/>
      </w:r>
      <w:r w:rsidRPr="00525DDF">
        <w:t xml:space="preserve"> However, some stakeholders raised concern that flattened demand has continued to see increased prices and high levels of investment on SA Power Networks' network.</w:t>
      </w:r>
      <w:r w:rsidRPr="00525DDF">
        <w:rPr>
          <w:rStyle w:val="FootnoteReference"/>
        </w:rPr>
        <w:footnoteReference w:id="341"/>
      </w:r>
    </w:p>
    <w:p w:rsidR="00525DDF" w:rsidRPr="00525DDF" w:rsidRDefault="00525DDF" w:rsidP="00525DDF">
      <w:pPr>
        <w:pStyle w:val="ListParagraph"/>
        <w:numPr>
          <w:ilvl w:val="0"/>
          <w:numId w:val="24"/>
        </w:numPr>
      </w:pPr>
      <w:r w:rsidRPr="00525DDF">
        <w:t>We acknowledge stakeholders' concerns regarding price increases on SA Power Networks' network. However, we compared SA Power Networks' demand forecasts against AEMO's independents forecasts and found that SA Power Networks' demand forecasts are similar to AEMO's forecasts. Origin Energy and AGL made similar observations in their submissions. These submissions noted that SA Power Networks' demand forecasts are reasonable because they are similar to AEMO's demand forecasts and also reflect a reasonable expectation of demand for the 2015–20 regulatory period.</w:t>
      </w:r>
      <w:r w:rsidRPr="00525DDF">
        <w:rPr>
          <w:rStyle w:val="FootnoteReference"/>
        </w:rPr>
        <w:footnoteReference w:id="342"/>
      </w:r>
    </w:p>
    <w:p w:rsidR="00525DDF" w:rsidRPr="00525DDF" w:rsidRDefault="00525DDF" w:rsidP="00525DDF">
      <w:pPr>
        <w:pStyle w:val="Heading8"/>
      </w:pPr>
      <w:bookmarkStart w:id="185" w:name="_Ref416354358"/>
      <w:bookmarkStart w:id="186" w:name="_Toc417725421"/>
      <w:r w:rsidRPr="00525DDF">
        <w:t>AEMO forecasts</w:t>
      </w:r>
      <w:bookmarkEnd w:id="185"/>
      <w:bookmarkEnd w:id="186"/>
    </w:p>
    <w:p w:rsidR="00525DDF" w:rsidRPr="00525DDF" w:rsidRDefault="00525DDF" w:rsidP="00525DDF">
      <w:r w:rsidRPr="00525DDF">
        <w:t>In December 2014, AEMO published the first edition of transmission connection point forecasts for South Australia.</w:t>
      </w:r>
      <w:r w:rsidRPr="00525DDF">
        <w:rPr>
          <w:rStyle w:val="FootnoteReference"/>
        </w:rPr>
        <w:footnoteReference w:id="343"/>
      </w:r>
      <w:r w:rsidRPr="00525DDF">
        <w:t xml:space="preserve"> These forecasts are AEMO's independent electricity maximum demand forecasts at transmission connection point level, over a 10-year outlook period.</w:t>
      </w:r>
      <w:r w:rsidRPr="00525DDF">
        <w:rPr>
          <w:rStyle w:val="FootnoteReference"/>
        </w:rPr>
        <w:footnoteReference w:id="344"/>
      </w:r>
      <w:r w:rsidRPr="00525DDF">
        <w:t xml:space="preserve"> The Standing Council on Energy Resources (SCER) intended these demand forecasts to inform o</w:t>
      </w:r>
      <w:r w:rsidR="006653FF">
        <w:t>ur</w:t>
      </w:r>
      <w:r w:rsidRPr="00525DDF">
        <w:t xml:space="preserve"> regulatory determinations.</w:t>
      </w:r>
      <w:r w:rsidRPr="00525DDF">
        <w:rPr>
          <w:rStyle w:val="FootnoteReference"/>
        </w:rPr>
        <w:footnoteReference w:id="345"/>
      </w:r>
      <w:r w:rsidRPr="00525DDF">
        <w:t xml:space="preserve"> The NEFR includes AEMO's summer and winter demand forecasts for all regions (states) in the National Electricity Market. More information about the AEMO process is included in other recent AER decisions.</w:t>
      </w:r>
      <w:r w:rsidRPr="00525DDF">
        <w:rPr>
          <w:rStyle w:val="FootnoteReference"/>
        </w:rPr>
        <w:footnoteReference w:id="346"/>
      </w:r>
    </w:p>
    <w:p w:rsidR="00525DDF" w:rsidRPr="00525DDF" w:rsidRDefault="00525DDF" w:rsidP="00525DDF">
      <w:r w:rsidRPr="00525DDF">
        <w:lastRenderedPageBreak/>
        <w:fldChar w:fldCharType="begin"/>
      </w:r>
      <w:r w:rsidRPr="00525DDF">
        <w:instrText xml:space="preserve"> REF _Ref416795285 \h </w:instrText>
      </w:r>
      <w:r w:rsidRPr="00525DDF">
        <w:fldChar w:fldCharType="separate"/>
      </w:r>
      <w:r w:rsidR="00F02131">
        <w:t xml:space="preserve">Figure </w:t>
      </w:r>
      <w:r w:rsidR="00F02131">
        <w:rPr>
          <w:noProof/>
        </w:rPr>
        <w:t>C</w:t>
      </w:r>
      <w:r w:rsidR="00F02131">
        <w:noBreakHyphen/>
      </w:r>
      <w:r w:rsidR="00F02131">
        <w:rPr>
          <w:noProof/>
        </w:rPr>
        <w:t>1</w:t>
      </w:r>
      <w:r w:rsidRPr="00525DDF">
        <w:fldChar w:fldCharType="end"/>
      </w:r>
      <w:r w:rsidRPr="00525DDF">
        <w:t xml:space="preserve"> compares AEMO's </w:t>
      </w:r>
      <w:proofErr w:type="gramStart"/>
      <w:r w:rsidRPr="00525DDF">
        <w:t>summer system demand forecasts</w:t>
      </w:r>
      <w:proofErr w:type="gramEnd"/>
      <w:r w:rsidRPr="00525DDF">
        <w:t xml:space="preserve"> with the forecasts proposed by SA Power Networks in its regulatory proposal.</w:t>
      </w:r>
      <w:r w:rsidRPr="00525DDF">
        <w:rPr>
          <w:rStyle w:val="FootnoteReference"/>
        </w:rPr>
        <w:footnoteReference w:id="347"/>
      </w:r>
      <w:r w:rsidRPr="00525DDF">
        <w:t xml:space="preserve"> SA Power Networks' summer system demand forecast trend was consistent with </w:t>
      </w:r>
      <w:r w:rsidR="00C35CCD">
        <w:t>AEMO's forecast over the 2015–</w:t>
      </w:r>
      <w:r w:rsidRPr="00525DDF">
        <w:t>20 regulatory control period. However, AEMO' s summer system demand forecast is 3 per cent higher than SA Power Networks' demand forecast over a 10 year period.</w:t>
      </w:r>
      <w:r w:rsidRPr="00525DDF">
        <w:rPr>
          <w:rStyle w:val="FootnoteReference"/>
        </w:rPr>
        <w:footnoteReference w:id="348"/>
      </w:r>
      <w:r w:rsidRPr="00525DDF">
        <w:t xml:space="preserve">  </w:t>
      </w:r>
    </w:p>
    <w:p w:rsidR="00525DDF" w:rsidRPr="00525DDF" w:rsidRDefault="00525DDF" w:rsidP="00525DDF">
      <w:r w:rsidRPr="00525DDF">
        <w:t xml:space="preserve">AEMO forecasts that maximum demand will "flatten" in </w:t>
      </w:r>
      <w:r w:rsidR="00C35CCD">
        <w:t>South Australia over the 2015–</w:t>
      </w:r>
      <w:r w:rsidRPr="00525DDF">
        <w:t>20 regulatory control period. However, some individual connection points will see an increase in demand.</w:t>
      </w:r>
      <w:r w:rsidRPr="00525DDF">
        <w:rPr>
          <w:rStyle w:val="FootnoteReference"/>
        </w:rPr>
        <w:footnoteReference w:id="349"/>
      </w:r>
      <w:r w:rsidRPr="00525DDF">
        <w:t xml:space="preserve">  This will be driven by a combination of positive growth and declines in growth. Positive growth will be primarily driven by block loads and load transfers, population growth and positive economic outlook. Declines in growth will be driven primarily by load transfers, energy efficiency savings and rooftop PV during summer.</w:t>
      </w:r>
      <w:r w:rsidRPr="00525DDF">
        <w:rPr>
          <w:rStyle w:val="FootnoteReference"/>
        </w:rPr>
        <w:t xml:space="preserve"> </w:t>
      </w:r>
      <w:r w:rsidRPr="00525DDF">
        <w:rPr>
          <w:rStyle w:val="FootnoteReference"/>
        </w:rPr>
        <w:footnoteReference w:id="350"/>
      </w:r>
    </w:p>
    <w:p w:rsidR="00525DDF" w:rsidRPr="00525DDF" w:rsidRDefault="00525DDF" w:rsidP="00525DDF">
      <w:r w:rsidRPr="00525DDF">
        <w:t>Both SA Power Networks and AEMO adopt consistent methodologies in preparing demand forecasts.</w:t>
      </w:r>
      <w:r w:rsidRPr="00525DDF">
        <w:rPr>
          <w:rStyle w:val="FootnoteReference"/>
        </w:rPr>
        <w:footnoteReference w:id="351"/>
      </w:r>
      <w:r w:rsidRPr="00525DDF">
        <w:t xml:space="preserve"> The slight difference in demand forecasts is due to the different forecasting inputs used by AEMO and SA Power Networks. The key differences are the selection of the forecasting starting points, and the assessment of energy efficiency and rooftop solar generation.</w:t>
      </w:r>
      <w:r w:rsidRPr="00525DDF">
        <w:rPr>
          <w:rStyle w:val="FootnoteReference"/>
        </w:rPr>
        <w:footnoteReference w:id="352"/>
      </w:r>
      <w:r w:rsidRPr="00525DDF">
        <w:t xml:space="preserve">  Details of the difference between AEMO and SA Power Networks' forecasting methodologies can be found in AEMO's report.</w:t>
      </w:r>
      <w:r w:rsidRPr="00525DDF">
        <w:rPr>
          <w:rStyle w:val="FootnoteReference"/>
        </w:rPr>
        <w:footnoteReference w:id="353"/>
      </w:r>
    </w:p>
    <w:p w:rsidR="00525DDF" w:rsidRPr="00525DDF" w:rsidRDefault="00525DDF" w:rsidP="00525DDF"/>
    <w:p w:rsidR="00834D39" w:rsidRPr="00834D39" w:rsidRDefault="00834D39" w:rsidP="00834D39">
      <w:pPr>
        <w:pStyle w:val="Heading7"/>
      </w:pPr>
      <w:bookmarkStart w:id="187" w:name="_Toc417725422"/>
      <w:r>
        <w:lastRenderedPageBreak/>
        <w:t>Real material cost escalation</w:t>
      </w:r>
      <w:bookmarkEnd w:id="177"/>
      <w:bookmarkEnd w:id="178"/>
      <w:bookmarkEnd w:id="187"/>
    </w:p>
    <w:p w:rsidR="00834D39" w:rsidRPr="00780029" w:rsidRDefault="00834D39" w:rsidP="00525DDF">
      <w:pPr>
        <w:numPr>
          <w:ilvl w:val="0"/>
          <w:numId w:val="24"/>
        </w:numPr>
      </w:pPr>
      <w:r w:rsidRPr="00780029">
        <w:t xml:space="preserve">Real material cost escalation is a method for accounting for expected changes in the costs of key material inputs to forecast capex. </w:t>
      </w:r>
      <w:bookmarkStart w:id="188" w:name="_Toc334607976"/>
      <w:bookmarkStart w:id="189" w:name="_Toc335135603"/>
      <w:r w:rsidRPr="00780029">
        <w:t xml:space="preserve">The materials input cost model submitted by </w:t>
      </w:r>
      <w:r w:rsidR="00294831">
        <w:t>SA</w:t>
      </w:r>
      <w:r w:rsidR="00C34A56">
        <w:t xml:space="preserve"> Power Networks</w:t>
      </w:r>
      <w:r w:rsidR="00294831">
        <w:t xml:space="preserve"> </w:t>
      </w:r>
      <w:r w:rsidRPr="00780029">
        <w:t xml:space="preserve">includes forecasts for changes in the prices of commodities such as copper, aluminium, steel and crude oil, rather than the prices of physical inputs themselves (e.g., poles, cables, transformers) </w:t>
      </w:r>
      <w:r w:rsidR="002D6FEE">
        <w:t>used to p</w:t>
      </w:r>
      <w:r w:rsidRPr="00780029">
        <w:t>rovi</w:t>
      </w:r>
      <w:r w:rsidR="002D6FEE">
        <w:t>de</w:t>
      </w:r>
      <w:r w:rsidRPr="00780029">
        <w:t xml:space="preserve"> network services. </w:t>
      </w:r>
      <w:r w:rsidR="00294831">
        <w:t>SA</w:t>
      </w:r>
      <w:r w:rsidR="00C34A56">
        <w:t xml:space="preserve"> </w:t>
      </w:r>
      <w:r w:rsidR="00294831">
        <w:t>P</w:t>
      </w:r>
      <w:r w:rsidR="00C34A56">
        <w:t>ower Networks</w:t>
      </w:r>
      <w:r w:rsidR="00294831">
        <w:t xml:space="preserve"> </w:t>
      </w:r>
      <w:r w:rsidRPr="00780029">
        <w:t>has also escalated construction costs in its forecast.</w:t>
      </w:r>
    </w:p>
    <w:p w:rsidR="00834D39" w:rsidRPr="00834D39" w:rsidRDefault="00834D39" w:rsidP="00525DDF">
      <w:pPr>
        <w:pStyle w:val="Heading8"/>
        <w:numPr>
          <w:ilvl w:val="1"/>
          <w:numId w:val="28"/>
        </w:numPr>
      </w:pPr>
      <w:bookmarkStart w:id="190" w:name="_Toc404164378"/>
      <w:bookmarkStart w:id="191" w:name="_Toc417725423"/>
      <w:bookmarkEnd w:id="188"/>
      <w:bookmarkEnd w:id="189"/>
      <w:r w:rsidRPr="00780029">
        <w:t>Position</w:t>
      </w:r>
      <w:bookmarkEnd w:id="190"/>
      <w:bookmarkEnd w:id="191"/>
    </w:p>
    <w:p w:rsidR="00303B48" w:rsidRPr="00303B48" w:rsidRDefault="00834D39" w:rsidP="00525DDF">
      <w:pPr>
        <w:numPr>
          <w:ilvl w:val="0"/>
          <w:numId w:val="24"/>
        </w:numPr>
      </w:pPr>
      <w:r w:rsidRPr="00780029">
        <w:t xml:space="preserve">We are not satisfied that </w:t>
      </w:r>
      <w:r w:rsidR="002A3937">
        <w:t>SA</w:t>
      </w:r>
      <w:r w:rsidR="00C34A56">
        <w:t xml:space="preserve"> </w:t>
      </w:r>
      <w:r w:rsidR="002A3937">
        <w:t>P</w:t>
      </w:r>
      <w:r w:rsidR="00C34A56">
        <w:t>ower Networks</w:t>
      </w:r>
      <w:r w:rsidRPr="00780029">
        <w:t xml:space="preserve"> proposed real material cost escalators (leading to cost increases above CPI) which form part of its total forecast capex reasonably reflect a realistic expectation of the cost inputs required to achieve th</w:t>
      </w:r>
      <w:r w:rsidR="002A3937">
        <w:t>e capex objectives over the 2015</w:t>
      </w:r>
      <w:r w:rsidRPr="00780029">
        <w:t>–</w:t>
      </w:r>
      <w:r w:rsidR="002A3937">
        <w:t>20</w:t>
      </w:r>
      <w:r w:rsidRPr="00780029">
        <w:t xml:space="preserve"> </w:t>
      </w:r>
      <w:r w:rsidR="002D6FEE">
        <w:t xml:space="preserve">regulatory </w:t>
      </w:r>
      <w:r w:rsidR="00C35CCD">
        <w:t xml:space="preserve">control </w:t>
      </w:r>
      <w:r w:rsidRPr="00780029">
        <w:t>period.</w:t>
      </w:r>
      <w:r w:rsidRPr="0080358A">
        <w:rPr>
          <w:rStyle w:val="AERsuperscript"/>
        </w:rPr>
        <w:footnoteReference w:id="354"/>
      </w:r>
      <w:r w:rsidRPr="00780029">
        <w:t xml:space="preserve"> </w:t>
      </w:r>
      <w:r w:rsidR="002D6FEE" w:rsidRPr="00203E3D">
        <w:t xml:space="preserve">We </w:t>
      </w:r>
      <w:r w:rsidR="002D6FEE">
        <w:t>consider</w:t>
      </w:r>
      <w:r w:rsidR="002D6FEE" w:rsidRPr="00203E3D">
        <w:t xml:space="preserve"> that zero per cent real cost escalation is reasonably likely to reflect the capex criteria </w:t>
      </w:r>
      <w:r w:rsidR="002D6FEE">
        <w:t>including that it is</w:t>
      </w:r>
      <w:r w:rsidR="002D6FEE" w:rsidRPr="00203E3D">
        <w:t xml:space="preserve"> likely to reasonably reflect a realistic expectation of the cost inputs required to achieve the capex objectives over the 201</w:t>
      </w:r>
      <w:r w:rsidR="002D6FEE">
        <w:t>5</w:t>
      </w:r>
      <w:r w:rsidR="002D6FEE" w:rsidRPr="00203E3D">
        <w:t>–</w:t>
      </w:r>
      <w:r w:rsidR="002D6FEE">
        <w:t>20</w:t>
      </w:r>
      <w:r w:rsidR="002D6FEE" w:rsidRPr="00203E3D">
        <w:t xml:space="preserve"> </w:t>
      </w:r>
      <w:r w:rsidR="002D6FEE">
        <w:t xml:space="preserve">regulatory </w:t>
      </w:r>
      <w:r w:rsidR="00C35CCD">
        <w:t xml:space="preserve">control </w:t>
      </w:r>
      <w:r w:rsidR="002D6FEE" w:rsidRPr="00203E3D">
        <w:t>period</w:t>
      </w:r>
      <w:r w:rsidR="002D6FEE">
        <w:t>.</w:t>
      </w:r>
      <w:r w:rsidR="002D6FEE" w:rsidRPr="00203E3D">
        <w:t xml:space="preserve"> </w:t>
      </w:r>
      <w:r w:rsidR="00303B48" w:rsidRPr="00303B48">
        <w:t>We have arrived at this conclusion on the basis that:</w:t>
      </w:r>
    </w:p>
    <w:p w:rsidR="00303B48" w:rsidRPr="00303B48" w:rsidRDefault="00303B48" w:rsidP="00303B48">
      <w:pPr>
        <w:pStyle w:val="AERbulletlistfirststyle"/>
      </w:pPr>
      <w:r w:rsidRPr="00303B48">
        <w:t xml:space="preserve">the degree of the potential inaccuracy of commodities forecasts is such that we consider that zero per cent real cost escalation is likely to provide a more reliable estimation for the price of input materials used by </w:t>
      </w:r>
      <w:r w:rsidR="008717A8">
        <w:t>SA</w:t>
      </w:r>
      <w:r w:rsidR="00C34A56">
        <w:t xml:space="preserve"> </w:t>
      </w:r>
      <w:r w:rsidR="008717A8">
        <w:t>P</w:t>
      </w:r>
      <w:r w:rsidR="00C34A56">
        <w:t>ower Networks</w:t>
      </w:r>
      <w:r w:rsidR="008717A8">
        <w:t xml:space="preserve"> </w:t>
      </w:r>
      <w:r w:rsidRPr="00303B48">
        <w:t>to provide network services</w:t>
      </w:r>
    </w:p>
    <w:p w:rsidR="00303B48" w:rsidRPr="00303B48" w:rsidRDefault="00303B48" w:rsidP="00303B48">
      <w:pPr>
        <w:pStyle w:val="AERbulletlistfirststyle"/>
      </w:pPr>
      <w:r w:rsidRPr="00303B48">
        <w:t xml:space="preserve">there is little evidence to support how accurately </w:t>
      </w:r>
      <w:r w:rsidR="008717A8">
        <w:t>SA</w:t>
      </w:r>
      <w:r w:rsidR="00C34A56">
        <w:t xml:space="preserve"> </w:t>
      </w:r>
      <w:r w:rsidR="008717A8">
        <w:t>P</w:t>
      </w:r>
      <w:r w:rsidR="00C34A56">
        <w:t>ower Network</w:t>
      </w:r>
      <w:r w:rsidR="008717A8">
        <w:t>'s</w:t>
      </w:r>
      <w:r w:rsidRPr="00303B48">
        <w:t xml:space="preserve"> materials escalation model forecasts reasonably reflect changes in prices paid by </w:t>
      </w:r>
      <w:r w:rsidR="008717A8">
        <w:t>SA</w:t>
      </w:r>
      <w:r w:rsidR="00FA3FC1">
        <w:t xml:space="preserve"> </w:t>
      </w:r>
      <w:r w:rsidR="008717A8">
        <w:t>P</w:t>
      </w:r>
      <w:r w:rsidR="00FA3FC1">
        <w:t>ower Networks</w:t>
      </w:r>
      <w:r w:rsidR="008717A8">
        <w:t xml:space="preserve"> </w:t>
      </w:r>
      <w:r w:rsidRPr="00303B48">
        <w:t xml:space="preserve">for physical assets in the past and by which we can assess the reliability and accuracy of its forecast materials model. Without this supporting evidence, it is difficult to assess the accuracy and reliability of </w:t>
      </w:r>
      <w:r w:rsidR="008717A8">
        <w:t>SA</w:t>
      </w:r>
      <w:r w:rsidR="00C34A56">
        <w:t xml:space="preserve"> </w:t>
      </w:r>
      <w:r w:rsidR="008717A8">
        <w:t>P</w:t>
      </w:r>
      <w:r w:rsidR="00C34A56">
        <w:t>ower Networks'</w:t>
      </w:r>
      <w:r w:rsidRPr="00303B48">
        <w:t xml:space="preserve"> material input cost escalators model as a predictor of the prices of the assets used by </w:t>
      </w:r>
      <w:r w:rsidR="008717A8">
        <w:t>SA</w:t>
      </w:r>
      <w:r w:rsidR="00C34A56">
        <w:t xml:space="preserve"> </w:t>
      </w:r>
      <w:r w:rsidR="008717A8">
        <w:t>P</w:t>
      </w:r>
      <w:r w:rsidR="00C34A56">
        <w:t>ower Networks</w:t>
      </w:r>
      <w:r w:rsidR="008717A8">
        <w:t xml:space="preserve"> </w:t>
      </w:r>
      <w:r w:rsidRPr="00303B48">
        <w:t>to provide network services, and</w:t>
      </w:r>
    </w:p>
    <w:p w:rsidR="00303B48" w:rsidRPr="00303B48" w:rsidRDefault="008717A8" w:rsidP="00303B48">
      <w:pPr>
        <w:pStyle w:val="AERbulletlistfirststyle"/>
      </w:pPr>
      <w:r>
        <w:t>SA</w:t>
      </w:r>
      <w:r w:rsidR="00C34A56">
        <w:t xml:space="preserve"> </w:t>
      </w:r>
      <w:r>
        <w:t>P</w:t>
      </w:r>
      <w:r w:rsidR="00C34A56">
        <w:t>ower Networks</w:t>
      </w:r>
      <w:r>
        <w:t xml:space="preserve"> </w:t>
      </w:r>
      <w:r w:rsidR="00303B48" w:rsidRPr="00303B48">
        <w:t xml:space="preserve">has not provided any supporting evidence to show that it has considered whether there may be some material exogenous factors that impact on the cost of physical inputs that are not captured by the material input cost models used by </w:t>
      </w:r>
      <w:r>
        <w:t>SA</w:t>
      </w:r>
      <w:r w:rsidR="00C34A56">
        <w:t xml:space="preserve"> </w:t>
      </w:r>
      <w:r>
        <w:t>P</w:t>
      </w:r>
      <w:r w:rsidR="00C34A56">
        <w:t>ower Networks</w:t>
      </w:r>
      <w:r w:rsidR="00303B48" w:rsidRPr="00303B48">
        <w:t>.</w:t>
      </w:r>
    </w:p>
    <w:p w:rsidR="00834D39" w:rsidRPr="00780029" w:rsidRDefault="00834D39" w:rsidP="00525DDF">
      <w:pPr>
        <w:numPr>
          <w:ilvl w:val="0"/>
          <w:numId w:val="24"/>
        </w:numPr>
      </w:pPr>
      <w:r w:rsidRPr="00780029">
        <w:t xml:space="preserve">Our approach to real materials cost escalation </w:t>
      </w:r>
      <w:r w:rsidR="002D6FEE">
        <w:t>do</w:t>
      </w:r>
      <w:r w:rsidRPr="00780029">
        <w:t xml:space="preserve">es not affect the proposed application of labour and construction cost escalators which apply to </w:t>
      </w:r>
      <w:r w:rsidR="00DF3C53">
        <w:t>SA</w:t>
      </w:r>
      <w:r w:rsidR="00C34A56">
        <w:t xml:space="preserve"> </w:t>
      </w:r>
      <w:r w:rsidR="00DF3C53">
        <w:t>P</w:t>
      </w:r>
      <w:r w:rsidR="00C34A56">
        <w:t>ower Networks</w:t>
      </w:r>
      <w:r w:rsidRPr="00780029">
        <w:t xml:space="preserve"> standard control services capital expenditure. We consider that labour and construction cost escalation as proposed by </w:t>
      </w:r>
      <w:r w:rsidR="00DF3C53">
        <w:t>SA</w:t>
      </w:r>
      <w:r w:rsidR="00C34A56">
        <w:t xml:space="preserve"> </w:t>
      </w:r>
      <w:r w:rsidR="00DF3C53">
        <w:t>P</w:t>
      </w:r>
      <w:r w:rsidR="00C34A56">
        <w:t xml:space="preserve">ower </w:t>
      </w:r>
      <w:r w:rsidR="00DF3C53">
        <w:t>N</w:t>
      </w:r>
      <w:r w:rsidR="00C34A56">
        <w:t>etworks</w:t>
      </w:r>
      <w:r w:rsidR="00DF3C53">
        <w:t xml:space="preserve"> </w:t>
      </w:r>
      <w:r w:rsidRPr="00780029">
        <w:t xml:space="preserve">is likely to more reasonably reflect a </w:t>
      </w:r>
      <w:r w:rsidRPr="00780029">
        <w:lastRenderedPageBreak/>
        <w:t>realistic expectation of the cost inputs required to achieve the capex criteria given these are direct inputs into the cost of providing network services.</w:t>
      </w:r>
      <w:r w:rsidRPr="0080358A">
        <w:rPr>
          <w:rStyle w:val="AERsuperscript"/>
        </w:rPr>
        <w:footnoteReference w:id="355"/>
      </w:r>
      <w:r w:rsidRPr="00780029">
        <w:t xml:space="preserve"> </w:t>
      </w:r>
    </w:p>
    <w:p w:rsidR="00834D39" w:rsidRPr="00834D39" w:rsidRDefault="00DF3C53" w:rsidP="00834D39">
      <w:pPr>
        <w:pStyle w:val="Heading8"/>
      </w:pPr>
      <w:bookmarkStart w:id="192" w:name="_Toc326056440"/>
      <w:bookmarkStart w:id="193" w:name="_Toc365283285"/>
      <w:bookmarkStart w:id="194" w:name="_Toc404164379"/>
      <w:bookmarkStart w:id="195" w:name="_Toc417725424"/>
      <w:r>
        <w:t>SA</w:t>
      </w:r>
      <w:r w:rsidR="00FA3FC1">
        <w:t xml:space="preserve"> </w:t>
      </w:r>
      <w:r>
        <w:t>P</w:t>
      </w:r>
      <w:r w:rsidR="00FA3FC1">
        <w:t xml:space="preserve">ower </w:t>
      </w:r>
      <w:r>
        <w:t>N</w:t>
      </w:r>
      <w:r w:rsidR="00FA3FC1">
        <w:t>etworks</w:t>
      </w:r>
      <w:r w:rsidR="00834D39" w:rsidRPr="00780029">
        <w:t xml:space="preserve"> proposal</w:t>
      </w:r>
      <w:bookmarkEnd w:id="192"/>
      <w:bookmarkEnd w:id="193"/>
      <w:bookmarkEnd w:id="194"/>
      <w:bookmarkEnd w:id="195"/>
    </w:p>
    <w:p w:rsidR="00834D39" w:rsidRPr="00780029" w:rsidRDefault="00DF3C53" w:rsidP="00525DDF">
      <w:pPr>
        <w:numPr>
          <w:ilvl w:val="0"/>
          <w:numId w:val="24"/>
        </w:numPr>
      </w:pPr>
      <w:r>
        <w:t>SA</w:t>
      </w:r>
      <w:r w:rsidR="00C34A56">
        <w:t xml:space="preserve"> </w:t>
      </w:r>
      <w:r>
        <w:t>P</w:t>
      </w:r>
      <w:r w:rsidR="00C34A56">
        <w:t>ower Networks</w:t>
      </w:r>
      <w:r>
        <w:t xml:space="preserve"> </w:t>
      </w:r>
      <w:r w:rsidR="00834D39" w:rsidRPr="00780029">
        <w:t>applied material and labour cost escalators to various asset classes in forecasting its capex for the 201</w:t>
      </w:r>
      <w:r>
        <w:t>5</w:t>
      </w:r>
      <w:r w:rsidR="00834D39" w:rsidRPr="00780029">
        <w:t>-</w:t>
      </w:r>
      <w:r>
        <w:t>20</w:t>
      </w:r>
      <w:r w:rsidR="00834D39" w:rsidRPr="00780029">
        <w:t xml:space="preserve"> </w:t>
      </w:r>
      <w:r w:rsidR="002D6FEE">
        <w:t xml:space="preserve">regulatory </w:t>
      </w:r>
      <w:r w:rsidR="00C35CCD">
        <w:t xml:space="preserve">control </w:t>
      </w:r>
      <w:r w:rsidR="00834D39" w:rsidRPr="00780029">
        <w:t>period.</w:t>
      </w:r>
      <w:r w:rsidR="00834D39" w:rsidRPr="0080358A">
        <w:rPr>
          <w:rStyle w:val="AERsuperscript"/>
        </w:rPr>
        <w:footnoteReference w:id="356"/>
      </w:r>
      <w:r w:rsidR="00834D39" w:rsidRPr="00780029">
        <w:t xml:space="preserve"> Real cost escalation indices for the following material cost drivers were calculated for </w:t>
      </w:r>
      <w:r>
        <w:t>SA</w:t>
      </w:r>
      <w:r w:rsidR="00C34A56">
        <w:t xml:space="preserve"> </w:t>
      </w:r>
      <w:r>
        <w:t>P</w:t>
      </w:r>
      <w:r w:rsidR="00C34A56">
        <w:t>o</w:t>
      </w:r>
      <w:r w:rsidR="0090651D">
        <w:t>w</w:t>
      </w:r>
      <w:r w:rsidR="00C34A56">
        <w:t>er Networks</w:t>
      </w:r>
      <w:r>
        <w:t xml:space="preserve"> </w:t>
      </w:r>
      <w:r w:rsidR="00834D39" w:rsidRPr="00780029">
        <w:t>by Competition Economists Group (CEG):</w:t>
      </w:r>
      <w:r w:rsidR="00834D39" w:rsidRPr="0080358A">
        <w:rPr>
          <w:rStyle w:val="AERsuperscript"/>
        </w:rPr>
        <w:footnoteReference w:id="357"/>
      </w:r>
      <w:r w:rsidR="00834D39" w:rsidRPr="00780029">
        <w:t xml:space="preserve"> </w:t>
      </w:r>
    </w:p>
    <w:p w:rsidR="00834D39" w:rsidRPr="00834D39" w:rsidRDefault="00834D39" w:rsidP="00834D39">
      <w:pPr>
        <w:pStyle w:val="AERbulletlistfirststyle"/>
      </w:pPr>
      <w:r w:rsidRPr="00780029">
        <w:t xml:space="preserve">aluminium </w:t>
      </w:r>
    </w:p>
    <w:p w:rsidR="00834D39" w:rsidRPr="00834D39" w:rsidRDefault="00834D39" w:rsidP="00834D39">
      <w:pPr>
        <w:pStyle w:val="AERbulletlistfirststyle"/>
      </w:pPr>
      <w:r w:rsidRPr="00780029">
        <w:t xml:space="preserve">copper </w:t>
      </w:r>
    </w:p>
    <w:p w:rsidR="00834D39" w:rsidRPr="00834D39" w:rsidRDefault="00834D39" w:rsidP="00834D39">
      <w:pPr>
        <w:pStyle w:val="AERbulletlistfirststyle"/>
      </w:pPr>
      <w:r w:rsidRPr="00780029">
        <w:t>steel</w:t>
      </w:r>
      <w:r w:rsidR="00DF3C53">
        <w:t>, and</w:t>
      </w:r>
      <w:r w:rsidRPr="00780029">
        <w:t xml:space="preserve"> </w:t>
      </w:r>
    </w:p>
    <w:p w:rsidR="00834D39" w:rsidRDefault="00834D39" w:rsidP="00834D39">
      <w:pPr>
        <w:pStyle w:val="AERbulletlistfirststyle"/>
      </w:pPr>
      <w:r w:rsidRPr="00780029">
        <w:t>crude oil</w:t>
      </w:r>
      <w:r w:rsidR="00DF3C53">
        <w:t>.</w:t>
      </w:r>
    </w:p>
    <w:p w:rsidR="00A248F7" w:rsidRPr="00780029" w:rsidRDefault="00A248F7" w:rsidP="00525DDF">
      <w:pPr>
        <w:numPr>
          <w:ilvl w:val="0"/>
          <w:numId w:val="24"/>
        </w:numPr>
      </w:pPr>
      <w:r w:rsidRPr="00780029">
        <w:t>CEG sourced forward rates from Bloomberg up to 20</w:t>
      </w:r>
      <w:r>
        <w:t>19-20</w:t>
      </w:r>
      <w:r w:rsidRPr="00780029">
        <w:t xml:space="preserve"> to convert commodities traded on international markets priced in United States dollars to Australian dollars.</w:t>
      </w:r>
      <w:r w:rsidRPr="0080358A">
        <w:rPr>
          <w:rStyle w:val="AERsuperscript"/>
        </w:rPr>
        <w:footnoteReference w:id="358"/>
      </w:r>
    </w:p>
    <w:p w:rsidR="00DF3C53" w:rsidRPr="00834D39" w:rsidRDefault="00A248F7" w:rsidP="00A248F7">
      <w:r w:rsidRPr="00A248F7">
        <w:t>Real cost escalation indices for</w:t>
      </w:r>
      <w:r>
        <w:t xml:space="preserve"> engineering construction</w:t>
      </w:r>
      <w:r w:rsidRPr="00A248F7">
        <w:t xml:space="preserve"> cost</w:t>
      </w:r>
      <w:r>
        <w:t>s</w:t>
      </w:r>
      <w:r w:rsidRPr="00A248F7">
        <w:t xml:space="preserve"> were calculated for SA</w:t>
      </w:r>
      <w:r w:rsidR="00C34A56">
        <w:t xml:space="preserve"> </w:t>
      </w:r>
      <w:r w:rsidRPr="00A248F7">
        <w:t>P</w:t>
      </w:r>
      <w:r w:rsidR="00C34A56">
        <w:t>ower Networks</w:t>
      </w:r>
      <w:r w:rsidRPr="00A248F7">
        <w:t xml:space="preserve"> by </w:t>
      </w:r>
      <w:r>
        <w:t>Jacobs</w:t>
      </w:r>
      <w:r w:rsidRPr="00A248F7">
        <w:rPr>
          <w:rStyle w:val="AERsuperscript"/>
        </w:rPr>
        <w:footnoteReference w:id="359"/>
      </w:r>
    </w:p>
    <w:p w:rsidR="00834D39" w:rsidRPr="00780029" w:rsidRDefault="00834D39" w:rsidP="00525DDF">
      <w:pPr>
        <w:numPr>
          <w:ilvl w:val="0"/>
          <w:numId w:val="24"/>
        </w:numPr>
      </w:pPr>
      <w:r>
        <w:fldChar w:fldCharType="begin"/>
      </w:r>
      <w:r>
        <w:instrText xml:space="preserve"> REF _Ref404071007 \h </w:instrText>
      </w:r>
      <w:r>
        <w:fldChar w:fldCharType="separate"/>
      </w:r>
      <w:r w:rsidR="00F02131">
        <w:t>Table D</w:t>
      </w:r>
      <w:r w:rsidR="00F02131">
        <w:noBreakHyphen/>
      </w:r>
      <w:r w:rsidR="00F02131">
        <w:rPr>
          <w:noProof/>
        </w:rPr>
        <w:t>1</w:t>
      </w:r>
      <w:r>
        <w:fldChar w:fldCharType="end"/>
      </w:r>
      <w:r>
        <w:t xml:space="preserve"> </w:t>
      </w:r>
      <w:r w:rsidRPr="00780029">
        <w:t xml:space="preserve">outlines </w:t>
      </w:r>
      <w:r w:rsidR="00A248F7">
        <w:t>SA</w:t>
      </w:r>
      <w:r w:rsidR="00C34A56">
        <w:t xml:space="preserve"> </w:t>
      </w:r>
      <w:r w:rsidR="00A248F7">
        <w:t>P</w:t>
      </w:r>
      <w:r w:rsidR="00C34A56">
        <w:t>ower Networks</w:t>
      </w:r>
      <w:r w:rsidR="00A248F7">
        <w:t xml:space="preserve"> </w:t>
      </w:r>
      <w:r w:rsidRPr="00780029">
        <w:t>real materials cost escalation forecasts.</w:t>
      </w:r>
    </w:p>
    <w:p w:rsidR="00834D39" w:rsidRPr="00780029" w:rsidRDefault="00834D39" w:rsidP="00834D39">
      <w:pPr>
        <w:pStyle w:val="Caption"/>
      </w:pPr>
      <w:bookmarkStart w:id="196" w:name="_Ref404071007"/>
      <w:r>
        <w:t xml:space="preserve">Table </w:t>
      </w:r>
      <w:r w:rsidR="00997831">
        <w:t>D</w:t>
      </w:r>
      <w:r>
        <w:noBreakHyphen/>
      </w:r>
      <w:fldSimple w:instr=" SEQ Table \* ARABIC \s 7 ">
        <w:r w:rsidR="00F02131">
          <w:rPr>
            <w:noProof/>
          </w:rPr>
          <w:t>1</w:t>
        </w:r>
      </w:fldSimple>
      <w:bookmarkEnd w:id="196"/>
      <w:r>
        <w:tab/>
      </w:r>
      <w:r w:rsidR="00A248F7">
        <w:t>SA</w:t>
      </w:r>
      <w:r w:rsidR="0090651D">
        <w:t xml:space="preserve"> </w:t>
      </w:r>
      <w:r w:rsidR="00A248F7">
        <w:t>P</w:t>
      </w:r>
      <w:r w:rsidR="0090651D">
        <w:t xml:space="preserve">ower </w:t>
      </w:r>
      <w:r w:rsidR="00A248F7">
        <w:t>N</w:t>
      </w:r>
      <w:r w:rsidR="0090651D">
        <w:t>etworks</w:t>
      </w:r>
      <w:r w:rsidRPr="00780029">
        <w:t xml:space="preserve"> real materials cost escalation forecast—inputs (per cent)</w:t>
      </w:r>
    </w:p>
    <w:tbl>
      <w:tblPr>
        <w:tblStyle w:val="AERtable-numbers"/>
        <w:tblW w:w="0" w:type="auto"/>
        <w:tblLook w:val="04A0" w:firstRow="1" w:lastRow="0" w:firstColumn="1" w:lastColumn="0" w:noHBand="0" w:noVBand="1"/>
      </w:tblPr>
      <w:tblGrid>
        <w:gridCol w:w="1491"/>
        <w:gridCol w:w="1440"/>
        <w:gridCol w:w="1440"/>
        <w:gridCol w:w="1440"/>
        <w:gridCol w:w="1441"/>
        <w:gridCol w:w="1441"/>
      </w:tblGrid>
      <w:tr w:rsidR="00834D39" w:rsidRPr="00780029" w:rsidTr="00FC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834D39" w:rsidRPr="00780029" w:rsidRDefault="00834D39" w:rsidP="00525DDF">
            <w:pPr>
              <w:numPr>
                <w:ilvl w:val="0"/>
                <w:numId w:val="24"/>
              </w:numPr>
            </w:pPr>
          </w:p>
        </w:tc>
        <w:tc>
          <w:tcPr>
            <w:tcW w:w="1440" w:type="dxa"/>
          </w:tcPr>
          <w:p w:rsidR="00834D39" w:rsidRPr="00780029" w:rsidRDefault="00834D39"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rsidR="00156C0F">
              <w:t>5</w:t>
            </w:r>
            <w:r w:rsidRPr="00780029">
              <w:t>–1</w:t>
            </w:r>
            <w:r w:rsidR="00156C0F">
              <w:t>6</w:t>
            </w:r>
          </w:p>
        </w:tc>
        <w:tc>
          <w:tcPr>
            <w:tcW w:w="1440" w:type="dxa"/>
          </w:tcPr>
          <w:p w:rsidR="00834D39" w:rsidRPr="00780029" w:rsidRDefault="00834D39"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rsidR="00156C0F">
              <w:t>6</w:t>
            </w:r>
            <w:r w:rsidRPr="00780029">
              <w:t>–1</w:t>
            </w:r>
            <w:r w:rsidR="00156C0F">
              <w:t>7</w:t>
            </w:r>
          </w:p>
        </w:tc>
        <w:tc>
          <w:tcPr>
            <w:tcW w:w="1440" w:type="dxa"/>
          </w:tcPr>
          <w:p w:rsidR="00834D39" w:rsidRPr="00780029" w:rsidRDefault="00834D39"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rsidR="00156C0F">
              <w:t>7</w:t>
            </w:r>
            <w:r w:rsidRPr="00780029">
              <w:t>–1</w:t>
            </w:r>
            <w:r w:rsidR="00156C0F">
              <w:t>8</w:t>
            </w:r>
          </w:p>
        </w:tc>
        <w:tc>
          <w:tcPr>
            <w:tcW w:w="1441" w:type="dxa"/>
          </w:tcPr>
          <w:p w:rsidR="00834D39" w:rsidRPr="00780029" w:rsidRDefault="00834D39"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rsidR="00156C0F">
              <w:t>8</w:t>
            </w:r>
            <w:r w:rsidRPr="00780029">
              <w:t>–1</w:t>
            </w:r>
            <w:r w:rsidR="00156C0F">
              <w:t>9</w:t>
            </w:r>
          </w:p>
        </w:tc>
        <w:tc>
          <w:tcPr>
            <w:tcW w:w="1441" w:type="dxa"/>
          </w:tcPr>
          <w:p w:rsidR="00834D39" w:rsidRPr="00780029" w:rsidRDefault="00834D39"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rsidR="00156C0F">
              <w:t>9</w:t>
            </w:r>
            <w:r w:rsidRPr="00780029">
              <w:t>–</w:t>
            </w:r>
            <w:r w:rsidR="00156C0F">
              <w:t>20</w:t>
            </w:r>
          </w:p>
        </w:tc>
      </w:tr>
      <w:tr w:rsidR="00834D39" w:rsidRPr="00780029" w:rsidTr="00FC08A5">
        <w:tc>
          <w:tcPr>
            <w:cnfStyle w:val="001000000000" w:firstRow="0" w:lastRow="0" w:firstColumn="1" w:lastColumn="0" w:oddVBand="0" w:evenVBand="0" w:oddHBand="0" w:evenHBand="0" w:firstRowFirstColumn="0" w:firstRowLastColumn="0" w:lastRowFirstColumn="0" w:lastRowLastColumn="0"/>
            <w:tcW w:w="1491" w:type="dxa"/>
          </w:tcPr>
          <w:p w:rsidR="00834D39" w:rsidRPr="00780029" w:rsidRDefault="00834D39" w:rsidP="00525DDF">
            <w:pPr>
              <w:numPr>
                <w:ilvl w:val="0"/>
                <w:numId w:val="24"/>
              </w:numPr>
            </w:pPr>
            <w:r w:rsidRPr="00780029">
              <w:t>Aluminium</w:t>
            </w:r>
          </w:p>
        </w:tc>
        <w:tc>
          <w:tcPr>
            <w:tcW w:w="1440"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2.9</w:t>
            </w:r>
          </w:p>
        </w:tc>
        <w:tc>
          <w:tcPr>
            <w:tcW w:w="1440"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2.1</w:t>
            </w:r>
          </w:p>
        </w:tc>
        <w:tc>
          <w:tcPr>
            <w:tcW w:w="1440"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1.7</w:t>
            </w:r>
          </w:p>
        </w:tc>
        <w:tc>
          <w:tcPr>
            <w:tcW w:w="1441"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1.5</w:t>
            </w:r>
          </w:p>
        </w:tc>
        <w:tc>
          <w:tcPr>
            <w:tcW w:w="1441"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1.5</w:t>
            </w:r>
          </w:p>
        </w:tc>
      </w:tr>
      <w:tr w:rsidR="00FC08A5" w:rsidRPr="00780029" w:rsidTr="00FC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FC08A5" w:rsidRPr="00780029" w:rsidRDefault="00FC08A5" w:rsidP="00525DDF">
            <w:pPr>
              <w:numPr>
                <w:ilvl w:val="0"/>
                <w:numId w:val="24"/>
              </w:numPr>
            </w:pPr>
            <w:r w:rsidRPr="00780029">
              <w:t>Copper</w:t>
            </w:r>
          </w:p>
        </w:tc>
        <w:tc>
          <w:tcPr>
            <w:tcW w:w="1440" w:type="dxa"/>
          </w:tcPr>
          <w:p w:rsidR="00FC08A5" w:rsidRPr="00780029" w:rsidRDefault="00FC08A5"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w:t>
            </w:r>
            <w:r>
              <w:t>-0.9</w:t>
            </w:r>
          </w:p>
        </w:tc>
        <w:tc>
          <w:tcPr>
            <w:tcW w:w="1440" w:type="dxa"/>
          </w:tcPr>
          <w:p w:rsidR="00FC08A5" w:rsidRPr="00780029" w:rsidRDefault="00FC08A5" w:rsidP="00525DDF">
            <w:pPr>
              <w:numPr>
                <w:ilvl w:val="0"/>
                <w:numId w:val="24"/>
              </w:numPr>
              <w:cnfStyle w:val="000000010000" w:firstRow="0" w:lastRow="0" w:firstColumn="0" w:lastColumn="0" w:oddVBand="0" w:evenVBand="0" w:oddHBand="0" w:evenHBand="1" w:firstRowFirstColumn="0" w:firstRowLastColumn="0" w:lastRowFirstColumn="0" w:lastRowLastColumn="0"/>
            </w:pPr>
            <w:r>
              <w:t>-1.0</w:t>
            </w:r>
          </w:p>
        </w:tc>
        <w:tc>
          <w:tcPr>
            <w:tcW w:w="1440" w:type="dxa"/>
          </w:tcPr>
          <w:p w:rsidR="00FC08A5" w:rsidRPr="00780029" w:rsidRDefault="00FC08A5"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w:t>
            </w:r>
            <w:r>
              <w:t>2</w:t>
            </w:r>
          </w:p>
        </w:tc>
        <w:tc>
          <w:tcPr>
            <w:tcW w:w="1441" w:type="dxa"/>
          </w:tcPr>
          <w:p w:rsidR="00FC08A5" w:rsidRPr="00780029" w:rsidRDefault="00FC08A5"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w:t>
            </w:r>
            <w:r>
              <w:t>3</w:t>
            </w:r>
          </w:p>
        </w:tc>
        <w:tc>
          <w:tcPr>
            <w:tcW w:w="1441" w:type="dxa"/>
          </w:tcPr>
          <w:p w:rsidR="00FC08A5" w:rsidRPr="00780029" w:rsidRDefault="00FC08A5" w:rsidP="00525DDF">
            <w:pPr>
              <w:numPr>
                <w:ilvl w:val="0"/>
                <w:numId w:val="24"/>
              </w:numPr>
              <w:cnfStyle w:val="000000010000" w:firstRow="0" w:lastRow="0" w:firstColumn="0" w:lastColumn="0" w:oddVBand="0" w:evenVBand="0" w:oddHBand="0" w:evenHBand="1" w:firstRowFirstColumn="0" w:firstRowLastColumn="0" w:lastRowFirstColumn="0" w:lastRowLastColumn="0"/>
            </w:pPr>
            <w:r>
              <w:t>-0.2</w:t>
            </w:r>
          </w:p>
        </w:tc>
      </w:tr>
      <w:tr w:rsidR="00834D39" w:rsidRPr="00780029" w:rsidTr="00FC08A5">
        <w:tc>
          <w:tcPr>
            <w:cnfStyle w:val="001000000000" w:firstRow="0" w:lastRow="0" w:firstColumn="1" w:lastColumn="0" w:oddVBand="0" w:evenVBand="0" w:oddHBand="0" w:evenHBand="0" w:firstRowFirstColumn="0" w:firstRowLastColumn="0" w:lastRowFirstColumn="0" w:lastRowLastColumn="0"/>
            <w:tcW w:w="1491" w:type="dxa"/>
          </w:tcPr>
          <w:p w:rsidR="00834D39" w:rsidRPr="00780029" w:rsidRDefault="00834D39" w:rsidP="00525DDF">
            <w:pPr>
              <w:numPr>
                <w:ilvl w:val="0"/>
                <w:numId w:val="24"/>
              </w:numPr>
            </w:pPr>
            <w:r w:rsidRPr="00780029">
              <w:t>Steel</w:t>
            </w:r>
          </w:p>
        </w:tc>
        <w:tc>
          <w:tcPr>
            <w:tcW w:w="1440"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3.1</w:t>
            </w:r>
          </w:p>
        </w:tc>
        <w:tc>
          <w:tcPr>
            <w:tcW w:w="1440" w:type="dxa"/>
          </w:tcPr>
          <w:p w:rsidR="00834D39" w:rsidRPr="00780029" w:rsidRDefault="00FC08A5" w:rsidP="00525DDF">
            <w:pPr>
              <w:numPr>
                <w:ilvl w:val="0"/>
                <w:numId w:val="24"/>
              </w:numPr>
              <w:cnfStyle w:val="000000000000" w:firstRow="0" w:lastRow="0" w:firstColumn="0" w:lastColumn="0" w:oddVBand="0" w:evenVBand="0" w:oddHBand="0" w:evenHBand="0" w:firstRowFirstColumn="0" w:firstRowLastColumn="0" w:lastRowFirstColumn="0" w:lastRowLastColumn="0"/>
            </w:pPr>
            <w:r>
              <w:t>0.5</w:t>
            </w:r>
          </w:p>
        </w:tc>
        <w:tc>
          <w:tcPr>
            <w:tcW w:w="1440"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w:t>
            </w:r>
            <w:r w:rsidR="00FC08A5">
              <w:t>1</w:t>
            </w:r>
          </w:p>
        </w:tc>
        <w:tc>
          <w:tcPr>
            <w:tcW w:w="1441"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w:t>
            </w:r>
            <w:r w:rsidR="00FC08A5">
              <w:t>0</w:t>
            </w:r>
          </w:p>
        </w:tc>
        <w:tc>
          <w:tcPr>
            <w:tcW w:w="1441"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0.1</w:t>
            </w:r>
          </w:p>
        </w:tc>
      </w:tr>
      <w:tr w:rsidR="00803774" w:rsidRPr="00780029" w:rsidTr="00FC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803774" w:rsidRPr="00780029" w:rsidRDefault="00803774" w:rsidP="00525DDF">
            <w:pPr>
              <w:numPr>
                <w:ilvl w:val="0"/>
                <w:numId w:val="24"/>
              </w:numPr>
            </w:pPr>
            <w:r w:rsidRPr="00780029">
              <w:t>Crude oil</w:t>
            </w:r>
          </w:p>
        </w:tc>
        <w:tc>
          <w:tcPr>
            <w:tcW w:w="1440" w:type="dxa"/>
          </w:tcPr>
          <w:p w:rsidR="00803774" w:rsidRPr="00780029" w:rsidRDefault="00803774" w:rsidP="00525DDF">
            <w:pPr>
              <w:numPr>
                <w:ilvl w:val="0"/>
                <w:numId w:val="24"/>
              </w:numPr>
              <w:cnfStyle w:val="000000010000" w:firstRow="0" w:lastRow="0" w:firstColumn="0" w:lastColumn="0" w:oddVBand="0" w:evenVBand="0" w:oddHBand="0" w:evenHBand="1" w:firstRowFirstColumn="0" w:firstRowLastColumn="0" w:lastRowFirstColumn="0" w:lastRowLastColumn="0"/>
            </w:pPr>
            <w:r>
              <w:t>1.6</w:t>
            </w:r>
          </w:p>
        </w:tc>
        <w:tc>
          <w:tcPr>
            <w:tcW w:w="1440" w:type="dxa"/>
          </w:tcPr>
          <w:p w:rsidR="00803774" w:rsidRPr="00780029" w:rsidRDefault="00803774" w:rsidP="00525DDF">
            <w:pPr>
              <w:numPr>
                <w:ilvl w:val="0"/>
                <w:numId w:val="24"/>
              </w:numPr>
              <w:cnfStyle w:val="000000010000" w:firstRow="0" w:lastRow="0" w:firstColumn="0" w:lastColumn="0" w:oddVBand="0" w:evenVBand="0" w:oddHBand="0" w:evenHBand="1" w:firstRowFirstColumn="0" w:firstRowLastColumn="0" w:lastRowFirstColumn="0" w:lastRowLastColumn="0"/>
            </w:pPr>
            <w:r>
              <w:t>1.3</w:t>
            </w:r>
          </w:p>
        </w:tc>
        <w:tc>
          <w:tcPr>
            <w:tcW w:w="1440" w:type="dxa"/>
          </w:tcPr>
          <w:p w:rsidR="00803774" w:rsidRPr="00780029" w:rsidRDefault="00803774" w:rsidP="00525DDF">
            <w:pPr>
              <w:numPr>
                <w:ilvl w:val="0"/>
                <w:numId w:val="24"/>
              </w:numPr>
              <w:cnfStyle w:val="000000010000" w:firstRow="0" w:lastRow="0" w:firstColumn="0" w:lastColumn="0" w:oddVBand="0" w:evenVBand="0" w:oddHBand="0" w:evenHBand="1" w:firstRowFirstColumn="0" w:firstRowLastColumn="0" w:lastRowFirstColumn="0" w:lastRowLastColumn="0"/>
            </w:pPr>
            <w:r>
              <w:t>1.1</w:t>
            </w:r>
          </w:p>
        </w:tc>
        <w:tc>
          <w:tcPr>
            <w:tcW w:w="1441" w:type="dxa"/>
          </w:tcPr>
          <w:p w:rsidR="00803774" w:rsidRPr="00780029" w:rsidRDefault="00803774"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w:t>
            </w:r>
            <w:r>
              <w:t>0</w:t>
            </w:r>
          </w:p>
        </w:tc>
        <w:tc>
          <w:tcPr>
            <w:tcW w:w="1441" w:type="dxa"/>
          </w:tcPr>
          <w:p w:rsidR="00803774" w:rsidRPr="00780029" w:rsidRDefault="00803774" w:rsidP="00525DDF">
            <w:pPr>
              <w:numPr>
                <w:ilvl w:val="0"/>
                <w:numId w:val="24"/>
              </w:numPr>
              <w:cnfStyle w:val="000000010000" w:firstRow="0" w:lastRow="0" w:firstColumn="0" w:lastColumn="0" w:oddVBand="0" w:evenVBand="0" w:oddHBand="0" w:evenHBand="1" w:firstRowFirstColumn="0" w:firstRowLastColumn="0" w:lastRowFirstColumn="0" w:lastRowLastColumn="0"/>
            </w:pPr>
            <w:r>
              <w:t>1.1</w:t>
            </w:r>
          </w:p>
        </w:tc>
      </w:tr>
      <w:tr w:rsidR="00834D39" w:rsidRPr="00780029" w:rsidTr="00FC08A5">
        <w:tc>
          <w:tcPr>
            <w:cnfStyle w:val="001000000000" w:firstRow="0" w:lastRow="0" w:firstColumn="1" w:lastColumn="0" w:oddVBand="0" w:evenVBand="0" w:oddHBand="0" w:evenHBand="0" w:firstRowFirstColumn="0" w:firstRowLastColumn="0" w:lastRowFirstColumn="0" w:lastRowLastColumn="0"/>
            <w:tcW w:w="1491" w:type="dxa"/>
          </w:tcPr>
          <w:p w:rsidR="00834D39" w:rsidRPr="00780029" w:rsidRDefault="00803774" w:rsidP="00525DDF">
            <w:pPr>
              <w:numPr>
                <w:ilvl w:val="0"/>
                <w:numId w:val="24"/>
              </w:numPr>
            </w:pPr>
            <w:r>
              <w:t>E</w:t>
            </w:r>
            <w:r w:rsidR="00834D39" w:rsidRPr="00780029">
              <w:t>ngineering</w:t>
            </w:r>
            <w:r>
              <w:t xml:space="preserve"> Construction Index</w:t>
            </w:r>
            <w:r w:rsidR="00D81C34">
              <w:rPr>
                <w:rStyle w:val="AERsuperscript"/>
              </w:rPr>
              <w:t>1</w:t>
            </w:r>
          </w:p>
        </w:tc>
        <w:tc>
          <w:tcPr>
            <w:tcW w:w="1440" w:type="dxa"/>
          </w:tcPr>
          <w:p w:rsidR="00834D39" w:rsidRPr="00780029" w:rsidRDefault="00D81C34" w:rsidP="00525DDF">
            <w:pPr>
              <w:numPr>
                <w:ilvl w:val="0"/>
                <w:numId w:val="24"/>
              </w:numPr>
              <w:cnfStyle w:val="000000000000" w:firstRow="0" w:lastRow="0" w:firstColumn="0" w:lastColumn="0" w:oddVBand="0" w:evenVBand="0" w:oddHBand="0" w:evenHBand="0" w:firstRowFirstColumn="0" w:firstRowLastColumn="0" w:lastRowFirstColumn="0" w:lastRowLastColumn="0"/>
            </w:pPr>
            <w:r>
              <w:t>4.85</w:t>
            </w:r>
          </w:p>
        </w:tc>
        <w:tc>
          <w:tcPr>
            <w:tcW w:w="1440" w:type="dxa"/>
          </w:tcPr>
          <w:p w:rsidR="00834D39" w:rsidRPr="00780029" w:rsidRDefault="00D81C34" w:rsidP="00525DDF">
            <w:pPr>
              <w:numPr>
                <w:ilvl w:val="0"/>
                <w:numId w:val="24"/>
              </w:numPr>
              <w:cnfStyle w:val="000000000000" w:firstRow="0" w:lastRow="0" w:firstColumn="0" w:lastColumn="0" w:oddVBand="0" w:evenVBand="0" w:oddHBand="0" w:evenHBand="0" w:firstRowFirstColumn="0" w:firstRowLastColumn="0" w:lastRowFirstColumn="0" w:lastRowLastColumn="0"/>
            </w:pPr>
            <w:r>
              <w:t>4.81</w:t>
            </w:r>
          </w:p>
        </w:tc>
        <w:tc>
          <w:tcPr>
            <w:tcW w:w="1440" w:type="dxa"/>
          </w:tcPr>
          <w:p w:rsidR="00834D39" w:rsidRPr="00780029" w:rsidRDefault="00D81C34" w:rsidP="00525DDF">
            <w:pPr>
              <w:numPr>
                <w:ilvl w:val="0"/>
                <w:numId w:val="24"/>
              </w:numPr>
              <w:cnfStyle w:val="000000000000" w:firstRow="0" w:lastRow="0" w:firstColumn="0" w:lastColumn="0" w:oddVBand="0" w:evenVBand="0" w:oddHBand="0" w:evenHBand="0" w:firstRowFirstColumn="0" w:firstRowLastColumn="0" w:lastRowFirstColumn="0" w:lastRowLastColumn="0"/>
            </w:pPr>
            <w:r>
              <w:t>4.72</w:t>
            </w:r>
          </w:p>
        </w:tc>
        <w:tc>
          <w:tcPr>
            <w:tcW w:w="1441" w:type="dxa"/>
          </w:tcPr>
          <w:p w:rsidR="00834D39" w:rsidRPr="00780029" w:rsidRDefault="00D81C34" w:rsidP="00525DDF">
            <w:pPr>
              <w:numPr>
                <w:ilvl w:val="0"/>
                <w:numId w:val="24"/>
              </w:numPr>
              <w:cnfStyle w:val="000000000000" w:firstRow="0" w:lastRow="0" w:firstColumn="0" w:lastColumn="0" w:oddVBand="0" w:evenVBand="0" w:oddHBand="0" w:evenHBand="0" w:firstRowFirstColumn="0" w:firstRowLastColumn="0" w:lastRowFirstColumn="0" w:lastRowLastColumn="0"/>
            </w:pPr>
            <w:r>
              <w:t>4.7</w:t>
            </w:r>
          </w:p>
        </w:tc>
        <w:tc>
          <w:tcPr>
            <w:tcW w:w="1441" w:type="dxa"/>
          </w:tcPr>
          <w:p w:rsidR="00834D39" w:rsidRPr="00780029" w:rsidRDefault="00D81C34" w:rsidP="00525DDF">
            <w:pPr>
              <w:numPr>
                <w:ilvl w:val="0"/>
                <w:numId w:val="24"/>
              </w:numPr>
              <w:cnfStyle w:val="000000000000" w:firstRow="0" w:lastRow="0" w:firstColumn="0" w:lastColumn="0" w:oddVBand="0" w:evenVBand="0" w:oddHBand="0" w:evenHBand="0" w:firstRowFirstColumn="0" w:firstRowLastColumn="0" w:lastRowFirstColumn="0" w:lastRowLastColumn="0"/>
            </w:pPr>
            <w:r>
              <w:t>4.75</w:t>
            </w:r>
          </w:p>
        </w:tc>
      </w:tr>
    </w:tbl>
    <w:p w:rsidR="00834D39" w:rsidRDefault="00834D39" w:rsidP="00834D39">
      <w:pPr>
        <w:pStyle w:val="AERtablesource"/>
      </w:pPr>
      <w:r w:rsidRPr="00780029">
        <w:t>Source:</w:t>
      </w:r>
      <w:r w:rsidRPr="00780029">
        <w:tab/>
      </w:r>
      <w:r w:rsidR="001558AC">
        <w:t>SA Power Networks</w:t>
      </w:r>
      <w:r w:rsidRPr="00780029">
        <w:t xml:space="preserve">, Revenue proposal, Attachment </w:t>
      </w:r>
      <w:r w:rsidR="00FC08A5">
        <w:t>20.3</w:t>
      </w:r>
      <w:r w:rsidRPr="00780029">
        <w:t xml:space="preserve">, </w:t>
      </w:r>
      <w:r w:rsidR="00FC08A5">
        <w:t>CEG</w:t>
      </w:r>
      <w:r w:rsidR="00FC08A5" w:rsidRPr="00FC08A5">
        <w:t xml:space="preserve"> Materials cost escalation factors: a report for SA Power Networks, August 2014, p</w:t>
      </w:r>
      <w:r w:rsidR="00FC08A5">
        <w:t>p</w:t>
      </w:r>
      <w:r w:rsidR="00FC08A5" w:rsidRPr="00FC08A5">
        <w:t xml:space="preserve">. </w:t>
      </w:r>
      <w:r w:rsidR="00FC08A5">
        <w:t>15, 17,</w:t>
      </w:r>
      <w:r w:rsidR="00803774">
        <w:t xml:space="preserve"> and 19 and Attachment 20.4, Jacobs: Nominal Material Cost Escalation Indices Forecast, September 2014, </w:t>
      </w:r>
      <w:r w:rsidR="00D81C34">
        <w:t>p. 1</w:t>
      </w:r>
      <w:r w:rsidRPr="00780029">
        <w:t>.</w:t>
      </w:r>
    </w:p>
    <w:p w:rsidR="00D81C34" w:rsidRPr="00D81C34" w:rsidRDefault="00D81C34" w:rsidP="00D81C34">
      <w:pPr>
        <w:pStyle w:val="AERtablesource"/>
      </w:pPr>
      <w:r w:rsidRPr="00D81C34">
        <w:rPr>
          <w:rStyle w:val="AERsuperscript"/>
        </w:rPr>
        <w:t>1</w:t>
      </w:r>
      <w:r>
        <w:t xml:space="preserve"> </w:t>
      </w:r>
      <w:r w:rsidR="0090651D">
        <w:tab/>
      </w:r>
      <w:r>
        <w:t>Nominal cost escalation.</w:t>
      </w:r>
    </w:p>
    <w:p w:rsidR="00834D39" w:rsidRPr="00780029" w:rsidRDefault="00CB18AB" w:rsidP="00525DDF">
      <w:pPr>
        <w:numPr>
          <w:ilvl w:val="0"/>
          <w:numId w:val="24"/>
        </w:numPr>
      </w:pPr>
      <w:proofErr w:type="gramStart"/>
      <w:r>
        <w:lastRenderedPageBreak/>
        <w:t>T</w:t>
      </w:r>
      <w:r w:rsidR="00834D39" w:rsidRPr="00780029">
        <w:t xml:space="preserve">hese individual material </w:t>
      </w:r>
      <w:r>
        <w:t>cost escalators</w:t>
      </w:r>
      <w:r w:rsidR="00834D39" w:rsidRPr="00780029">
        <w:t xml:space="preserve"> </w:t>
      </w:r>
      <w:r>
        <w:t xml:space="preserve">were aggregated by </w:t>
      </w:r>
      <w:r w:rsidRPr="00CB18AB">
        <w:t>SA</w:t>
      </w:r>
      <w:r w:rsidR="0090651D">
        <w:t xml:space="preserve"> </w:t>
      </w:r>
      <w:r w:rsidRPr="00CB18AB">
        <w:t>P</w:t>
      </w:r>
      <w:r w:rsidR="0090651D">
        <w:t>ower Networks</w:t>
      </w:r>
      <w:proofErr w:type="gramEnd"/>
      <w:r w:rsidRPr="00CB18AB">
        <w:t xml:space="preserve"> through its consultant Jacobs </w:t>
      </w:r>
      <w:r>
        <w:t>to develop the material cost escalation indices forecast for various common electricity network classes.</w:t>
      </w:r>
      <w:r w:rsidR="00834D39" w:rsidRPr="0080358A">
        <w:rPr>
          <w:rStyle w:val="AERsuperscript"/>
        </w:rPr>
        <w:footnoteReference w:id="360"/>
      </w:r>
      <w:r w:rsidR="00834D39" w:rsidRPr="00780029">
        <w:t xml:space="preserve"> </w:t>
      </w:r>
      <w:r w:rsidR="00834D39">
        <w:fldChar w:fldCharType="begin"/>
      </w:r>
      <w:r w:rsidR="00834D39">
        <w:instrText xml:space="preserve"> REF _Ref404071212 \h </w:instrText>
      </w:r>
      <w:r w:rsidR="00834D39">
        <w:fldChar w:fldCharType="separate"/>
      </w:r>
      <w:r w:rsidR="00F02131">
        <w:t>Table D</w:t>
      </w:r>
      <w:r w:rsidR="00F02131">
        <w:noBreakHyphen/>
      </w:r>
      <w:r w:rsidR="00F02131">
        <w:rPr>
          <w:noProof/>
        </w:rPr>
        <w:t>2</w:t>
      </w:r>
      <w:r w:rsidR="00834D39">
        <w:fldChar w:fldCharType="end"/>
      </w:r>
      <w:r w:rsidR="00834D39" w:rsidRPr="00780029">
        <w:t xml:space="preserve"> </w:t>
      </w:r>
      <w:r>
        <w:t xml:space="preserve">shows the nominal </w:t>
      </w:r>
      <w:proofErr w:type="gramStart"/>
      <w:r>
        <w:t>material cost escalation indices</w:t>
      </w:r>
      <w:proofErr w:type="gramEnd"/>
      <w:r>
        <w:t xml:space="preserve"> forecast</w:t>
      </w:r>
      <w:r w:rsidR="007F2EEF">
        <w:t>s</w:t>
      </w:r>
      <w:r>
        <w:t xml:space="preserve"> aggregated to SA</w:t>
      </w:r>
      <w:r w:rsidR="0090651D">
        <w:t xml:space="preserve"> </w:t>
      </w:r>
      <w:r>
        <w:t>P</w:t>
      </w:r>
      <w:r w:rsidR="0090651D">
        <w:t>ower Networks</w:t>
      </w:r>
      <w:r>
        <w:t xml:space="preserve"> common asset classes</w:t>
      </w:r>
      <w:r w:rsidR="00834D39" w:rsidRPr="00780029">
        <w:t>.</w:t>
      </w:r>
    </w:p>
    <w:p w:rsidR="00834D39" w:rsidRPr="0090651D" w:rsidRDefault="00834D39" w:rsidP="0090651D">
      <w:pPr>
        <w:pStyle w:val="Caption"/>
        <w:rPr>
          <w:rStyle w:val="Strong"/>
          <w:b/>
          <w:bCs/>
        </w:rPr>
      </w:pPr>
      <w:bookmarkStart w:id="197" w:name="_Ref404071212"/>
      <w:r>
        <w:t xml:space="preserve">Table </w:t>
      </w:r>
      <w:r w:rsidR="00997831">
        <w:t>D</w:t>
      </w:r>
      <w:r>
        <w:noBreakHyphen/>
      </w:r>
      <w:fldSimple w:instr=" SEQ Table \* ARABIC \s 7 ">
        <w:r w:rsidR="00F02131">
          <w:rPr>
            <w:noProof/>
          </w:rPr>
          <w:t>2</w:t>
        </w:r>
      </w:fldSimple>
      <w:bookmarkEnd w:id="197"/>
      <w:r>
        <w:tab/>
      </w:r>
      <w:r w:rsidR="007F2EEF" w:rsidRPr="0090651D">
        <w:rPr>
          <w:rStyle w:val="Strong"/>
          <w:b/>
          <w:bCs/>
        </w:rPr>
        <w:t>Average annual nominal material cost escalation indices forecasts aggregated to SA</w:t>
      </w:r>
      <w:r w:rsidR="0090651D" w:rsidRPr="0090651D">
        <w:rPr>
          <w:rStyle w:val="Strong"/>
          <w:b/>
          <w:bCs/>
        </w:rPr>
        <w:t xml:space="preserve"> </w:t>
      </w:r>
      <w:r w:rsidR="007F2EEF" w:rsidRPr="0090651D">
        <w:rPr>
          <w:rStyle w:val="Strong"/>
          <w:b/>
          <w:bCs/>
        </w:rPr>
        <w:t>P</w:t>
      </w:r>
      <w:r w:rsidR="0090651D" w:rsidRPr="0090651D">
        <w:rPr>
          <w:rStyle w:val="Strong"/>
          <w:b/>
          <w:bCs/>
        </w:rPr>
        <w:t>ower Networks</w:t>
      </w:r>
      <w:r w:rsidR="007F2EEF" w:rsidRPr="0090651D">
        <w:rPr>
          <w:rStyle w:val="Strong"/>
          <w:b/>
          <w:bCs/>
        </w:rPr>
        <w:t xml:space="preserve"> common asset classes</w:t>
      </w:r>
    </w:p>
    <w:tbl>
      <w:tblPr>
        <w:tblStyle w:val="AERtable-numbers"/>
        <w:tblW w:w="0" w:type="auto"/>
        <w:tblLook w:val="04A0" w:firstRow="1" w:lastRow="0" w:firstColumn="1" w:lastColumn="0" w:noHBand="0" w:noVBand="1"/>
      </w:tblPr>
      <w:tblGrid>
        <w:gridCol w:w="2383"/>
        <w:gridCol w:w="1262"/>
        <w:gridCol w:w="1262"/>
        <w:gridCol w:w="1262"/>
        <w:gridCol w:w="1262"/>
        <w:gridCol w:w="1262"/>
      </w:tblGrid>
      <w:tr w:rsidR="00652261" w:rsidRPr="00780029" w:rsidTr="00C35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rsidR="00652261" w:rsidRPr="00780029" w:rsidRDefault="00652261" w:rsidP="00525DDF">
            <w:pPr>
              <w:numPr>
                <w:ilvl w:val="0"/>
                <w:numId w:val="24"/>
              </w:numPr>
            </w:pPr>
          </w:p>
        </w:tc>
        <w:tc>
          <w:tcPr>
            <w:tcW w:w="1262" w:type="dxa"/>
          </w:tcPr>
          <w:p w:rsidR="00652261" w:rsidRPr="00780029" w:rsidRDefault="00652261"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5</w:t>
            </w:r>
            <w:r w:rsidRPr="00780029">
              <w:t>–1</w:t>
            </w:r>
            <w:r>
              <w:t>6</w:t>
            </w:r>
          </w:p>
        </w:tc>
        <w:tc>
          <w:tcPr>
            <w:tcW w:w="1262" w:type="dxa"/>
          </w:tcPr>
          <w:p w:rsidR="00652261" w:rsidRPr="00780029" w:rsidRDefault="00652261"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6</w:t>
            </w:r>
            <w:r w:rsidRPr="00780029">
              <w:t>–1</w:t>
            </w:r>
            <w:r>
              <w:t>7</w:t>
            </w:r>
          </w:p>
        </w:tc>
        <w:tc>
          <w:tcPr>
            <w:tcW w:w="1262" w:type="dxa"/>
          </w:tcPr>
          <w:p w:rsidR="00652261" w:rsidRPr="00780029" w:rsidRDefault="00652261"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7</w:t>
            </w:r>
            <w:r w:rsidRPr="00780029">
              <w:t>–1</w:t>
            </w:r>
            <w:r>
              <w:t>8</w:t>
            </w:r>
          </w:p>
        </w:tc>
        <w:tc>
          <w:tcPr>
            <w:tcW w:w="1262" w:type="dxa"/>
          </w:tcPr>
          <w:p w:rsidR="00652261" w:rsidRPr="00780029" w:rsidRDefault="00652261"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8</w:t>
            </w:r>
            <w:r w:rsidRPr="00780029">
              <w:t>–1</w:t>
            </w:r>
            <w:r>
              <w:t>9</w:t>
            </w:r>
          </w:p>
        </w:tc>
        <w:tc>
          <w:tcPr>
            <w:tcW w:w="1262" w:type="dxa"/>
          </w:tcPr>
          <w:p w:rsidR="00652261" w:rsidRPr="00780029" w:rsidRDefault="00652261"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9</w:t>
            </w:r>
            <w:r w:rsidRPr="00780029">
              <w:t>–</w:t>
            </w:r>
            <w:r>
              <w:t>20</w:t>
            </w:r>
          </w:p>
        </w:tc>
      </w:tr>
      <w:tr w:rsidR="00834D39"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834D39" w:rsidP="00525DDF">
            <w:pPr>
              <w:numPr>
                <w:ilvl w:val="0"/>
                <w:numId w:val="24"/>
              </w:numPr>
            </w:pPr>
            <w:r w:rsidRPr="00780029">
              <w:t>Asset classes</w:t>
            </w:r>
          </w:p>
        </w:tc>
        <w:tc>
          <w:tcPr>
            <w:tcW w:w="1262"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652261" w:rsidP="00525DDF">
            <w:pPr>
              <w:numPr>
                <w:ilvl w:val="0"/>
                <w:numId w:val="24"/>
              </w:numPr>
            </w:pPr>
            <w:r w:rsidRPr="00652261">
              <w:t>Switchgear/Circuit Breakers</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298</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1.02</w:t>
            </w:r>
            <w:r w:rsidR="00330D53">
              <w:t>43</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236</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232</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235</w:t>
            </w:r>
          </w:p>
        </w:tc>
      </w:tr>
      <w:tr w:rsidR="00834D39"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652261" w:rsidP="00525DDF">
            <w:pPr>
              <w:numPr>
                <w:ilvl w:val="0"/>
                <w:numId w:val="24"/>
              </w:numPr>
            </w:pPr>
            <w:r w:rsidRPr="00652261">
              <w:t>Overhead Line Hardware</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321</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236</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219</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216</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221</w:t>
            </w: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E016C4" w:rsidP="00525DDF">
            <w:pPr>
              <w:numPr>
                <w:ilvl w:val="0"/>
                <w:numId w:val="24"/>
              </w:numPr>
            </w:pPr>
            <w:r w:rsidRPr="00E016C4">
              <w:t>Underground Hardware</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336</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322</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313</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312</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316</w:t>
            </w:r>
          </w:p>
        </w:tc>
      </w:tr>
      <w:tr w:rsidR="00834D39"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E016C4" w:rsidP="00525DDF">
            <w:pPr>
              <w:numPr>
                <w:ilvl w:val="0"/>
                <w:numId w:val="24"/>
              </w:numPr>
            </w:pPr>
            <w:r w:rsidRPr="00E016C4">
              <w:t>Insulators</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301</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289</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1.02</w:t>
            </w:r>
            <w:r w:rsidR="00330D53">
              <w:t>81</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1.02</w:t>
            </w:r>
            <w:r w:rsidR="00330D53">
              <w:t>81</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284</w:t>
            </w: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056052" w:rsidP="00525DDF">
            <w:pPr>
              <w:numPr>
                <w:ilvl w:val="0"/>
                <w:numId w:val="24"/>
              </w:numPr>
            </w:pPr>
            <w:r w:rsidRPr="00056052">
              <w:t>Revenue Meters</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281</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267</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265</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264</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266</w:t>
            </w:r>
          </w:p>
        </w:tc>
      </w:tr>
      <w:tr w:rsidR="00330D53"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330D53" w:rsidRPr="00330D53" w:rsidRDefault="00330D53" w:rsidP="00525DDF">
            <w:pPr>
              <w:numPr>
                <w:ilvl w:val="0"/>
                <w:numId w:val="24"/>
              </w:numPr>
            </w:pPr>
            <w:r w:rsidRPr="00330D53">
              <w:t>Public Lighting Material</w:t>
            </w:r>
          </w:p>
        </w:tc>
        <w:tc>
          <w:tcPr>
            <w:tcW w:w="1262" w:type="dxa"/>
            <w:vAlign w:val="top"/>
          </w:tcPr>
          <w:p w:rsidR="00330D53" w:rsidRPr="00330D53" w:rsidRDefault="00330D53"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330D53" w:rsidRPr="00330D53" w:rsidRDefault="00330D53"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330D53" w:rsidRPr="00330D53" w:rsidRDefault="00330D53">
            <w:p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330D53" w:rsidRPr="00330D53" w:rsidRDefault="00330D53">
            <w:p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330D53" w:rsidRPr="00330D53" w:rsidRDefault="00330D53">
            <w:pPr>
              <w:cnfStyle w:val="000000000000" w:firstRow="0" w:lastRow="0" w:firstColumn="0" w:lastColumn="0" w:oddVBand="0" w:evenVBand="0" w:oddHBand="0" w:evenHBand="0" w:firstRowFirstColumn="0" w:firstRowLastColumn="0" w:lastRowFirstColumn="0" w:lastRowLastColumn="0"/>
            </w:pPr>
            <w:r w:rsidRPr="00330D53">
              <w:t>1.0255</w:t>
            </w: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3D5CE6" w:rsidP="00525DDF">
            <w:pPr>
              <w:numPr>
                <w:ilvl w:val="0"/>
                <w:numId w:val="24"/>
              </w:numPr>
            </w:pPr>
            <w:r w:rsidRPr="003D5CE6">
              <w:t>Disconnectors/Fuses</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298</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243</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236</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232</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330D53">
              <w:t>235</w:t>
            </w:r>
          </w:p>
        </w:tc>
      </w:tr>
      <w:tr w:rsidR="00834D39"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3D5CE6" w:rsidP="00525DDF">
            <w:pPr>
              <w:numPr>
                <w:ilvl w:val="0"/>
                <w:numId w:val="24"/>
              </w:numPr>
            </w:pPr>
            <w:r w:rsidRPr="003D5CE6">
              <w:t>Protection Relays</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330D53">
              <w:t>281</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267</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265</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264</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266</w:t>
            </w: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3D5CE6" w:rsidP="00525DDF">
            <w:pPr>
              <w:numPr>
                <w:ilvl w:val="0"/>
                <w:numId w:val="24"/>
              </w:numPr>
            </w:pPr>
            <w:r w:rsidRPr="003D5CE6">
              <w:t>Electronic Component</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281</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267</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265</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264</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266</w:t>
            </w:r>
          </w:p>
        </w:tc>
      </w:tr>
      <w:tr w:rsidR="00F228CA"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F228CA" w:rsidRPr="00780029" w:rsidRDefault="00F228CA" w:rsidP="00525DDF">
            <w:pPr>
              <w:numPr>
                <w:ilvl w:val="0"/>
                <w:numId w:val="24"/>
              </w:numPr>
            </w:pPr>
            <w:r w:rsidRPr="003D5CE6">
              <w:t>Communication Cable</w:t>
            </w:r>
          </w:p>
        </w:tc>
        <w:tc>
          <w:tcPr>
            <w:tcW w:w="1262" w:type="dxa"/>
            <w:vAlign w:val="top"/>
          </w:tcPr>
          <w:p w:rsidR="00F228CA" w:rsidRPr="00330D53"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F228CA" w:rsidRPr="00330D53"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r>
      <w:tr w:rsidR="00F228CA"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F228CA" w:rsidRPr="00780029" w:rsidRDefault="00F228CA" w:rsidP="00525DDF">
            <w:pPr>
              <w:numPr>
                <w:ilvl w:val="0"/>
                <w:numId w:val="24"/>
              </w:numPr>
            </w:pPr>
            <w:r w:rsidRPr="003D5CE6">
              <w:t>Other Secondary Systems</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281</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267</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265</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264</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266</w:t>
            </w:r>
          </w:p>
        </w:tc>
      </w:tr>
      <w:tr w:rsidR="00F228CA"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F228CA" w:rsidRPr="00F228CA" w:rsidRDefault="00F228CA" w:rsidP="00F228CA">
            <w:r w:rsidRPr="003D5CE6">
              <w:t>Telecommunications</w:t>
            </w:r>
            <w:r w:rsidRPr="00F228CA">
              <w:t xml:space="preserve"> Equipment)</w:t>
            </w:r>
          </w:p>
        </w:tc>
        <w:tc>
          <w:tcPr>
            <w:tcW w:w="1262" w:type="dxa"/>
            <w:vAlign w:val="top"/>
          </w:tcPr>
          <w:p w:rsidR="00F228CA" w:rsidRPr="00330D53"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F228CA" w:rsidRPr="00330D53"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330D53">
              <w:t>1.0255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c>
          <w:tcPr>
            <w:tcW w:w="1262" w:type="dxa"/>
            <w:vAlign w:val="top"/>
          </w:tcPr>
          <w:p w:rsidR="00F228CA" w:rsidRPr="00F228CA" w:rsidRDefault="00F228CA" w:rsidP="00F228CA">
            <w:pPr>
              <w:cnfStyle w:val="000000000000" w:firstRow="0" w:lastRow="0" w:firstColumn="0" w:lastColumn="0" w:oddVBand="0" w:evenVBand="0" w:oddHBand="0" w:evenHBand="0" w:firstRowFirstColumn="0" w:firstRowLastColumn="0" w:lastRowFirstColumn="0" w:lastRowLastColumn="0"/>
            </w:pPr>
            <w:r w:rsidRPr="00330D53">
              <w:t>1.0</w:t>
            </w:r>
            <w:r w:rsidRPr="00F228CA">
              <w:t>255</w:t>
            </w:r>
          </w:p>
        </w:tc>
      </w:tr>
      <w:tr w:rsidR="00834D39"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3D5CE6" w:rsidP="00525DDF">
            <w:pPr>
              <w:numPr>
                <w:ilvl w:val="0"/>
                <w:numId w:val="24"/>
              </w:numPr>
            </w:pPr>
            <w:r>
              <w:t>Oil</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440</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390</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360</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360</w:t>
            </w:r>
          </w:p>
        </w:tc>
        <w:tc>
          <w:tcPr>
            <w:tcW w:w="1262" w:type="dxa"/>
            <w:vAlign w:val="top"/>
          </w:tcPr>
          <w:p w:rsidR="00834D39" w:rsidRPr="00780029" w:rsidRDefault="00834D39"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rsidR="00F228CA">
              <w:t>370</w:t>
            </w:r>
          </w:p>
        </w:tc>
      </w:tr>
      <w:tr w:rsidR="00834D39"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834D39" w:rsidRPr="00780029" w:rsidRDefault="003D5CE6" w:rsidP="00525DDF">
            <w:pPr>
              <w:numPr>
                <w:ilvl w:val="0"/>
                <w:numId w:val="24"/>
              </w:numPr>
            </w:pPr>
            <w:r w:rsidRPr="003D5CE6">
              <w:t>Substation Transformers</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369</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278</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269</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263</w:t>
            </w:r>
          </w:p>
        </w:tc>
        <w:tc>
          <w:tcPr>
            <w:tcW w:w="1262" w:type="dxa"/>
            <w:vAlign w:val="top"/>
          </w:tcPr>
          <w:p w:rsidR="00834D39" w:rsidRPr="00780029" w:rsidRDefault="00834D39"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rsidR="00F228CA">
              <w:t>267</w:t>
            </w:r>
          </w:p>
        </w:tc>
      </w:tr>
      <w:tr w:rsidR="00F228CA"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F228CA" w:rsidRPr="003D5CE6" w:rsidRDefault="00F228CA" w:rsidP="00F228CA">
            <w:r w:rsidRPr="003D5CE6">
              <w:t>Pad mount Distribution</w:t>
            </w:r>
          </w:p>
          <w:p w:rsidR="00F228CA" w:rsidRPr="00780029" w:rsidRDefault="00F228CA" w:rsidP="00525DDF">
            <w:pPr>
              <w:numPr>
                <w:ilvl w:val="0"/>
                <w:numId w:val="24"/>
              </w:numPr>
            </w:pPr>
            <w:r w:rsidRPr="003D5CE6">
              <w:t>Transformers</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369</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278</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269</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263</w:t>
            </w:r>
          </w:p>
        </w:tc>
        <w:tc>
          <w:tcPr>
            <w:tcW w:w="1262" w:type="dxa"/>
            <w:vAlign w:val="top"/>
          </w:tcPr>
          <w:p w:rsidR="00F228CA"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1.0</w:t>
            </w:r>
            <w:r>
              <w:t>267</w:t>
            </w:r>
          </w:p>
        </w:tc>
      </w:tr>
      <w:tr w:rsidR="00F228CA"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F228CA" w:rsidRPr="003D5CE6" w:rsidRDefault="00F228CA" w:rsidP="00F228CA">
            <w:r w:rsidRPr="003D5CE6">
              <w:t>Pole mount Distribution</w:t>
            </w:r>
          </w:p>
          <w:p w:rsidR="00F228CA" w:rsidRPr="00F228CA" w:rsidRDefault="00F228CA" w:rsidP="00F228CA">
            <w:r w:rsidRPr="003D5CE6">
              <w:t>Transformers</w:t>
            </w:r>
          </w:p>
        </w:tc>
        <w:tc>
          <w:tcPr>
            <w:tcW w:w="1262" w:type="dxa"/>
            <w:vAlign w:val="top"/>
          </w:tcPr>
          <w:p w:rsidR="00F228CA"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t>369</w:t>
            </w:r>
          </w:p>
        </w:tc>
        <w:tc>
          <w:tcPr>
            <w:tcW w:w="1262" w:type="dxa"/>
            <w:vAlign w:val="top"/>
          </w:tcPr>
          <w:p w:rsidR="00F228CA"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t>278</w:t>
            </w:r>
          </w:p>
        </w:tc>
        <w:tc>
          <w:tcPr>
            <w:tcW w:w="1262" w:type="dxa"/>
            <w:vAlign w:val="top"/>
          </w:tcPr>
          <w:p w:rsidR="00F228CA"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t>269</w:t>
            </w:r>
          </w:p>
        </w:tc>
        <w:tc>
          <w:tcPr>
            <w:tcW w:w="1262" w:type="dxa"/>
            <w:vAlign w:val="top"/>
          </w:tcPr>
          <w:p w:rsidR="00F228CA"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t>263</w:t>
            </w:r>
          </w:p>
        </w:tc>
        <w:tc>
          <w:tcPr>
            <w:tcW w:w="1262" w:type="dxa"/>
            <w:vAlign w:val="top"/>
          </w:tcPr>
          <w:p w:rsidR="00F228CA"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r>
              <w:t>267</w:t>
            </w:r>
          </w:p>
        </w:tc>
      </w:tr>
      <w:tr w:rsidR="003D5CE6"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t>Copper Cable</w:t>
            </w:r>
          </w:p>
        </w:tc>
        <w:tc>
          <w:tcPr>
            <w:tcW w:w="1262" w:type="dxa"/>
            <w:vAlign w:val="top"/>
          </w:tcPr>
          <w:p w:rsidR="003D5CE6"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t>1.0240</w:t>
            </w:r>
          </w:p>
        </w:tc>
        <w:tc>
          <w:tcPr>
            <w:tcW w:w="1262" w:type="dxa"/>
            <w:vAlign w:val="top"/>
          </w:tcPr>
          <w:p w:rsidR="003D5CE6"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t>1.0206</w:t>
            </w:r>
          </w:p>
        </w:tc>
        <w:tc>
          <w:tcPr>
            <w:tcW w:w="1262" w:type="dxa"/>
            <w:vAlign w:val="top"/>
          </w:tcPr>
          <w:p w:rsidR="003D5CE6"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t>1.0247</w:t>
            </w:r>
          </w:p>
        </w:tc>
        <w:tc>
          <w:tcPr>
            <w:tcW w:w="1262" w:type="dxa"/>
            <w:vAlign w:val="top"/>
          </w:tcPr>
          <w:p w:rsidR="003D5CE6"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t>1.0241</w:t>
            </w:r>
          </w:p>
        </w:tc>
        <w:tc>
          <w:tcPr>
            <w:tcW w:w="1262" w:type="dxa"/>
            <w:vAlign w:val="top"/>
          </w:tcPr>
          <w:p w:rsidR="003D5CE6" w:rsidRPr="00780029" w:rsidRDefault="00F228CA" w:rsidP="00525DDF">
            <w:pPr>
              <w:numPr>
                <w:ilvl w:val="0"/>
                <w:numId w:val="24"/>
              </w:numPr>
              <w:cnfStyle w:val="000000010000" w:firstRow="0" w:lastRow="0" w:firstColumn="0" w:lastColumn="0" w:oddVBand="0" w:evenVBand="0" w:oddHBand="0" w:evenHBand="1" w:firstRowFirstColumn="0" w:firstRowLastColumn="0" w:lastRowFirstColumn="0" w:lastRowLastColumn="0"/>
            </w:pPr>
            <w:r>
              <w:t>1.0247</w:t>
            </w:r>
          </w:p>
        </w:tc>
      </w:tr>
      <w:tr w:rsidR="003D5CE6"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t>Aluminium Cable</w:t>
            </w:r>
          </w:p>
        </w:tc>
        <w:tc>
          <w:tcPr>
            <w:tcW w:w="1262" w:type="dxa"/>
            <w:vAlign w:val="top"/>
          </w:tcPr>
          <w:p w:rsidR="003D5CE6"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t>1.0388</w:t>
            </w:r>
          </w:p>
        </w:tc>
        <w:tc>
          <w:tcPr>
            <w:tcW w:w="1262" w:type="dxa"/>
            <w:vAlign w:val="top"/>
          </w:tcPr>
          <w:p w:rsidR="003D5CE6"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t>1.0333</w:t>
            </w:r>
          </w:p>
        </w:tc>
        <w:tc>
          <w:tcPr>
            <w:tcW w:w="1262" w:type="dxa"/>
            <w:vAlign w:val="top"/>
          </w:tcPr>
          <w:p w:rsidR="003D5CE6"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t>1.0314</w:t>
            </w:r>
          </w:p>
        </w:tc>
        <w:tc>
          <w:tcPr>
            <w:tcW w:w="1262" w:type="dxa"/>
            <w:vAlign w:val="top"/>
          </w:tcPr>
          <w:p w:rsidR="003D5CE6" w:rsidRPr="00780029" w:rsidRDefault="00F228CA" w:rsidP="00525DDF">
            <w:pPr>
              <w:numPr>
                <w:ilvl w:val="0"/>
                <w:numId w:val="24"/>
              </w:numPr>
              <w:cnfStyle w:val="000000000000" w:firstRow="0" w:lastRow="0" w:firstColumn="0" w:lastColumn="0" w:oddVBand="0" w:evenVBand="0" w:oddHBand="0" w:evenHBand="0" w:firstRowFirstColumn="0" w:firstRowLastColumn="0" w:lastRowFirstColumn="0" w:lastRowLastColumn="0"/>
            </w:pPr>
            <w:r>
              <w:t>1.0303</w:t>
            </w:r>
          </w:p>
        </w:tc>
        <w:tc>
          <w:tcPr>
            <w:tcW w:w="1262" w:type="dxa"/>
            <w:vAlign w:val="top"/>
          </w:tcPr>
          <w:p w:rsidR="003D5CE6" w:rsidRPr="00780029" w:rsidRDefault="00F228CA" w:rsidP="00F228CA">
            <w:pPr>
              <w:cnfStyle w:val="000000000000" w:firstRow="0" w:lastRow="0" w:firstColumn="0" w:lastColumn="0" w:oddVBand="0" w:evenVBand="0" w:oddHBand="0" w:evenHBand="0" w:firstRowFirstColumn="0" w:firstRowLastColumn="0" w:lastRowFirstColumn="0" w:lastRowLastColumn="0"/>
            </w:pPr>
            <w:r>
              <w:t>1.0305</w:t>
            </w:r>
          </w:p>
        </w:tc>
      </w:tr>
      <w:tr w:rsidR="003D5CE6"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t>Copper Conductor</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1.0214</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1.0179</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1.0233</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1.0225</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1.0233</w:t>
            </w:r>
          </w:p>
        </w:tc>
      </w:tr>
      <w:tr w:rsidR="003D5CE6"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lastRenderedPageBreak/>
              <w:t>Aluminium Conductor</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1.0433</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1.0354</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1.0330</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1.0314</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1.0315</w:t>
            </w:r>
          </w:p>
        </w:tc>
      </w:tr>
      <w:tr w:rsidR="003D5CE6" w:rsidRPr="00780029" w:rsidTr="00652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t>Stobie Poles</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1.0485</w:t>
            </w:r>
          </w:p>
        </w:tc>
        <w:tc>
          <w:tcPr>
            <w:tcW w:w="1262" w:type="dxa"/>
            <w:vAlign w:val="top"/>
          </w:tcPr>
          <w:p w:rsidR="003D5CE6" w:rsidRPr="00780029" w:rsidRDefault="00557194" w:rsidP="00557194">
            <w:pPr>
              <w:cnfStyle w:val="000000010000" w:firstRow="0" w:lastRow="0" w:firstColumn="0" w:lastColumn="0" w:oddVBand="0" w:evenVBand="0" w:oddHBand="0" w:evenHBand="1" w:firstRowFirstColumn="0" w:firstRowLastColumn="0" w:lastRowFirstColumn="0" w:lastRowLastColumn="0"/>
            </w:pPr>
            <w:r>
              <w:t>1.0481</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1.0472</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1.0470</w:t>
            </w:r>
          </w:p>
        </w:tc>
        <w:tc>
          <w:tcPr>
            <w:tcW w:w="1262" w:type="dxa"/>
            <w:vAlign w:val="top"/>
          </w:tcPr>
          <w:p w:rsidR="003D5CE6" w:rsidRPr="00780029" w:rsidRDefault="00557194" w:rsidP="00525DDF">
            <w:pPr>
              <w:numPr>
                <w:ilvl w:val="0"/>
                <w:numId w:val="24"/>
              </w:numPr>
              <w:cnfStyle w:val="000000010000" w:firstRow="0" w:lastRow="0" w:firstColumn="0" w:lastColumn="0" w:oddVBand="0" w:evenVBand="0" w:oddHBand="0" w:evenHBand="1" w:firstRowFirstColumn="0" w:firstRowLastColumn="0" w:lastRowFirstColumn="0" w:lastRowLastColumn="0"/>
            </w:pPr>
            <w:r>
              <w:t>1.0475</w:t>
            </w:r>
          </w:p>
        </w:tc>
      </w:tr>
      <w:tr w:rsidR="003D5CE6" w:rsidRPr="00780029" w:rsidTr="00652261">
        <w:tc>
          <w:tcPr>
            <w:cnfStyle w:val="001000000000" w:firstRow="0" w:lastRow="0" w:firstColumn="1" w:lastColumn="0" w:oddVBand="0" w:evenVBand="0" w:oddHBand="0" w:evenHBand="0" w:firstRowFirstColumn="0" w:firstRowLastColumn="0" w:lastRowFirstColumn="0" w:lastRowLastColumn="0"/>
            <w:tcW w:w="2383" w:type="dxa"/>
          </w:tcPr>
          <w:p w:rsidR="003D5CE6" w:rsidRPr="003D5CE6" w:rsidRDefault="003D5CE6" w:rsidP="003D5CE6">
            <w:r w:rsidRPr="003D5CE6">
              <w:t>Other</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1.0321</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1.0236</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1.0219</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1.0216</w:t>
            </w:r>
          </w:p>
        </w:tc>
        <w:tc>
          <w:tcPr>
            <w:tcW w:w="1262" w:type="dxa"/>
            <w:vAlign w:val="top"/>
          </w:tcPr>
          <w:p w:rsidR="003D5CE6" w:rsidRPr="00780029" w:rsidRDefault="00557194" w:rsidP="00525DDF">
            <w:pPr>
              <w:numPr>
                <w:ilvl w:val="0"/>
                <w:numId w:val="24"/>
              </w:numPr>
              <w:cnfStyle w:val="000000000000" w:firstRow="0" w:lastRow="0" w:firstColumn="0" w:lastColumn="0" w:oddVBand="0" w:evenVBand="0" w:oddHBand="0" w:evenHBand="0" w:firstRowFirstColumn="0" w:firstRowLastColumn="0" w:lastRowFirstColumn="0" w:lastRowLastColumn="0"/>
            </w:pPr>
            <w:r>
              <w:t>1.0221</w:t>
            </w:r>
          </w:p>
        </w:tc>
      </w:tr>
    </w:tbl>
    <w:p w:rsidR="00834D39" w:rsidRDefault="00834D39" w:rsidP="00834D39">
      <w:pPr>
        <w:pStyle w:val="AERtablesource"/>
      </w:pPr>
      <w:r w:rsidRPr="00780029">
        <w:t>Source:</w:t>
      </w:r>
      <w:r w:rsidRPr="00780029">
        <w:tab/>
      </w:r>
      <w:r w:rsidR="001558AC">
        <w:t>SA Power Networks</w:t>
      </w:r>
      <w:r w:rsidR="00CD532A" w:rsidRPr="00CD532A">
        <w:t>, Revenue proposal, Attachment 20.3, CEG Materials cost escalation factors: a report for SA Power Networks, August 2014, p. 1.</w:t>
      </w:r>
    </w:p>
    <w:p w:rsidR="00CD532A" w:rsidRPr="00CD532A" w:rsidRDefault="00CD532A" w:rsidP="00CD532A">
      <w:r>
        <w:t>Jacobs stated that t</w:t>
      </w:r>
      <w:r w:rsidRPr="00CD532A">
        <w:t>he</w:t>
      </w:r>
      <w:r>
        <w:t>se</w:t>
      </w:r>
      <w:r w:rsidRPr="00CD532A">
        <w:t xml:space="preserve"> asset classes are further aggregated to higher asset categories, and</w:t>
      </w:r>
      <w:r>
        <w:t xml:space="preserve"> </w:t>
      </w:r>
      <w:r w:rsidRPr="00CD532A">
        <w:t>finally to an overall SA</w:t>
      </w:r>
      <w:r w:rsidR="0090651D">
        <w:t xml:space="preserve"> </w:t>
      </w:r>
      <w:r w:rsidRPr="00CD532A">
        <w:t>P</w:t>
      </w:r>
      <w:r w:rsidR="0090651D">
        <w:t xml:space="preserve">ower </w:t>
      </w:r>
      <w:r w:rsidRPr="00CD532A">
        <w:t>N</w:t>
      </w:r>
      <w:r w:rsidR="0090651D">
        <w:t>etworks</w:t>
      </w:r>
      <w:r w:rsidRPr="00CD532A">
        <w:t xml:space="preserve"> material asset base using the actual capital expenditure profile from the 201</w:t>
      </w:r>
      <w:r w:rsidR="00290078">
        <w:t>3</w:t>
      </w:r>
      <w:r>
        <w:t>-</w:t>
      </w:r>
      <w:r w:rsidRPr="00CD532A">
        <w:t>14</w:t>
      </w:r>
      <w:r>
        <w:t xml:space="preserve"> </w:t>
      </w:r>
      <w:r w:rsidRPr="00CD532A">
        <w:t>base year as the basis for the proportional weightings.</w:t>
      </w:r>
      <w:r>
        <w:rPr>
          <w:rStyle w:val="FootnoteReference"/>
        </w:rPr>
        <w:footnoteReference w:id="361"/>
      </w:r>
    </w:p>
    <w:p w:rsidR="00834D39" w:rsidRPr="00834D39" w:rsidRDefault="00834D39" w:rsidP="00834D39">
      <w:pPr>
        <w:pStyle w:val="Heading8"/>
      </w:pPr>
      <w:bookmarkStart w:id="198" w:name="_Toc326056441"/>
      <w:bookmarkStart w:id="199" w:name="_Toc365283286"/>
      <w:bookmarkStart w:id="200" w:name="_Toc404164380"/>
      <w:bookmarkStart w:id="201" w:name="_Toc417725425"/>
      <w:r w:rsidRPr="00780029">
        <w:t>Assessment approach</w:t>
      </w:r>
      <w:bookmarkEnd w:id="198"/>
      <w:bookmarkEnd w:id="199"/>
      <w:bookmarkEnd w:id="200"/>
      <w:bookmarkEnd w:id="201"/>
    </w:p>
    <w:p w:rsidR="00834D39" w:rsidRPr="00780029" w:rsidRDefault="00834D39" w:rsidP="00525DDF">
      <w:pPr>
        <w:numPr>
          <w:ilvl w:val="0"/>
          <w:numId w:val="24"/>
        </w:numPr>
      </w:pPr>
      <w:r w:rsidRPr="00780029">
        <w:t xml:space="preserve">We assessed </w:t>
      </w:r>
      <w:r w:rsidR="00290078">
        <w:t>SA</w:t>
      </w:r>
      <w:r w:rsidR="0090651D">
        <w:t xml:space="preserve"> </w:t>
      </w:r>
      <w:r w:rsidR="00290078">
        <w:t>P</w:t>
      </w:r>
      <w:r w:rsidR="0090651D">
        <w:t>ower Networks</w:t>
      </w:r>
      <w:r w:rsidRPr="00780029">
        <w:t xml:space="preserve"> proposed real material cost escalators for the purpose of assessing its proposed total capex forecast against the NER requirements. We must accept </w:t>
      </w:r>
      <w:r w:rsidR="00290078">
        <w:t>SA</w:t>
      </w:r>
      <w:r w:rsidR="0090651D">
        <w:t xml:space="preserve"> </w:t>
      </w:r>
      <w:r w:rsidR="00290078">
        <w:t>P</w:t>
      </w:r>
      <w:r w:rsidR="0090651D">
        <w:t>ower Networks</w:t>
      </w:r>
      <w:r w:rsidRPr="00780029">
        <w:t xml:space="preserve"> capex forecast if we are satisfied it reasonably reflects the capex criteria.</w:t>
      </w:r>
      <w:r w:rsidRPr="0080358A">
        <w:rPr>
          <w:rStyle w:val="AERsuperscript"/>
        </w:rPr>
        <w:footnoteReference w:id="362"/>
      </w:r>
      <w:r w:rsidRPr="00780029">
        <w:t xml:space="preserve"> Relevantly, we must be satisfied those forecasts reasonably reflect a realistic expectation of cost inputs required to achieve the capex objectives.</w:t>
      </w:r>
      <w:r w:rsidRPr="0080358A">
        <w:rPr>
          <w:rStyle w:val="AERsuperscript"/>
        </w:rPr>
        <w:footnoteReference w:id="363"/>
      </w:r>
      <w:r w:rsidRPr="00780029">
        <w:t xml:space="preserve"> </w:t>
      </w:r>
    </w:p>
    <w:p w:rsidR="00834D39" w:rsidRPr="00780029" w:rsidRDefault="00834D39" w:rsidP="00525DDF">
      <w:pPr>
        <w:numPr>
          <w:ilvl w:val="0"/>
          <w:numId w:val="24"/>
        </w:numPr>
      </w:pPr>
      <w:r w:rsidRPr="00780029">
        <w:t xml:space="preserve">We have applied </w:t>
      </w:r>
      <w:r w:rsidR="00C35CCD">
        <w:t>our approach as set out in our Expenditure F</w:t>
      </w:r>
      <w:r w:rsidRPr="00780029">
        <w:t xml:space="preserve">orecast </w:t>
      </w:r>
      <w:r w:rsidR="00C35CCD">
        <w:t>A</w:t>
      </w:r>
      <w:r w:rsidRPr="00780029">
        <w:t>ssessment Guideline (Guideline) to assessing the input price modelling approach to forecast materials cost.</w:t>
      </w:r>
      <w:r w:rsidRPr="0080358A">
        <w:rPr>
          <w:rStyle w:val="AERsuperscript"/>
        </w:rPr>
        <w:footnoteReference w:id="364"/>
      </w:r>
      <w:r w:rsidRPr="00780029">
        <w:t xml:space="preserve"> In the Guideline </w:t>
      </w:r>
      <w:r w:rsidR="00C1345C">
        <w:t>e</w:t>
      </w:r>
      <w:r w:rsidR="00D21CE2">
        <w:t xml:space="preserve">xplanatory </w:t>
      </w:r>
      <w:r w:rsidR="00C1345C">
        <w:t>s</w:t>
      </w:r>
      <w:r w:rsidR="00D21CE2">
        <w:t xml:space="preserve">tatement </w:t>
      </w:r>
      <w:r w:rsidRPr="00780029">
        <w:t xml:space="preserve">we stated that we had seen limited evidence to demonstrate that the commodity input weightings used by </w:t>
      </w:r>
      <w:r w:rsidR="00F456A9">
        <w:t>distributor</w:t>
      </w:r>
      <w:r w:rsidRPr="00780029">
        <w:t xml:space="preserve">s to generate a forecast of the cost of material inputs have produced unbiased forecasts of the costs the </w:t>
      </w:r>
      <w:r w:rsidR="00F456A9">
        <w:t>distributor</w:t>
      </w:r>
      <w:r w:rsidRPr="00780029">
        <w:t>s paid for manufactured materials.</w:t>
      </w:r>
      <w:r w:rsidRPr="0080358A">
        <w:rPr>
          <w:rStyle w:val="AERsuperscript"/>
        </w:rPr>
        <w:footnoteReference w:id="365"/>
      </w:r>
      <w:r w:rsidRPr="00780029">
        <w:t xml:space="preserve"> We considered it important that such evidence be provided because the changes in the prices of manufactured materials are not solely influenced by the changes in the raw materials that are used.</w:t>
      </w:r>
      <w:r w:rsidRPr="0080358A">
        <w:rPr>
          <w:rStyle w:val="AERsuperscript"/>
        </w:rPr>
        <w:footnoteReference w:id="366"/>
      </w:r>
      <w:r w:rsidRPr="00780029">
        <w:t xml:space="preserve"> As a result, the price of manufactured network materials may not be well correlated with raw material input costs. We expect </w:t>
      </w:r>
      <w:r w:rsidR="00F456A9">
        <w:t>distributor</w:t>
      </w:r>
      <w:r w:rsidRPr="00780029">
        <w:t xml:space="preserve">s to demonstrate that their proposed approach to forecast manufactured material cost changes is likely to reasonably reflect changes in raw material input costs. </w:t>
      </w:r>
    </w:p>
    <w:p w:rsidR="00834D39" w:rsidRPr="00780029" w:rsidRDefault="00834D39" w:rsidP="00525DDF">
      <w:pPr>
        <w:numPr>
          <w:ilvl w:val="0"/>
          <w:numId w:val="24"/>
        </w:numPr>
      </w:pPr>
      <w:r w:rsidRPr="00780029">
        <w:lastRenderedPageBreak/>
        <w:t xml:space="preserve">In our assessment of </w:t>
      </w:r>
      <w:r w:rsidR="00290078">
        <w:t>SA</w:t>
      </w:r>
      <w:r w:rsidR="0090651D">
        <w:t xml:space="preserve"> </w:t>
      </w:r>
      <w:r w:rsidR="00290078">
        <w:t>P</w:t>
      </w:r>
      <w:r w:rsidR="0090651D">
        <w:t xml:space="preserve">ower </w:t>
      </w:r>
      <w:r w:rsidR="00290078">
        <w:t>N</w:t>
      </w:r>
      <w:r w:rsidR="0090651D">
        <w:t>etworks</w:t>
      </w:r>
      <w:r w:rsidRPr="00780029">
        <w:t xml:space="preserve"> proposed material cost escalation, we:</w:t>
      </w:r>
    </w:p>
    <w:p w:rsidR="00834D39" w:rsidRPr="00834D39" w:rsidRDefault="00834D39" w:rsidP="00834D39">
      <w:pPr>
        <w:pStyle w:val="AERbulletlistfirststyle"/>
      </w:pPr>
      <w:r w:rsidRPr="00780029">
        <w:t xml:space="preserve">reviewed the CEG report commissioned by </w:t>
      </w:r>
      <w:r w:rsidR="00290078">
        <w:t>SA</w:t>
      </w:r>
      <w:r w:rsidR="0090651D">
        <w:t xml:space="preserve"> </w:t>
      </w:r>
      <w:r w:rsidR="00290078">
        <w:t>P</w:t>
      </w:r>
      <w:r w:rsidR="0090651D">
        <w:t>ower Networks</w:t>
      </w:r>
      <w:r w:rsidRPr="00834D39">
        <w:rPr>
          <w:rStyle w:val="AERsuperscript"/>
        </w:rPr>
        <w:footnoteReference w:id="367"/>
      </w:r>
    </w:p>
    <w:p w:rsidR="00834D39" w:rsidRPr="00834D39" w:rsidRDefault="00834D39" w:rsidP="00834D39">
      <w:pPr>
        <w:pStyle w:val="AERbulletlistfirststyle"/>
      </w:pPr>
      <w:r w:rsidRPr="00780029">
        <w:t xml:space="preserve">reviewed the materials input cost model used by </w:t>
      </w:r>
      <w:r w:rsidR="002E2CB4">
        <w:t>SA</w:t>
      </w:r>
      <w:r w:rsidR="0090651D">
        <w:t xml:space="preserve"> </w:t>
      </w:r>
      <w:r w:rsidR="002E2CB4">
        <w:t>P</w:t>
      </w:r>
      <w:r w:rsidR="0090651D">
        <w:t xml:space="preserve">ower </w:t>
      </w:r>
      <w:r w:rsidR="002E2CB4">
        <w:t>N</w:t>
      </w:r>
      <w:r w:rsidR="0090651D">
        <w:t>etworks</w:t>
      </w:r>
      <w:r w:rsidRPr="00780029">
        <w:t xml:space="preserve"> </w:t>
      </w:r>
    </w:p>
    <w:p w:rsidR="00834D39" w:rsidRPr="00834D39" w:rsidRDefault="00834D39" w:rsidP="00834D39">
      <w:pPr>
        <w:pStyle w:val="AERbulletlistfirststyle"/>
      </w:pPr>
      <w:r w:rsidRPr="00780029">
        <w:t xml:space="preserve">reviewed the approach to forecasting manufactured material costs in the context of electricity </w:t>
      </w:r>
      <w:r w:rsidR="00F456A9">
        <w:t>distributor</w:t>
      </w:r>
      <w:r w:rsidRPr="00780029">
        <w:t>s mitigating such costs and producing unbiased forecasts</w:t>
      </w:r>
      <w:r w:rsidR="00F456A9">
        <w:t>,</w:t>
      </w:r>
      <w:r w:rsidR="00D21CE2">
        <w:t xml:space="preserve"> and</w:t>
      </w:r>
    </w:p>
    <w:p w:rsidR="00834D39" w:rsidRPr="00834D39" w:rsidRDefault="00BF59DB" w:rsidP="00F343BC">
      <w:pPr>
        <w:pStyle w:val="AERbulletlistfirststyle"/>
      </w:pPr>
      <w:r>
        <w:t>considered the submission</w:t>
      </w:r>
      <w:r w:rsidR="00FD5CFD">
        <w:t>s</w:t>
      </w:r>
      <w:r>
        <w:t xml:space="preserve"> </w:t>
      </w:r>
      <w:r w:rsidRPr="00FD5CFD">
        <w:t xml:space="preserve">from Business </w:t>
      </w:r>
      <w:r w:rsidR="002C3472" w:rsidRPr="00FD5CFD">
        <w:t>SA, the</w:t>
      </w:r>
      <w:r w:rsidR="002C3472">
        <w:t xml:space="preserve"> Energy Consumers Coalition of South Australia</w:t>
      </w:r>
      <w:r w:rsidR="002C3472">
        <w:rPr>
          <w:rStyle w:val="FootnoteReference"/>
        </w:rPr>
        <w:footnoteReference w:id="368"/>
      </w:r>
      <w:r w:rsidR="002C3472">
        <w:t xml:space="preserve"> and the Energy Users Association of Australia</w:t>
      </w:r>
      <w:r w:rsidR="002C3472">
        <w:rPr>
          <w:rStyle w:val="FootnoteReference"/>
        </w:rPr>
        <w:footnoteReference w:id="369"/>
      </w:r>
      <w:r>
        <w:t xml:space="preserve"> </w:t>
      </w:r>
      <w:r w:rsidR="00834D39" w:rsidRPr="00780029">
        <w:t>on this issue</w:t>
      </w:r>
      <w:r w:rsidR="00F456A9">
        <w:t>.</w:t>
      </w:r>
      <w:r>
        <w:rPr>
          <w:rStyle w:val="FootnoteReference"/>
        </w:rPr>
        <w:footnoteReference w:id="370"/>
      </w:r>
    </w:p>
    <w:p w:rsidR="00834D39" w:rsidRPr="00834D39" w:rsidRDefault="00834D39" w:rsidP="00834D39">
      <w:pPr>
        <w:pStyle w:val="Heading8"/>
      </w:pPr>
      <w:bookmarkStart w:id="202" w:name="_Toc404164381"/>
      <w:bookmarkStart w:id="203" w:name="_Toc417725426"/>
      <w:bookmarkStart w:id="204" w:name="_Toc326056442"/>
      <w:bookmarkStart w:id="205" w:name="_Toc365283287"/>
      <w:r w:rsidRPr="00780029">
        <w:t>Reasons</w:t>
      </w:r>
      <w:bookmarkEnd w:id="202"/>
      <w:bookmarkEnd w:id="203"/>
      <w:r w:rsidRPr="00780029">
        <w:t xml:space="preserve"> </w:t>
      </w:r>
      <w:bookmarkEnd w:id="204"/>
      <w:bookmarkEnd w:id="205"/>
    </w:p>
    <w:p w:rsidR="00834D39" w:rsidRPr="00780029" w:rsidRDefault="00D21CE2" w:rsidP="00525DDF">
      <w:pPr>
        <w:numPr>
          <w:ilvl w:val="0"/>
          <w:numId w:val="24"/>
        </w:numPr>
      </w:pPr>
      <w:r w:rsidRPr="00C24D32">
        <w:t xml:space="preserve">We </w:t>
      </w:r>
      <w:r>
        <w:t>are not</w:t>
      </w:r>
      <w:r w:rsidRPr="00C24D32">
        <w:t xml:space="preserve"> satisfied</w:t>
      </w:r>
      <w:r>
        <w:t xml:space="preserve"> </w:t>
      </w:r>
      <w:r w:rsidRPr="00C24D32">
        <w:t xml:space="preserve">that </w:t>
      </w:r>
      <w:r>
        <w:t>SA</w:t>
      </w:r>
      <w:r w:rsidR="0090651D">
        <w:t xml:space="preserve"> </w:t>
      </w:r>
      <w:r>
        <w:t>P</w:t>
      </w:r>
      <w:r w:rsidR="0090651D">
        <w:t xml:space="preserve">ower </w:t>
      </w:r>
      <w:r>
        <w:t>N</w:t>
      </w:r>
      <w:r w:rsidR="0090651D">
        <w:t>etworks</w:t>
      </w:r>
      <w:r w:rsidRPr="00C24D32">
        <w:t xml:space="preserve"> forecast is based on a sound and robust methodology</w:t>
      </w:r>
      <w:r>
        <w:t xml:space="preserve"> f</w:t>
      </w:r>
      <w:r w:rsidR="009C47E9">
        <w:t xml:space="preserve">or the reasons outlined below. </w:t>
      </w:r>
      <w:r>
        <w:t>We therefore consider that it does not</w:t>
      </w:r>
      <w:r w:rsidRPr="00C24D32">
        <w:t xml:space="preserve"> </w:t>
      </w:r>
      <w:r w:rsidR="00834D39" w:rsidRPr="00780029">
        <w:t>reasonably reflect the capex criteria.</w:t>
      </w:r>
      <w:r w:rsidR="00834D39" w:rsidRPr="0080358A">
        <w:rPr>
          <w:rStyle w:val="AERsuperscript"/>
        </w:rPr>
        <w:footnoteReference w:id="371"/>
      </w:r>
      <w:r w:rsidR="00834D39" w:rsidRPr="00780029">
        <w:t xml:space="preserve"> This criteria includes that the total forecast capex reasonably reflects a realistic expectation of cost inputs required to achieve the capex objectives.</w:t>
      </w:r>
      <w:r w:rsidR="00834D39" w:rsidRPr="0080358A">
        <w:rPr>
          <w:rStyle w:val="AERsuperscript"/>
        </w:rPr>
        <w:footnoteReference w:id="372"/>
      </w:r>
      <w:r w:rsidR="00834D39" w:rsidRPr="00780029">
        <w:t xml:space="preserve"> Accordingly, we have not accepted it as part of our </w:t>
      </w:r>
      <w:r>
        <w:t>alternative</w:t>
      </w:r>
      <w:r w:rsidRPr="00780029">
        <w:t xml:space="preserve"> </w:t>
      </w:r>
      <w:r w:rsidR="00834D39" w:rsidRPr="00780029">
        <w:t xml:space="preserve">estimate in our </w:t>
      </w:r>
      <w:r w:rsidR="00455AC8">
        <w:t>preliminary</w:t>
      </w:r>
      <w:r w:rsidR="00834D39" w:rsidRPr="00780029">
        <w:t xml:space="preserve"> decision on total forecast capex. We are satisfied that zero per cent real cost escalation is reasonably likely to reflect the capex criteria and this has been taken into account into our </w:t>
      </w:r>
      <w:r>
        <w:t>alternative</w:t>
      </w:r>
      <w:r w:rsidRPr="00780029">
        <w:t xml:space="preserve"> </w:t>
      </w:r>
      <w:r w:rsidR="00834D39" w:rsidRPr="00780029">
        <w:t>estimate.</w:t>
      </w:r>
    </w:p>
    <w:p w:rsidR="00834D39" w:rsidRPr="00E2351D" w:rsidRDefault="00834D39" w:rsidP="00E2351D">
      <w:pPr>
        <w:pStyle w:val="HeadingBoldItalic"/>
      </w:pPr>
      <w:r w:rsidRPr="00E2351D">
        <w:t xml:space="preserve">Materials input cost model </w:t>
      </w:r>
    </w:p>
    <w:p w:rsidR="00834D39" w:rsidRPr="00780029" w:rsidRDefault="002E2CB4" w:rsidP="00525DDF">
      <w:pPr>
        <w:numPr>
          <w:ilvl w:val="0"/>
          <w:numId w:val="24"/>
        </w:numPr>
      </w:pPr>
      <w:r>
        <w:t>SA</w:t>
      </w:r>
      <w:r w:rsidR="0090651D">
        <w:t xml:space="preserve"> </w:t>
      </w:r>
      <w:r>
        <w:t>P</w:t>
      </w:r>
      <w:r w:rsidR="0090651D">
        <w:t>ower Networks</w:t>
      </w:r>
      <w:r w:rsidR="00834D39" w:rsidRPr="00780029">
        <w:t xml:space="preserve"> materials input cost model does not demonstrate how and to what extent material inputs have affected the cost of inputs such as cables and transformers. In particular, </w:t>
      </w:r>
      <w:r w:rsidR="00D21CE2">
        <w:t>it has provided</w:t>
      </w:r>
      <w:r w:rsidR="00834D39" w:rsidRPr="00780029">
        <w:t xml:space="preserve"> no supporting evidence to substantiate how accurately </w:t>
      </w:r>
      <w:r w:rsidR="00D72138">
        <w:t>SA</w:t>
      </w:r>
      <w:r w:rsidR="0090651D">
        <w:t xml:space="preserve"> </w:t>
      </w:r>
      <w:r w:rsidR="00D72138">
        <w:t>P</w:t>
      </w:r>
      <w:r w:rsidR="0090651D">
        <w:t>ower Networks</w:t>
      </w:r>
      <w:r w:rsidR="00834D39" w:rsidRPr="00780029">
        <w:t xml:space="preserve"> materials escalation forecasts reasonably reflected changes in prices </w:t>
      </w:r>
      <w:r w:rsidR="00D21CE2">
        <w:t>it</w:t>
      </w:r>
      <w:r w:rsidR="00D21CE2" w:rsidRPr="00780029">
        <w:t xml:space="preserve"> </w:t>
      </w:r>
      <w:r w:rsidR="00834D39" w:rsidRPr="00780029">
        <w:t xml:space="preserve">paid for assets in the past to assess the reliability of forecast materials prices. </w:t>
      </w:r>
    </w:p>
    <w:p w:rsidR="00834D39" w:rsidRPr="00780029" w:rsidRDefault="00491D0C" w:rsidP="00525DDF">
      <w:pPr>
        <w:numPr>
          <w:ilvl w:val="0"/>
          <w:numId w:val="24"/>
        </w:numPr>
      </w:pPr>
      <w:r>
        <w:t xml:space="preserve">In our </w:t>
      </w:r>
      <w:r w:rsidR="00834D39" w:rsidRPr="00780029">
        <w:t xml:space="preserve">Guideline, we requested </w:t>
      </w:r>
      <w:r w:rsidR="00D21CE2">
        <w:t xml:space="preserve">that </w:t>
      </w:r>
      <w:r w:rsidR="00F456A9">
        <w:t>distributor</w:t>
      </w:r>
      <w:r w:rsidR="00834D39" w:rsidRPr="00780029">
        <w:t xml:space="preserve">s demonstrate that their proposed approach to forecast materials cost changes reasonably reflected the change in prices they paid for physical inputs in the past. </w:t>
      </w:r>
      <w:r w:rsidR="00D72138">
        <w:t>SA</w:t>
      </w:r>
      <w:r w:rsidR="0090651D">
        <w:t xml:space="preserve"> </w:t>
      </w:r>
      <w:r w:rsidR="00D72138">
        <w:t>P</w:t>
      </w:r>
      <w:r w:rsidR="0090651D">
        <w:t>ower Networks</w:t>
      </w:r>
      <w:r w:rsidR="00834D39" w:rsidRPr="00780029">
        <w:t xml:space="preserve"> proposal does not include supporting data or information which demonstrates movements or interlink-ages between changes in the input prices of commodities and the prices </w:t>
      </w:r>
      <w:r w:rsidR="00D72138">
        <w:t>SA</w:t>
      </w:r>
      <w:r w:rsidR="0090651D">
        <w:t xml:space="preserve"> </w:t>
      </w:r>
      <w:r w:rsidR="00D72138">
        <w:t>P</w:t>
      </w:r>
      <w:r w:rsidR="0090651D">
        <w:t>ower Networks</w:t>
      </w:r>
      <w:r w:rsidR="00D72138">
        <w:t xml:space="preserve"> </w:t>
      </w:r>
      <w:r w:rsidR="00834D39" w:rsidRPr="00780029">
        <w:t xml:space="preserve">paid for physical inputs. </w:t>
      </w:r>
      <w:r w:rsidR="00D72138">
        <w:t>SA</w:t>
      </w:r>
      <w:r w:rsidR="0090651D">
        <w:t xml:space="preserve"> </w:t>
      </w:r>
      <w:r w:rsidR="00D72138">
        <w:t>P</w:t>
      </w:r>
      <w:r w:rsidR="0090651D">
        <w:t>ower Networks</w:t>
      </w:r>
      <w:r w:rsidR="00834D39" w:rsidRPr="00780029">
        <w:t xml:space="preserve"> material cost input model assumes a weighting of commodity inputs for each asset class but does not provide information which explains the basis for the weightings or that the weightings applied have produced unbiased forecasts of the costs of </w:t>
      </w:r>
      <w:r w:rsidR="007A0BB4">
        <w:t>SA</w:t>
      </w:r>
      <w:r w:rsidR="0090651D">
        <w:t xml:space="preserve"> </w:t>
      </w:r>
      <w:r w:rsidR="007A0BB4">
        <w:t>P</w:t>
      </w:r>
      <w:r w:rsidR="0090651D">
        <w:t>ower Networks</w:t>
      </w:r>
      <w:r w:rsidR="00834D39" w:rsidRPr="00780029">
        <w:t xml:space="preserve"> assets. For </w:t>
      </w:r>
      <w:r w:rsidR="00834D39" w:rsidRPr="00780029">
        <w:lastRenderedPageBreak/>
        <w:t xml:space="preserve">these reasons, there is no basis on which we can conclude that the forecasts are reliable. </w:t>
      </w:r>
    </w:p>
    <w:p w:rsidR="00834D39" w:rsidRPr="00E2351D" w:rsidRDefault="00834D39" w:rsidP="00E2351D">
      <w:pPr>
        <w:pStyle w:val="HeadingBoldItalic"/>
      </w:pPr>
      <w:r w:rsidRPr="00E2351D">
        <w:t xml:space="preserve">Materials input cost model forecasting </w:t>
      </w:r>
    </w:p>
    <w:p w:rsidR="00834D39" w:rsidRPr="00780029" w:rsidRDefault="007A0BB4" w:rsidP="00525DDF">
      <w:pPr>
        <w:numPr>
          <w:ilvl w:val="0"/>
          <w:numId w:val="24"/>
        </w:numPr>
      </w:pPr>
      <w:r>
        <w:t>SA</w:t>
      </w:r>
      <w:r w:rsidR="0090651D">
        <w:t xml:space="preserve"> </w:t>
      </w:r>
      <w:r>
        <w:t>P</w:t>
      </w:r>
      <w:r w:rsidR="0090651D">
        <w:t>ower Networks</w:t>
      </w:r>
      <w:r>
        <w:t xml:space="preserve"> </w:t>
      </w:r>
      <w:r w:rsidR="00834D39" w:rsidRPr="00780029">
        <w:t xml:space="preserve">has used its consultants' reports to estimate cost escalation factors in order to assist in forecasting future operating and capital expenditure. These cost escalation factors include commodity inputs </w:t>
      </w:r>
      <w:r w:rsidR="007D792D">
        <w:t>related to</w:t>
      </w:r>
      <w:r w:rsidR="00834D39" w:rsidRPr="00780029">
        <w:t xml:space="preserve"> capital expenditure. The consultants have adopted a high level approach hypothesising a relationship between these commodity inputs and the physical assets purchased by </w:t>
      </w:r>
      <w:r>
        <w:t>SA</w:t>
      </w:r>
      <w:r w:rsidR="0090651D">
        <w:t xml:space="preserve"> </w:t>
      </w:r>
      <w:r>
        <w:t>P</w:t>
      </w:r>
      <w:r w:rsidR="0090651D">
        <w:t>ower Networks</w:t>
      </w:r>
      <w:r w:rsidR="00834D39" w:rsidRPr="00780029">
        <w:t xml:space="preserve">. Neither the consultants' reports nor </w:t>
      </w:r>
      <w:r>
        <w:t>SA</w:t>
      </w:r>
      <w:r w:rsidR="0090651D">
        <w:t xml:space="preserve"> </w:t>
      </w:r>
      <w:r>
        <w:t>P</w:t>
      </w:r>
      <w:r w:rsidR="0090651D">
        <w:t>ower Networks</w:t>
      </w:r>
      <w:r>
        <w:t xml:space="preserve"> </w:t>
      </w:r>
      <w:r w:rsidR="00834D39" w:rsidRPr="00780029">
        <w:t xml:space="preserve">have </w:t>
      </w:r>
      <w:r w:rsidR="007D792D">
        <w:t>adequately explained</w:t>
      </w:r>
      <w:r w:rsidR="00834D39" w:rsidRPr="00780029">
        <w:t xml:space="preserve"> or quantif</w:t>
      </w:r>
      <w:r w:rsidR="007D792D">
        <w:t>ied</w:t>
      </w:r>
      <w:r w:rsidR="00834D39" w:rsidRPr="00780029">
        <w:t xml:space="preserve"> this relationship, particularly in respect to movements in the prices between the commodity inputs and the physical assets and the derivation of commodity input weightings for each asset class. </w:t>
      </w:r>
    </w:p>
    <w:p w:rsidR="00834D39" w:rsidRPr="00780029" w:rsidRDefault="00834D39" w:rsidP="00525DDF">
      <w:pPr>
        <w:numPr>
          <w:ilvl w:val="0"/>
          <w:numId w:val="24"/>
        </w:numPr>
      </w:pPr>
      <w:r w:rsidRPr="00780029">
        <w:t xml:space="preserve">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w:t>
      </w:r>
      <w:r w:rsidR="00491D0C">
        <w:t>distributor</w:t>
      </w:r>
      <w:r w:rsidRPr="00780029">
        <w:t xml:space="preserve">s to provide network services. </w:t>
      </w:r>
      <w:r w:rsidR="007A0BB4">
        <w:t>SA</w:t>
      </w:r>
      <w:r w:rsidR="0090651D">
        <w:t xml:space="preserve"> </w:t>
      </w:r>
      <w:r w:rsidR="007A0BB4">
        <w:t>P</w:t>
      </w:r>
      <w:r w:rsidR="0090651D">
        <w:t>ower Networks</w:t>
      </w:r>
      <w:r w:rsidR="007A0BB4">
        <w:t xml:space="preserve"> </w:t>
      </w:r>
      <w:r w:rsidRPr="00780029">
        <w:t>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suppliers of the physical assets changing their sourcing for the commodity inputs, and the general volatility of exchange rates.</w:t>
      </w:r>
    </w:p>
    <w:p w:rsidR="00834D39" w:rsidRPr="00E2351D" w:rsidRDefault="00834D39" w:rsidP="00E2351D">
      <w:pPr>
        <w:pStyle w:val="HeadingBoldItalic"/>
      </w:pPr>
      <w:r w:rsidRPr="00E2351D">
        <w:t>Materials input cost mitigation</w:t>
      </w:r>
    </w:p>
    <w:p w:rsidR="00834D39" w:rsidRPr="00780029" w:rsidRDefault="00834D39" w:rsidP="00525DDF">
      <w:pPr>
        <w:numPr>
          <w:ilvl w:val="0"/>
          <w:numId w:val="24"/>
        </w:numPr>
      </w:pPr>
      <w:r w:rsidRPr="00780029">
        <w:t xml:space="preserve">We consider that there is potential for </w:t>
      </w:r>
      <w:r w:rsidR="007A0BB4">
        <w:t>SA</w:t>
      </w:r>
      <w:r w:rsidR="0090651D">
        <w:t xml:space="preserve"> </w:t>
      </w:r>
      <w:r w:rsidR="007A0BB4">
        <w:t>P</w:t>
      </w:r>
      <w:r w:rsidR="0090651D">
        <w:t>ower Networks</w:t>
      </w:r>
      <w:r w:rsidR="007A0BB4">
        <w:t xml:space="preserve"> </w:t>
      </w:r>
      <w:r w:rsidRPr="00780029">
        <w:t xml:space="preserve">to mitigate the magnitude of any overall input cost increases. This could be achieved by: </w:t>
      </w:r>
    </w:p>
    <w:p w:rsidR="00834D39" w:rsidRPr="00834D39" w:rsidRDefault="00834D39" w:rsidP="00834D39">
      <w:pPr>
        <w:pStyle w:val="AERbulletlistfirststyle"/>
      </w:pPr>
      <w:r w:rsidRPr="00780029">
        <w:t xml:space="preserve">potential commodity input substitution by the electricity </w:t>
      </w:r>
      <w:r w:rsidR="00491D0C">
        <w:t>distributor</w:t>
      </w:r>
      <w:r w:rsidR="00491D0C" w:rsidRPr="00780029">
        <w:t xml:space="preserve"> </w:t>
      </w:r>
      <w:r w:rsidRPr="00780029">
        <w:t xml:space="preserve">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834D39" w:rsidRPr="00780029" w:rsidRDefault="00834D39" w:rsidP="00834D39">
      <w:pPr>
        <w:pStyle w:val="ListContinue"/>
      </w:pPr>
      <w:r w:rsidRPr="00780029">
        <w:t xml:space="preserve">We are aware of input substitution occurring in the electricity industry during the late 1960's when copper prices increased, potentially impacting significantly on the cost of copper cables. Electricity </w:t>
      </w:r>
      <w:r w:rsidR="00491D0C">
        <w:t>distributor</w:t>
      </w:r>
      <w:r w:rsidRPr="00780029">
        <w:t xml:space="preserve">'s cable costs were mitigated as relatively cheaper aluminium cables could be substituted for copper cables. We do recognise that the principle of input substitutability cannot be applied to all inputs, at least in the short term, because there are technologies with which some inputs are not substitutable. However, even in the short term there may be substitution </w:t>
      </w:r>
      <w:r w:rsidRPr="00780029">
        <w:lastRenderedPageBreak/>
        <w:t>possibilities between operating and capital expenditure, thereby potentially reducing the total expenditure requirements of an electricity</w:t>
      </w:r>
      <w:r w:rsidR="00491D0C">
        <w:t xml:space="preserve"> distributor</w:t>
      </w:r>
      <w:r w:rsidR="00491D0C" w:rsidRPr="0080358A">
        <w:rPr>
          <w:rStyle w:val="AERsuperscript"/>
        </w:rPr>
        <w:t xml:space="preserve"> </w:t>
      </w:r>
      <w:r w:rsidRPr="0080358A">
        <w:rPr>
          <w:rStyle w:val="AERsuperscript"/>
        </w:rPr>
        <w:footnoteReference w:id="373"/>
      </w:r>
      <w:r w:rsidRPr="00780029">
        <w:t xml:space="preserve"> </w:t>
      </w:r>
    </w:p>
    <w:p w:rsidR="00834D39" w:rsidRPr="00834D39" w:rsidRDefault="00834D39" w:rsidP="00834D39">
      <w:pPr>
        <w:pStyle w:val="AERbulletlistfirststyle"/>
      </w:pPr>
      <w:r w:rsidRPr="00780029">
        <w:t>the substitution potential between opex and capex when the relative prices of operating and capital inputs change.</w:t>
      </w:r>
      <w:r w:rsidRPr="00834D39">
        <w:rPr>
          <w:rStyle w:val="AERsuperscript"/>
        </w:rPr>
        <w:footnoteReference w:id="374"/>
      </w:r>
      <w:r w:rsidRPr="00834D39">
        <w:t xml:space="preserve"> For example, </w:t>
      </w:r>
      <w:r w:rsidR="007A0BB4">
        <w:t>SA</w:t>
      </w:r>
      <w:r w:rsidR="0090651D">
        <w:t xml:space="preserve"> </w:t>
      </w:r>
      <w:r w:rsidR="007A0BB4">
        <w:t>P</w:t>
      </w:r>
      <w:r w:rsidR="0090651D">
        <w:t>ower Networks</w:t>
      </w:r>
      <w:r w:rsidR="007A0BB4">
        <w:t xml:space="preserve"> </w:t>
      </w:r>
      <w:r w:rsidRPr="00834D39">
        <w:t>has not demonstrated whether there are any opportunities to increase the level of opex (e.g. maintenance costs) for any of its asset classes in an environment of increasing material input costs</w:t>
      </w:r>
    </w:p>
    <w:p w:rsidR="00834D39" w:rsidRPr="00834D39" w:rsidRDefault="00834D39" w:rsidP="00834D39">
      <w:pPr>
        <w:pStyle w:val="AERbulletlistfirststyle"/>
      </w:pPr>
      <w:r w:rsidRPr="00780029">
        <w:t xml:space="preserve">the scale of any operation change to the electricity </w:t>
      </w:r>
      <w:r w:rsidR="00491D0C">
        <w:t>distributor</w:t>
      </w:r>
      <w:r w:rsidRPr="00780029">
        <w:t>'s business that may impact on its capex requirements, including an increase in capex efficiency, and</w:t>
      </w:r>
    </w:p>
    <w:p w:rsidR="00834D39" w:rsidRPr="00834D39" w:rsidRDefault="00834D39" w:rsidP="00834D39">
      <w:pPr>
        <w:pStyle w:val="AERbulletlistfirststyle"/>
      </w:pPr>
      <w:r w:rsidRPr="00780029">
        <w:t xml:space="preserve">increases in productivity that have not been taken into account by </w:t>
      </w:r>
      <w:r w:rsidR="007A0BB4">
        <w:t>SA</w:t>
      </w:r>
      <w:r w:rsidR="0090651D">
        <w:t xml:space="preserve"> </w:t>
      </w:r>
      <w:r w:rsidR="007A0BB4">
        <w:t>P</w:t>
      </w:r>
      <w:r w:rsidR="0090651D">
        <w:t>ower Networks</w:t>
      </w:r>
      <w:r w:rsidR="007A0BB4">
        <w:t xml:space="preserve"> i</w:t>
      </w:r>
      <w:r w:rsidRPr="00780029">
        <w:t>n forecasting its capex requirements.</w:t>
      </w:r>
    </w:p>
    <w:p w:rsidR="00834D39" w:rsidRPr="00780029" w:rsidRDefault="00834D39" w:rsidP="00525DDF">
      <w:pPr>
        <w:numPr>
          <w:ilvl w:val="0"/>
          <w:numId w:val="24"/>
        </w:numPr>
      </w:pPr>
      <w:r w:rsidRPr="00780029">
        <w:t>By discounting the possibility of commodity input substitution throughout the 201</w:t>
      </w:r>
      <w:r w:rsidR="007A0BB4">
        <w:t>5</w:t>
      </w:r>
      <w:r w:rsidR="00C35CCD">
        <w:t>-</w:t>
      </w:r>
      <w:r w:rsidR="007A0BB4">
        <w:t>20</w:t>
      </w:r>
      <w:r w:rsidRPr="00780029">
        <w:t xml:space="preserve"> </w:t>
      </w:r>
      <w:r w:rsidR="00BF59DB">
        <w:t xml:space="preserve">regulatory </w:t>
      </w:r>
      <w:r w:rsidR="00C35CCD">
        <w:t xml:space="preserve">control </w:t>
      </w:r>
      <w:r w:rsidRPr="00780029">
        <w:t>period, we consider that there is potential for an upward bias in estimating material input cost escalation by maintaining the base year cost commodity share weights.</w:t>
      </w:r>
    </w:p>
    <w:p w:rsidR="00834D39" w:rsidRPr="00E2351D" w:rsidRDefault="00834D39" w:rsidP="00E2351D">
      <w:pPr>
        <w:pStyle w:val="HeadingBoldItalic"/>
      </w:pPr>
      <w:r w:rsidRPr="00E2351D">
        <w:t>Forecasting uncertainty</w:t>
      </w:r>
    </w:p>
    <w:p w:rsidR="00834D39" w:rsidRPr="00780029" w:rsidRDefault="00834D39" w:rsidP="00525DDF">
      <w:pPr>
        <w:numPr>
          <w:ilvl w:val="0"/>
          <w:numId w:val="24"/>
        </w:numPr>
      </w:pPr>
      <w:r w:rsidRPr="00780029">
        <w:t xml:space="preserve">The NER requires that an electricity </w:t>
      </w:r>
      <w:r w:rsidR="00491D0C">
        <w:t>distributor</w:t>
      </w:r>
      <w:r w:rsidRPr="00780029">
        <w:t>'s forecast capital expenditure reasonably reflects a realistic expectation of cost inputs required to achieve the capex objectives.</w:t>
      </w:r>
      <w:r w:rsidRPr="0080358A">
        <w:rPr>
          <w:rStyle w:val="AERsuperscript"/>
        </w:rPr>
        <w:footnoteReference w:id="375"/>
      </w:r>
      <w:r w:rsidRPr="00780029">
        <w:t xml:space="preserve"> We consider that there is likely to be significant uncertainty in forecasting commodity input price movements. The following factors have assisted us in forming this view:</w:t>
      </w:r>
    </w:p>
    <w:p w:rsidR="00834D39" w:rsidRPr="00834D39" w:rsidRDefault="00834D39" w:rsidP="00834D39">
      <w:pPr>
        <w:pStyle w:val="AERbulletlistfirststyle"/>
      </w:pPr>
      <w:r w:rsidRPr="00780029">
        <w:t>recent studies which show that forecasts of crude oil spot prices based on futures prices do not provide a significant improvement compared to a ‘no-change’ forecast for most forecast horizons, and sometimes perform worse</w:t>
      </w:r>
      <w:r w:rsidRPr="00834D39">
        <w:rPr>
          <w:rStyle w:val="AERsuperscript"/>
        </w:rPr>
        <w:footnoteReference w:id="376"/>
      </w:r>
      <w:r w:rsidRPr="00834D39">
        <w:t xml:space="preserve"> </w:t>
      </w:r>
    </w:p>
    <w:p w:rsidR="00834D39" w:rsidRPr="00834D39" w:rsidRDefault="00834D39" w:rsidP="00834D39">
      <w:pPr>
        <w:pStyle w:val="AERbulletlistfirststyle"/>
      </w:pPr>
      <w:r w:rsidRPr="00780029">
        <w:t>evidence in the economic literature on the usefulness of commodities futures prices in forecasting spot prices is somewhat mixed. Only for some commodities and for some forecast horizons do futures prices perform better than ‘no change’ forecasts</w:t>
      </w:r>
      <w:r w:rsidRPr="00834D39">
        <w:rPr>
          <w:rStyle w:val="AERsuperscript"/>
        </w:rPr>
        <w:footnoteReference w:id="377"/>
      </w:r>
      <w:r w:rsidRPr="00834D39">
        <w:t xml:space="preserve"> </w:t>
      </w:r>
    </w:p>
    <w:p w:rsidR="00834D39" w:rsidRDefault="00834D39" w:rsidP="00834D39">
      <w:pPr>
        <w:pStyle w:val="AERbulletlistfirststyle"/>
      </w:pPr>
      <w:r w:rsidRPr="00780029">
        <w:lastRenderedPageBreak/>
        <w:t xml:space="preserve">the difficulty in forecasting nominal exchange rates (used to convert most materials which are priced in $US to $AUS). A review of the economic literature of exchange rate forecast </w:t>
      </w:r>
      <w:r w:rsidRPr="00834D39">
        <w:t>models suggests a “no change” forecasting approach may be preferable to the forward exchange rate produced by these forecasting models.</w:t>
      </w:r>
      <w:r w:rsidRPr="00834D39">
        <w:rPr>
          <w:rStyle w:val="AERsuperscript"/>
        </w:rPr>
        <w:footnoteReference w:id="378"/>
      </w:r>
    </w:p>
    <w:p w:rsidR="009C47E9" w:rsidRPr="009C47E9" w:rsidRDefault="009C47E9" w:rsidP="009C47E9">
      <w:r>
        <w:t xml:space="preserve">In its submission, the Energy Consumers Coalition of South Australia </w:t>
      </w:r>
      <w:r w:rsidR="00CD3889">
        <w:t>stated that the recent directly observed anomalies for movements in the price of oil, iron ore and the Australian dollar highlight the very speculative nature of developing materials escalators.</w:t>
      </w:r>
      <w:r w:rsidR="00CD3889">
        <w:rPr>
          <w:rStyle w:val="FootnoteReference"/>
        </w:rPr>
        <w:footnoteReference w:id="379"/>
      </w:r>
      <w:r w:rsidR="00CD3889">
        <w:t xml:space="preserve"> In their submissions, Business SA and the Energy Users Association of Australia both noted the significant recent fall in commodity prices.</w:t>
      </w:r>
      <w:r w:rsidR="00CD3889">
        <w:rPr>
          <w:rStyle w:val="FootnoteReference"/>
        </w:rPr>
        <w:footnoteReference w:id="380"/>
      </w:r>
    </w:p>
    <w:p w:rsidR="00834D39" w:rsidRPr="00E2351D" w:rsidRDefault="00834D39" w:rsidP="00E2351D">
      <w:pPr>
        <w:pStyle w:val="HeadingBoldItalic"/>
        <w:rPr>
          <w:rStyle w:val="AERtextbolditalics"/>
          <w:b/>
          <w:bCs/>
          <w:i/>
          <w:iCs/>
        </w:rPr>
      </w:pPr>
      <w:r w:rsidRPr="00E2351D">
        <w:rPr>
          <w:rStyle w:val="AERtextbolditalics"/>
          <w:b/>
          <w:bCs/>
          <w:i/>
          <w:iCs/>
        </w:rPr>
        <w:t>Strategic contracts with suppliers</w:t>
      </w:r>
    </w:p>
    <w:p w:rsidR="00834D39" w:rsidRPr="00780029" w:rsidRDefault="00834D39" w:rsidP="00525DDF">
      <w:pPr>
        <w:numPr>
          <w:ilvl w:val="0"/>
          <w:numId w:val="24"/>
        </w:numPr>
      </w:pPr>
      <w:r w:rsidRPr="00780029">
        <w:t xml:space="preserve">We consider that electricity </w:t>
      </w:r>
      <w:r w:rsidR="00491D0C">
        <w:t>distributor</w:t>
      </w:r>
      <w:r w:rsidRPr="00780029">
        <w:t xml:space="preserve">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w:t>
      </w:r>
      <w:r w:rsidR="00491D0C">
        <w:t>distributor</w:t>
      </w:r>
      <w:r w:rsidRPr="00780029">
        <w:t xml:space="preserve"> to the supplier, where a real escalation is then factored into forecast capex. In considering the substitution possibilities between operating and capital expenditure,</w:t>
      </w:r>
      <w:r w:rsidRPr="0080358A">
        <w:rPr>
          <w:rStyle w:val="AERsuperscript"/>
        </w:rPr>
        <w:footnoteReference w:id="381"/>
      </w:r>
      <w:r w:rsidRPr="00780029">
        <w:t xml:space="preserve"> we note that it is open to an electricity </w:t>
      </w:r>
      <w:r w:rsidR="00491D0C">
        <w:t>distributor</w:t>
      </w:r>
      <w:r w:rsidRPr="00780029">
        <w:t xml:space="preserve"> to mitigate the potential impact of escalating contract prices by transferring this risk, where possible, to its operating expenditure.</w:t>
      </w:r>
    </w:p>
    <w:p w:rsidR="00834D39" w:rsidRPr="00E2351D" w:rsidRDefault="00834D39" w:rsidP="00E2351D">
      <w:pPr>
        <w:pStyle w:val="HeadingBoldItalic"/>
        <w:rPr>
          <w:rStyle w:val="AERtextbolditalics"/>
          <w:b/>
          <w:bCs/>
          <w:i/>
          <w:iCs/>
        </w:rPr>
      </w:pPr>
      <w:r w:rsidRPr="00E2351D">
        <w:rPr>
          <w:rStyle w:val="AERtextbolditalics"/>
          <w:b/>
          <w:bCs/>
          <w:i/>
          <w:iCs/>
        </w:rPr>
        <w:t>Cost based price increases</w:t>
      </w:r>
    </w:p>
    <w:p w:rsidR="00834D39" w:rsidRPr="00780029" w:rsidRDefault="00834D39" w:rsidP="00525DDF">
      <w:pPr>
        <w:numPr>
          <w:ilvl w:val="0"/>
          <w:numId w:val="24"/>
        </w:numPr>
      </w:pPr>
      <w:r w:rsidRPr="00780029">
        <w:t xml:space="preserve">Allowing individual material input costs that constitute cost escalation reflects more cost based price increases. We consider this cost based approach reduces the incentives for electricity </w:t>
      </w:r>
      <w:r w:rsidR="00491D0C">
        <w:t>distributor</w:t>
      </w:r>
      <w:r w:rsidRPr="00780029">
        <w:t xml:space="preserve">s to manage their capex efficiently, and may instead incentivise electricity </w:t>
      </w:r>
      <w:r w:rsidR="00491D0C">
        <w:t>distributor</w:t>
      </w:r>
      <w:r w:rsidRPr="00780029">
        <w:t>s to over forecast their capex. In taking into account the revenue and pricing principles, we note that this approach would be less likely to promote efficient investment.</w:t>
      </w:r>
      <w:r w:rsidRPr="0080358A">
        <w:rPr>
          <w:rStyle w:val="AERsuperscript"/>
        </w:rPr>
        <w:footnoteReference w:id="382"/>
      </w:r>
      <w:r w:rsidRPr="00780029">
        <w:t xml:space="preserve"> It also would not result in a capex forecast that was </w:t>
      </w:r>
      <w:r w:rsidRPr="00780029">
        <w:lastRenderedPageBreak/>
        <w:t xml:space="preserve">consistent with the nature of the incentives applied under the CESS and the STPIS to </w:t>
      </w:r>
      <w:r w:rsidR="001558AC">
        <w:t>SA Power Networks</w:t>
      </w:r>
      <w:r w:rsidR="000B3172">
        <w:t xml:space="preserve"> </w:t>
      </w:r>
      <w:r w:rsidRPr="00780029">
        <w:t>as part of this decision.</w:t>
      </w:r>
      <w:r w:rsidRPr="0080358A">
        <w:rPr>
          <w:rStyle w:val="AERsuperscript"/>
        </w:rPr>
        <w:footnoteReference w:id="383"/>
      </w:r>
      <w:r w:rsidRPr="00780029">
        <w:t xml:space="preserve">  </w:t>
      </w:r>
    </w:p>
    <w:p w:rsidR="00834D39" w:rsidRPr="00E2351D" w:rsidRDefault="00834D39" w:rsidP="00E2351D">
      <w:pPr>
        <w:pStyle w:val="HeadingBoldItalic"/>
        <w:rPr>
          <w:rStyle w:val="AERtextbolditalics"/>
          <w:b/>
          <w:bCs/>
          <w:i/>
          <w:iCs/>
        </w:rPr>
      </w:pPr>
      <w:r w:rsidRPr="00E2351D">
        <w:rPr>
          <w:rStyle w:val="AERtextbolditalics"/>
          <w:b/>
          <w:bCs/>
          <w:i/>
          <w:iCs/>
        </w:rPr>
        <w:t>Selection of commodity inputs</w:t>
      </w:r>
    </w:p>
    <w:p w:rsidR="00834D39" w:rsidRPr="00780029" w:rsidRDefault="00834D39" w:rsidP="00525DDF">
      <w:pPr>
        <w:numPr>
          <w:ilvl w:val="0"/>
          <w:numId w:val="24"/>
        </w:numPr>
      </w:pPr>
      <w:r w:rsidRPr="00780029">
        <w:t xml:space="preserve">The limited number of material inputs included in </w:t>
      </w:r>
      <w:r w:rsidR="000B3172">
        <w:t>SA</w:t>
      </w:r>
      <w:r w:rsidR="00FA3FC1">
        <w:t xml:space="preserve"> </w:t>
      </w:r>
      <w:r w:rsidR="000B3172">
        <w:t>P</w:t>
      </w:r>
      <w:r w:rsidR="00FA3FC1">
        <w:t>ower Networks</w:t>
      </w:r>
      <w:r w:rsidRPr="00780029">
        <w:t xml:space="preserve"> material input escalation model may not be representative of the full set of inputs or input choices impacting on changes in the prices of assets purchased by </w:t>
      </w:r>
      <w:r w:rsidR="000B3172">
        <w:t>SA</w:t>
      </w:r>
      <w:r w:rsidR="00FA3FC1">
        <w:t xml:space="preserve"> </w:t>
      </w:r>
      <w:r w:rsidR="000B3172">
        <w:t>P</w:t>
      </w:r>
      <w:r w:rsidR="00FA3FC1">
        <w:t xml:space="preserve">ower </w:t>
      </w:r>
      <w:r w:rsidR="000B3172">
        <w:t>N</w:t>
      </w:r>
      <w:r w:rsidR="00FA3FC1">
        <w:t>etworks</w:t>
      </w:r>
      <w:r w:rsidRPr="00780029">
        <w:t xml:space="preserve">. </w:t>
      </w:r>
      <w:r w:rsidR="000B3172">
        <w:t>SA</w:t>
      </w:r>
      <w:r w:rsidR="00FA3FC1">
        <w:t xml:space="preserve"> </w:t>
      </w:r>
      <w:r w:rsidR="000B3172">
        <w:t>P</w:t>
      </w:r>
      <w:r w:rsidR="00FA3FC1">
        <w:t>ower Networks</w:t>
      </w:r>
      <w:r w:rsidRPr="00780029">
        <w:t xml:space="preserve"> materials input cost model may also be biased to the extent that it may include a selective subset of commodities that are forecast to increase in price during the 201</w:t>
      </w:r>
      <w:r w:rsidR="000B3172">
        <w:t>5</w:t>
      </w:r>
      <w:r w:rsidR="00C35CCD">
        <w:t>-</w:t>
      </w:r>
      <w:r w:rsidR="000B3172">
        <w:t>20</w:t>
      </w:r>
      <w:r w:rsidRPr="00780029">
        <w:t xml:space="preserve"> </w:t>
      </w:r>
      <w:r w:rsidR="00C35CCD">
        <w:t xml:space="preserve">regulatory control </w:t>
      </w:r>
      <w:r w:rsidRPr="00780029">
        <w:t>period.</w:t>
      </w:r>
    </w:p>
    <w:p w:rsidR="00834D39" w:rsidRPr="00E2351D" w:rsidRDefault="00834D39" w:rsidP="00E2351D">
      <w:pPr>
        <w:pStyle w:val="HeadingBoldItalic"/>
        <w:rPr>
          <w:rStyle w:val="AERtextbolditalics"/>
          <w:b/>
          <w:bCs/>
          <w:i/>
          <w:iCs/>
        </w:rPr>
      </w:pPr>
      <w:r w:rsidRPr="00E2351D">
        <w:rPr>
          <w:rStyle w:val="AERtextbolditalics"/>
          <w:b/>
          <w:bCs/>
          <w:i/>
          <w:iCs/>
        </w:rPr>
        <w:t>Commodities boom</w:t>
      </w:r>
    </w:p>
    <w:p w:rsidR="00834D39" w:rsidRPr="00780029" w:rsidRDefault="00834D39" w:rsidP="00525DDF">
      <w:pPr>
        <w:numPr>
          <w:ilvl w:val="0"/>
          <w:numId w:val="24"/>
        </w:numPr>
      </w:pPr>
      <w:r w:rsidRPr="00780029">
        <w:t xml:space="preserve">The relevance of material input cost escalation post the 2009 commodities boom experienced in Australia when material input cost escalators were included in determining the approved capex allowance for electricity </w:t>
      </w:r>
      <w:r w:rsidR="00491D0C">
        <w:t>distributor</w:t>
      </w:r>
      <w:r w:rsidRPr="00780029">
        <w:t>s</w:t>
      </w:r>
      <w:r w:rsidR="006A0BB0">
        <w:t xml:space="preserve"> is also relevant</w:t>
      </w:r>
      <w:r w:rsidRPr="00780029">
        <w:t xml:space="preserve">. We consider that the impact of the commodities boom has subsided and as a consequence the justification for incorporating material cost escalation in determining forecast capex has also diminished. </w:t>
      </w:r>
    </w:p>
    <w:p w:rsidR="00834D39" w:rsidRPr="00834D39" w:rsidRDefault="00834D39" w:rsidP="00834D39">
      <w:pPr>
        <w:pStyle w:val="Heading8"/>
      </w:pPr>
      <w:bookmarkStart w:id="206" w:name="_Toc404164382"/>
      <w:bookmarkStart w:id="207" w:name="_Toc417725427"/>
      <w:r w:rsidRPr="00780029">
        <w:t xml:space="preserve">Review of </w:t>
      </w:r>
      <w:r w:rsidR="004C17E7">
        <w:t>consultant's</w:t>
      </w:r>
      <w:r w:rsidRPr="00780029">
        <w:t xml:space="preserve"> reports</w:t>
      </w:r>
      <w:bookmarkEnd w:id="206"/>
      <w:bookmarkEnd w:id="207"/>
    </w:p>
    <w:p w:rsidR="00834D39" w:rsidRPr="00780029" w:rsidRDefault="00834D39" w:rsidP="00525DDF">
      <w:pPr>
        <w:numPr>
          <w:ilvl w:val="0"/>
          <w:numId w:val="24"/>
        </w:numPr>
      </w:pPr>
      <w:r w:rsidRPr="00780029">
        <w:t xml:space="preserve">We have reviewed the CEG report commissioned by </w:t>
      </w:r>
      <w:r w:rsidR="006A6CCA">
        <w:t>SA</w:t>
      </w:r>
      <w:r w:rsidR="00FA3FC1">
        <w:t xml:space="preserve"> </w:t>
      </w:r>
      <w:r w:rsidR="006A6CCA">
        <w:t>P</w:t>
      </w:r>
      <w:r w:rsidR="00FA3FC1">
        <w:t xml:space="preserve">ower </w:t>
      </w:r>
      <w:r w:rsidR="006A6CCA">
        <w:t>N</w:t>
      </w:r>
      <w:r w:rsidR="00FA3FC1">
        <w:t>etworks</w:t>
      </w:r>
      <w:r w:rsidRPr="00780029">
        <w:t xml:space="preserve">. We consider that this review, along with our review of two other reports detailed below, provides further support for our position to not accept </w:t>
      </w:r>
      <w:r w:rsidR="006A6CCA">
        <w:t>SA</w:t>
      </w:r>
      <w:r w:rsidR="0090651D">
        <w:t xml:space="preserve"> </w:t>
      </w:r>
      <w:r w:rsidR="006A6CCA">
        <w:t>P</w:t>
      </w:r>
      <w:r w:rsidR="0090651D">
        <w:t>ower Networks</w:t>
      </w:r>
      <w:r w:rsidRPr="00780029">
        <w:t xml:space="preserve"> proposed materials cost escalation. </w:t>
      </w:r>
    </w:p>
    <w:p w:rsidR="00834D39" w:rsidRPr="00E2351D" w:rsidRDefault="00834D39" w:rsidP="00E2351D">
      <w:pPr>
        <w:pStyle w:val="HeadingBoldItalic"/>
        <w:rPr>
          <w:rStyle w:val="AERtextbolditalics"/>
          <w:b/>
          <w:bCs/>
          <w:i/>
          <w:iCs/>
        </w:rPr>
      </w:pPr>
      <w:r w:rsidRPr="00E2351D">
        <w:rPr>
          <w:rStyle w:val="AERtextbolditalics"/>
          <w:b/>
          <w:bCs/>
          <w:i/>
          <w:iCs/>
        </w:rPr>
        <w:t>CEG report</w:t>
      </w:r>
      <w:r w:rsidR="00E130D6" w:rsidRPr="00E2351D">
        <w:rPr>
          <w:rStyle w:val="AERtextbolditalics"/>
          <w:b/>
          <w:bCs/>
          <w:i/>
          <w:iCs/>
        </w:rPr>
        <w:t>s</w:t>
      </w:r>
    </w:p>
    <w:p w:rsidR="00834D39" w:rsidRPr="00834D39" w:rsidRDefault="00834D39" w:rsidP="00834D39">
      <w:pPr>
        <w:pStyle w:val="AERbulletlistfirststyle"/>
      </w:pPr>
      <w:r w:rsidRPr="00780029">
        <w:t>CEG provide the following quote from the International Monetary Fund (IMF) in respect of futures markets:</w:t>
      </w:r>
      <w:r w:rsidRPr="00834D39">
        <w:rPr>
          <w:rStyle w:val="AERsuperscript"/>
        </w:rPr>
        <w:footnoteReference w:id="384"/>
      </w:r>
    </w:p>
    <w:p w:rsidR="00834D39" w:rsidRPr="00780029" w:rsidRDefault="00834D39" w:rsidP="00834D39">
      <w:pPr>
        <w:pStyle w:val="AERquote"/>
      </w:pPr>
      <w:r w:rsidRPr="00780029">
        <w:t>While futures prices are not accurate predictors of future spot prices, they nevertheless reflect current beliefs of market participants about forthcoming price developments.</w:t>
      </w:r>
    </w:p>
    <w:p w:rsidR="00834D39" w:rsidRPr="00780029" w:rsidRDefault="00834D39" w:rsidP="00834D39">
      <w:pPr>
        <w:pStyle w:val="ListContinue"/>
      </w:pPr>
      <w:r w:rsidRPr="00780029">
        <w:t>This supports our view that there is a reasonable degree of uncertainty in the modelling of material input cost escalators to reliably and accurately estimate the prices of assets used by NSPs to provide network services. Whilst the IMF may conclude that commodity futures prices reflect market beliefs on future prices, there is no support from the IMF that futures prices provide an accurate predictor of future commodity prices.</w:t>
      </w:r>
    </w:p>
    <w:p w:rsidR="00834D39" w:rsidRPr="00834D39" w:rsidRDefault="00834D39" w:rsidP="00834D39">
      <w:pPr>
        <w:pStyle w:val="AERbulletlistfirststyle"/>
      </w:pPr>
      <w:r w:rsidRPr="00780029">
        <w:t xml:space="preserve">In respect of forecasting electricity </w:t>
      </w:r>
      <w:r w:rsidR="00491D0C">
        <w:t>distributor</w:t>
      </w:r>
      <w:r w:rsidRPr="00780029">
        <w:t>s future costs, CEG stated that:</w:t>
      </w:r>
      <w:r w:rsidRPr="00834D39">
        <w:rPr>
          <w:rStyle w:val="AERsuperscript"/>
        </w:rPr>
        <w:footnoteReference w:id="385"/>
      </w:r>
    </w:p>
    <w:p w:rsidR="00834D39" w:rsidRPr="00780029" w:rsidRDefault="00834D39" w:rsidP="00834D39">
      <w:pPr>
        <w:pStyle w:val="AERquote"/>
      </w:pPr>
      <w:r w:rsidRPr="00780029">
        <w:lastRenderedPageBreak/>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834D39" w:rsidRPr="00780029" w:rsidRDefault="00834D39" w:rsidP="00834D39">
      <w:pPr>
        <w:pStyle w:val="ListContinue"/>
      </w:pPr>
      <w:r w:rsidRPr="00780029">
        <w:t xml:space="preserve">This statement again is consistent with our view about the degree of the precision and accuracy of futures prices in respect of predicting electricity </w:t>
      </w:r>
      <w:r w:rsidR="00491D0C">
        <w:t>distributor</w:t>
      </w:r>
      <w:r w:rsidRPr="00780029">
        <w:t xml:space="preserve">s future input costs. </w:t>
      </w:r>
    </w:p>
    <w:p w:rsidR="00834D39" w:rsidRPr="00834D39" w:rsidRDefault="00834D39" w:rsidP="00834D39">
      <w:pPr>
        <w:pStyle w:val="AERbulletlistfirststyle"/>
      </w:pPr>
      <w:r w:rsidRPr="00780029">
        <w:t>CEG also acknowledge that its escalation of aluminium prices are not necessarily the prices paid for aluminium equipment by manufacturers. As an example, CEG referred to producers of 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Pr="00834D39">
        <w:rPr>
          <w:rStyle w:val="AERsuperscript"/>
        </w:rPr>
        <w:footnoteReference w:id="386"/>
      </w:r>
      <w:r w:rsidRPr="00834D39">
        <w:t xml:space="preserve"> </w:t>
      </w:r>
    </w:p>
    <w:p w:rsidR="00834D39" w:rsidRPr="00780029" w:rsidRDefault="00834D39" w:rsidP="00834D39">
      <w:pPr>
        <w:pStyle w:val="ListContinue"/>
      </w:pPr>
      <w:r w:rsidRPr="00780029">
        <w:t>GEG 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manufacturers.</w:t>
      </w:r>
      <w:r w:rsidRPr="0080358A">
        <w:rPr>
          <w:rStyle w:val="AERsuperscript"/>
        </w:rPr>
        <w:footnoteReference w:id="387"/>
      </w:r>
      <w:r w:rsidRPr="00780029">
        <w:t xml:space="preserve"> For steel futures, CEG stated that the steel used by electricity </w:t>
      </w:r>
      <w:r w:rsidR="00491D0C">
        <w:t>distributor</w:t>
      </w:r>
      <w:r w:rsidRPr="00780029">
        <w:t>s has been fabricated, and as such, embodies labour, capital and other inputs (e.g. energy) and acknowledges that there is not necessarily a 'one-for one' relationship between the mill gate steel and the steel used by electricity</w:t>
      </w:r>
      <w:r w:rsidR="00491D0C">
        <w:t xml:space="preserve"> distributors</w:t>
      </w:r>
      <w:r w:rsidRPr="00780029">
        <w:t>.</w:t>
      </w:r>
      <w:r w:rsidRPr="0080358A">
        <w:rPr>
          <w:rStyle w:val="AERsuperscript"/>
        </w:rPr>
        <w:footnoteReference w:id="388"/>
      </w:r>
      <w:r w:rsidRPr="00780029">
        <w:t xml:space="preserve"> </w:t>
      </w:r>
    </w:p>
    <w:p w:rsidR="00834D39" w:rsidRPr="00780029" w:rsidRDefault="00834D39" w:rsidP="00834D39">
      <w:pPr>
        <w:pStyle w:val="ListContinue"/>
      </w:pPr>
      <w:r w:rsidRPr="00780029">
        <w:t xml:space="preserve">These statements by CEG support our view that the input cost estimation models used by </w:t>
      </w:r>
      <w:r w:rsidR="00D8769C">
        <w:t>SA</w:t>
      </w:r>
      <w:r w:rsidR="00FA3FC1">
        <w:t xml:space="preserve"> </w:t>
      </w:r>
      <w:r w:rsidR="00D8769C">
        <w:t>P</w:t>
      </w:r>
      <w:r w:rsidR="00FA3FC1">
        <w:t xml:space="preserve">ower </w:t>
      </w:r>
      <w:r w:rsidR="00D8769C">
        <w:t>N</w:t>
      </w:r>
      <w:r w:rsidR="00FA3FC1">
        <w:t>etworks</w:t>
      </w:r>
      <w:r w:rsidR="00D8769C">
        <w:t xml:space="preserve"> </w:t>
      </w:r>
      <w:r w:rsidRPr="00780029">
        <w:t xml:space="preserve">has not demonstrated how and to what extent material inputs have affected the cost of intermediate outputs. We note, as emphasised by CEG, there is likely to be significant value adding and processing of the raw material before the physical asset is purchased by </w:t>
      </w:r>
      <w:r w:rsidR="006749CA">
        <w:t>SA</w:t>
      </w:r>
      <w:r w:rsidR="00FA3FC1">
        <w:t xml:space="preserve"> </w:t>
      </w:r>
      <w:r w:rsidR="006749CA">
        <w:t>P</w:t>
      </w:r>
      <w:r w:rsidR="00FA3FC1">
        <w:t>ower Networks</w:t>
      </w:r>
      <w:r w:rsidRPr="00780029">
        <w:t xml:space="preserve">. </w:t>
      </w:r>
    </w:p>
    <w:p w:rsidR="00834D39" w:rsidRDefault="00834D39" w:rsidP="00834D39">
      <w:pPr>
        <w:pStyle w:val="AERbulletlistfirststyle"/>
      </w:pPr>
      <w:r w:rsidRPr="00780029">
        <w:t>CEG has provided data on historical indexed aluminium, copper, steel and crude oil actual (real) prices from July 2005 to December 2013 as well as forecast real prices from January 2014 to January 2021 which were used to determine its forecast escalation factors.</w:t>
      </w:r>
      <w:r w:rsidRPr="00834D39">
        <w:rPr>
          <w:rStyle w:val="AERsuperscript"/>
        </w:rPr>
        <w:footnoteReference w:id="389"/>
      </w:r>
      <w:r w:rsidRPr="00834D39">
        <w:t xml:space="preserve"> For all four commodities, the CEG forecast indexed real prices showed a trend of higher prices compared to the historical trend. Aluminium and crude oil exhibited the greatest trend variance. Copper and steel </w:t>
      </w:r>
      <w:r w:rsidRPr="00834D39">
        <w:lastRenderedPageBreak/>
        <w:t>prices were forecast to remain relatively stable whist aluminium and crude oil prices were forecast to rise significantly compared to the historical trend.</w:t>
      </w:r>
    </w:p>
    <w:p w:rsidR="00E130D6" w:rsidRDefault="00E130D6" w:rsidP="00E130D6">
      <w:r w:rsidRPr="00780029">
        <w:t xml:space="preserve">CEG </w:t>
      </w:r>
      <w:r>
        <w:t>was also commissioned by Ausgrid, Ende</w:t>
      </w:r>
      <w:r w:rsidR="0057632B">
        <w:t xml:space="preserve">avour Energy, Essential Energy, ActewAGL </w:t>
      </w:r>
      <w:r w:rsidR="0069650B">
        <w:t xml:space="preserve">and </w:t>
      </w:r>
      <w:r w:rsidR="00252FBB">
        <w:t xml:space="preserve">TasNetworks </w:t>
      </w:r>
      <w:r w:rsidR="0057632B">
        <w:t xml:space="preserve">to estimate </w:t>
      </w:r>
      <w:r w:rsidR="00170F38">
        <w:t>cost escalation factors.</w:t>
      </w:r>
      <w:r w:rsidR="00170F38">
        <w:rPr>
          <w:rStyle w:val="FootnoteReference"/>
        </w:rPr>
        <w:footnoteReference w:id="390"/>
      </w:r>
      <w:r w:rsidR="00170F38">
        <w:t xml:space="preserve"> In its report to these </w:t>
      </w:r>
      <w:r w:rsidR="00491D0C">
        <w:t>distributor</w:t>
      </w:r>
      <w:r w:rsidR="00170F38">
        <w:t>s, CEG has provided further information to</w:t>
      </w:r>
      <w:r w:rsidR="00170F38" w:rsidRPr="00780029">
        <w:t xml:space="preserve"> support our position to not accept </w:t>
      </w:r>
      <w:r w:rsidR="00170F38">
        <w:t>SA</w:t>
      </w:r>
      <w:r w:rsidR="00FA3FC1">
        <w:t xml:space="preserve"> </w:t>
      </w:r>
      <w:r w:rsidR="00170F38">
        <w:t>P</w:t>
      </w:r>
      <w:r w:rsidR="00FA3FC1">
        <w:t>ower Networks</w:t>
      </w:r>
      <w:r w:rsidR="00170F38" w:rsidRPr="00780029">
        <w:t xml:space="preserve"> prop</w:t>
      </w:r>
      <w:r w:rsidR="00326603">
        <w:t>osed materials cost escalation.</w:t>
      </w:r>
    </w:p>
    <w:p w:rsidR="00326603" w:rsidRPr="00326603" w:rsidRDefault="00326603" w:rsidP="00326603">
      <w:pPr>
        <w:pStyle w:val="AERbulletlistfirststyle"/>
      </w:pPr>
      <w:r w:rsidRPr="00326603">
        <w:t xml:space="preserve">CEG acknowledge that forecasts of general cost movements (e.g. consumer price index or producer price index) can be used to derive changes in the cost of other inputs used by electricity </w:t>
      </w:r>
      <w:r w:rsidR="00491D0C">
        <w:t>distributor</w:t>
      </w:r>
      <w:r w:rsidRPr="00326603">
        <w:t>s or their suppliers separate from material inputs (e.g. energy costs and equipment leases etc.).</w:t>
      </w:r>
      <w:r w:rsidRPr="00326603">
        <w:rPr>
          <w:rStyle w:val="AERsuperscript"/>
        </w:rPr>
        <w:footnoteReference w:id="391"/>
      </w:r>
      <w:r w:rsidRPr="00326603">
        <w:t xml:space="preserve"> This is consistent with the Post-tax Revenue Model (PTRM) which reflects at least in part movements in an electricity </w:t>
      </w:r>
      <w:r w:rsidR="00491D0C">
        <w:t>distributor</w:t>
      </w:r>
      <w:r w:rsidRPr="00326603">
        <w:t>'s intermediary input costs.</w:t>
      </w:r>
    </w:p>
    <w:p w:rsidR="00326603" w:rsidRPr="00326603" w:rsidRDefault="00326603" w:rsidP="00326603">
      <w:pPr>
        <w:pStyle w:val="AERbulletlistfirststyle"/>
      </w:pPr>
      <w:r w:rsidRPr="00326603">
        <w:t>CEG acknowledge that futures prices will be very unlikely to exactly predict future spot prices given that all manner of unexpected events can occur.</w:t>
      </w:r>
      <w:r w:rsidRPr="00326603">
        <w:rPr>
          <w:rStyle w:val="AERsuperscript"/>
        </w:rPr>
        <w:footnoteReference w:id="392"/>
      </w:r>
      <w:r w:rsidRPr="00326603">
        <w:t xml:space="preserve"> This is consistent with our view that there are likely to be a significant number of material exogenous factors that impact on the price of assets that are not captured by the material input cost models used by </w:t>
      </w:r>
      <w:r>
        <w:t>SA</w:t>
      </w:r>
      <w:r w:rsidR="0090651D">
        <w:t xml:space="preserve"> </w:t>
      </w:r>
      <w:r>
        <w:t>P</w:t>
      </w:r>
      <w:r w:rsidR="0090651D">
        <w:t>ower Networks</w:t>
      </w:r>
      <w:r w:rsidRPr="00326603">
        <w:t>.</w:t>
      </w:r>
    </w:p>
    <w:p w:rsidR="00326603" w:rsidRPr="00326603" w:rsidRDefault="00326603" w:rsidP="00326603">
      <w:pPr>
        <w:pStyle w:val="AERbulletlistfirststyle"/>
      </w:pPr>
      <w:r w:rsidRPr="00326603">
        <w:t>Figures 1 and 2 of CEG’s report respectively show the variance between aluminium and copper prices predicted by the London Metals Exchange (LME) 3 month, 15 month and 27 month futures less actual prices between July 1993 and December 2013.</w:t>
      </w:r>
      <w:r w:rsidRPr="00326603">
        <w:rPr>
          <w:rStyle w:val="AERsuperscript"/>
        </w:rPr>
        <w:footnoteReference w:id="393"/>
      </w:r>
      <w:r w:rsidRPr="00326603">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326603" w:rsidRPr="00326603" w:rsidRDefault="00326603" w:rsidP="00326603">
      <w:pPr>
        <w:pStyle w:val="ListContinue"/>
      </w:pPr>
      <w:r w:rsidRPr="00326603">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834D39" w:rsidRDefault="00834D39" w:rsidP="00525DDF">
      <w:pPr>
        <w:numPr>
          <w:ilvl w:val="0"/>
          <w:numId w:val="24"/>
        </w:numPr>
      </w:pPr>
      <w:r w:rsidRPr="00780029">
        <w:t>In addition to our review of the CEG Report</w:t>
      </w:r>
      <w:r w:rsidR="00E130D6">
        <w:t>s</w:t>
      </w:r>
      <w:r w:rsidRPr="00780029">
        <w:t xml:space="preserve">, we have also received submissions from TransGrid and Jemena Gas Networks </w:t>
      </w:r>
      <w:r w:rsidR="00986CFE">
        <w:t>in respect to their</w:t>
      </w:r>
      <w:r w:rsidR="00986CFE" w:rsidRPr="00986CFE">
        <w:t xml:space="preserve"> revenue requirement</w:t>
      </w:r>
      <w:r w:rsidR="00986CFE">
        <w:t xml:space="preserve"> assessments.</w:t>
      </w:r>
      <w:r w:rsidRPr="00780029">
        <w:t xml:space="preserve"> We have considered the relevance of those submissions to the issues raised by </w:t>
      </w:r>
      <w:r w:rsidR="006749CA">
        <w:t>SA</w:t>
      </w:r>
      <w:r w:rsidR="00EA60F8">
        <w:t xml:space="preserve"> </w:t>
      </w:r>
      <w:r w:rsidR="006749CA">
        <w:t>P</w:t>
      </w:r>
      <w:r w:rsidR="00EA60F8">
        <w:t>ower Networks</w:t>
      </w:r>
      <w:r w:rsidR="006749CA">
        <w:t xml:space="preserve"> </w:t>
      </w:r>
      <w:r w:rsidRPr="00780029">
        <w:t xml:space="preserve">in order to arrive at a position that takes into account all available information. Our views on these reports are set out below. Overall, both these </w:t>
      </w:r>
      <w:r w:rsidRPr="00780029">
        <w:lastRenderedPageBreak/>
        <w:t xml:space="preserve">reports lend further support to our position to not accept </w:t>
      </w:r>
      <w:r w:rsidR="006749CA">
        <w:t>SA</w:t>
      </w:r>
      <w:r w:rsidR="00EA60F8">
        <w:t xml:space="preserve"> </w:t>
      </w:r>
      <w:r w:rsidR="006749CA">
        <w:t>P</w:t>
      </w:r>
      <w:r w:rsidR="00EA60F8">
        <w:t>ower Networks</w:t>
      </w:r>
      <w:r w:rsidR="00C35CCD">
        <w:t>'</w:t>
      </w:r>
      <w:r w:rsidRPr="00780029">
        <w:t xml:space="preserve"> proposed materials cost escalation.</w:t>
      </w:r>
    </w:p>
    <w:p w:rsidR="00834D39" w:rsidRPr="00E2351D" w:rsidRDefault="00834D39" w:rsidP="00E2351D">
      <w:pPr>
        <w:pStyle w:val="HeadingBoldItalic"/>
        <w:rPr>
          <w:rStyle w:val="AERtextbolditalics"/>
          <w:b/>
          <w:bCs/>
          <w:i/>
          <w:iCs/>
        </w:rPr>
      </w:pPr>
      <w:r w:rsidRPr="00E2351D">
        <w:rPr>
          <w:rStyle w:val="AERtextbolditalics"/>
          <w:b/>
          <w:bCs/>
          <w:i/>
          <w:iCs/>
        </w:rPr>
        <w:t>SKM report</w:t>
      </w:r>
    </w:p>
    <w:p w:rsidR="00834D39" w:rsidRPr="00834D39" w:rsidRDefault="00834D39" w:rsidP="00834D39">
      <w:pPr>
        <w:pStyle w:val="AERbulletlistfirststyle"/>
      </w:pPr>
      <w:r w:rsidRPr="00780029">
        <w:t>SKM caution that there are a variety of factors that could cause business conditions and results to differ materially from what is contained in its forward looking statements.</w:t>
      </w:r>
      <w:r w:rsidRPr="00834D39">
        <w:rPr>
          <w:rStyle w:val="AERsuperscript"/>
        </w:rPr>
        <w:footnoteReference w:id="394"/>
      </w:r>
      <w:r w:rsidRPr="00834D39">
        <w:t xml:space="preserve"> This is consistent with our view that there are likely to be a significant number of material exogenous factors that impact on the cost of assets that are not captured by </w:t>
      </w:r>
      <w:r w:rsidR="006749CA">
        <w:t>SA</w:t>
      </w:r>
      <w:r w:rsidR="00EA60F8">
        <w:t xml:space="preserve"> </w:t>
      </w:r>
      <w:r w:rsidR="006749CA">
        <w:t>P</w:t>
      </w:r>
      <w:r w:rsidR="00EA60F8">
        <w:t>ower Networks</w:t>
      </w:r>
      <w:r w:rsidRPr="00834D39">
        <w:t xml:space="preserve"> material input cost models.</w:t>
      </w:r>
    </w:p>
    <w:p w:rsidR="00834D39" w:rsidRPr="00834D39" w:rsidRDefault="00834D39" w:rsidP="00834D39">
      <w:pPr>
        <w:pStyle w:val="AERbulletlistfirststyle"/>
      </w:pPr>
      <w:r w:rsidRPr="00780029">
        <w:t>SKM stated it used the Australian CPI to account for those materials or cost items for equipment whose price trend cannot be rationally or conclusively explained by the movement of commodities prices.</w:t>
      </w:r>
      <w:r w:rsidRPr="00834D39">
        <w:rPr>
          <w:rStyle w:val="AERsuperscript"/>
        </w:rPr>
        <w:footnoteReference w:id="395"/>
      </w:r>
      <w:r w:rsidRPr="00834D39">
        <w:t xml:space="preserve"> </w:t>
      </w:r>
    </w:p>
    <w:p w:rsidR="00834D39" w:rsidRPr="00834D39" w:rsidRDefault="00834D39" w:rsidP="00834D39">
      <w:pPr>
        <w:pStyle w:val="AERbulletlistfirststyle"/>
      </w:pPr>
      <w:r w:rsidRPr="00780029">
        <w:t>In its modelling of the exchange rate, SKM has in part adopted the longer term historical average of $0.80 USD/AUD as the long term forecast going forward.</w:t>
      </w:r>
      <w:r w:rsidRPr="00834D39">
        <w:rPr>
          <w:rStyle w:val="AERsuperscript"/>
        </w:rPr>
        <w:footnoteReference w:id="396"/>
      </w:r>
      <w:r w:rsidRPr="00834D39">
        <w:t xml:space="preserve"> This is consistent with our view that 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834D39" w:rsidRPr="00834D39" w:rsidRDefault="00834D39" w:rsidP="00834D39">
      <w:pPr>
        <w:pStyle w:val="AERbulletlistfirststyle"/>
      </w:pPr>
      <w:r w:rsidRPr="00780029">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Pr="00834D39">
        <w:rPr>
          <w:rStyle w:val="AERsuperscript"/>
        </w:rPr>
        <w:footnoteReference w:id="397"/>
      </w:r>
      <w:r w:rsidRPr="00834D39">
        <w:t xml:space="preserve"> SKM also stated that LME steel futures are still not yet sufficiently liquid to provide a robust price outlook.</w:t>
      </w:r>
      <w:r w:rsidRPr="00834D39">
        <w:rPr>
          <w:rStyle w:val="AERsuperscript"/>
        </w:rPr>
        <w:footnoteReference w:id="398"/>
      </w:r>
    </w:p>
    <w:p w:rsidR="00834D39" w:rsidRDefault="00834D39" w:rsidP="00834D39">
      <w:pPr>
        <w:pStyle w:val="AERbulletlistfirststyle"/>
      </w:pPr>
      <w:r w:rsidRPr="00780029">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Pr="00834D39">
        <w:rPr>
          <w:rStyle w:val="AERsuperscript"/>
        </w:rPr>
        <w:footnoteReference w:id="399"/>
      </w:r>
      <w:r w:rsidRPr="00834D39">
        <w:t xml:space="preserve"> SKM selected Consensus Economics forecasts as the best currently available outlook for oil prices throughout the duration of the next regulatory control period.</w:t>
      </w:r>
      <w:r w:rsidRPr="00834D39">
        <w:rPr>
          <w:rStyle w:val="AERsuperscript"/>
        </w:rPr>
        <w:footnoteReference w:id="400"/>
      </w:r>
      <w:r w:rsidRPr="00834D39">
        <w:t xml:space="preserve"> The decision by SKM to adopt an economic forecast for oil rather than using futures highlights the uncertainty surrounding the forecasting of commodity prices.</w:t>
      </w:r>
    </w:p>
    <w:p w:rsidR="00C35CCD" w:rsidRPr="00834D39" w:rsidRDefault="00C35CCD" w:rsidP="00C35CCD">
      <w:pPr>
        <w:pStyle w:val="AERbulletlistfirststyle"/>
        <w:numPr>
          <w:ilvl w:val="0"/>
          <w:numId w:val="0"/>
        </w:numPr>
        <w:ind w:left="357"/>
      </w:pPr>
    </w:p>
    <w:p w:rsidR="00834D39" w:rsidRPr="00E2351D" w:rsidRDefault="00834D39" w:rsidP="00E2351D">
      <w:pPr>
        <w:pStyle w:val="HeadingBoldItalic"/>
        <w:rPr>
          <w:rStyle w:val="AERtextbolditalics"/>
          <w:b/>
          <w:bCs/>
          <w:i/>
          <w:iCs/>
        </w:rPr>
      </w:pPr>
      <w:r w:rsidRPr="00E2351D">
        <w:rPr>
          <w:rStyle w:val="AERtextbolditalics"/>
          <w:b/>
          <w:bCs/>
          <w:i/>
          <w:iCs/>
        </w:rPr>
        <w:lastRenderedPageBreak/>
        <w:t>BIS Shrapnel report</w:t>
      </w:r>
    </w:p>
    <w:p w:rsidR="00834D39" w:rsidRPr="00834D39" w:rsidRDefault="00834D39" w:rsidP="00834D39">
      <w:pPr>
        <w:pStyle w:val="AERbulletlistfirststyle"/>
      </w:pPr>
      <w:r w:rsidRPr="00780029">
        <w:t xml:space="preserve">BIS Shrapnel has forecast prices of gas </w:t>
      </w:r>
      <w:r w:rsidR="00491D0C">
        <w:t>distributor</w:t>
      </w:r>
      <w:r w:rsidR="00491D0C" w:rsidRPr="00780029">
        <w:t xml:space="preserve"> </w:t>
      </w:r>
      <w:r w:rsidRPr="00780029">
        <w:t>related materials to increase, in part due to movements in the exchange rate. BIS Shrapnel are forecasting the Australian dollar to fall to US$0.77 from mid-2016 to mid-2018</w:t>
      </w:r>
      <w:r w:rsidRPr="00834D39">
        <w:rPr>
          <w:rStyle w:val="AERsuperscript"/>
        </w:rPr>
        <w:footnoteReference w:id="401"/>
      </w:r>
      <w:r w:rsidRPr="00834D39">
        <w:t>. This is significantly lower than the exchange rate forecasts by SKM of between US$0.91 to US$0.85 from 2014-15 to 2018-19.</w:t>
      </w:r>
      <w:r w:rsidRPr="00834D39">
        <w:rPr>
          <w:rStyle w:val="AERsuperscript"/>
        </w:rPr>
        <w:footnoteReference w:id="402"/>
      </w:r>
      <w:r w:rsidRPr="00834D39">
        <w:t xml:space="preserve"> CEG did not publish its exchange rate forecasts in its report but state that for the purposes of the report it sourced forward rates from Bloomberg until 2023.</w:t>
      </w:r>
      <w:r w:rsidRPr="00834D39">
        <w:rPr>
          <w:rStyle w:val="AERsuperscript"/>
        </w:rPr>
        <w:footnoteReference w:id="403"/>
      </w:r>
      <w:r w:rsidRPr="00834D39">
        <w:t xml:space="preserve"> BIS Shrapnel stated that exchange rate forecasts are not authoritative over the long term.</w:t>
      </w:r>
      <w:r w:rsidRPr="00834D39">
        <w:rPr>
          <w:rStyle w:val="AERsuperscript"/>
        </w:rPr>
        <w:footnoteReference w:id="404"/>
      </w:r>
      <w:r w:rsidRPr="00834D39">
        <w:t xml:space="preserve"> </w:t>
      </w:r>
    </w:p>
    <w:p w:rsidR="00834D39" w:rsidRPr="00780029" w:rsidRDefault="00834D39" w:rsidP="00834D39">
      <w:pPr>
        <w:pStyle w:val="ListContinue"/>
      </w:pPr>
      <w:r w:rsidRPr="00780029">
        <w:t>We consider the forecasting of foreign exchange movements during the next regulatory control period to be another example of the potential inaccuracy of modelling for material input cost escalation.</w:t>
      </w:r>
    </w:p>
    <w:p w:rsidR="00834D39" w:rsidRPr="00834D39" w:rsidRDefault="00834D39" w:rsidP="00834D39">
      <w:pPr>
        <w:pStyle w:val="AERbulletlistfirststyle"/>
      </w:pPr>
      <w:r w:rsidRPr="00780029">
        <w:t xml:space="preserve">In its forecast for general materials such as </w:t>
      </w:r>
      <w:r w:rsidRPr="00834D39">
        <w:t>stationary, office furniture, electricity, water, fuel and rent, BIS Shrapnel assumed that across the range of these items, the average price increase would be similar to consumer price inflation and that the appropriate cost escalator for general materials is the CPI.</w:t>
      </w:r>
      <w:r w:rsidRPr="00834D39">
        <w:rPr>
          <w:rStyle w:val="AERsuperscript"/>
        </w:rPr>
        <w:footnoteReference w:id="405"/>
      </w:r>
      <w:r w:rsidRPr="00834D39">
        <w:t xml:space="preserve"> This treatment of general business inputs supports our view that where we cannot be satisfied that a forecast of real cost escalation for a specific material input is robust, and cannot determine a robust alternative forecast, zero per cent real cost escalation is reasonably likely to reflect the capex criteria and under the PTRM the electricity </w:t>
      </w:r>
      <w:r w:rsidR="00491D0C">
        <w:t>distributor</w:t>
      </w:r>
      <w:r w:rsidRPr="00834D39">
        <w:t>'s broad range of inputs are escalated annually by the CPI.</w:t>
      </w:r>
    </w:p>
    <w:p w:rsidR="00834D39" w:rsidRPr="00E2351D" w:rsidRDefault="00834D39" w:rsidP="00E2351D">
      <w:pPr>
        <w:pStyle w:val="HeadingBoldItalic"/>
        <w:rPr>
          <w:rStyle w:val="AERtextbolditalics"/>
          <w:b/>
          <w:bCs/>
          <w:i/>
          <w:iCs/>
        </w:rPr>
      </w:pPr>
      <w:r w:rsidRPr="00E2351D">
        <w:rPr>
          <w:rStyle w:val="AERtextbolditalics"/>
          <w:b/>
          <w:bCs/>
          <w:i/>
          <w:iCs/>
        </w:rPr>
        <w:t>Comparison of independent expert's cost escalation factors</w:t>
      </w:r>
    </w:p>
    <w:p w:rsidR="00E130D6" w:rsidRPr="00780029" w:rsidRDefault="00E130D6" w:rsidP="00525DDF">
      <w:pPr>
        <w:numPr>
          <w:ilvl w:val="0"/>
          <w:numId w:val="24"/>
        </w:numPr>
      </w:pPr>
      <w:r w:rsidRPr="00780029">
        <w:t xml:space="preserve">To illustrate the potential uncertainty in forecasting real material input costs, we have compared the </w:t>
      </w:r>
      <w:proofErr w:type="gramStart"/>
      <w:r w:rsidRPr="00780029">
        <w:t>material cost escalation forecasts</w:t>
      </w:r>
      <w:proofErr w:type="gramEnd"/>
      <w:r w:rsidRPr="00780029">
        <w:t xml:space="preserve"> derived by the consultants as shown in </w:t>
      </w:r>
      <w:r>
        <w:fldChar w:fldCharType="begin"/>
      </w:r>
      <w:r>
        <w:instrText xml:space="preserve"> REF _Ref404071807 \h </w:instrText>
      </w:r>
      <w:r>
        <w:fldChar w:fldCharType="separate"/>
      </w:r>
      <w:r w:rsidR="00F02131">
        <w:t>Table D</w:t>
      </w:r>
      <w:r w:rsidR="00F02131">
        <w:noBreakHyphen/>
      </w:r>
      <w:r w:rsidR="00F02131">
        <w:rPr>
          <w:noProof/>
        </w:rPr>
        <w:t>3</w:t>
      </w:r>
      <w:r>
        <w:fldChar w:fldCharType="end"/>
      </w:r>
      <w:r w:rsidRPr="00780029">
        <w:t xml:space="preserve">. </w:t>
      </w:r>
    </w:p>
    <w:p w:rsidR="00E130D6" w:rsidRPr="00780029" w:rsidRDefault="00E130D6" w:rsidP="00E130D6">
      <w:pPr>
        <w:pStyle w:val="Caption"/>
      </w:pPr>
      <w:bookmarkStart w:id="208" w:name="_Ref404071807"/>
      <w:r>
        <w:t xml:space="preserve">Table </w:t>
      </w:r>
      <w:r w:rsidR="00997831">
        <w:t>D</w:t>
      </w:r>
      <w:r>
        <w:noBreakHyphen/>
      </w:r>
      <w:fldSimple w:instr=" SEQ Table \* ARABIC \s 7 ">
        <w:r w:rsidR="00F02131">
          <w:rPr>
            <w:noProof/>
          </w:rPr>
          <w:t>3</w:t>
        </w:r>
      </w:fldSimple>
      <w:bookmarkEnd w:id="208"/>
      <w:r>
        <w:tab/>
      </w:r>
      <w:r w:rsidRPr="00780029">
        <w:t>Real material input cost escalation forecasts (</w:t>
      </w:r>
      <w:r w:rsidR="00007F4A">
        <w:t>per cent</w:t>
      </w:r>
      <w:r w:rsidRPr="00780029">
        <w:t>)</w:t>
      </w:r>
    </w:p>
    <w:tbl>
      <w:tblPr>
        <w:tblStyle w:val="AERtable-numbers"/>
        <w:tblW w:w="0" w:type="auto"/>
        <w:tblLook w:val="04A0" w:firstRow="1" w:lastRow="0" w:firstColumn="1" w:lastColumn="0" w:noHBand="0" w:noVBand="1"/>
      </w:tblPr>
      <w:tblGrid>
        <w:gridCol w:w="1476"/>
        <w:gridCol w:w="1443"/>
        <w:gridCol w:w="1443"/>
        <w:gridCol w:w="1443"/>
        <w:gridCol w:w="1444"/>
        <w:gridCol w:w="1444"/>
      </w:tblGrid>
      <w:tr w:rsidR="001C3F7A" w:rsidRPr="00780029" w:rsidTr="00C35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6" w:type="dxa"/>
          </w:tcPr>
          <w:p w:rsidR="001C3F7A" w:rsidRPr="00780029" w:rsidRDefault="001C3F7A" w:rsidP="00525DDF">
            <w:pPr>
              <w:numPr>
                <w:ilvl w:val="0"/>
                <w:numId w:val="24"/>
              </w:numPr>
            </w:pPr>
          </w:p>
        </w:tc>
        <w:tc>
          <w:tcPr>
            <w:tcW w:w="1443" w:type="dxa"/>
          </w:tcPr>
          <w:p w:rsidR="001C3F7A" w:rsidRPr="00780029" w:rsidRDefault="001C3F7A"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5</w:t>
            </w:r>
            <w:r w:rsidRPr="00780029">
              <w:t>–1</w:t>
            </w:r>
            <w:r>
              <w:t>6 (%)</w:t>
            </w:r>
          </w:p>
        </w:tc>
        <w:tc>
          <w:tcPr>
            <w:tcW w:w="1443" w:type="dxa"/>
          </w:tcPr>
          <w:p w:rsidR="001C3F7A" w:rsidRPr="00780029" w:rsidRDefault="001C3F7A"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6</w:t>
            </w:r>
            <w:r w:rsidRPr="00780029">
              <w:t>–1</w:t>
            </w:r>
            <w:r>
              <w:t>7 (%)</w:t>
            </w:r>
          </w:p>
        </w:tc>
        <w:tc>
          <w:tcPr>
            <w:tcW w:w="1443" w:type="dxa"/>
          </w:tcPr>
          <w:p w:rsidR="001C3F7A" w:rsidRPr="00780029" w:rsidRDefault="001C3F7A"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7</w:t>
            </w:r>
            <w:r w:rsidRPr="00780029">
              <w:t>–1</w:t>
            </w:r>
            <w:r>
              <w:t>8 (%)</w:t>
            </w:r>
          </w:p>
        </w:tc>
        <w:tc>
          <w:tcPr>
            <w:tcW w:w="1444" w:type="dxa"/>
          </w:tcPr>
          <w:p w:rsidR="001C3F7A" w:rsidRPr="00780029" w:rsidRDefault="001C3F7A"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8</w:t>
            </w:r>
            <w:r w:rsidRPr="00780029">
              <w:t>–1</w:t>
            </w:r>
            <w:r>
              <w:t>9 (%)</w:t>
            </w:r>
          </w:p>
        </w:tc>
        <w:tc>
          <w:tcPr>
            <w:tcW w:w="1444" w:type="dxa"/>
          </w:tcPr>
          <w:p w:rsidR="001C3F7A" w:rsidRPr="00780029" w:rsidRDefault="001C3F7A" w:rsidP="00525DDF">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9</w:t>
            </w:r>
            <w:r w:rsidRPr="00780029">
              <w:t>–</w:t>
            </w:r>
            <w:r>
              <w:t>20 (%)</w:t>
            </w:r>
          </w:p>
        </w:tc>
      </w:tr>
      <w:tr w:rsidR="00E130D6" w:rsidRPr="00780029" w:rsidTr="00E130D6">
        <w:tc>
          <w:tcPr>
            <w:cnfStyle w:val="001000000000" w:firstRow="0" w:lastRow="0" w:firstColumn="1" w:lastColumn="0" w:oddVBand="0" w:evenVBand="0" w:oddHBand="0" w:evenHBand="0" w:firstRowFirstColumn="0" w:firstRowLastColumn="0" w:lastRowFirstColumn="0" w:lastRowLastColumn="0"/>
            <w:tcW w:w="1476" w:type="dxa"/>
          </w:tcPr>
          <w:p w:rsidR="00E130D6" w:rsidRPr="00780029" w:rsidRDefault="00E130D6" w:rsidP="00525DDF">
            <w:pPr>
              <w:numPr>
                <w:ilvl w:val="0"/>
                <w:numId w:val="24"/>
              </w:numPr>
            </w:pPr>
            <w:r w:rsidRPr="00780029">
              <w:t>Aluminium</w:t>
            </w:r>
          </w:p>
          <w:p w:rsidR="00E130D6" w:rsidRPr="00780029" w:rsidRDefault="00E130D6" w:rsidP="00525DDF">
            <w:pPr>
              <w:numPr>
                <w:ilvl w:val="0"/>
                <w:numId w:val="24"/>
              </w:numPr>
            </w:pPr>
            <w:r w:rsidRPr="00780029">
              <w:t>CEG</w:t>
            </w:r>
          </w:p>
          <w:p w:rsidR="00E130D6" w:rsidRPr="00780029" w:rsidRDefault="00E130D6" w:rsidP="00525DDF">
            <w:pPr>
              <w:numPr>
                <w:ilvl w:val="0"/>
                <w:numId w:val="24"/>
              </w:numPr>
            </w:pPr>
            <w:r w:rsidRPr="00780029">
              <w:t>SKM</w:t>
            </w:r>
          </w:p>
          <w:p w:rsidR="00E130D6" w:rsidRPr="00780029" w:rsidRDefault="00E130D6" w:rsidP="00525DDF">
            <w:pPr>
              <w:numPr>
                <w:ilvl w:val="0"/>
                <w:numId w:val="24"/>
              </w:numPr>
            </w:pPr>
            <w:r w:rsidRPr="00780029">
              <w:t>BIS Shrapnel</w:t>
            </w:r>
          </w:p>
          <w:p w:rsidR="00E130D6" w:rsidRPr="00780029" w:rsidRDefault="00E130D6" w:rsidP="00525DDF">
            <w:pPr>
              <w:numPr>
                <w:ilvl w:val="0"/>
                <w:numId w:val="24"/>
              </w:numPr>
            </w:pPr>
            <w:r w:rsidRPr="00780029">
              <w:t xml:space="preserve">Range (low to </w:t>
            </w:r>
            <w:r w:rsidRPr="00780029">
              <w:lastRenderedPageBreak/>
              <w:t>high)</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2.9</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4.69</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1.4</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lastRenderedPageBreak/>
              <w:t>1.4 to 4.69</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2.1</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4.88</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5.6</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lastRenderedPageBreak/>
              <w:t>4.88 to 5.</w:t>
            </w:r>
            <w:r w:rsidR="000244CC">
              <w:t>6</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1.7</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3.09</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3.9</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lastRenderedPageBreak/>
              <w:t xml:space="preserve">3.09 to </w:t>
            </w:r>
            <w:r w:rsidR="000244CC">
              <w:t>3.9</w:t>
            </w:r>
          </w:p>
        </w:tc>
        <w:tc>
          <w:tcPr>
            <w:tcW w:w="1444"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1.5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4.42</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11.0</w:t>
            </w:r>
          </w:p>
          <w:p w:rsidR="00E130D6" w:rsidRPr="00780029" w:rsidRDefault="000244CC" w:rsidP="00525DDF">
            <w:pPr>
              <w:numPr>
                <w:ilvl w:val="0"/>
                <w:numId w:val="24"/>
              </w:numPr>
              <w:cnfStyle w:val="000000000000" w:firstRow="0" w:lastRow="0" w:firstColumn="0" w:lastColumn="0" w:oddVBand="0" w:evenVBand="0" w:oddHBand="0" w:evenHBand="0" w:firstRowFirstColumn="0" w:firstRowLastColumn="0" w:lastRowFirstColumn="0" w:lastRowLastColumn="0"/>
            </w:pPr>
            <w:r>
              <w:lastRenderedPageBreak/>
              <w:t>1.5</w:t>
            </w:r>
            <w:r w:rsidR="00E130D6" w:rsidRPr="00780029">
              <w:t xml:space="preserve"> to 11.0</w:t>
            </w:r>
          </w:p>
        </w:tc>
        <w:tc>
          <w:tcPr>
            <w:tcW w:w="1444"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1.5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2.97</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-6.5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lastRenderedPageBreak/>
              <w:t xml:space="preserve">-6.5 to </w:t>
            </w:r>
            <w:r w:rsidR="000244CC">
              <w:t>1.5</w:t>
            </w:r>
          </w:p>
        </w:tc>
      </w:tr>
      <w:tr w:rsidR="00E130D6" w:rsidRPr="00780029" w:rsidTr="00E1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E130D6" w:rsidRPr="00780029" w:rsidRDefault="00E130D6" w:rsidP="00525DDF">
            <w:pPr>
              <w:numPr>
                <w:ilvl w:val="0"/>
                <w:numId w:val="24"/>
              </w:numPr>
            </w:pPr>
            <w:r w:rsidRPr="00780029">
              <w:lastRenderedPageBreak/>
              <w:t>Copper</w:t>
            </w:r>
          </w:p>
          <w:p w:rsidR="00E130D6" w:rsidRPr="00780029" w:rsidRDefault="00E130D6" w:rsidP="00525DDF">
            <w:pPr>
              <w:numPr>
                <w:ilvl w:val="0"/>
                <w:numId w:val="24"/>
              </w:numPr>
            </w:pPr>
            <w:r w:rsidRPr="00780029">
              <w:t>CEG</w:t>
            </w:r>
          </w:p>
          <w:p w:rsidR="00E130D6" w:rsidRPr="00780029" w:rsidRDefault="00E130D6" w:rsidP="00525DDF">
            <w:pPr>
              <w:numPr>
                <w:ilvl w:val="0"/>
                <w:numId w:val="24"/>
              </w:numPr>
            </w:pPr>
            <w:r w:rsidRPr="00780029">
              <w:t>SKM</w:t>
            </w:r>
          </w:p>
          <w:p w:rsidR="00E130D6" w:rsidRPr="00780029" w:rsidRDefault="00E130D6" w:rsidP="00525DDF">
            <w:pPr>
              <w:numPr>
                <w:ilvl w:val="0"/>
                <w:numId w:val="24"/>
              </w:numPr>
            </w:pPr>
            <w:r w:rsidRPr="00780029">
              <w:t>BIS Shrapnel</w:t>
            </w:r>
          </w:p>
          <w:p w:rsidR="00E130D6" w:rsidRPr="00780029" w:rsidRDefault="00E130D6" w:rsidP="00525DDF">
            <w:pPr>
              <w:numPr>
                <w:ilvl w:val="0"/>
                <w:numId w:val="24"/>
              </w:numPr>
            </w:pPr>
            <w:r w:rsidRPr="00780029">
              <w:t>Range (low to high)</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-0.9</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-0.17</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-0.9</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-0.9 to 0.17</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-1.0</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0.17</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-1.5</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 xml:space="preserve">-1.5 to </w:t>
            </w:r>
            <w:r w:rsidR="000244CC">
              <w:t>0.17</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-0.2</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-1.15</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0.3</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-1.15 to 0.3</w:t>
            </w:r>
          </w:p>
        </w:tc>
        <w:tc>
          <w:tcPr>
            <w:tcW w:w="1444"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-0.3</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-0.16</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9.3</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-0.3 to 9.3</w:t>
            </w:r>
          </w:p>
        </w:tc>
        <w:tc>
          <w:tcPr>
            <w:tcW w:w="1444"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w:t>
            </w:r>
            <w:r w:rsidR="001C3F7A">
              <w:t>2</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-1.45</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-8.7</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-8.7 to -0.</w:t>
            </w:r>
            <w:r w:rsidR="000244CC">
              <w:t>2</w:t>
            </w:r>
          </w:p>
        </w:tc>
      </w:tr>
      <w:tr w:rsidR="00E130D6" w:rsidRPr="00780029" w:rsidTr="00E130D6">
        <w:tc>
          <w:tcPr>
            <w:cnfStyle w:val="001000000000" w:firstRow="0" w:lastRow="0" w:firstColumn="1" w:lastColumn="0" w:oddVBand="0" w:evenVBand="0" w:oddHBand="0" w:evenHBand="0" w:firstRowFirstColumn="0" w:firstRowLastColumn="0" w:lastRowFirstColumn="0" w:lastRowLastColumn="0"/>
            <w:tcW w:w="1476" w:type="dxa"/>
          </w:tcPr>
          <w:p w:rsidR="00E130D6" w:rsidRPr="00780029" w:rsidRDefault="00E130D6" w:rsidP="00525DDF">
            <w:pPr>
              <w:numPr>
                <w:ilvl w:val="0"/>
                <w:numId w:val="24"/>
              </w:numPr>
            </w:pPr>
            <w:r w:rsidRPr="00780029">
              <w:t xml:space="preserve">Steel </w:t>
            </w:r>
          </w:p>
          <w:p w:rsidR="00E130D6" w:rsidRPr="00780029" w:rsidRDefault="00E130D6" w:rsidP="00525DDF">
            <w:pPr>
              <w:numPr>
                <w:ilvl w:val="0"/>
                <w:numId w:val="24"/>
              </w:numPr>
            </w:pPr>
            <w:r w:rsidRPr="00780029">
              <w:t>CEG</w:t>
            </w:r>
          </w:p>
          <w:p w:rsidR="00E130D6" w:rsidRPr="00780029" w:rsidRDefault="00E130D6" w:rsidP="00525DDF">
            <w:pPr>
              <w:numPr>
                <w:ilvl w:val="0"/>
                <w:numId w:val="24"/>
              </w:numPr>
            </w:pPr>
            <w:r w:rsidRPr="00780029">
              <w:t>SKM</w:t>
            </w:r>
          </w:p>
          <w:p w:rsidR="00E130D6" w:rsidRPr="00780029" w:rsidRDefault="00E130D6" w:rsidP="00525DDF">
            <w:pPr>
              <w:numPr>
                <w:ilvl w:val="0"/>
                <w:numId w:val="24"/>
              </w:numPr>
            </w:pPr>
            <w:r w:rsidRPr="00780029">
              <w:t>BIS Shrapnel1</w:t>
            </w:r>
          </w:p>
          <w:p w:rsidR="00E130D6" w:rsidRPr="00780029" w:rsidRDefault="00E130D6" w:rsidP="00525DDF">
            <w:pPr>
              <w:numPr>
                <w:ilvl w:val="0"/>
                <w:numId w:val="24"/>
              </w:numPr>
            </w:pPr>
            <w:r w:rsidRPr="00780029">
              <w:t>Range (low to high)</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3.1</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2.84</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5.1</w:t>
            </w:r>
          </w:p>
          <w:p w:rsidR="00E130D6" w:rsidRPr="00780029" w:rsidRDefault="000244CC" w:rsidP="00525DDF">
            <w:pPr>
              <w:numPr>
                <w:ilvl w:val="0"/>
                <w:numId w:val="24"/>
              </w:numPr>
              <w:cnfStyle w:val="000000000000" w:firstRow="0" w:lastRow="0" w:firstColumn="0" w:lastColumn="0" w:oddVBand="0" w:evenVBand="0" w:oddHBand="0" w:evenHBand="0" w:firstRowFirstColumn="0" w:firstRowLastColumn="0" w:lastRowFirstColumn="0" w:lastRowLastColumn="0"/>
            </w:pPr>
            <w:r>
              <w:t>2.84</w:t>
            </w:r>
            <w:r w:rsidR="00E130D6" w:rsidRPr="00780029">
              <w:t xml:space="preserve"> to 5.1</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1C3F7A" w:rsidP="00525DDF">
            <w:pPr>
              <w:numPr>
                <w:ilvl w:val="0"/>
                <w:numId w:val="24"/>
              </w:numPr>
              <w:cnfStyle w:val="000000000000" w:firstRow="0" w:lastRow="0" w:firstColumn="0" w:lastColumn="0" w:oddVBand="0" w:evenVBand="0" w:oddHBand="0" w:evenHBand="0" w:firstRowFirstColumn="0" w:firstRowLastColumn="0" w:lastRowFirstColumn="0" w:lastRowLastColumn="0"/>
            </w:pPr>
            <w:r>
              <w:t>0.5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2.45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1.0</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 xml:space="preserve">1.0 to </w:t>
            </w:r>
            <w:r w:rsidR="000244CC">
              <w:t>2.45</w:t>
            </w:r>
          </w:p>
        </w:tc>
        <w:tc>
          <w:tcPr>
            <w:tcW w:w="1443"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w:t>
            </w:r>
            <w:r w:rsidR="001C3F7A">
              <w:t>1</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-0.35</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-0.2</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-0.35 to 0.</w:t>
            </w:r>
            <w:r w:rsidR="000244CC">
              <w:t>1</w:t>
            </w:r>
          </w:p>
        </w:tc>
        <w:tc>
          <w:tcPr>
            <w:tcW w:w="1444"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w:t>
            </w:r>
            <w:r w:rsidR="001C3F7A">
              <w:t>0</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0.38</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8.0</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0.3 to 8.0</w:t>
            </w:r>
          </w:p>
        </w:tc>
        <w:tc>
          <w:tcPr>
            <w:tcW w:w="1444" w:type="dxa"/>
            <w:vAlign w:val="top"/>
          </w:tcPr>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0.1</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-1.11</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-8.9</w:t>
            </w:r>
          </w:p>
          <w:p w:rsidR="00E130D6" w:rsidRPr="00780029" w:rsidRDefault="00E130D6" w:rsidP="00525DDF">
            <w:pPr>
              <w:numPr>
                <w:ilvl w:val="0"/>
                <w:numId w:val="24"/>
              </w:numPr>
              <w:cnfStyle w:val="000000000000" w:firstRow="0" w:lastRow="0" w:firstColumn="0" w:lastColumn="0" w:oddVBand="0" w:evenVBand="0" w:oddHBand="0" w:evenHBand="0" w:firstRowFirstColumn="0" w:firstRowLastColumn="0" w:lastRowFirstColumn="0" w:lastRowLastColumn="0"/>
            </w:pPr>
            <w:r w:rsidRPr="00780029">
              <w:t>0.1 to -8.9</w:t>
            </w:r>
          </w:p>
        </w:tc>
      </w:tr>
      <w:tr w:rsidR="00E130D6" w:rsidRPr="00780029" w:rsidTr="00E1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E130D6" w:rsidRPr="00780029" w:rsidRDefault="00E130D6" w:rsidP="00525DDF">
            <w:pPr>
              <w:numPr>
                <w:ilvl w:val="0"/>
                <w:numId w:val="24"/>
              </w:numPr>
            </w:pPr>
            <w:r w:rsidRPr="00780029">
              <w:t xml:space="preserve">Oil </w:t>
            </w:r>
          </w:p>
          <w:p w:rsidR="00E130D6" w:rsidRPr="00780029" w:rsidRDefault="00E130D6" w:rsidP="00525DDF">
            <w:pPr>
              <w:numPr>
                <w:ilvl w:val="0"/>
                <w:numId w:val="24"/>
              </w:numPr>
            </w:pPr>
            <w:r w:rsidRPr="00780029">
              <w:t>CEG</w:t>
            </w:r>
          </w:p>
          <w:p w:rsidR="00E130D6" w:rsidRPr="00780029" w:rsidRDefault="00E130D6" w:rsidP="00525DDF">
            <w:pPr>
              <w:numPr>
                <w:ilvl w:val="0"/>
                <w:numId w:val="24"/>
              </w:numPr>
            </w:pPr>
            <w:r w:rsidRPr="00780029">
              <w:t>SKM</w:t>
            </w:r>
          </w:p>
          <w:p w:rsidR="00E130D6" w:rsidRPr="00780029" w:rsidRDefault="00E130D6" w:rsidP="00525DDF">
            <w:pPr>
              <w:numPr>
                <w:ilvl w:val="0"/>
                <w:numId w:val="24"/>
              </w:numPr>
            </w:pPr>
            <w:r w:rsidRPr="00780029">
              <w:t>BIS Shrapnel2</w:t>
            </w:r>
          </w:p>
          <w:p w:rsidR="00E130D6" w:rsidRPr="00780029" w:rsidRDefault="00E130D6" w:rsidP="00525DDF">
            <w:pPr>
              <w:numPr>
                <w:ilvl w:val="0"/>
                <w:numId w:val="24"/>
              </w:numPr>
            </w:pPr>
            <w:r w:rsidRPr="00780029">
              <w:t>Range (low to high)</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1.6</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-5.11</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1.4</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-5.11 to 1.</w:t>
            </w:r>
            <w:r w:rsidR="000244CC">
              <w:t>6</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1.3</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-0.79</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-1.1</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 xml:space="preserve">-1.1 to </w:t>
            </w:r>
            <w:r w:rsidR="00A906C4">
              <w:t>1.3</w:t>
            </w:r>
          </w:p>
        </w:tc>
        <w:tc>
          <w:tcPr>
            <w:tcW w:w="1443"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1.1</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0.74</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-0.2</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 xml:space="preserve">-0.2 to </w:t>
            </w:r>
            <w:r w:rsidR="00A906C4">
              <w:t>1.1</w:t>
            </w:r>
          </w:p>
        </w:tc>
        <w:tc>
          <w:tcPr>
            <w:tcW w:w="1444"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1C3F7A" w:rsidP="00525DDF">
            <w:pPr>
              <w:numPr>
                <w:ilvl w:val="0"/>
                <w:numId w:val="24"/>
              </w:numPr>
              <w:cnfStyle w:val="000000010000" w:firstRow="0" w:lastRow="0" w:firstColumn="0" w:lastColumn="0" w:oddVBand="0" w:evenVBand="0" w:oddHBand="0" w:evenHBand="1" w:firstRowFirstColumn="0" w:firstRowLastColumn="0" w:lastRowFirstColumn="0" w:lastRowLastColumn="0"/>
            </w:pPr>
            <w:r>
              <w:t>1.0</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1.85</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6.5</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1.85 to 6.5</w:t>
            </w:r>
          </w:p>
        </w:tc>
        <w:tc>
          <w:tcPr>
            <w:tcW w:w="1444" w:type="dxa"/>
            <w:vAlign w:val="top"/>
          </w:tcPr>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1.</w:t>
            </w:r>
            <w:r w:rsidR="001C3F7A">
              <w:t>1</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0.51</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-6.2</w:t>
            </w:r>
          </w:p>
          <w:p w:rsidR="00E130D6" w:rsidRPr="00780029" w:rsidRDefault="00E130D6" w:rsidP="00525DDF">
            <w:pPr>
              <w:numPr>
                <w:ilvl w:val="0"/>
                <w:numId w:val="24"/>
              </w:numPr>
              <w:cnfStyle w:val="000000010000" w:firstRow="0" w:lastRow="0" w:firstColumn="0" w:lastColumn="0" w:oddVBand="0" w:evenVBand="0" w:oddHBand="0" w:evenHBand="1" w:firstRowFirstColumn="0" w:firstRowLastColumn="0" w:lastRowFirstColumn="0" w:lastRowLastColumn="0"/>
            </w:pPr>
            <w:r w:rsidRPr="00780029">
              <w:t>-6.2 to 1.</w:t>
            </w:r>
            <w:r w:rsidR="00A906C4">
              <w:t>1</w:t>
            </w:r>
          </w:p>
        </w:tc>
      </w:tr>
    </w:tbl>
    <w:p w:rsidR="00E130D6" w:rsidRDefault="00E130D6" w:rsidP="00E130D6">
      <w:pPr>
        <w:pStyle w:val="AERtablesource"/>
      </w:pPr>
      <w:r w:rsidRPr="00780029">
        <w:t>Source:</w:t>
      </w:r>
      <w:r w:rsidRPr="00780029">
        <w:tab/>
      </w:r>
      <w:r w:rsidR="001558AC">
        <w:t>SA Power Networks</w:t>
      </w:r>
      <w:r w:rsidR="00C734A2" w:rsidRPr="00780029">
        <w:t xml:space="preserve">, Revenue proposal, Attachment </w:t>
      </w:r>
      <w:r w:rsidR="00C734A2">
        <w:t>20.3</w:t>
      </w:r>
      <w:r w:rsidR="00C734A2" w:rsidRPr="00780029">
        <w:t xml:space="preserve">, </w:t>
      </w:r>
      <w:r w:rsidR="00C734A2">
        <w:t>CEG</w:t>
      </w:r>
      <w:r w:rsidR="00C734A2" w:rsidRPr="00FC08A5">
        <w:t xml:space="preserve"> Materials cost escalation factors: a report for SA Power Networks, August 2014, p</w:t>
      </w:r>
      <w:r w:rsidR="00C734A2">
        <w:t>p</w:t>
      </w:r>
      <w:r w:rsidR="00C734A2" w:rsidRPr="00FC08A5">
        <w:t xml:space="preserve">. </w:t>
      </w:r>
      <w:r w:rsidR="00C734A2">
        <w:t>15, 17, and 19</w:t>
      </w:r>
      <w:r w:rsidRPr="00780029">
        <w:t>, SKM, TransGrid Commodity Price Escalation Forecast 2013/14 - 2018/19, 9 December 2013, p. 2 and BIS Shrapnel, Real Labour and Material Cost Escalation Forecasts to 2019/20 - Australia and New South Wales, April 2014, p. iii.</w:t>
      </w:r>
    </w:p>
    <w:p w:rsidR="00E130D6" w:rsidRPr="00D2144F" w:rsidRDefault="00E130D6" w:rsidP="00E130D6">
      <w:pPr>
        <w:pStyle w:val="AERtablesource"/>
      </w:pPr>
    </w:p>
    <w:p w:rsidR="00E130D6" w:rsidRPr="00780029" w:rsidRDefault="00E130D6" w:rsidP="00E130D6">
      <w:pPr>
        <w:pStyle w:val="AERtablesource"/>
      </w:pPr>
      <w:r w:rsidRPr="00D2144F">
        <w:rPr>
          <w:rStyle w:val="AERsuperscript"/>
        </w:rPr>
        <w:t>1</w:t>
      </w:r>
      <w:r w:rsidRPr="00780029">
        <w:t xml:space="preserve"> </w:t>
      </w:r>
      <w:r w:rsidR="00C1345C">
        <w:tab/>
      </w:r>
      <w:r w:rsidRPr="00780029">
        <w:t>Asian market price as BIS Shrapnel believes the Asia market is more appropriate.</w:t>
      </w:r>
      <w:r w:rsidRPr="00AA5B65">
        <w:rPr>
          <w:rStyle w:val="AERsuperscript"/>
        </w:rPr>
        <w:footnoteReference w:id="406"/>
      </w:r>
    </w:p>
    <w:p w:rsidR="00E130D6" w:rsidRPr="00780029" w:rsidRDefault="00E130D6" w:rsidP="00E130D6">
      <w:pPr>
        <w:pStyle w:val="AERtablesource"/>
      </w:pPr>
      <w:r w:rsidRPr="00D2144F">
        <w:rPr>
          <w:rStyle w:val="AERsuperscript"/>
        </w:rPr>
        <w:t>2</w:t>
      </w:r>
      <w:r w:rsidRPr="00780029">
        <w:t xml:space="preserve"> </w:t>
      </w:r>
      <w:r w:rsidR="00C1345C">
        <w:tab/>
      </w:r>
      <w:r w:rsidRPr="00780029">
        <w:t>BIS Shrapnel have forecast plastics prices based on price changes in Nylon-11 and HDPE (Polyethylene). BIS Shrapnel state that Castor Oil is the key raw material of Nylon-11 and because it does not have any historical data on Castor Oil, it has approximated Nylon-11 by using HDPE growth rates. HDPE (Polyethylene) prices are proxied by BIS Shrapnel using Manufacturing Wages, General Materials, and Thermoplastic Resin prices. BIS Shrapnel state that Thermoplastic Resin is primarily driven by Crude Oil.</w:t>
      </w:r>
      <w:r w:rsidRPr="00AA5B65">
        <w:rPr>
          <w:rStyle w:val="AERsuperscript"/>
        </w:rPr>
        <w:footnoteReference w:id="407"/>
      </w:r>
    </w:p>
    <w:p w:rsidR="00834D39" w:rsidRDefault="00A906C4" w:rsidP="005531F2">
      <w:r w:rsidRPr="00780029">
        <w:t xml:space="preserve">As </w:t>
      </w:r>
      <w:r>
        <w:fldChar w:fldCharType="begin"/>
      </w:r>
      <w:r>
        <w:instrText xml:space="preserve"> REF _Ref404071807 \h </w:instrText>
      </w:r>
      <w:r>
        <w:fldChar w:fldCharType="separate"/>
      </w:r>
      <w:r w:rsidR="00C35CCD">
        <w:t>t</w:t>
      </w:r>
      <w:r w:rsidR="00F02131">
        <w:t>able D</w:t>
      </w:r>
      <w:r w:rsidR="00F02131">
        <w:noBreakHyphen/>
      </w:r>
      <w:r w:rsidR="00F02131">
        <w:rPr>
          <w:noProof/>
        </w:rPr>
        <w:t>3</w:t>
      </w:r>
      <w:r>
        <w:fldChar w:fldCharType="end"/>
      </w:r>
      <w:r>
        <w:t xml:space="preserve"> </w:t>
      </w:r>
      <w:r w:rsidRPr="00780029">
        <w:t xml:space="preserve">shows, there is considerable variation between the consultant’s commodities escalation forecasts. The greatest margin of variation is </w:t>
      </w:r>
      <w:r w:rsidR="004D142A">
        <w:t>9.6</w:t>
      </w:r>
      <w:r w:rsidRPr="00780029">
        <w:t xml:space="preserve"> per cent for </w:t>
      </w:r>
      <w:r w:rsidR="004D142A">
        <w:t xml:space="preserve">copper </w:t>
      </w:r>
      <w:r w:rsidRPr="00780029">
        <w:t xml:space="preserve">in 2018-19, where CEG has forecast a real price </w:t>
      </w:r>
      <w:r w:rsidR="004D142A">
        <w:t>de</w:t>
      </w:r>
      <w:r w:rsidRPr="00780029">
        <w:t xml:space="preserve">crease of </w:t>
      </w:r>
      <w:r w:rsidR="004D142A">
        <w:t>0.3</w:t>
      </w:r>
      <w:r w:rsidRPr="00780029">
        <w:t xml:space="preserve"> per cent and BIS Shrapnel a real price </w:t>
      </w:r>
      <w:r w:rsidR="004D142A">
        <w:t>in</w:t>
      </w:r>
      <w:r w:rsidRPr="00780029">
        <w:t xml:space="preserve">crease of </w:t>
      </w:r>
      <w:r w:rsidR="004D142A">
        <w:t>9.3</w:t>
      </w:r>
      <w:r w:rsidRPr="00780029">
        <w:t xml:space="preserve"> per cent. BIS Shrapnel’s forecasts exhibit the greatest margin of variation but there also considerable variation between CEG and SKM’s forecasts. These forecast divergences between consultants further demonstrate </w:t>
      </w:r>
      <w:r w:rsidRPr="00780029">
        <w:lastRenderedPageBreak/>
        <w:t xml:space="preserve">the uncertainty in the modelling of material input cost escalators to reliably and accurately estimate the prices of intermediate outputs used by </w:t>
      </w:r>
      <w:r w:rsidR="00491D0C">
        <w:t>distributor</w:t>
      </w:r>
      <w:r w:rsidRPr="00780029">
        <w:t xml:space="preserve">s to provide network services. This supports our view that </w:t>
      </w:r>
      <w:r w:rsidR="004D142A">
        <w:t>SA</w:t>
      </w:r>
      <w:r w:rsidR="00EA60F8">
        <w:t xml:space="preserve"> </w:t>
      </w:r>
      <w:r w:rsidR="004D142A">
        <w:t>P</w:t>
      </w:r>
      <w:r w:rsidR="00EA60F8">
        <w:t>ower Networks</w:t>
      </w:r>
      <w:r w:rsidRPr="00780029">
        <w:t xml:space="preserve"> forecast real material cost escalators do not reasonably reflect a realistic expectation of the cost inputs required to achieve the capex objectives over the 201</w:t>
      </w:r>
      <w:r w:rsidR="004D142A">
        <w:t>5</w:t>
      </w:r>
      <w:r w:rsidRPr="00780029">
        <w:t>–</w:t>
      </w:r>
      <w:r w:rsidR="004D142A">
        <w:t>20</w:t>
      </w:r>
      <w:r w:rsidRPr="00780029">
        <w:t xml:space="preserve"> regulatory control period.</w:t>
      </w:r>
      <w:r w:rsidRPr="00AA5B65">
        <w:rPr>
          <w:rStyle w:val="AERsuperscript"/>
        </w:rPr>
        <w:footnoteReference w:id="408"/>
      </w:r>
    </w:p>
    <w:p w:rsidR="0071295E" w:rsidRPr="0071295E" w:rsidRDefault="0071295E" w:rsidP="0071295E">
      <w:pPr>
        <w:pStyle w:val="Heading8"/>
      </w:pPr>
      <w:bookmarkStart w:id="209" w:name="_Toc404164383"/>
      <w:bookmarkStart w:id="210" w:name="_Toc417725428"/>
      <w:r w:rsidRPr="00780029">
        <w:t>Conclusions on materials cost escalation</w:t>
      </w:r>
      <w:bookmarkEnd w:id="209"/>
      <w:bookmarkEnd w:id="210"/>
    </w:p>
    <w:p w:rsidR="0071295E" w:rsidRPr="00780029" w:rsidRDefault="0071295E" w:rsidP="00525DDF">
      <w:pPr>
        <w:numPr>
          <w:ilvl w:val="0"/>
          <w:numId w:val="24"/>
        </w:numPr>
      </w:pPr>
      <w:r w:rsidRPr="00780029">
        <w:t xml:space="preserve">We are not satisfied that </w:t>
      </w:r>
      <w:r>
        <w:t>SA</w:t>
      </w:r>
      <w:r w:rsidR="00EA60F8">
        <w:t xml:space="preserve"> </w:t>
      </w:r>
      <w:r>
        <w:t>P</w:t>
      </w:r>
      <w:r w:rsidR="00EA60F8">
        <w:t>ower Networks</w:t>
      </w:r>
      <w:r>
        <w:t xml:space="preserve"> </w:t>
      </w:r>
      <w:r w:rsidRPr="00780029">
        <w:t xml:space="preserve">has demonstrated that the weightings applied to the intermediate inputs have produced unbiased forecasts of the movement in the prices it expects to pay for its physical assets. In particular, </w:t>
      </w:r>
      <w:r w:rsidR="00372865">
        <w:t>SA</w:t>
      </w:r>
      <w:r w:rsidR="00EA60F8">
        <w:t xml:space="preserve"> </w:t>
      </w:r>
      <w:r w:rsidR="00372865">
        <w:t>P</w:t>
      </w:r>
      <w:r w:rsidR="00EA60F8">
        <w:t>ower Networks</w:t>
      </w:r>
      <w:r w:rsidR="00372865">
        <w:t xml:space="preserve"> </w:t>
      </w:r>
      <w:r w:rsidRPr="00780029">
        <w:t xml:space="preserve">has not provided sufficient evidence to show that the changes in the prices of the assets they purchase are highly correlated to changes in raw material inputs. </w:t>
      </w:r>
    </w:p>
    <w:p w:rsidR="0071295E" w:rsidRPr="00780029" w:rsidRDefault="0071295E" w:rsidP="00525DDF">
      <w:pPr>
        <w:numPr>
          <w:ilvl w:val="0"/>
          <w:numId w:val="24"/>
        </w:numPr>
      </w:pPr>
      <w:r w:rsidRPr="00780029">
        <w:t>CEG, in its report</w:t>
      </w:r>
      <w:r w:rsidR="00202386">
        <w:t>s</w:t>
      </w:r>
      <w:r w:rsidRPr="00780029">
        <w:t xml:space="preserve"> to </w:t>
      </w:r>
      <w:r w:rsidR="00372865">
        <w:t>SA</w:t>
      </w:r>
      <w:r w:rsidR="00EA60F8">
        <w:t xml:space="preserve"> </w:t>
      </w:r>
      <w:r w:rsidR="00372865">
        <w:t>P</w:t>
      </w:r>
      <w:r w:rsidR="00EA60F8">
        <w:t>ower Networks</w:t>
      </w:r>
      <w:r w:rsidR="00202386">
        <w:t xml:space="preserve"> and other electricity </w:t>
      </w:r>
      <w:r w:rsidR="00491D0C">
        <w:t>distributor</w:t>
      </w:r>
      <w:r w:rsidR="00202386">
        <w:t>s</w:t>
      </w:r>
      <w:r w:rsidRPr="00780029">
        <w:t xml:space="preserve">, identified a number of factors which are consistent with our view that </w:t>
      </w:r>
      <w:r w:rsidR="00372865">
        <w:t>SA</w:t>
      </w:r>
      <w:r w:rsidR="00FA3FC1">
        <w:t xml:space="preserve"> </w:t>
      </w:r>
      <w:r w:rsidR="00372865">
        <w:t>P</w:t>
      </w:r>
      <w:r w:rsidR="00FA3FC1">
        <w:t>ower Network</w:t>
      </w:r>
      <w:r w:rsidRPr="00780029">
        <w:t xml:space="preserve">s input cost model has not demonstrated how and to what extent material inputs are likely to affect the cost of assets. </w:t>
      </w:r>
      <w:r w:rsidR="00202386">
        <w:t>Jacobs</w:t>
      </w:r>
      <w:r w:rsidR="00C35CCD">
        <w:t>,</w:t>
      </w:r>
      <w:r w:rsidR="00202386">
        <w:t xml:space="preserve"> in its report to SA</w:t>
      </w:r>
      <w:r w:rsidR="00EA60F8">
        <w:t xml:space="preserve"> </w:t>
      </w:r>
      <w:r w:rsidR="00202386">
        <w:t>P</w:t>
      </w:r>
      <w:r w:rsidR="00EA60F8">
        <w:t>ower Networks</w:t>
      </w:r>
      <w:r w:rsidR="00014645">
        <w:t>,</w:t>
      </w:r>
      <w:r w:rsidR="00202386">
        <w:t xml:space="preserve"> </w:t>
      </w:r>
      <w:r w:rsidRPr="00780029">
        <w:t xml:space="preserve">acknowledged that </w:t>
      </w:r>
      <w:r w:rsidR="00202386">
        <w:t xml:space="preserve">the Australian CPI can be used to account for </w:t>
      </w:r>
      <w:r w:rsidR="00014645">
        <w:t xml:space="preserve">those materials or cost items in equipment </w:t>
      </w:r>
      <w:r w:rsidR="00252FBB">
        <w:t xml:space="preserve">for which the </w:t>
      </w:r>
      <w:r w:rsidR="00014645">
        <w:t>price trend cannot be rationally or conclusively explained by movement in commodity prices</w:t>
      </w:r>
      <w:r w:rsidRPr="00780029">
        <w:t>.</w:t>
      </w:r>
      <w:r w:rsidRPr="00AA5B65">
        <w:rPr>
          <w:rStyle w:val="AERsuperscript"/>
        </w:rPr>
        <w:footnoteReference w:id="409"/>
      </w:r>
      <w:r w:rsidRPr="00780029">
        <w:t xml:space="preserve"> CEG stated that futures prices are unlikely to exactly predict future spot prices given that all manner of unexpected events can occur.</w:t>
      </w:r>
      <w:r w:rsidRPr="00AA5B65">
        <w:rPr>
          <w:rStyle w:val="AERsuperscript"/>
        </w:rPr>
        <w:footnoteReference w:id="410"/>
      </w:r>
      <w:r w:rsidRPr="00780029">
        <w:t xml:space="preserve"> CEG also stated that while futures prices and forecasts today may well be a very precise estimate of current expectations of the future, they are at best an imprecise estimate of future values.</w:t>
      </w:r>
      <w:r w:rsidRPr="00AA5B65">
        <w:rPr>
          <w:rStyle w:val="AERsuperscript"/>
        </w:rPr>
        <w:footnoteReference w:id="411"/>
      </w:r>
    </w:p>
    <w:p w:rsidR="0071295E" w:rsidRPr="00780029" w:rsidRDefault="0071295E" w:rsidP="00525DDF">
      <w:pPr>
        <w:numPr>
          <w:ilvl w:val="0"/>
          <w:numId w:val="24"/>
        </w:numPr>
      </w:pPr>
      <w:r w:rsidRPr="00780029">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71295E" w:rsidRPr="00780029" w:rsidRDefault="00D649DD" w:rsidP="00525DDF">
      <w:pPr>
        <w:numPr>
          <w:ilvl w:val="0"/>
          <w:numId w:val="24"/>
        </w:numPr>
      </w:pPr>
      <w:r>
        <w:t>W</w:t>
      </w:r>
      <w:r w:rsidR="0071295E" w:rsidRPr="00780029">
        <w:t>e are not satisfied that a forecast of real cost escalation for materials is robust</w:t>
      </w:r>
      <w:r w:rsidR="00252FBB">
        <w:t xml:space="preserve">.  We consider that in the absence of a </w:t>
      </w:r>
      <w:r w:rsidR="0071295E" w:rsidRPr="00780029">
        <w:t xml:space="preserve">robust alternative forecast, then real cost escalation should not be applied in determining a </w:t>
      </w:r>
      <w:r w:rsidR="00491D0C">
        <w:t>distributor</w:t>
      </w:r>
      <w:r w:rsidR="0071295E" w:rsidRPr="00780029">
        <w:t>'s required capital expenditure. We accept that there is uncertainty in estimating real cost changes but we consider the degree of the potential inaccuracy of commodities forecasts is such that there should be no escalation for the price of input materials</w:t>
      </w:r>
      <w:r w:rsidR="0071295E" w:rsidRPr="0071295E">
        <w:t xml:space="preserve"> </w:t>
      </w:r>
      <w:r w:rsidR="0071295E" w:rsidRPr="00780029">
        <w:t xml:space="preserve">used by </w:t>
      </w:r>
      <w:r w:rsidR="00EA6590">
        <w:t>SA</w:t>
      </w:r>
      <w:r w:rsidR="00EA60F8">
        <w:t xml:space="preserve"> </w:t>
      </w:r>
      <w:r w:rsidR="00EA6590">
        <w:t>P</w:t>
      </w:r>
      <w:r w:rsidR="00EA60F8">
        <w:t>ower Networks</w:t>
      </w:r>
      <w:r w:rsidR="00EA6590">
        <w:t xml:space="preserve"> </w:t>
      </w:r>
      <w:r w:rsidR="0071295E" w:rsidRPr="00780029">
        <w:t>to provide network services.</w:t>
      </w:r>
    </w:p>
    <w:p w:rsidR="0071295E" w:rsidRPr="00780029" w:rsidRDefault="0071295E" w:rsidP="00525DDF">
      <w:pPr>
        <w:numPr>
          <w:ilvl w:val="0"/>
          <w:numId w:val="24"/>
        </w:numPr>
      </w:pPr>
      <w:r w:rsidRPr="00780029">
        <w:lastRenderedPageBreak/>
        <w:t xml:space="preserve">In previous AER decisions, namely our Final Decisions for Envestra's Queensland and South Australian networks, we took a similar approach. This was on the basis that as all of Envestra's real costs are escalated annually by CPI under its tariff variation mechanism, CPI must inform the AER's underlying assumptions about Envestra's overall input costs. Consistent with this, we applied zero real cost escalation and by default Envestra's input costs were escalated by CPI in the absence of a viable and robust alternative. Likewise, for </w:t>
      </w:r>
      <w:r w:rsidR="00EA6590">
        <w:t>SA</w:t>
      </w:r>
      <w:r w:rsidR="00EA60F8">
        <w:t xml:space="preserve"> </w:t>
      </w:r>
      <w:r w:rsidR="00EA6590">
        <w:t>P</w:t>
      </w:r>
      <w:r w:rsidR="00EA60F8">
        <w:t>ower Networks</w:t>
      </w:r>
      <w:r w:rsidRPr="00780029">
        <w:t>, we consider that in the absence of a well-founded materials cost escalation forecast, escalating real costs annually by the CPI is the better alternative that will contribute to a total forecast capex that reasonably reflects the capex criteria.</w:t>
      </w:r>
    </w:p>
    <w:p w:rsidR="0071295E" w:rsidRPr="00780029" w:rsidRDefault="0071295E" w:rsidP="00525DDF">
      <w:pPr>
        <w:numPr>
          <w:ilvl w:val="0"/>
          <w:numId w:val="24"/>
        </w:numPr>
      </w:pPr>
      <w:r w:rsidRPr="00780029">
        <w:t xml:space="preserve">The CPI can be used to account for the cost items for equipment whose price trend cannot be conclusively explained by the movement of commodities prices. This approach is consistent with the revenue and pricing principles of the NEL which provide that a regulated </w:t>
      </w:r>
      <w:r w:rsidR="00491D0C">
        <w:t>distributor</w:t>
      </w:r>
      <w:r w:rsidR="00491D0C" w:rsidRPr="00780029">
        <w:t xml:space="preserve"> </w:t>
      </w:r>
      <w:r w:rsidRPr="00780029">
        <w:t>should be provided with a reasonable opportunity to recover at least the efficient costs it incurs in providing direct control network services.</w:t>
      </w:r>
      <w:r w:rsidRPr="00AA5B65">
        <w:rPr>
          <w:rStyle w:val="AERsuperscript"/>
        </w:rPr>
        <w:footnoteReference w:id="412"/>
      </w:r>
    </w:p>
    <w:p w:rsidR="0071295E" w:rsidRPr="0071295E" w:rsidRDefault="0071295E" w:rsidP="0071295E">
      <w:pPr>
        <w:pStyle w:val="Heading8"/>
      </w:pPr>
      <w:bookmarkStart w:id="211" w:name="_Toc404164384"/>
      <w:bookmarkStart w:id="212" w:name="_Toc417725429"/>
      <w:r w:rsidRPr="00780029">
        <w:t>Labour and construction escalators</w:t>
      </w:r>
      <w:bookmarkEnd w:id="211"/>
      <w:bookmarkEnd w:id="212"/>
    </w:p>
    <w:p w:rsidR="0071295E" w:rsidRPr="00780029" w:rsidRDefault="0071295E" w:rsidP="00525DDF">
      <w:pPr>
        <w:numPr>
          <w:ilvl w:val="0"/>
          <w:numId w:val="24"/>
        </w:numPr>
      </w:pPr>
      <w:r w:rsidRPr="00780029">
        <w:t xml:space="preserve">Our approach to real materials cost escalation does not affect the application of labour and construction cost escalators, which will continue to apply to standard control services capital and operating expenditure. </w:t>
      </w:r>
    </w:p>
    <w:p w:rsidR="0071295E" w:rsidRPr="00780029" w:rsidRDefault="0071295E" w:rsidP="00525DDF">
      <w:pPr>
        <w:numPr>
          <w:ilvl w:val="0"/>
          <w:numId w:val="24"/>
        </w:numPr>
      </w:pPr>
      <w:r w:rsidRPr="00780029">
        <w:t>We consider that labour and construction cost escalation more reasonably reflects a realistic expectation of the cost inputs required to achieve the opex and capex objectives.</w:t>
      </w:r>
      <w:r w:rsidRPr="00AA5B65">
        <w:rPr>
          <w:rStyle w:val="AERsuperscript"/>
        </w:rPr>
        <w:footnoteReference w:id="413"/>
      </w:r>
      <w:r w:rsidRPr="00780029">
        <w:t xml:space="preserve"> We consider that real labour and construction cost escalators can be more reliably and robustly forecast than material input cost escalators, in part because these are not intermediate inputs and for labour escalators, productivity improvements have been factored into the analysis</w:t>
      </w:r>
      <w:r>
        <w:t xml:space="preserve"> (refer to the opex attachment)</w:t>
      </w:r>
      <w:r w:rsidRPr="00780029">
        <w:t xml:space="preserve">. </w:t>
      </w:r>
    </w:p>
    <w:p w:rsidR="0071295E" w:rsidRPr="00780029" w:rsidRDefault="0071295E" w:rsidP="00525DDF">
      <w:pPr>
        <w:numPr>
          <w:ilvl w:val="0"/>
          <w:numId w:val="24"/>
        </w:numPr>
      </w:pPr>
      <w:r w:rsidRPr="00780029">
        <w:t>Construction costs can be forecast with greater precision because the drivers (construction and manufacturing wages, plant equipment and other fabricated metal products, and plant and equipment hire) are reasonably transparent and can be predicted with some degree of accuracy.</w:t>
      </w:r>
    </w:p>
    <w:p w:rsidR="00834D39" w:rsidRPr="00997831" w:rsidRDefault="004B02D7" w:rsidP="00997831">
      <w:r w:rsidRPr="004B02D7">
        <w:t xml:space="preserve">Further details on our consideration of labour cost escalators are discussed in </w:t>
      </w:r>
      <w:r w:rsidR="00AB07AD">
        <w:t>a</w:t>
      </w:r>
      <w:r w:rsidRPr="00997831">
        <w:t>ttachment 7.</w:t>
      </w:r>
    </w:p>
    <w:p w:rsidR="000C3DB7" w:rsidRDefault="000C3DB7" w:rsidP="005531F2"/>
    <w:p w:rsidR="000C3DB7" w:rsidRDefault="000C3DB7" w:rsidP="005531F2"/>
    <w:p w:rsidR="000C3DB7" w:rsidRDefault="000C3DB7" w:rsidP="005531F2"/>
    <w:p w:rsidR="00DB185B" w:rsidRPr="00DB185B" w:rsidRDefault="00DB185B" w:rsidP="00DB185B">
      <w:pPr>
        <w:pStyle w:val="Heading7"/>
      </w:pPr>
      <w:bookmarkStart w:id="213" w:name="_Ref403570171"/>
      <w:bookmarkStart w:id="214" w:name="_Toc404589183"/>
      <w:bookmarkStart w:id="215" w:name="_Toc417725430"/>
      <w:r w:rsidRPr="00DB185B">
        <w:lastRenderedPageBreak/>
        <w:t>Predictive modelling approach and scenarios</w:t>
      </w:r>
      <w:bookmarkEnd w:id="213"/>
      <w:bookmarkEnd w:id="214"/>
      <w:bookmarkEnd w:id="215"/>
    </w:p>
    <w:p w:rsidR="00DB185B" w:rsidRPr="00DB185B" w:rsidRDefault="00DB185B" w:rsidP="00DB185B">
      <w:pPr>
        <w:numPr>
          <w:ilvl w:val="0"/>
          <w:numId w:val="24"/>
        </w:numPr>
      </w:pPr>
      <w:r w:rsidRPr="00DB185B">
        <w:t>This section provides a guide to our repex modelling process. It sets out:</w:t>
      </w:r>
    </w:p>
    <w:p w:rsidR="00DB185B" w:rsidRPr="00DB185B" w:rsidRDefault="00DB185B" w:rsidP="00DB185B">
      <w:pPr>
        <w:pStyle w:val="AERbulletlistfirststyle"/>
      </w:pPr>
      <w:r w:rsidRPr="00DB185B">
        <w:t>the background to the repex modelling techniques</w:t>
      </w:r>
    </w:p>
    <w:p w:rsidR="00DB185B" w:rsidRPr="00DB185B" w:rsidRDefault="00DB185B" w:rsidP="00DB185B">
      <w:pPr>
        <w:pStyle w:val="AERbulletlistfirststyle"/>
      </w:pPr>
      <w:r w:rsidRPr="00DB185B">
        <w:t>discussion of the data required to apply the repex model</w:t>
      </w:r>
    </w:p>
    <w:p w:rsidR="00DB185B" w:rsidRPr="00DB185B" w:rsidRDefault="00DB185B" w:rsidP="00DB185B">
      <w:pPr>
        <w:pStyle w:val="AERbulletlistfirststyle"/>
      </w:pPr>
      <w:r w:rsidRPr="00DB185B">
        <w:t>detail on how this data was specified</w:t>
      </w:r>
    </w:p>
    <w:p w:rsidR="00DB185B" w:rsidRPr="00DB185B" w:rsidRDefault="00DB185B" w:rsidP="00DB185B">
      <w:pPr>
        <w:pStyle w:val="AERbulletlistfirststyle"/>
      </w:pPr>
      <w:r w:rsidRPr="00DB185B">
        <w:t>description of how this data was collected and refined for inclusion in the repex model</w:t>
      </w:r>
    </w:p>
    <w:p w:rsidR="00DB185B" w:rsidRPr="00DB185B" w:rsidRDefault="00DB185B" w:rsidP="00DB185B">
      <w:pPr>
        <w:pStyle w:val="AERbulletlistfirststyle"/>
      </w:pPr>
      <w:r w:rsidRPr="00DB185B">
        <w:t xml:space="preserve">the outcomes of the repex model under various input scenarios </w:t>
      </w:r>
    </w:p>
    <w:p w:rsidR="00DB185B" w:rsidRPr="00DB185B" w:rsidRDefault="00DB185B" w:rsidP="00DB185B">
      <w:pPr>
        <w:numPr>
          <w:ilvl w:val="0"/>
          <w:numId w:val="24"/>
        </w:numPr>
      </w:pPr>
      <w:r w:rsidRPr="00DB185B">
        <w:t>This supports the detailed and multifaceted reasoning outlined in appendix A.</w:t>
      </w:r>
    </w:p>
    <w:p w:rsidR="00DB185B" w:rsidRPr="00DB185B" w:rsidRDefault="00DB185B" w:rsidP="00DB185B">
      <w:pPr>
        <w:pStyle w:val="Heading8"/>
        <w:numPr>
          <w:ilvl w:val="1"/>
          <w:numId w:val="55"/>
        </w:numPr>
      </w:pPr>
      <w:bookmarkStart w:id="216" w:name="_Toc404589184"/>
      <w:bookmarkStart w:id="217" w:name="_Toc417725431"/>
      <w:r w:rsidRPr="00DB185B">
        <w:t>Predictive modelling techniques</w:t>
      </w:r>
      <w:bookmarkEnd w:id="216"/>
      <w:bookmarkEnd w:id="217"/>
    </w:p>
    <w:p w:rsidR="00DB185B" w:rsidRPr="00DB185B" w:rsidRDefault="00DB185B" w:rsidP="00DB185B">
      <w:r w:rsidRPr="00DB185B">
        <w:t xml:space="preserve">In late 2012 the AEMC published changes to the National Electricity and </w:t>
      </w:r>
      <w:r w:rsidR="00A452C0">
        <w:t xml:space="preserve">National </w:t>
      </w:r>
      <w:r w:rsidRPr="00DB185B">
        <w:t>Gas Rules.</w:t>
      </w:r>
      <w:r w:rsidRPr="00DB185B">
        <w:rPr>
          <w:rStyle w:val="AERsuperscript"/>
        </w:rPr>
        <w:footnoteReference w:id="414"/>
      </w:r>
      <w:r w:rsidRPr="00DB185B">
        <w:t xml:space="preserve"> In light of these rule changes the AER undertook a “Better Regulation” work program, which included publishing a series of guidelines setting out our approach to regulation under the new rules.</w:t>
      </w:r>
      <w:r w:rsidRPr="00DB185B">
        <w:rPr>
          <w:rStyle w:val="AERsuperscript"/>
        </w:rPr>
        <w:footnoteReference w:id="415"/>
      </w:r>
      <w:r w:rsidRPr="00DB185B">
        <w:rPr>
          <w:rStyle w:val="AERsuperscript"/>
        </w:rPr>
        <w:t xml:space="preserve"> </w:t>
      </w:r>
      <w:r w:rsidRPr="00DB185B">
        <w:t xml:space="preserve"> </w:t>
      </w:r>
    </w:p>
    <w:p w:rsidR="00DB185B" w:rsidRPr="00DB185B" w:rsidRDefault="00AD6B1F" w:rsidP="00DB185B">
      <w:r>
        <w:t>The e</w:t>
      </w:r>
      <w:r w:rsidR="00DB185B" w:rsidRPr="00DB185B">
        <w:t xml:space="preserve">xpenditure </w:t>
      </w:r>
      <w:r>
        <w:t>forecast a</w:t>
      </w:r>
      <w:r w:rsidR="00DB185B" w:rsidRPr="00DB185B">
        <w:t>ssessment Guideline describes our approach, assessment techniques and information requirements for setting efficient expenditure allowances for distributors.</w:t>
      </w:r>
      <w:r w:rsidR="00DB185B" w:rsidRPr="00DB185B">
        <w:rPr>
          <w:rStyle w:val="AERsuperscript"/>
        </w:rPr>
        <w:footnoteReference w:id="416"/>
      </w:r>
      <w:r w:rsidR="00DB185B" w:rsidRPr="00DB185B">
        <w:t xml:space="preserve"> It lists predictive modelling as one of the assessment techniques the AER may employ when assessing a distributor's repex. We first developed and used our repex model in our 2009 review of the Victorian electricity </w:t>
      </w:r>
      <w:r>
        <w:t>distributor'</w:t>
      </w:r>
      <w:r w:rsidR="00DB185B" w:rsidRPr="00DB185B">
        <w:t>s 2011–15 regulatory proposals and have also used it subsequently.</w:t>
      </w:r>
      <w:r w:rsidR="00DB185B" w:rsidRPr="00DB185B">
        <w:rPr>
          <w:rStyle w:val="AERsuperscript"/>
        </w:rPr>
        <w:footnoteReference w:id="417"/>
      </w:r>
    </w:p>
    <w:p w:rsidR="00DB185B" w:rsidRPr="00DB185B" w:rsidRDefault="00DB185B" w:rsidP="00DB185B">
      <w:pPr>
        <w:numPr>
          <w:ilvl w:val="0"/>
          <w:numId w:val="24"/>
        </w:numPr>
      </w:pPr>
      <w:r w:rsidRPr="00DB185B">
        <w:t>The technical underpinnings of the repex model are discussed in detail in the Replacement expenditure model handbook.</w:t>
      </w:r>
      <w:r w:rsidRPr="00DB185B">
        <w:rPr>
          <w:rStyle w:val="AERsuperscript"/>
        </w:rPr>
        <w:footnoteReference w:id="418"/>
      </w:r>
      <w:r w:rsidRPr="00DB185B">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DB185B">
        <w:lastRenderedPageBreak/>
        <w:t>replacement life benchmarking across all distribution businesses in the NEM. These processes are described below.</w:t>
      </w:r>
    </w:p>
    <w:p w:rsidR="00DB185B" w:rsidRPr="00DB185B" w:rsidRDefault="00DB185B" w:rsidP="00DB185B">
      <w:pPr>
        <w:pStyle w:val="Heading8"/>
      </w:pPr>
      <w:bookmarkStart w:id="218" w:name="_Toc404589185"/>
      <w:bookmarkStart w:id="219" w:name="_Toc417725432"/>
      <w:r w:rsidRPr="00DB185B">
        <w:t>Data specification process</w:t>
      </w:r>
      <w:bookmarkEnd w:id="218"/>
      <w:bookmarkEnd w:id="219"/>
    </w:p>
    <w:p w:rsidR="00DB185B" w:rsidRPr="00DB185B" w:rsidRDefault="00DB185B" w:rsidP="00DB185B">
      <w:r w:rsidRPr="00DB185B">
        <w:t>Our repex model requires the following input data on a distributor's network assets:</w:t>
      </w:r>
    </w:p>
    <w:p w:rsidR="00DB185B" w:rsidRPr="00DB185B" w:rsidRDefault="00DB185B" w:rsidP="00DB185B">
      <w:pPr>
        <w:pStyle w:val="AERbulletlistfirststyle"/>
      </w:pPr>
      <w:r w:rsidRPr="00DB185B">
        <w:t>the age profile of network assets currently in commission</w:t>
      </w:r>
    </w:p>
    <w:p w:rsidR="00DB185B" w:rsidRPr="00DB185B" w:rsidRDefault="00DB185B" w:rsidP="00DB185B">
      <w:pPr>
        <w:pStyle w:val="AERbulletlistfirststyle"/>
      </w:pPr>
      <w:r w:rsidRPr="00DB185B">
        <w:t>expenditure and replacement volume data of network assets</w:t>
      </w:r>
    </w:p>
    <w:p w:rsidR="00DB185B" w:rsidRPr="00DB185B" w:rsidRDefault="00DB185B" w:rsidP="00DB185B">
      <w:pPr>
        <w:pStyle w:val="AERbulletlistfirststyle"/>
      </w:pPr>
      <w:r w:rsidRPr="00DB185B">
        <w:t xml:space="preserve">the mean and standard deviation of each asset’s replacement life (replacement life) </w:t>
      </w:r>
    </w:p>
    <w:p w:rsidR="00DB185B" w:rsidRPr="00DB185B" w:rsidRDefault="00DB185B" w:rsidP="00DB185B">
      <w:pPr>
        <w:numPr>
          <w:ilvl w:val="0"/>
          <w:numId w:val="24"/>
        </w:numPr>
      </w:pPr>
      <w:r w:rsidRPr="00DB185B">
        <w:t>Given our intention to apply unit cost and replacement life benchmarking techniques, we defined the model’s input data around a series of prescribed network asset categories. We collected this information by issuing, in March 2014, two types of RINs:</w:t>
      </w:r>
    </w:p>
    <w:p w:rsidR="00DB185B" w:rsidRPr="00DB185B" w:rsidRDefault="00DB185B" w:rsidP="00DB185B">
      <w:pPr>
        <w:numPr>
          <w:ilvl w:val="0"/>
          <w:numId w:val="24"/>
        </w:numPr>
      </w:pPr>
      <w:r w:rsidRPr="00DB185B">
        <w:t xml:space="preserve">1. "Reset RINs" which we issued to distributors requiring them to submit this information with their upcoming regulatory proposal </w:t>
      </w:r>
    </w:p>
    <w:p w:rsidR="00DB185B" w:rsidRPr="00DB185B" w:rsidRDefault="00DB185B" w:rsidP="00DB185B">
      <w:pPr>
        <w:numPr>
          <w:ilvl w:val="0"/>
          <w:numId w:val="24"/>
        </w:numPr>
      </w:pPr>
      <w:r w:rsidRPr="00DB185B">
        <w:t>2. "Category analysis RINs" which we issued to all/other distributors in the NEM.</w:t>
      </w:r>
    </w:p>
    <w:p w:rsidR="00DB185B" w:rsidRPr="00DB185B" w:rsidRDefault="00DB185B" w:rsidP="00DB185B">
      <w:pPr>
        <w:numPr>
          <w:ilvl w:val="0"/>
          <w:numId w:val="24"/>
        </w:numPr>
      </w:pPr>
      <w:r w:rsidRPr="00DB185B">
        <w:t xml:space="preserve">The two types of RIN requested the same historical asset data for use in our repex modelling. The Reset RIN also collected data corresponding to the distributors proposed forecast repex over the 2014–19 period. In both RINs, the templates relevant to repex are sheets 2.2 and 5.2. </w:t>
      </w:r>
    </w:p>
    <w:p w:rsidR="00DB185B" w:rsidRPr="00DB185B" w:rsidRDefault="00DB185B" w:rsidP="00DB185B">
      <w:pPr>
        <w:numPr>
          <w:ilvl w:val="0"/>
          <w:numId w:val="24"/>
        </w:numPr>
      </w:pPr>
      <w:r w:rsidRPr="00DB185B">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DB185B">
        <w:rPr>
          <w:rStyle w:val="AERsuperscript"/>
        </w:rPr>
        <w:footnoteReference w:id="419"/>
      </w:r>
      <w:r w:rsidRPr="00DB185B">
        <w:rPr>
          <w:rStyle w:val="AERsuperscript"/>
        </w:rPr>
        <w:t xml:space="preserve"> </w:t>
      </w:r>
    </w:p>
    <w:p w:rsidR="00DB185B" w:rsidRPr="00DB185B" w:rsidRDefault="00DB185B" w:rsidP="00DB185B">
      <w:pPr>
        <w:numPr>
          <w:ilvl w:val="0"/>
          <w:numId w:val="24"/>
        </w:numPr>
      </w:pPr>
      <w:r w:rsidRPr="00DB185B">
        <w:t>Our changed approach of adopting a standardised approach to network asset categories provides us with a dataset suitable for comparative analysis, and better equips us to assess the relative prices of capital inputs as required by the capex criteria.</w:t>
      </w:r>
      <w:r w:rsidRPr="00DB185B">
        <w:rPr>
          <w:rStyle w:val="AERsuperscript"/>
        </w:rPr>
        <w:footnoteReference w:id="420"/>
      </w:r>
      <w:r w:rsidRPr="00DB185B">
        <w:rPr>
          <w:rStyle w:val="AERsuperscript"/>
        </w:rPr>
        <w:t xml:space="preserve"> </w:t>
      </w:r>
    </w:p>
    <w:p w:rsidR="00DB185B" w:rsidRPr="00DB185B" w:rsidRDefault="00DB185B" w:rsidP="00DB185B">
      <w:pPr>
        <w:numPr>
          <w:ilvl w:val="0"/>
          <w:numId w:val="24"/>
        </w:numPr>
      </w:pPr>
      <w:r w:rsidRPr="00DB185B">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DB185B">
        <w:lastRenderedPageBreak/>
        <w:t>with stakeholders, including a series of workshops, bilateral meetings and submissions on data templates and draft RINs.</w:t>
      </w:r>
      <w:r w:rsidRPr="00DB185B">
        <w:rPr>
          <w:rStyle w:val="AERsuperscript"/>
        </w:rPr>
        <w:footnoteReference w:id="421"/>
      </w:r>
    </w:p>
    <w:p w:rsidR="00DB185B" w:rsidRPr="00DB185B" w:rsidRDefault="00DB185B" w:rsidP="00DB185B">
      <w:pPr>
        <w:pStyle w:val="Heading8"/>
      </w:pPr>
      <w:bookmarkStart w:id="220" w:name="_Toc404589186"/>
      <w:bookmarkStart w:id="221" w:name="_Ref417562644"/>
      <w:bookmarkStart w:id="222" w:name="_Toc417725433"/>
      <w:r w:rsidRPr="00DB185B">
        <w:t>Data collection and refinement</w:t>
      </w:r>
      <w:bookmarkEnd w:id="220"/>
      <w:bookmarkEnd w:id="221"/>
      <w:bookmarkEnd w:id="222"/>
    </w:p>
    <w:p w:rsidR="00DB185B" w:rsidRPr="00DB185B" w:rsidRDefault="00DB185B" w:rsidP="00DB185B">
      <w:pPr>
        <w:numPr>
          <w:ilvl w:val="0"/>
          <w:numId w:val="24"/>
        </w:numPr>
      </w:pPr>
      <w:r w:rsidRPr="00DB185B">
        <w:t>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the AER requires to deploy our assessment techniques. We consider that the data refinement and consultation undertaken after the RINs were received, along with the extensive consultation carried out during the Better Regulation process provide us with reasonable assurance of the data's quality for use in this part of our analysis.</w:t>
      </w:r>
    </w:p>
    <w:p w:rsidR="00DB185B" w:rsidRPr="00DB185B" w:rsidRDefault="00DB185B" w:rsidP="00DB185B">
      <w:pPr>
        <w:numPr>
          <w:ilvl w:val="0"/>
          <w:numId w:val="24"/>
        </w:numPr>
      </w:pPr>
      <w:r w:rsidRPr="00DB185B">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DB185B" w:rsidRPr="00DB185B" w:rsidRDefault="00DB185B" w:rsidP="00DB185B">
      <w:r w:rsidRPr="00DB185B">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DB185B">
        <w:rPr>
          <w:rStyle w:val="AERsuperscript"/>
        </w:rPr>
        <w:footnoteReference w:id="422"/>
      </w:r>
      <w:r w:rsidRPr="00DB185B">
        <w:rPr>
          <w:rStyle w:val="AERsuperscript"/>
        </w:rPr>
        <w:t xml:space="preserve"> </w:t>
      </w:r>
    </w:p>
    <w:p w:rsidR="00DB185B" w:rsidRPr="00DB185B" w:rsidRDefault="00DB185B" w:rsidP="00DB185B">
      <w:r w:rsidRPr="00DB185B">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DB185B" w:rsidRPr="00DB185B" w:rsidRDefault="00DB185B" w:rsidP="00DB185B">
      <w:pPr>
        <w:pStyle w:val="Heading8"/>
      </w:pPr>
      <w:bookmarkStart w:id="223" w:name="_Toc404589187"/>
      <w:bookmarkStart w:id="224" w:name="_Toc417725434"/>
      <w:r w:rsidRPr="00DB185B">
        <w:t>Benchmarking repex asset data</w:t>
      </w:r>
      <w:bookmarkEnd w:id="223"/>
      <w:bookmarkEnd w:id="224"/>
    </w:p>
    <w:p w:rsidR="00DB185B" w:rsidRPr="00DB185B" w:rsidRDefault="00DB185B" w:rsidP="00DB185B">
      <w:pPr>
        <w:numPr>
          <w:ilvl w:val="0"/>
          <w:numId w:val="24"/>
        </w:numPr>
      </w:pPr>
      <w:r w:rsidRPr="00DB185B">
        <w:t>As outlined above, we required the following data on distributors' assets for our repex modelling:</w:t>
      </w:r>
    </w:p>
    <w:p w:rsidR="00DB185B" w:rsidRPr="00DB185B" w:rsidRDefault="00DB185B" w:rsidP="00DB185B">
      <w:pPr>
        <w:pStyle w:val="AERbulletlistfirststyle"/>
      </w:pPr>
      <w:r w:rsidRPr="00DB185B">
        <w:lastRenderedPageBreak/>
        <w:t>age profile of network assets currently in commission</w:t>
      </w:r>
    </w:p>
    <w:p w:rsidR="00DB185B" w:rsidRPr="00DB185B" w:rsidRDefault="00DB185B" w:rsidP="00DB185B">
      <w:pPr>
        <w:pStyle w:val="AERbulletlistfirststyle"/>
      </w:pPr>
      <w:r w:rsidRPr="00DB185B">
        <w:t>expenditure, replacement volumes and failure data of network assets</w:t>
      </w:r>
    </w:p>
    <w:p w:rsidR="00DB185B" w:rsidRPr="00DB185B" w:rsidRDefault="00DB185B" w:rsidP="00DB185B">
      <w:pPr>
        <w:pStyle w:val="AERbulletlistfirststyle"/>
      </w:pPr>
      <w:r w:rsidRPr="00DB185B">
        <w:t>the mean and standard deviation of each asset’s replacement life.</w:t>
      </w:r>
    </w:p>
    <w:p w:rsidR="00DB185B" w:rsidRPr="00DB185B" w:rsidRDefault="00DB185B" w:rsidP="00DB185B">
      <w:pPr>
        <w:numPr>
          <w:ilvl w:val="0"/>
          <w:numId w:val="24"/>
        </w:numPr>
      </w:pPr>
      <w:r w:rsidRPr="00DB185B">
        <w:t xml:space="preserve">All NEM distributors provided this data in the Reset RINs and Category analysis RINs under standardised network asset categories. </w:t>
      </w:r>
    </w:p>
    <w:p w:rsidR="00DB185B" w:rsidRPr="00DB185B" w:rsidRDefault="00DB185B" w:rsidP="00DB185B">
      <w:pPr>
        <w:numPr>
          <w:ilvl w:val="0"/>
          <w:numId w:val="24"/>
        </w:numPr>
      </w:pPr>
      <w:r w:rsidRPr="00DB185B">
        <w:t>To inform our expenditure assessment for the distributors currently undergoing revenue determinations,</w:t>
      </w:r>
      <w:r w:rsidRPr="00DB185B">
        <w:rPr>
          <w:rStyle w:val="AERsuperscript"/>
        </w:rPr>
        <w:footnoteReference w:id="423"/>
      </w:r>
      <w:r w:rsidRPr="00DB185B">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DB185B" w:rsidRPr="00DB185B" w:rsidRDefault="00DB185B" w:rsidP="00DB185B">
      <w:pPr>
        <w:numPr>
          <w:ilvl w:val="0"/>
          <w:numId w:val="24"/>
        </w:numPr>
      </w:pPr>
      <w:r w:rsidRPr="00DB185B">
        <w:t>In this section we explain the data sets we constructed using all NEM distributors' data, and the benchmark unit costs and replacement lives we derived for the standardised network asset categories.</w:t>
      </w:r>
    </w:p>
    <w:p w:rsidR="00DB185B" w:rsidRPr="00DB185B" w:rsidRDefault="00DB185B" w:rsidP="00DB185B">
      <w:pPr>
        <w:pStyle w:val="Heading9"/>
      </w:pPr>
      <w:bookmarkStart w:id="225" w:name="_Toc404589188"/>
      <w:bookmarkStart w:id="226" w:name="_Toc417725435"/>
      <w:r w:rsidRPr="00DB185B">
        <w:t>Benchmark data for each asset category</w:t>
      </w:r>
      <w:bookmarkEnd w:id="225"/>
      <w:bookmarkEnd w:id="226"/>
    </w:p>
    <w:p w:rsidR="00DB185B" w:rsidRPr="00DB185B" w:rsidRDefault="00DB185B" w:rsidP="00DB185B">
      <w:pPr>
        <w:numPr>
          <w:ilvl w:val="0"/>
          <w:numId w:val="24"/>
        </w:numPr>
      </w:pPr>
      <w:r w:rsidRPr="00DB185B">
        <w:t>For each standardised network asset category where distributors provided data we constructed three sets of data from which we derived the following three sets of benchmarks:</w:t>
      </w:r>
      <w:r w:rsidRPr="00DB185B">
        <w:rPr>
          <w:rStyle w:val="AERsuperscript"/>
        </w:rPr>
        <w:footnoteReference w:id="424"/>
      </w:r>
    </w:p>
    <w:p w:rsidR="00DB185B" w:rsidRPr="00DB185B" w:rsidRDefault="00DB185B" w:rsidP="00DB185B">
      <w:pPr>
        <w:pStyle w:val="AERbulletlistfirststyle"/>
      </w:pPr>
      <w:r w:rsidRPr="00DB185B">
        <w:t>benchmark unit costs</w:t>
      </w:r>
    </w:p>
    <w:p w:rsidR="00DB185B" w:rsidRPr="00DB185B" w:rsidRDefault="00DB185B" w:rsidP="00DB185B">
      <w:pPr>
        <w:pStyle w:val="AERbulletlistfirststyle"/>
      </w:pPr>
      <w:r w:rsidRPr="00DB185B">
        <w:t>benchmark means and standard deviations of each asset’s replacement life (referred to as "uncalibrated replacement lives" to distinguish these from the next category)</w:t>
      </w:r>
    </w:p>
    <w:p w:rsidR="00DB185B" w:rsidRPr="00DB185B" w:rsidRDefault="00DB185B" w:rsidP="00DB185B">
      <w:pPr>
        <w:pStyle w:val="AERbulletlistfirststyle"/>
      </w:pPr>
      <w:r w:rsidRPr="00DB185B">
        <w:t>benchmark calibrated means and standard deviations of each asset’s replacement life.</w:t>
      </w:r>
    </w:p>
    <w:p w:rsidR="00DB185B" w:rsidRPr="00DB185B" w:rsidRDefault="00DB185B" w:rsidP="00DB185B">
      <w:pPr>
        <w:numPr>
          <w:ilvl w:val="0"/>
          <w:numId w:val="24"/>
        </w:numPr>
      </w:pPr>
      <w:r w:rsidRPr="00DB185B">
        <w:t>Our process for arriving at each of the benchmarks was as follows. We calculated a unit cost for each NEM distributor in each asset category in which it reported replacement expenditure and replacement volumes. To do this:</w:t>
      </w:r>
    </w:p>
    <w:p w:rsidR="00DB185B" w:rsidRPr="00DB185B" w:rsidRDefault="00DB185B" w:rsidP="00DB185B">
      <w:pPr>
        <w:pStyle w:val="AERbulletlistfirststyle"/>
      </w:pPr>
      <w:r w:rsidRPr="00DB185B">
        <w:t xml:space="preserve">We determined a unit cost for each distributor, in each year, for each category it reported under. To do this we divided the reported replacement expenditure by the reported replacement volume. </w:t>
      </w:r>
    </w:p>
    <w:p w:rsidR="00DB185B" w:rsidRPr="00DB185B" w:rsidRDefault="00DB185B" w:rsidP="00DB185B">
      <w:pPr>
        <w:pStyle w:val="AERbulletlistfirststyle"/>
      </w:pPr>
      <w:r w:rsidRPr="00DB185B">
        <w:t>Then we determined a single unit cost for each distributor for each category it reported under. We first inflated the unit costs in each year using the CPI index.</w:t>
      </w:r>
      <w:r w:rsidRPr="00DB185B">
        <w:rPr>
          <w:rStyle w:val="AERsuperscript"/>
        </w:rPr>
        <w:footnoteReference w:id="425"/>
      </w:r>
      <w:r w:rsidRPr="00DB185B">
        <w:t xml:space="preserve"> </w:t>
      </w:r>
      <w:r w:rsidRPr="00DB185B">
        <w:lastRenderedPageBreak/>
        <w:t xml:space="preserve">We then calculated a single unit cost. We did this by first weighting the unit cost from each year by the replacement volume in that year. We then divided the total of these expenditures by the total replacement volume number. </w:t>
      </w:r>
    </w:p>
    <w:p w:rsidR="00DB185B" w:rsidRPr="00DB185B" w:rsidRDefault="00DB185B" w:rsidP="00DB185B">
      <w:r w:rsidRPr="00DB185B">
        <w:t>We formulated two sets of replacement life data for each NEM distributor:</w:t>
      </w:r>
    </w:p>
    <w:p w:rsidR="00DB185B" w:rsidRPr="00DB185B" w:rsidRDefault="00DB185B" w:rsidP="00DB185B">
      <w:pPr>
        <w:pStyle w:val="AERbulletlistfirststyle"/>
      </w:pPr>
      <w:r w:rsidRPr="00DB185B">
        <w:t xml:space="preserve">The replacement life data all NEM distributors reported in their RINs. </w:t>
      </w:r>
    </w:p>
    <w:p w:rsidR="00DB185B" w:rsidRPr="00DB185B" w:rsidRDefault="00DB185B" w:rsidP="00DB185B">
      <w:pPr>
        <w:pStyle w:val="AERbulletlistfirststyle"/>
      </w:pPr>
      <w:r w:rsidRPr="00DB185B">
        <w:t>The replacement life data we derived using the repex model for each NEM distributor. These are also called calibrated replacement lives. The repex model derives the replacement lives that are implied by the observed replacement practices of a distributor. That is, based on the data a distributor reported in the RIN on its replacement expenditure and volumes over the most recent five years, and the age profile of its network assets currently in commission. The calibrated lives the repex model derives can differ from the replacement lives a distributor reports.</w:t>
      </w:r>
    </w:p>
    <w:p w:rsidR="00DB185B" w:rsidRPr="00DB185B" w:rsidRDefault="00DB185B" w:rsidP="00DB185B">
      <w:pPr>
        <w:numPr>
          <w:ilvl w:val="0"/>
          <w:numId w:val="24"/>
        </w:numPr>
      </w:pPr>
      <w:r w:rsidRPr="00DB185B">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w:t>
      </w:r>
      <w:r w:rsidR="00AB07AD">
        <w:t>librated replacement lives' and</w:t>
      </w:r>
      <w:r w:rsidRPr="00DB185B">
        <w:t xml:space="preserve"> those based on replacement lives reported by the NEM distributors as 'benchmarked uncalibrated replacement lives'. We applied the method outlined below to each of the three data sets.</w:t>
      </w:r>
    </w:p>
    <w:p w:rsidR="00DB185B" w:rsidRPr="00DB185B" w:rsidRDefault="00DB185B" w:rsidP="00DB185B">
      <w:pPr>
        <w:numPr>
          <w:ilvl w:val="0"/>
          <w:numId w:val="24"/>
        </w:numPr>
      </w:pPr>
      <w:r w:rsidRPr="00DB185B">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DB185B">
        <w:rPr>
          <w:rStyle w:val="AERsuperscript"/>
        </w:rPr>
        <w:footnoteReference w:id="426"/>
      </w:r>
    </w:p>
    <w:p w:rsidR="00DB185B" w:rsidRPr="00DB185B" w:rsidRDefault="00DB185B" w:rsidP="00DB185B">
      <w:pPr>
        <w:pStyle w:val="AERbulletlistfirststyle"/>
      </w:pPr>
      <w:r w:rsidRPr="00DB185B">
        <w:t>calculating the average of all values for an asset category</w:t>
      </w:r>
    </w:p>
    <w:p w:rsidR="00DB185B" w:rsidRPr="00DB185B" w:rsidRDefault="00DB185B" w:rsidP="00DB185B">
      <w:pPr>
        <w:pStyle w:val="AERbulletlistfirststyle"/>
      </w:pPr>
      <w:r w:rsidRPr="00DB185B">
        <w:t>determining the standard deviation of all values for an asset category</w:t>
      </w:r>
    </w:p>
    <w:p w:rsidR="00DB185B" w:rsidRPr="00DB185B" w:rsidRDefault="00DB185B" w:rsidP="00DB185B">
      <w:pPr>
        <w:pStyle w:val="AERbulletlistfirststyle"/>
      </w:pPr>
      <w:r w:rsidRPr="00DB185B">
        <w:t>excluding values that were outside plus or minus one standard deviation from the average.</w:t>
      </w:r>
    </w:p>
    <w:p w:rsidR="00DB185B" w:rsidRPr="00DB185B" w:rsidRDefault="00DB185B" w:rsidP="00DB185B">
      <w:pPr>
        <w:numPr>
          <w:ilvl w:val="0"/>
          <w:numId w:val="24"/>
        </w:numPr>
      </w:pPr>
      <w:r w:rsidRPr="00DB185B">
        <w:t>Using the data set excluding outliers we then determined the:</w:t>
      </w:r>
    </w:p>
    <w:p w:rsidR="00DB185B" w:rsidRPr="00DB185B" w:rsidRDefault="00DB185B" w:rsidP="00DB185B">
      <w:pPr>
        <w:pStyle w:val="AERbulletlistfirststyle"/>
      </w:pPr>
      <w:r w:rsidRPr="00DB185B">
        <w:t>Average value:</w:t>
      </w:r>
    </w:p>
    <w:p w:rsidR="00DB185B" w:rsidRPr="00DB185B" w:rsidRDefault="00DB185B" w:rsidP="00DB185B">
      <w:pPr>
        <w:pStyle w:val="AERbulletlistsecondstyle"/>
      </w:pPr>
      <w:r w:rsidRPr="00DB185B">
        <w:t>benchmark average unit cost</w:t>
      </w:r>
    </w:p>
    <w:p w:rsidR="00DB185B" w:rsidRPr="00DB185B" w:rsidRDefault="00DB185B" w:rsidP="00DB185B">
      <w:pPr>
        <w:pStyle w:val="AERbulletlistsecondstyle"/>
      </w:pPr>
      <w:r w:rsidRPr="00DB185B">
        <w:lastRenderedPageBreak/>
        <w:t>benchmark average mean and standard deviation replacement life</w:t>
      </w:r>
    </w:p>
    <w:p w:rsidR="00DB185B" w:rsidRPr="00DB185B" w:rsidRDefault="00DB185B" w:rsidP="00DB185B">
      <w:pPr>
        <w:pStyle w:val="AERbulletlistsecondstyle"/>
      </w:pPr>
      <w:r w:rsidRPr="00DB185B">
        <w:t>benchmark average calibrated mean and standard deviation replacement life.</w:t>
      </w:r>
    </w:p>
    <w:p w:rsidR="00DB185B" w:rsidRPr="00DB185B" w:rsidRDefault="00DB185B" w:rsidP="00DB185B">
      <w:pPr>
        <w:pStyle w:val="AERbulletlistfirststyle"/>
      </w:pPr>
      <w:r w:rsidRPr="00DB185B">
        <w:t>One quartile better than the average value:</w:t>
      </w:r>
    </w:p>
    <w:p w:rsidR="00DB185B" w:rsidRPr="00DB185B" w:rsidRDefault="00DB185B" w:rsidP="00DB185B">
      <w:pPr>
        <w:pStyle w:val="AERbulletlistsecondstyle"/>
      </w:pPr>
      <w:r w:rsidRPr="00DB185B">
        <w:t xml:space="preserve">benchmark first quartile unit cost (below the mean) </w:t>
      </w:r>
    </w:p>
    <w:p w:rsidR="00DB185B" w:rsidRPr="00DB185B" w:rsidRDefault="00DB185B" w:rsidP="00DB185B">
      <w:pPr>
        <w:pStyle w:val="AERbulletlistsecondstyle"/>
      </w:pPr>
      <w:r w:rsidRPr="00DB185B">
        <w:t>benchmark third quartile uncalibrated mean replacement life (above the mean)</w:t>
      </w:r>
    </w:p>
    <w:p w:rsidR="00DB185B" w:rsidRPr="00DB185B" w:rsidRDefault="00DB185B" w:rsidP="00DB185B">
      <w:pPr>
        <w:pStyle w:val="AERbulletlistsecondstyle"/>
      </w:pPr>
      <w:r w:rsidRPr="00DB185B">
        <w:t>benchmark third quartile calibrated mean replacement life (above the mean).</w:t>
      </w:r>
    </w:p>
    <w:p w:rsidR="00DB185B" w:rsidRPr="00DB185B" w:rsidRDefault="00DB185B" w:rsidP="00DB185B">
      <w:pPr>
        <w:pStyle w:val="AERbulletlistfirststyle"/>
      </w:pPr>
      <w:r w:rsidRPr="00DB185B">
        <w:t>'Best' value:</w:t>
      </w:r>
    </w:p>
    <w:p w:rsidR="00DB185B" w:rsidRPr="00DB185B" w:rsidRDefault="00DB185B" w:rsidP="00DB185B">
      <w:pPr>
        <w:pStyle w:val="AERbulletlistsecondstyle"/>
      </w:pPr>
      <w:r w:rsidRPr="00DB185B">
        <w:t>benchmark best (lowest) unit cost</w:t>
      </w:r>
    </w:p>
    <w:p w:rsidR="00DB185B" w:rsidRPr="00DB185B" w:rsidRDefault="00DB185B" w:rsidP="00DB185B">
      <w:pPr>
        <w:pStyle w:val="AERbulletlistsecondstyle"/>
      </w:pPr>
      <w:r w:rsidRPr="00DB185B">
        <w:t>benchmark best (highest) uncalibrated mean replacement life</w:t>
      </w:r>
    </w:p>
    <w:p w:rsidR="00DB185B" w:rsidRPr="00DB185B" w:rsidRDefault="00DB185B" w:rsidP="00DB185B">
      <w:pPr>
        <w:pStyle w:val="AERbulletlistsecondstyle"/>
      </w:pPr>
      <w:r w:rsidRPr="00DB185B">
        <w:t>benchmark best (highest) calibrated mean replacement life.</w:t>
      </w:r>
      <w:r w:rsidRPr="00DB185B">
        <w:rPr>
          <w:rStyle w:val="AERsuperscript"/>
        </w:rPr>
        <w:footnoteReference w:id="427"/>
      </w:r>
    </w:p>
    <w:p w:rsidR="00DB185B" w:rsidRPr="00DB185B" w:rsidRDefault="00DB185B" w:rsidP="00DB185B">
      <w:pPr>
        <w:pStyle w:val="Heading8"/>
      </w:pPr>
      <w:bookmarkStart w:id="227" w:name="_Toc404589189"/>
      <w:bookmarkStart w:id="228" w:name="_Ref417643600"/>
      <w:bookmarkStart w:id="229" w:name="_Toc417725436"/>
      <w:r w:rsidRPr="00DB185B">
        <w:t>Repex model scenarios</w:t>
      </w:r>
      <w:bookmarkEnd w:id="227"/>
      <w:bookmarkEnd w:id="228"/>
      <w:bookmarkEnd w:id="229"/>
    </w:p>
    <w:p w:rsidR="00DB185B" w:rsidRPr="00DB185B" w:rsidRDefault="00DB185B" w:rsidP="00DB185B">
      <w:pPr>
        <w:numPr>
          <w:ilvl w:val="0"/>
          <w:numId w:val="24"/>
        </w:numPr>
      </w:pPr>
      <w:r w:rsidRPr="00DB185B">
        <w:t>As noted above, our repex model uses an asset age profile, expected replacement life information and the unit cost of replacing assets to develop an estimate of replacement volume and expenditure over a 20 year period.</w:t>
      </w:r>
    </w:p>
    <w:p w:rsidR="00DB185B" w:rsidRPr="00DB185B" w:rsidRDefault="00DB185B" w:rsidP="00DB185B">
      <w:pPr>
        <w:numPr>
          <w:ilvl w:val="0"/>
          <w:numId w:val="24"/>
        </w:numPr>
      </w:pPr>
      <w:r w:rsidRPr="00DB185B">
        <w:t>The asset age profile data provided by the distributors is a fixed piece of data. That is, it is set, and not open to interpretation or subject to scenario testing.</w:t>
      </w:r>
      <w:r w:rsidRPr="00DB185B">
        <w:rPr>
          <w:rStyle w:val="AERsuperscript"/>
        </w:rPr>
        <w:footnoteReference w:id="428"/>
      </w:r>
      <w:r w:rsidRPr="00DB185B">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DB185B" w:rsidRPr="00DB185B" w:rsidRDefault="00DB185B" w:rsidP="00DB185B">
      <w:pPr>
        <w:numPr>
          <w:ilvl w:val="0"/>
          <w:numId w:val="24"/>
        </w:numPr>
      </w:pPr>
      <w:r w:rsidRPr="00DB185B">
        <w:t>We have categorised three broad input scenarios under which the repex model may be run. These are explained in greater detail within our Replacement expenditure model handbook.</w:t>
      </w:r>
      <w:r w:rsidRPr="00DB185B">
        <w:rPr>
          <w:rStyle w:val="AERsuperscript"/>
        </w:rPr>
        <w:footnoteReference w:id="429"/>
      </w:r>
      <w:r w:rsidRPr="00DB185B">
        <w:rPr>
          <w:rStyle w:val="AERsuperscript"/>
        </w:rPr>
        <w:t xml:space="preserve"> </w:t>
      </w:r>
      <w:r w:rsidRPr="00DB185B">
        <w:t>They are:</w:t>
      </w:r>
    </w:p>
    <w:p w:rsidR="00DB185B" w:rsidRPr="00DB185B" w:rsidRDefault="00DB185B" w:rsidP="00DB185B">
      <w:pPr>
        <w:numPr>
          <w:ilvl w:val="4"/>
          <w:numId w:val="24"/>
        </w:numPr>
      </w:pPr>
      <w:r w:rsidRPr="00DB185B">
        <w:lastRenderedPageBreak/>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DB185B" w:rsidRPr="00DB185B" w:rsidRDefault="00DB185B" w:rsidP="00DB185B">
      <w:pPr>
        <w:numPr>
          <w:ilvl w:val="4"/>
          <w:numId w:val="24"/>
        </w:numPr>
      </w:pPr>
      <w:r w:rsidRPr="00DB185B">
        <w:t>The Calibrated scenario – the process of “calibrating” the expected replacement lives in the repex model is described in the AER’s replacement expenditure handbook.</w:t>
      </w:r>
      <w:r w:rsidRPr="00DB185B">
        <w:rPr>
          <w:rStyle w:val="AERsuperscript"/>
        </w:rPr>
        <w:footnoteReference w:id="430"/>
      </w:r>
      <w:r w:rsidRPr="00DB185B">
        <w:t xml:space="preserve"> The calibration involves determining a replacement life and standard deviation that matches the distributor's recent historical level of replacement (in this case, the five years from 2010–11 to 2014–15). The calibrated scenario benchmarks the business to its own observed historical replacement practices.</w:t>
      </w:r>
    </w:p>
    <w:p w:rsidR="00DB185B" w:rsidRPr="00DB185B" w:rsidRDefault="00DB185B" w:rsidP="00DB185B">
      <w:pPr>
        <w:numPr>
          <w:ilvl w:val="4"/>
          <w:numId w:val="24"/>
        </w:numPr>
      </w:pPr>
      <w:r w:rsidRPr="00DB185B">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DB185B" w:rsidRPr="00DB185B" w:rsidRDefault="00DB185B" w:rsidP="00DB185B">
      <w:pPr>
        <w:numPr>
          <w:ilvl w:val="0"/>
          <w:numId w:val="24"/>
        </w:numPr>
      </w:pPr>
      <w:r w:rsidRPr="00DB185B">
        <w:t xml:space="preserve">The model also takes account of different wooden pole staking/stobie pole plating rate assumptions (see section </w:t>
      </w:r>
      <w:r w:rsidR="00F35D20">
        <w:fldChar w:fldCharType="begin"/>
      </w:r>
      <w:r w:rsidR="00F35D20">
        <w:instrText xml:space="preserve"> REF _Ref417562644 \r \h </w:instrText>
      </w:r>
      <w:r w:rsidR="00F35D20">
        <w:fldChar w:fldCharType="separate"/>
      </w:r>
      <w:r w:rsidR="00F02131">
        <w:t>E.3</w:t>
      </w:r>
      <w:r w:rsidR="00F35D20">
        <w:fldChar w:fldCharType="end"/>
      </w:r>
      <w:r w:rsidR="00F35D20">
        <w:t xml:space="preserve"> </w:t>
      </w:r>
      <w:r w:rsidRPr="00DB185B">
        <w:t xml:space="preserve">for more information on this process). A full list of the scenario outcomes </w:t>
      </w:r>
      <w:proofErr w:type="gramStart"/>
      <w:r w:rsidRPr="00DB185B">
        <w:t>is provided</w:t>
      </w:r>
      <w:proofErr w:type="gramEnd"/>
      <w:r w:rsidRPr="00DB185B">
        <w:t xml:space="preserve"> in </w:t>
      </w:r>
      <w:r w:rsidRPr="00DB185B">
        <w:fldChar w:fldCharType="begin"/>
      </w:r>
      <w:r w:rsidRPr="00DB185B">
        <w:instrText xml:space="preserve"> REF _Ref417558934 \h </w:instrText>
      </w:r>
      <w:r w:rsidRPr="00DB185B">
        <w:fldChar w:fldCharType="separate"/>
      </w:r>
      <w:r w:rsidR="00AB07AD">
        <w:t>f</w:t>
      </w:r>
      <w:r w:rsidR="00F02131" w:rsidRPr="00DB185B">
        <w:t xml:space="preserve">igure </w:t>
      </w:r>
      <w:r w:rsidR="00F02131">
        <w:rPr>
          <w:noProof/>
        </w:rPr>
        <w:t>E</w:t>
      </w:r>
      <w:r w:rsidR="00F02131" w:rsidRPr="00DB185B">
        <w:noBreakHyphen/>
      </w:r>
      <w:r w:rsidR="00F02131">
        <w:rPr>
          <w:noProof/>
        </w:rPr>
        <w:t>1</w:t>
      </w:r>
      <w:r w:rsidRPr="00DB185B">
        <w:fldChar w:fldCharType="end"/>
      </w:r>
      <w:r w:rsidRPr="00DB185B">
        <w:t xml:space="preserve"> and </w:t>
      </w:r>
      <w:r w:rsidRPr="00DB185B">
        <w:fldChar w:fldCharType="begin"/>
      </w:r>
      <w:r w:rsidRPr="00DB185B">
        <w:instrText xml:space="preserve"> REF _Ref417558939 \h </w:instrText>
      </w:r>
      <w:r w:rsidRPr="00DB185B">
        <w:fldChar w:fldCharType="separate"/>
      </w:r>
      <w:r w:rsidR="00AB07AD">
        <w:t>f</w:t>
      </w:r>
      <w:r w:rsidR="00F02131" w:rsidRPr="00DB185B">
        <w:t xml:space="preserve">igure </w:t>
      </w:r>
      <w:r w:rsidR="00F02131">
        <w:rPr>
          <w:noProof/>
        </w:rPr>
        <w:t>E</w:t>
      </w:r>
      <w:r w:rsidR="00F02131" w:rsidRPr="00DB185B">
        <w:noBreakHyphen/>
      </w:r>
      <w:r w:rsidR="00F02131">
        <w:rPr>
          <w:noProof/>
        </w:rPr>
        <w:t>2</w:t>
      </w:r>
      <w:r w:rsidRPr="00DB185B">
        <w:fldChar w:fldCharType="end"/>
      </w:r>
      <w:r w:rsidRPr="00DB185B">
        <w:t xml:space="preserve"> below.</w:t>
      </w:r>
    </w:p>
    <w:p w:rsidR="00DB185B" w:rsidRPr="00DB185B" w:rsidRDefault="00DB185B" w:rsidP="00DB185B">
      <w:pPr>
        <w:pStyle w:val="Caption"/>
      </w:pPr>
      <w:bookmarkStart w:id="230" w:name="_Ref417558934"/>
      <w:r w:rsidRPr="00DB185B">
        <w:t xml:space="preserve">Figure </w:t>
      </w:r>
      <w:fldSimple w:instr=" STYLEREF 7 \s ">
        <w:r w:rsidR="00F02131">
          <w:rPr>
            <w:noProof/>
          </w:rPr>
          <w:t>E</w:t>
        </w:r>
      </w:fldSimple>
      <w:r w:rsidRPr="00DB185B">
        <w:noBreakHyphen/>
      </w:r>
      <w:fldSimple w:instr=" SEQ Figure \* ARABIC \s 7 ">
        <w:r w:rsidR="00F02131">
          <w:rPr>
            <w:noProof/>
          </w:rPr>
          <w:t>1</w:t>
        </w:r>
      </w:fldSimple>
      <w:bookmarkEnd w:id="230"/>
      <w:r w:rsidRPr="00DB185B">
        <w:t xml:space="preserve"> </w:t>
      </w:r>
      <w:r w:rsidRPr="00DB185B">
        <w:tab/>
      </w:r>
      <w:r w:rsidRPr="00DB185B">
        <w:tab/>
        <w:t>Repex model outputs – replacement lives</w:t>
      </w:r>
    </w:p>
    <w:tbl>
      <w:tblPr>
        <w:tblStyle w:val="AERtable-numbers"/>
        <w:tblW w:w="0" w:type="auto"/>
        <w:tblLook w:val="04A0" w:firstRow="1" w:lastRow="0" w:firstColumn="1" w:lastColumn="0" w:noHBand="0" w:noVBand="1"/>
      </w:tblPr>
      <w:tblGrid>
        <w:gridCol w:w="3960"/>
        <w:gridCol w:w="2100"/>
      </w:tblGrid>
      <w:tr w:rsidR="00DB185B" w:rsidRPr="00F94633" w:rsidTr="00271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Replacement lives</w:t>
            </w:r>
          </w:p>
        </w:tc>
        <w:tc>
          <w:tcPr>
            <w:tcW w:w="2100" w:type="dxa"/>
            <w:noWrap/>
            <w:hideMark/>
          </w:tcPr>
          <w:p w:rsidR="00DB185B" w:rsidRPr="00DB185B" w:rsidRDefault="00DB185B" w:rsidP="00DB185B">
            <w:pPr>
              <w:cnfStyle w:val="100000000000" w:firstRow="1" w:lastRow="0" w:firstColumn="0" w:lastColumn="0" w:oddVBand="0" w:evenVBand="0" w:oddHBand="0" w:evenHBand="0" w:firstRowFirstColumn="0" w:firstRowLastColumn="0" w:lastRowFirstColumn="0" w:lastRowLastColumn="0"/>
            </w:pPr>
            <w:r w:rsidRPr="00DB185B">
              <w:t> </w:t>
            </w:r>
          </w:p>
        </w:tc>
      </w:tr>
      <w:tr w:rsidR="00DB185B" w:rsidRPr="00F94633" w:rsidTr="00271700">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Base case (RIN)</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$4,109,602.84</w:t>
            </w:r>
          </w:p>
        </w:tc>
      </w:tr>
      <w:tr w:rsidR="00DB185B" w:rsidRPr="00F94633" w:rsidTr="002717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Calibrated lives</w:t>
            </w:r>
          </w:p>
        </w:tc>
        <w:tc>
          <w:tcPr>
            <w:tcW w:w="2100" w:type="dxa"/>
            <w:noWrap/>
            <w:hideMark/>
          </w:tcPr>
          <w:p w:rsidR="00DB185B" w:rsidRPr="00DB185B" w:rsidRDefault="00DB185B" w:rsidP="00DB185B">
            <w:pPr>
              <w:cnfStyle w:val="000000010000" w:firstRow="0" w:lastRow="0" w:firstColumn="0" w:lastColumn="0" w:oddVBand="0" w:evenVBand="0" w:oddHBand="0" w:evenHBand="1" w:firstRowFirstColumn="0" w:firstRowLastColumn="0" w:lastRowFirstColumn="0" w:lastRowLastColumn="0"/>
            </w:pPr>
            <w:r w:rsidRPr="00DB185B">
              <w:t>$487,433.07</w:t>
            </w:r>
          </w:p>
        </w:tc>
      </w:tr>
      <w:tr w:rsidR="00DB185B" w:rsidRPr="00F94633" w:rsidTr="00271700">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uncalibrated average</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$4,364,299.17</w:t>
            </w:r>
          </w:p>
        </w:tc>
      </w:tr>
      <w:tr w:rsidR="00DB185B" w:rsidRPr="00F94633" w:rsidTr="002717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uncalibrated third quartile</w:t>
            </w:r>
          </w:p>
        </w:tc>
        <w:tc>
          <w:tcPr>
            <w:tcW w:w="2100" w:type="dxa"/>
            <w:noWrap/>
            <w:hideMark/>
          </w:tcPr>
          <w:p w:rsidR="00DB185B" w:rsidRPr="00DB185B" w:rsidRDefault="00DB185B" w:rsidP="00DB185B">
            <w:pPr>
              <w:cnfStyle w:val="000000010000" w:firstRow="0" w:lastRow="0" w:firstColumn="0" w:lastColumn="0" w:oddVBand="0" w:evenVBand="0" w:oddHBand="0" w:evenHBand="1" w:firstRowFirstColumn="0" w:firstRowLastColumn="0" w:lastRowFirstColumn="0" w:lastRowLastColumn="0"/>
            </w:pPr>
            <w:r w:rsidRPr="00DB185B">
              <w:t>$3,127,325.35</w:t>
            </w:r>
          </w:p>
        </w:tc>
      </w:tr>
      <w:tr w:rsidR="00DB185B" w:rsidRPr="00F94633" w:rsidTr="00271700">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uncalibrated best</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$2,365,833.79</w:t>
            </w:r>
          </w:p>
        </w:tc>
      </w:tr>
      <w:tr w:rsidR="00DB185B" w:rsidRPr="00F94633" w:rsidTr="002717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calibrated average</w:t>
            </w:r>
          </w:p>
        </w:tc>
        <w:tc>
          <w:tcPr>
            <w:tcW w:w="2100" w:type="dxa"/>
            <w:noWrap/>
            <w:hideMark/>
          </w:tcPr>
          <w:p w:rsidR="00DB185B" w:rsidRPr="00DB185B" w:rsidRDefault="00DB185B" w:rsidP="00DB185B">
            <w:pPr>
              <w:cnfStyle w:val="000000010000" w:firstRow="0" w:lastRow="0" w:firstColumn="0" w:lastColumn="0" w:oddVBand="0" w:evenVBand="0" w:oddHBand="0" w:evenHBand="1" w:firstRowFirstColumn="0" w:firstRowLastColumn="0" w:lastRowFirstColumn="0" w:lastRowLastColumn="0"/>
            </w:pPr>
            <w:r w:rsidRPr="00DB185B">
              <w:t>$682,081.73</w:t>
            </w:r>
          </w:p>
        </w:tc>
      </w:tr>
      <w:tr w:rsidR="00DB185B" w:rsidRPr="00F94633" w:rsidTr="00271700">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calibrated third quartile</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$556,547.57</w:t>
            </w:r>
          </w:p>
        </w:tc>
      </w:tr>
      <w:tr w:rsidR="00DB185B" w:rsidRPr="00F94633" w:rsidTr="002717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calibrated best</w:t>
            </w:r>
          </w:p>
        </w:tc>
        <w:tc>
          <w:tcPr>
            <w:tcW w:w="2100" w:type="dxa"/>
            <w:noWrap/>
            <w:hideMark/>
          </w:tcPr>
          <w:p w:rsidR="00DB185B" w:rsidRPr="00DB185B" w:rsidRDefault="00DB185B" w:rsidP="00DB185B">
            <w:pPr>
              <w:cnfStyle w:val="000000010000" w:firstRow="0" w:lastRow="0" w:firstColumn="0" w:lastColumn="0" w:oddVBand="0" w:evenVBand="0" w:oddHBand="0" w:evenHBand="1" w:firstRowFirstColumn="0" w:firstRowLastColumn="0" w:lastRowFirstColumn="0" w:lastRowLastColumn="0"/>
            </w:pPr>
            <w:r w:rsidRPr="00DB185B">
              <w:t>$396,735.81</w:t>
            </w:r>
          </w:p>
        </w:tc>
      </w:tr>
    </w:tbl>
    <w:p w:rsidR="00DB185B" w:rsidRPr="00DB185B" w:rsidRDefault="00DB185B" w:rsidP="00DB185B">
      <w:pPr>
        <w:pStyle w:val="AERtablesource"/>
      </w:pPr>
      <w:r w:rsidRPr="00DB185B">
        <w:t xml:space="preserve">Source: </w:t>
      </w:r>
      <w:r w:rsidR="00C1345C">
        <w:tab/>
      </w:r>
      <w:r w:rsidRPr="00DB185B">
        <w:t>AER analysis, using historic unit cost</w:t>
      </w:r>
    </w:p>
    <w:p w:rsidR="00DB185B" w:rsidRPr="00DB185B" w:rsidRDefault="00DB185B" w:rsidP="00DB185B">
      <w:pPr>
        <w:pStyle w:val="Caption"/>
      </w:pPr>
      <w:bookmarkStart w:id="231" w:name="_Ref417558939"/>
      <w:r w:rsidRPr="00DB185B">
        <w:lastRenderedPageBreak/>
        <w:t xml:space="preserve">Figure </w:t>
      </w:r>
      <w:fldSimple w:instr=" STYLEREF 7 \s ">
        <w:r w:rsidR="00F02131">
          <w:rPr>
            <w:noProof/>
          </w:rPr>
          <w:t>E</w:t>
        </w:r>
      </w:fldSimple>
      <w:r w:rsidRPr="00DB185B">
        <w:noBreakHyphen/>
      </w:r>
      <w:fldSimple w:instr=" SEQ Figure \* ARABIC \s 7 ">
        <w:r w:rsidR="00F02131">
          <w:rPr>
            <w:noProof/>
          </w:rPr>
          <w:t>2</w:t>
        </w:r>
      </w:fldSimple>
      <w:bookmarkEnd w:id="231"/>
      <w:r w:rsidRPr="00DB185B">
        <w:tab/>
      </w:r>
      <w:r w:rsidRPr="00DB185B">
        <w:tab/>
        <w:t>Repex model outputs - unit costs</w:t>
      </w:r>
    </w:p>
    <w:tbl>
      <w:tblPr>
        <w:tblStyle w:val="AERtable-numbers"/>
        <w:tblW w:w="6060" w:type="dxa"/>
        <w:tblLook w:val="04A0" w:firstRow="1" w:lastRow="0" w:firstColumn="1" w:lastColumn="0" w:noHBand="0" w:noVBand="1"/>
      </w:tblPr>
      <w:tblGrid>
        <w:gridCol w:w="3960"/>
        <w:gridCol w:w="2100"/>
      </w:tblGrid>
      <w:tr w:rsidR="00DB185B" w:rsidRPr="00F94633" w:rsidTr="00271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Unit cost</w:t>
            </w:r>
          </w:p>
        </w:tc>
        <w:tc>
          <w:tcPr>
            <w:tcW w:w="2100" w:type="dxa"/>
            <w:noWrap/>
            <w:hideMark/>
          </w:tcPr>
          <w:p w:rsidR="00DB185B" w:rsidRPr="00DB185B" w:rsidRDefault="00DB185B" w:rsidP="00DB185B">
            <w:pPr>
              <w:cnfStyle w:val="100000000000" w:firstRow="1" w:lastRow="0" w:firstColumn="0" w:lastColumn="0" w:oddVBand="0" w:evenVBand="0" w:oddHBand="0" w:evenHBand="0" w:firstRowFirstColumn="0" w:firstRowLastColumn="0" w:lastRowFirstColumn="0" w:lastRowLastColumn="0"/>
            </w:pPr>
            <w:r w:rsidRPr="00DB185B">
              <w:t> </w:t>
            </w:r>
          </w:p>
        </w:tc>
      </w:tr>
      <w:tr w:rsidR="00DB185B" w:rsidRPr="00F94633" w:rsidTr="00271700">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average</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$543,992.70</w:t>
            </w:r>
          </w:p>
        </w:tc>
      </w:tr>
      <w:tr w:rsidR="00DB185B" w:rsidRPr="00F94633" w:rsidTr="0027170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first quartile</w:t>
            </w:r>
          </w:p>
        </w:tc>
        <w:tc>
          <w:tcPr>
            <w:tcW w:w="2100" w:type="dxa"/>
            <w:noWrap/>
            <w:hideMark/>
          </w:tcPr>
          <w:p w:rsidR="00DB185B" w:rsidRPr="00DB185B" w:rsidRDefault="00DB185B" w:rsidP="00DB185B">
            <w:pPr>
              <w:cnfStyle w:val="000000010000" w:firstRow="0" w:lastRow="0" w:firstColumn="0" w:lastColumn="0" w:oddVBand="0" w:evenVBand="0" w:oddHBand="0" w:evenHBand="1" w:firstRowFirstColumn="0" w:firstRowLastColumn="0" w:lastRowFirstColumn="0" w:lastRowLastColumn="0"/>
            </w:pPr>
            <w:r w:rsidRPr="00DB185B">
              <w:t>$369,861.37</w:t>
            </w:r>
          </w:p>
        </w:tc>
      </w:tr>
      <w:tr w:rsidR="00DB185B" w:rsidRPr="00F94633" w:rsidTr="00271700">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DB185B" w:rsidRPr="00DB185B" w:rsidRDefault="00DB185B" w:rsidP="00DB185B">
            <w:r w:rsidRPr="00DB185B">
              <w:t>Benchmarked best</w:t>
            </w:r>
          </w:p>
        </w:tc>
        <w:tc>
          <w:tcPr>
            <w:tcW w:w="2100" w:type="dxa"/>
            <w:noWrap/>
            <w:hideMark/>
          </w:tcPr>
          <w:p w:rsidR="00DB185B" w:rsidRPr="00DB185B" w:rsidRDefault="00DB185B" w:rsidP="00DB185B">
            <w:pPr>
              <w:cnfStyle w:val="000000000000" w:firstRow="0" w:lastRow="0" w:firstColumn="0" w:lastColumn="0" w:oddVBand="0" w:evenVBand="0" w:oddHBand="0" w:evenHBand="0" w:firstRowFirstColumn="0" w:firstRowLastColumn="0" w:lastRowFirstColumn="0" w:lastRowLastColumn="0"/>
            </w:pPr>
            <w:r w:rsidRPr="00DB185B">
              <w:t>$285,947.72</w:t>
            </w:r>
          </w:p>
        </w:tc>
      </w:tr>
    </w:tbl>
    <w:p w:rsidR="00DB185B" w:rsidRPr="00DB185B" w:rsidRDefault="00DB185B" w:rsidP="00DB185B">
      <w:pPr>
        <w:pStyle w:val="AERtablesource"/>
      </w:pPr>
      <w:r w:rsidRPr="00DB185B">
        <w:t xml:space="preserve">Source: </w:t>
      </w:r>
      <w:r w:rsidR="00C1345C">
        <w:tab/>
      </w:r>
      <w:r w:rsidRPr="00DB185B">
        <w:t>AER analysis, using calibrated replacement lives.</w:t>
      </w:r>
    </w:p>
    <w:p w:rsidR="00DB185B" w:rsidRPr="00DB185B" w:rsidRDefault="00DB185B" w:rsidP="00DB185B">
      <w:pPr>
        <w:pStyle w:val="HeadingBoldBlue"/>
        <w:numPr>
          <w:ilvl w:val="0"/>
          <w:numId w:val="24"/>
        </w:numPr>
      </w:pPr>
      <w:r w:rsidRPr="00DB185B">
        <w:t>Data assumptions</w:t>
      </w:r>
    </w:p>
    <w:p w:rsidR="00DB185B" w:rsidRPr="00DB185B" w:rsidRDefault="00DB185B" w:rsidP="00DB185B">
      <w:pPr>
        <w:numPr>
          <w:ilvl w:val="0"/>
          <w:numId w:val="24"/>
        </w:numPr>
      </w:pPr>
      <w:r w:rsidRPr="00DB185B">
        <w:t xml:space="preserve">Certain data points were not available for use in the model. For unit costs, this arose either because the </w:t>
      </w:r>
      <w:r w:rsidR="00AD6B1F">
        <w:t xml:space="preserve">distributor </w:t>
      </w:r>
      <w:r w:rsidRPr="00DB185B">
        <w:t>did incur any expenditure on an asset category in the 2010–15 regulatory control period (used to derive historical unit costs) or had not proposed any expenditure in the 2015–20 regulatory control period (used to derive forecast unit costs). If both these inputs were not available, we used the benchmarked average unit cost as a substitute input.</w:t>
      </w:r>
    </w:p>
    <w:p w:rsidR="00DB185B" w:rsidRPr="00DB185B" w:rsidRDefault="00DB185B" w:rsidP="00DB185B">
      <w:pPr>
        <w:numPr>
          <w:ilvl w:val="0"/>
          <w:numId w:val="24"/>
        </w:numPr>
      </w:pPr>
      <w:r w:rsidRPr="00DB185B">
        <w:t>In addition, we did not use a calibrated asset replacement</w:t>
      </w:r>
      <w:r w:rsidR="00AD6B1F">
        <w:t xml:space="preserve"> life where the distributor</w:t>
      </w:r>
      <w:r w:rsidRPr="00DB185B">
        <w:t xml:space="preserve"> did not replace any assets during the 20</w:t>
      </w:r>
      <w:r w:rsidR="006C0C3E">
        <w:t>10</w:t>
      </w:r>
      <w:r w:rsidRPr="00DB185B">
        <w:t>–1</w:t>
      </w:r>
      <w:r w:rsidR="006C0C3E">
        <w:t>5</w:t>
      </w:r>
      <w:r w:rsidRPr="00DB185B">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rsidR="00AD6B1F">
        <w:t>distributor</w:t>
      </w:r>
      <w:r w:rsidRPr="00DB185B">
        <w:t xml:space="preserve">. </w:t>
      </w:r>
    </w:p>
    <w:p w:rsidR="00DB185B" w:rsidRPr="00DB185B" w:rsidRDefault="00DB185B" w:rsidP="00DB185B">
      <w:pPr>
        <w:pStyle w:val="HeadingBoldBlue"/>
        <w:numPr>
          <w:ilvl w:val="0"/>
          <w:numId w:val="24"/>
        </w:numPr>
      </w:pPr>
      <w:r w:rsidRPr="00DB185B">
        <w:t>Un-modelled repex</w:t>
      </w:r>
    </w:p>
    <w:p w:rsidR="00DB185B" w:rsidRDefault="00DB185B" w:rsidP="00DB185B">
      <w:pPr>
        <w:numPr>
          <w:ilvl w:val="0"/>
          <w:numId w:val="24"/>
        </w:numPr>
      </w:pPr>
      <w:r w:rsidRPr="00DB185B">
        <w:t>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from the modelling process, and did not use predictive modelling to directly assess these categories. We decided to exclude SCADA repex from the model for this reason. Expenditure on pole top structures was also excluded, as it is related to expenditure on overall pole replacement and modelling may result in double counting of replacement volumes. Other excluded categories are detailed in appendix A.3 of this preliminary decision.</w:t>
      </w:r>
    </w:p>
    <w:p w:rsidR="00F35D20" w:rsidRPr="00DB185B" w:rsidRDefault="00F35D20" w:rsidP="00DB185B">
      <w:pPr>
        <w:numPr>
          <w:ilvl w:val="0"/>
          <w:numId w:val="24"/>
        </w:numPr>
      </w:pPr>
    </w:p>
    <w:p w:rsidR="00DB185B" w:rsidRPr="00DB185B" w:rsidRDefault="00DB185B" w:rsidP="00DB185B">
      <w:pPr>
        <w:pStyle w:val="Heading8"/>
      </w:pPr>
      <w:bookmarkStart w:id="232" w:name="_Toc404589190"/>
      <w:bookmarkStart w:id="233" w:name="_Toc417725437"/>
      <w:r w:rsidRPr="00DB185B">
        <w:lastRenderedPageBreak/>
        <w:t>The treatment of staked wooden poles</w:t>
      </w:r>
      <w:bookmarkEnd w:id="232"/>
      <w:r w:rsidRPr="00DB185B">
        <w:t xml:space="preserve"> and plated stobie poles</w:t>
      </w:r>
      <w:bookmarkEnd w:id="233"/>
    </w:p>
    <w:p w:rsidR="00DB185B" w:rsidRPr="00DB185B" w:rsidRDefault="00DB185B" w:rsidP="00DB185B">
      <w:pPr>
        <w:numPr>
          <w:ilvl w:val="0"/>
          <w:numId w:val="24"/>
        </w:numPr>
      </w:pPr>
      <w:r w:rsidRPr="00DB185B">
        <w:t>The staking of a wooden pole is the practice of attaching a metal support structure (a stake or bracket) to reinforce an aged wooden pole.</w:t>
      </w:r>
      <w:r w:rsidRPr="00DB185B">
        <w:rPr>
          <w:rStyle w:val="FootnoteReference"/>
        </w:rPr>
        <w:footnoteReference w:id="431"/>
      </w:r>
      <w:r w:rsidRPr="00DB185B">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DB185B" w:rsidRPr="00DB185B" w:rsidRDefault="00DB185B" w:rsidP="00DB185B">
      <w:pPr>
        <w:pStyle w:val="Heading9"/>
      </w:pPr>
      <w:bookmarkStart w:id="234" w:name="_Toc404589191"/>
      <w:bookmarkStart w:id="235" w:name="_Toc417725438"/>
      <w:r w:rsidRPr="00DB185B">
        <w:t>Like-for-like repex modelling</w:t>
      </w:r>
      <w:bookmarkEnd w:id="234"/>
      <w:bookmarkEnd w:id="235"/>
    </w:p>
    <w:p w:rsidR="00DB185B" w:rsidRPr="00DB185B" w:rsidRDefault="00DB185B" w:rsidP="00DB185B">
      <w:pPr>
        <w:numPr>
          <w:ilvl w:val="0"/>
          <w:numId w:val="24"/>
        </w:numPr>
      </w:pPr>
      <w:r w:rsidRPr="00DB185B">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DB185B" w:rsidRPr="00DB185B" w:rsidRDefault="00DB185B" w:rsidP="00DB185B">
      <w:pPr>
        <w:numPr>
          <w:ilvl w:val="0"/>
          <w:numId w:val="24"/>
        </w:numPr>
      </w:pPr>
      <w:r w:rsidRPr="00DB185B">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DB185B" w:rsidRPr="00DB185B" w:rsidRDefault="00DB185B" w:rsidP="00DB185B">
      <w:pPr>
        <w:pStyle w:val="Heading9"/>
      </w:pPr>
      <w:bookmarkStart w:id="236" w:name="_Toc404589192"/>
      <w:bookmarkStart w:id="237" w:name="_Toc417725439"/>
      <w:r w:rsidRPr="00DB185B">
        <w:t>Non-like-for-like replacement</w:t>
      </w:r>
      <w:bookmarkEnd w:id="236"/>
      <w:bookmarkEnd w:id="237"/>
    </w:p>
    <w:p w:rsidR="00DB185B" w:rsidRPr="00DB185B" w:rsidRDefault="00DB185B" w:rsidP="00DB185B">
      <w:pPr>
        <w:numPr>
          <w:ilvl w:val="0"/>
          <w:numId w:val="24"/>
        </w:numPr>
      </w:pPr>
      <w:r w:rsidRPr="00DB185B">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 (or stobie poles for SA Power Networks).</w:t>
      </w:r>
    </w:p>
    <w:p w:rsidR="00DB185B" w:rsidRPr="00DB185B" w:rsidRDefault="00DB185B" w:rsidP="00DB185B">
      <w:pPr>
        <w:pStyle w:val="HeadingBoldBlue"/>
        <w:numPr>
          <w:ilvl w:val="0"/>
          <w:numId w:val="24"/>
        </w:numPr>
      </w:pPr>
      <w:r w:rsidRPr="00DB185B">
        <w:t>Staked and unstaked wooden poles</w:t>
      </w:r>
    </w:p>
    <w:p w:rsidR="00DB185B" w:rsidRPr="00DB185B" w:rsidRDefault="00DB185B" w:rsidP="00DB185B">
      <w:pPr>
        <w:numPr>
          <w:ilvl w:val="0"/>
          <w:numId w:val="24"/>
        </w:numPr>
      </w:pPr>
      <w:r w:rsidRPr="00DB185B">
        <w:t xml:space="preserve">The life of a wooden pole may be extended by installing a metal stake to reinforce its base. Staked wooden poles are treated as a different asset in the repex model to </w:t>
      </w:r>
      <w:r w:rsidRPr="00DB185B">
        <w:lastRenderedPageBreak/>
        <w:t xml:space="preserve">unstaked poles. This is because staked and unstaked poles have different expected lives and different costs of replacement. </w:t>
      </w:r>
    </w:p>
    <w:p w:rsidR="00DB185B" w:rsidRPr="00DB185B" w:rsidRDefault="00DB185B" w:rsidP="00DB185B">
      <w:pPr>
        <w:numPr>
          <w:ilvl w:val="0"/>
          <w:numId w:val="24"/>
        </w:numPr>
      </w:pPr>
      <w:r w:rsidRPr="00DB185B">
        <w:t>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the old pole.</w:t>
      </w:r>
    </w:p>
    <w:p w:rsidR="00DB185B" w:rsidRPr="00DB185B" w:rsidRDefault="00DB185B" w:rsidP="00DB185B">
      <w:pPr>
        <w:numPr>
          <w:ilvl w:val="0"/>
          <w:numId w:val="24"/>
        </w:numPr>
      </w:pPr>
      <w:r w:rsidRPr="00DB185B">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DB185B" w:rsidRPr="00DB185B" w:rsidRDefault="00DB185B" w:rsidP="00DB185B">
      <w:pPr>
        <w:pStyle w:val="HeadingBoldBlue"/>
        <w:numPr>
          <w:ilvl w:val="0"/>
          <w:numId w:val="24"/>
        </w:numPr>
      </w:pPr>
      <w:r w:rsidRPr="00DB185B">
        <w:t>Unit cost blending</w:t>
      </w:r>
    </w:p>
    <w:p w:rsidR="00DB185B" w:rsidRPr="00DB185B" w:rsidRDefault="00DB185B" w:rsidP="00DB185B">
      <w:pPr>
        <w:numPr>
          <w:ilvl w:val="0"/>
          <w:numId w:val="24"/>
        </w:numPr>
      </w:pPr>
      <w:r w:rsidRPr="00DB185B">
        <w:t>We use a process of unit cost blending to account for the non-like-for-like asset categories.</w:t>
      </w:r>
    </w:p>
    <w:p w:rsidR="00DB185B" w:rsidRPr="00DB185B" w:rsidRDefault="00DB185B" w:rsidP="00DB185B">
      <w:pPr>
        <w:numPr>
          <w:ilvl w:val="0"/>
          <w:numId w:val="24"/>
        </w:numPr>
      </w:pPr>
      <w:r w:rsidRPr="00DB185B">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DB185B">
        <w:rPr>
          <w:rStyle w:val="AERsuperscript"/>
        </w:rPr>
        <w:footnoteReference w:id="432"/>
      </w:r>
      <w:r w:rsidRPr="00DB185B">
        <w:rPr>
          <w:rStyle w:val="AERsuperscript"/>
        </w:rPr>
        <w:t xml:space="preserve"> </w:t>
      </w:r>
      <w:r w:rsidRPr="00DB185B">
        <w:t xml:space="preserve">We ran the model under a variety of different weightings – including the observed staking rate of the business and observed best practice from the distributors in the NEM. </w:t>
      </w:r>
    </w:p>
    <w:p w:rsidR="00DB185B" w:rsidRPr="00DB185B" w:rsidRDefault="00DB185B" w:rsidP="00DB185B">
      <w:pPr>
        <w:numPr>
          <w:ilvl w:val="0"/>
          <w:numId w:val="24"/>
        </w:numPr>
        <w:rPr>
          <w:rStyle w:val="AERbody"/>
        </w:rPr>
      </w:pPr>
      <w:r w:rsidRPr="00DB185B">
        <w:rPr>
          <w:rStyle w:val="AERbody"/>
        </w:rPr>
        <w:t xml:space="preserve">For SA Power Networks (stobie plating) and Ergon Energy, we adopted their own observed plating/staking ratio, respectively. Energex, however, exhibited a staking ratio of 24 per cent. This is lower than peer urban networks such as Ausgrid and ActewAGL, and, indeed, lower than Ergon Energy's staking rate of 46 per cent on its predominantly rural network. Energex does not appear to achieve significantly longer lives on its poles than these three </w:t>
      </w:r>
      <w:r w:rsidR="00AD6B1F">
        <w:t>distributors</w:t>
      </w:r>
      <w:r w:rsidR="00AD6B1F" w:rsidRPr="00DB185B">
        <w:rPr>
          <w:rStyle w:val="AERbody"/>
        </w:rPr>
        <w:t xml:space="preserve"> </w:t>
      </w:r>
      <w:r w:rsidRPr="00DB185B">
        <w:rPr>
          <w:rStyle w:val="AERbody"/>
        </w:rPr>
        <w:t xml:space="preserve">(the weighted calibrated replacement life of its pole assets group is 56 years, while the figure for Ausgrid is 59 years). By contrast, Essential Energy, which also has a low staking rate, achieves longer lives than the other </w:t>
      </w:r>
      <w:r w:rsidR="00AD6B1F">
        <w:t>distributor</w:t>
      </w:r>
      <w:r w:rsidRPr="00DB185B">
        <w:rPr>
          <w:rStyle w:val="AERbody"/>
        </w:rPr>
        <w:t xml:space="preserve">s (the weighted calibrated replacement life of its pole assets group is 66 years). As such, it appears that Energex predominantly chooses to replace its wooden poles earlier than other distributors, and does not utilise staking to the same extent. We consider that Energex's staking rate is lower than would be expected, given the age at which its assets reach replacement age and the practices of its peers. </w:t>
      </w:r>
      <w:r w:rsidRPr="00DB185B">
        <w:rPr>
          <w:rStyle w:val="AERbody"/>
        </w:rPr>
        <w:lastRenderedPageBreak/>
        <w:t>Consequently, we have applied in our modelling a benchmarked rate equivalent to Ausgrid's staking rate of 47 per cent.</w:t>
      </w:r>
    </w:p>
    <w:p w:rsidR="00DB185B" w:rsidRPr="00DB185B" w:rsidRDefault="00DB185B" w:rsidP="00DB185B">
      <w:pPr>
        <w:numPr>
          <w:ilvl w:val="0"/>
          <w:numId w:val="24"/>
        </w:numPr>
      </w:pPr>
      <w:r w:rsidRPr="00DB185B">
        <w:t>For staked wooden poles being replaced, in the first instance, we used historical data from the distributors on the proportion of different voltage staked wooden poles being replaced to approximate the volume of each new asset going forward.</w:t>
      </w:r>
      <w:r w:rsidRPr="00DB185B">
        <w:rPr>
          <w:rStyle w:val="AERsuperscript"/>
        </w:rPr>
        <w:footnoteReference w:id="433"/>
      </w:r>
      <w:r w:rsidRPr="00DB185B">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DB185B" w:rsidRPr="00DB185B" w:rsidRDefault="00DB185B" w:rsidP="00DB185B">
      <w:pPr>
        <w:pStyle w:val="Heading8"/>
      </w:pPr>
      <w:bookmarkStart w:id="238" w:name="_Toc404589193"/>
      <w:bookmarkStart w:id="239" w:name="_Toc417725440"/>
      <w:r w:rsidRPr="00DB185B">
        <w:t>Calibrating staked wooden poles</w:t>
      </w:r>
      <w:bookmarkEnd w:id="238"/>
      <w:bookmarkEnd w:id="239"/>
    </w:p>
    <w:p w:rsidR="00DB185B" w:rsidRPr="00DB185B" w:rsidRDefault="00DB185B" w:rsidP="00DB185B">
      <w:pPr>
        <w:numPr>
          <w:ilvl w:val="0"/>
          <w:numId w:val="24"/>
        </w:numPr>
      </w:pPr>
      <w:r w:rsidRPr="00DB185B">
        <w:t>Special consideration also has to be given to staked wooden poles when finding replacement lives. This is because historical volumes of replacements are used in calibration. The RIN responses provide us with information on the volume of new assets installed over the last five years. However, the model predicts the volume of old assets being replaced - so an adjustment needs to be made for the calibration process to function correctly. We sought this information directly from the distributors. It should be noted that staking of wooden poles is a relatively recent activity, and we have not observed a large number of historical replacements of these assets by the distributors.</w:t>
      </w:r>
    </w:p>
    <w:p w:rsidR="00DB185B" w:rsidRPr="00DB185B" w:rsidRDefault="00DB185B" w:rsidP="00DB185B">
      <w:pPr>
        <w:numPr>
          <w:ilvl w:val="0"/>
          <w:numId w:val="24"/>
        </w:numPr>
      </w:pPr>
      <w:r w:rsidRPr="00DB185B">
        <w:t>For SA Power Networks' stobie pole plating, we did not apply the calibration process. This is because SA Power Networks has only carried out the plating process for the past ten years. SA Power Networks submits that the average replacement life of a plated stobie pole is around 20 years. Given it has no assets in commission that have reached this age, this asset is not suitable for calibration. We have utilised the base case replacement life submitted by SA Power Networks in all iterations of the model.</w:t>
      </w:r>
    </w:p>
    <w:p w:rsidR="00DB185B" w:rsidRPr="00DB185B" w:rsidRDefault="00DB185B" w:rsidP="00DB185B">
      <w:pPr>
        <w:pStyle w:val="Heading8"/>
      </w:pPr>
      <w:bookmarkStart w:id="240" w:name="_Toc417725441"/>
      <w:r w:rsidRPr="00DB185B">
        <w:t>Wooden pole asset adjustment (Ergon Energy)</w:t>
      </w:r>
      <w:bookmarkEnd w:id="240"/>
    </w:p>
    <w:p w:rsidR="00DB185B" w:rsidRPr="00DB185B" w:rsidRDefault="00DB185B" w:rsidP="00DB185B">
      <w:r w:rsidRPr="00DB185B">
        <w:t>Ergon Energy reported its staked wooden poles twice in its asset age profile: once as "staking of a wooden pole" and a second time under one of the six wooden pole categories. This resulted in the double counting of its wooden poles. Using the data "as is" in the repex model would result in the double counting of these assets. Consequently, we made an adjustment to Ergon Energy's wooden pole data to net out the double counted assets.</w:t>
      </w:r>
    </w:p>
    <w:p w:rsidR="00DB185B" w:rsidRPr="00DB185B" w:rsidRDefault="00DB185B" w:rsidP="00DB185B">
      <w:r w:rsidRPr="00DB185B">
        <w:t>The adjustment required involves subtracting the total number of staked poles from the total number of wooden poles in commission. We decided to do carry out this adjustment proportionally across the wooden pole asset base. We also assumed that no new pole installed after 1985 would have required staking (or the number would be negligible) so the adjustment would be applied to the pre-1985 asset base.</w:t>
      </w:r>
    </w:p>
    <w:p w:rsidR="00DB185B" w:rsidRPr="00DB185B" w:rsidRDefault="00DB185B" w:rsidP="00DB185B">
      <w:r w:rsidRPr="00DB185B">
        <w:lastRenderedPageBreak/>
        <w:t>To make this adjustment, the total number of wooden poles in commission (with an installation date of 1985 or before) was calculated. Then we found the proportion of the total that each category of wooden poles made up in each year. The total number of staked poles was multiplied by these proportions to give an adjustment figure. This figure was then subtracted from the asset age profile.</w:t>
      </w:r>
    </w:p>
    <w:p w:rsidR="00DB185B" w:rsidRPr="00DB185B" w:rsidRDefault="00DB185B" w:rsidP="00DB185B">
      <w:r w:rsidRPr="00DB185B">
        <w:t>Our approach allocates the adjustment across each year of the age profile, rather than attempting to make targeted adjustments at particular years, or bias the adjustment in favour of older poles. Given the expected lives of wooden poles (50+ years), it is likely that a greater number of the stakings were carried out on the older poles in the asset base than newer poles (that is, a pole that is over 50 years old is more likely to be staked than a pole that is under 50). Assuming this is correct, applying a constant allocation of the staking to all pre-1985 poles may result in a greater number of newer poles being netted out and fewer old poles being netted out than we would expect in practice. Under this circumstance, we would expect the repex model to calculate a greater volume of replacements than it would if the adjustments were distributed with an asymmetric bias towards older poles. Consequently, the approach does not disadvantage Ergon Energy, as it is not likely to result in an underestimation of their replacement requirements, and is more likely to skew in favour of replacement.</w:t>
      </w:r>
    </w:p>
    <w:sectPr w:rsidR="00DB185B" w:rsidRPr="00DB185B" w:rsidSect="00012B2D">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B41" w:rsidRPr="00290C63" w:rsidRDefault="001C0B41" w:rsidP="00290C63">
      <w:r>
        <w:separator/>
      </w:r>
    </w:p>
    <w:p w:rsidR="001C0B41" w:rsidRDefault="001C0B41"/>
  </w:endnote>
  <w:endnote w:type="continuationSeparator" w:id="0">
    <w:p w:rsidR="001C0B41" w:rsidRPr="00290C63" w:rsidRDefault="001C0B41" w:rsidP="00290C63">
      <w:r>
        <w:continuationSeparator/>
      </w:r>
    </w:p>
    <w:p w:rsidR="001C0B41" w:rsidRDefault="001C0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41" w:rsidRPr="00290C63" w:rsidRDefault="001C0B41"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1C0B41" w:rsidRDefault="001C0B41"/>
  <w:p w:rsidR="001C0B41" w:rsidRDefault="001C0B41"/>
  <w:p w:rsidR="001C0B41" w:rsidRDefault="001C0B41"/>
  <w:p w:rsidR="001C0B41" w:rsidRDefault="001C0B41"/>
  <w:p w:rsidR="001C0B41" w:rsidRDefault="001C0B41"/>
  <w:p w:rsidR="001C0B41" w:rsidRDefault="001C0B41"/>
  <w:p w:rsidR="001C0B41" w:rsidRDefault="001C0B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452252"/>
      <w:docPartObj>
        <w:docPartGallery w:val="Page Numbers (Bottom of Page)"/>
        <w:docPartUnique/>
      </w:docPartObj>
    </w:sdtPr>
    <w:sdtEndPr>
      <w:rPr>
        <w:noProof/>
      </w:rPr>
    </w:sdtEndPr>
    <w:sdtContent>
      <w:p w:rsidR="001C0B41" w:rsidRDefault="001C0B41">
        <w:pPr>
          <w:pStyle w:val="Footer"/>
        </w:pPr>
        <w:r>
          <w:fldChar w:fldCharType="begin"/>
        </w:r>
        <w:r>
          <w:instrText xml:space="preserve"> PAGE   \* MERGEFORMAT </w:instrText>
        </w:r>
        <w:r>
          <w:fldChar w:fldCharType="separate"/>
        </w:r>
        <w:r w:rsidR="006B7CB6">
          <w:rPr>
            <w:noProof/>
          </w:rPr>
          <w:t>6-5</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SA Power Networks'</w:t>
        </w:r>
        <w:r>
          <w:rPr>
            <w:rFonts w:cs="Gautami"/>
            <w:noProof/>
          </w:rPr>
          <w:t xml:space="preserve"> determination 2015–20</w:t>
        </w:r>
      </w:p>
    </w:sdtContent>
  </w:sdt>
  <w:p w:rsidR="001C0B41" w:rsidRDefault="001C0B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41" w:rsidRPr="00290C63" w:rsidRDefault="001C0B41"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1C0B41" w:rsidRDefault="001C0B41">
    <w:pPr>
      <w:pStyle w:val="Footer"/>
    </w:pPr>
  </w:p>
  <w:p w:rsidR="001C0B41" w:rsidRDefault="001C0B41"/>
  <w:p w:rsidR="001C0B41" w:rsidRDefault="001C0B41"/>
  <w:p w:rsidR="001C0B41" w:rsidRDefault="001C0B41"/>
  <w:p w:rsidR="001C0B41" w:rsidRDefault="001C0B41"/>
  <w:p w:rsidR="001C0B41" w:rsidRDefault="001C0B41"/>
  <w:p w:rsidR="001C0B41" w:rsidRDefault="001C0B41"/>
  <w:p w:rsidR="001C0B41" w:rsidRDefault="001C0B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B41" w:rsidRPr="00290C63" w:rsidRDefault="001C0B41" w:rsidP="00290C63">
      <w:r>
        <w:separator/>
      </w:r>
    </w:p>
    <w:p w:rsidR="001C0B41" w:rsidRDefault="001C0B41"/>
  </w:footnote>
  <w:footnote w:type="continuationSeparator" w:id="0">
    <w:p w:rsidR="001C0B41" w:rsidRPr="00290C63" w:rsidRDefault="001C0B41" w:rsidP="00290C63">
      <w:r>
        <w:continuationSeparator/>
      </w:r>
    </w:p>
    <w:p w:rsidR="001C0B41" w:rsidRDefault="001C0B41"/>
  </w:footnote>
  <w:footnote w:id="1">
    <w:p w:rsidR="001C0B41" w:rsidRDefault="001C0B41">
      <w:pPr>
        <w:pStyle w:val="FootnoteText"/>
      </w:pPr>
      <w:r>
        <w:rPr>
          <w:rStyle w:val="FootnoteReference"/>
        </w:rPr>
        <w:footnoteRef/>
      </w:r>
      <w:r>
        <w:t xml:space="preserve"> </w:t>
      </w:r>
      <w:r>
        <w:tab/>
      </w:r>
      <w:r w:rsidRPr="000D3300">
        <w:t>NER, clause 6.4.3(a).</w:t>
      </w:r>
    </w:p>
  </w:footnote>
  <w:footnote w:id="2">
    <w:p w:rsidR="001C0B41" w:rsidRDefault="001C0B41">
      <w:pPr>
        <w:pStyle w:val="FootnoteText"/>
      </w:pPr>
      <w:r>
        <w:rPr>
          <w:rStyle w:val="FootnoteReference"/>
        </w:rPr>
        <w:footnoteRef/>
      </w:r>
      <w:r>
        <w:t xml:space="preserve"> </w:t>
      </w:r>
      <w:r>
        <w:tab/>
      </w:r>
      <w:r w:rsidRPr="0029284F">
        <w:t>NEL, sections 7A</w:t>
      </w:r>
      <w:r>
        <w:t>.</w:t>
      </w:r>
    </w:p>
  </w:footnote>
  <w:footnote w:id="3">
    <w:p w:rsidR="001C0B41" w:rsidRDefault="001C0B41">
      <w:pPr>
        <w:pStyle w:val="FootnoteText"/>
      </w:pPr>
      <w:r>
        <w:rPr>
          <w:rStyle w:val="FootnoteReference"/>
        </w:rPr>
        <w:footnoteRef/>
      </w:r>
      <w:r>
        <w:t xml:space="preserve"> </w:t>
      </w:r>
      <w:r>
        <w:tab/>
        <w:t xml:space="preserve">SA Power Networks, Regulatory Proposal Overview, </w:t>
      </w:r>
      <w:r w:rsidRPr="00345DC6">
        <w:t>p.17</w:t>
      </w:r>
      <w:r>
        <w:t>.</w:t>
      </w:r>
    </w:p>
  </w:footnote>
  <w:footnote w:id="4">
    <w:p w:rsidR="001C0B41" w:rsidRDefault="001C0B41" w:rsidP="00787774">
      <w:pPr>
        <w:pStyle w:val="FootnoteText"/>
      </w:pPr>
      <w:r>
        <w:rPr>
          <w:rStyle w:val="FootnoteReference"/>
        </w:rPr>
        <w:footnoteRef/>
      </w:r>
      <w:r>
        <w:t xml:space="preserve"> </w:t>
      </w:r>
      <w:r>
        <w:tab/>
      </w:r>
      <w:r w:rsidRPr="0084441D">
        <w:t xml:space="preserve">AER, Expenditure Forecast Electricity </w:t>
      </w:r>
      <w:r>
        <w:t>Distribution</w:t>
      </w:r>
      <w:r w:rsidRPr="0084441D">
        <w:t xml:space="preserve"> Guideline, November 2013, p. 9; see also AEMC, Economic Regulation Final Rule Determination, pp. 111 and 112.</w:t>
      </w:r>
    </w:p>
  </w:footnote>
  <w:footnote w:id="5">
    <w:p w:rsidR="001C0B41" w:rsidRDefault="001C0B41" w:rsidP="00787774">
      <w:pPr>
        <w:pStyle w:val="FootnoteText"/>
      </w:pPr>
      <w:r>
        <w:rPr>
          <w:rStyle w:val="FootnoteReference"/>
        </w:rPr>
        <w:footnoteRef/>
      </w:r>
      <w:r>
        <w:t xml:space="preserve"> </w:t>
      </w:r>
      <w:r>
        <w:tab/>
      </w:r>
      <w:r w:rsidRPr="0084441D">
        <w:t>NER, cl. 6.</w:t>
      </w:r>
      <w:r>
        <w:t>5</w:t>
      </w:r>
      <w:r w:rsidRPr="0084441D">
        <w:t>.7(c).</w:t>
      </w:r>
    </w:p>
  </w:footnote>
  <w:footnote w:id="6">
    <w:p w:rsidR="001C0B41" w:rsidRDefault="001C0B41">
      <w:pPr>
        <w:pStyle w:val="FootnoteText"/>
      </w:pPr>
      <w:r>
        <w:rPr>
          <w:rStyle w:val="FootnoteReference"/>
        </w:rPr>
        <w:footnoteRef/>
      </w:r>
      <w:r>
        <w:t xml:space="preserve"> </w:t>
      </w:r>
      <w:r>
        <w:tab/>
      </w:r>
      <w:r w:rsidRPr="001B43AE">
        <w:t>AEMC Final Rule Determination: National Electricity Amendment (Economic Regulation of Network Service Providers) Rule 2012, 29 November 2012, p. 113 (AEMC Economic Regulation Final Rule Determination).</w:t>
      </w:r>
    </w:p>
  </w:footnote>
  <w:footnote w:id="7">
    <w:p w:rsidR="001C0B41" w:rsidRDefault="001C0B41">
      <w:pPr>
        <w:pStyle w:val="FootnoteText"/>
      </w:pPr>
      <w:r>
        <w:rPr>
          <w:rStyle w:val="FootnoteReference"/>
        </w:rPr>
        <w:footnoteRef/>
      </w:r>
      <w:r>
        <w:t xml:space="preserve"> </w:t>
      </w:r>
      <w:r>
        <w:tab/>
      </w:r>
      <w:r w:rsidRPr="001B43AE">
        <w:t>NER, cl. 6.5.7(a).</w:t>
      </w:r>
    </w:p>
  </w:footnote>
  <w:footnote w:id="8">
    <w:p w:rsidR="001C0B41" w:rsidRDefault="001C0B41">
      <w:pPr>
        <w:pStyle w:val="FootnoteText"/>
      </w:pPr>
      <w:r>
        <w:rPr>
          <w:rStyle w:val="FootnoteReference"/>
        </w:rPr>
        <w:footnoteRef/>
      </w:r>
      <w:r>
        <w:t xml:space="preserve"> </w:t>
      </w:r>
      <w:r>
        <w:tab/>
      </w:r>
      <w:r w:rsidRPr="001B43AE">
        <w:t>AEMC, Economic Regulation Final Rule Determination, p. vii.</w:t>
      </w:r>
    </w:p>
  </w:footnote>
  <w:footnote w:id="9">
    <w:p w:rsidR="001C0B41" w:rsidRDefault="001C0B41">
      <w:pPr>
        <w:pStyle w:val="FootnoteText"/>
      </w:pPr>
      <w:r>
        <w:rPr>
          <w:rStyle w:val="FootnoteReference"/>
        </w:rPr>
        <w:footnoteRef/>
      </w:r>
      <w:r>
        <w:t xml:space="preserve"> </w:t>
      </w:r>
      <w:r>
        <w:tab/>
      </w:r>
      <w:r w:rsidRPr="001B43AE">
        <w:t>NER, cl. 6.5.7(e).</w:t>
      </w:r>
    </w:p>
  </w:footnote>
  <w:footnote w:id="10">
    <w:p w:rsidR="001C0B41" w:rsidRDefault="001C0B41">
      <w:pPr>
        <w:pStyle w:val="FootnoteText"/>
      </w:pPr>
      <w:r>
        <w:rPr>
          <w:rStyle w:val="FootnoteReference"/>
        </w:rPr>
        <w:footnoteRef/>
      </w:r>
      <w:r>
        <w:t xml:space="preserve"> </w:t>
      </w:r>
      <w:r>
        <w:tab/>
      </w:r>
      <w:r w:rsidRPr="001B43AE">
        <w:t>NER, cl. 6.5.7(e)(12).</w:t>
      </w:r>
    </w:p>
  </w:footnote>
  <w:footnote w:id="11">
    <w:p w:rsidR="001C0B41" w:rsidRDefault="001C0B41">
      <w:pPr>
        <w:pStyle w:val="FootnoteText"/>
      </w:pPr>
      <w:r>
        <w:rPr>
          <w:rStyle w:val="FootnoteReference"/>
        </w:rPr>
        <w:footnoteRef/>
      </w:r>
      <w:r>
        <w:t xml:space="preserve"> </w:t>
      </w:r>
      <w:r>
        <w:tab/>
      </w:r>
      <w:r w:rsidRPr="001B43AE">
        <w:t>AEMC, Economic Regulation Final Rule Determination, p. 115.</w:t>
      </w:r>
    </w:p>
  </w:footnote>
  <w:footnote w:id="12">
    <w:p w:rsidR="001C0B41" w:rsidRDefault="001C0B41">
      <w:pPr>
        <w:pStyle w:val="FootnoteText"/>
      </w:pPr>
      <w:r>
        <w:rPr>
          <w:rStyle w:val="FootnoteReference"/>
        </w:rPr>
        <w:footnoteRef/>
      </w:r>
      <w:r>
        <w:t xml:space="preserve"> </w:t>
      </w:r>
      <w:r>
        <w:tab/>
      </w:r>
      <w:r w:rsidRPr="001B43AE">
        <w:t>NEL, ss. 7A and 16(2).</w:t>
      </w:r>
    </w:p>
  </w:footnote>
  <w:footnote w:id="13">
    <w:p w:rsidR="001C0B41" w:rsidRDefault="001C0B41">
      <w:pPr>
        <w:pStyle w:val="FootnoteText"/>
      </w:pPr>
      <w:r>
        <w:rPr>
          <w:rStyle w:val="FootnoteReference"/>
        </w:rPr>
        <w:footnoteRef/>
      </w:r>
      <w:r>
        <w:t xml:space="preserve"> </w:t>
      </w:r>
      <w:r>
        <w:tab/>
      </w:r>
      <w:r w:rsidRPr="004E7D81">
        <w:t>AEMC, Economic Regulation Final Rule Determination, p. 114 and AER Expenditure Forecast Electricity Distribution Guideline.</w:t>
      </w:r>
    </w:p>
  </w:footnote>
  <w:footnote w:id="14">
    <w:p w:rsidR="001C0B41" w:rsidRDefault="001C0B41">
      <w:pPr>
        <w:pStyle w:val="FootnoteText"/>
      </w:pPr>
      <w:r>
        <w:rPr>
          <w:rStyle w:val="FootnoteReference"/>
        </w:rPr>
        <w:footnoteRef/>
      </w:r>
      <w:r>
        <w:t xml:space="preserve"> </w:t>
      </w:r>
      <w:r>
        <w:tab/>
      </w:r>
      <w:r w:rsidRPr="004E7D81">
        <w:t>AER, Framework and approach paper, p</w:t>
      </w:r>
      <w:r>
        <w:t>.72.</w:t>
      </w:r>
    </w:p>
  </w:footnote>
  <w:footnote w:id="15">
    <w:p w:rsidR="001C0B41" w:rsidRDefault="001C0B41" w:rsidP="007428F9">
      <w:pPr>
        <w:pStyle w:val="FootnoteText"/>
      </w:pPr>
      <w:r>
        <w:rPr>
          <w:rStyle w:val="FootnoteReference"/>
        </w:rPr>
        <w:footnoteRef/>
      </w:r>
      <w:r>
        <w:t xml:space="preserve"> </w:t>
      </w:r>
      <w:r>
        <w:tab/>
        <w:t xml:space="preserve">NER, clause 6.8.2(c2) and (d). </w:t>
      </w:r>
    </w:p>
  </w:footnote>
  <w:footnote w:id="16">
    <w:p w:rsidR="001C0B41" w:rsidRDefault="001C0B41" w:rsidP="007428F9">
      <w:pPr>
        <w:pStyle w:val="FootnoteText"/>
      </w:pPr>
      <w:r>
        <w:rPr>
          <w:rStyle w:val="FootnoteReference"/>
        </w:rPr>
        <w:footnoteRef/>
      </w:r>
      <w:r>
        <w:t xml:space="preserve"> </w:t>
      </w:r>
      <w:r>
        <w:tab/>
      </w:r>
      <w:r w:rsidRPr="002B6535">
        <w:t>AER</w:t>
      </w:r>
      <w:r>
        <w:t xml:space="preserve">, </w:t>
      </w:r>
      <w:r w:rsidRPr="005048E6">
        <w:rPr>
          <w:rStyle w:val="AERtextitalic"/>
        </w:rPr>
        <w:t>Expenditure Forecast Electricity Distribution Guideline</w:t>
      </w:r>
      <w:r w:rsidRPr="002B6535">
        <w:t>, p.</w:t>
      </w:r>
      <w:r>
        <w:t xml:space="preserve"> </w:t>
      </w:r>
      <w:r w:rsidRPr="002B6535">
        <w:t>25</w:t>
      </w:r>
      <w:r>
        <w:t>.</w:t>
      </w:r>
    </w:p>
  </w:footnote>
  <w:footnote w:id="17">
    <w:p w:rsidR="001C0B41" w:rsidRDefault="001C0B41">
      <w:pPr>
        <w:pStyle w:val="FootnoteText"/>
      </w:pPr>
      <w:r>
        <w:rPr>
          <w:rStyle w:val="FootnoteReference"/>
        </w:rPr>
        <w:footnoteRef/>
      </w:r>
      <w:r>
        <w:t xml:space="preserve"> </w:t>
      </w:r>
      <w:r>
        <w:tab/>
      </w:r>
      <w:r w:rsidRPr="001B43AE">
        <w:t>AER</w:t>
      </w:r>
      <w:r>
        <w:t>,</w:t>
      </w:r>
      <w:r w:rsidRPr="001B43AE">
        <w:t xml:space="preserve"> </w:t>
      </w:r>
      <w:r w:rsidRPr="00A452C0">
        <w:rPr>
          <w:rStyle w:val="AERtextitalic"/>
        </w:rPr>
        <w:t>Expenditure Forecast Electricity Distribution Guideline</w:t>
      </w:r>
      <w:r w:rsidRPr="001B43AE">
        <w:t>, p. 9; see also AEMC Economic Regulation Final Rule Determination, pp. 111 and 112.</w:t>
      </w:r>
    </w:p>
  </w:footnote>
  <w:footnote w:id="18">
    <w:p w:rsidR="001C0B41" w:rsidRDefault="001C0B41">
      <w:pPr>
        <w:pStyle w:val="FootnoteText"/>
      </w:pPr>
      <w:r>
        <w:rPr>
          <w:rStyle w:val="FootnoteReference"/>
        </w:rPr>
        <w:footnoteRef/>
      </w:r>
      <w:r>
        <w:t xml:space="preserve"> </w:t>
      </w:r>
      <w:r>
        <w:tab/>
      </w:r>
      <w:r w:rsidRPr="007A7D52">
        <w:t>AEMC, Final Rule Determination: National Electricity Amendment (Economic Regulation of Network Service Providers) Rule 2012, 29 November 2012, p. vii</w:t>
      </w:r>
      <w:r>
        <w:t>.</w:t>
      </w:r>
    </w:p>
  </w:footnote>
  <w:footnote w:id="19">
    <w:p w:rsidR="001C0B41" w:rsidRDefault="001C0B41">
      <w:pPr>
        <w:pStyle w:val="FootnoteText"/>
      </w:pPr>
      <w:r>
        <w:rPr>
          <w:rStyle w:val="FootnoteReference"/>
        </w:rPr>
        <w:footnoteRef/>
      </w:r>
      <w:r>
        <w:t xml:space="preserve"> </w:t>
      </w:r>
      <w:r>
        <w:tab/>
      </w:r>
      <w:r w:rsidRPr="001B43AE">
        <w:t>AER</w:t>
      </w:r>
      <w:r>
        <w:t>,</w:t>
      </w:r>
      <w:r w:rsidRPr="001B43AE">
        <w:t xml:space="preserve"> </w:t>
      </w:r>
      <w:r w:rsidRPr="00A452C0">
        <w:rPr>
          <w:rStyle w:val="AERtextitalic"/>
        </w:rPr>
        <w:t>Expenditure Forecast Electricity Distribution Guideline</w:t>
      </w:r>
      <w:r w:rsidRPr="001B43AE">
        <w:t>, p. 12.</w:t>
      </w:r>
    </w:p>
  </w:footnote>
  <w:footnote w:id="20">
    <w:p w:rsidR="001C0B41" w:rsidRDefault="001C0B41">
      <w:pPr>
        <w:pStyle w:val="FootnoteText"/>
      </w:pPr>
      <w:r>
        <w:rPr>
          <w:rStyle w:val="FootnoteReference"/>
        </w:rPr>
        <w:footnoteRef/>
      </w:r>
      <w:r>
        <w:t xml:space="preserve"> </w:t>
      </w:r>
      <w:r>
        <w:tab/>
      </w:r>
      <w:r w:rsidRPr="001B43AE">
        <w:t>AER</w:t>
      </w:r>
      <w:r>
        <w:t>,</w:t>
      </w:r>
      <w:r w:rsidRPr="001B43AE">
        <w:t xml:space="preserve"> </w:t>
      </w:r>
      <w:r w:rsidRPr="00A452C0">
        <w:rPr>
          <w:rStyle w:val="AERtextitalic"/>
        </w:rPr>
        <w:t>Expenditure Forecast Electricity Distribution Guideline</w:t>
      </w:r>
      <w:r w:rsidRPr="001B43AE">
        <w:t>, pp. 8 and 9.</w:t>
      </w:r>
      <w:r w:rsidRPr="007A7D52">
        <w:t xml:space="preserve"> AER Expenditure Forecast Electricity Distribution Guideline, pp. 8 and 9. 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r>
        <w:t>.</w:t>
      </w:r>
    </w:p>
  </w:footnote>
  <w:footnote w:id="21">
    <w:p w:rsidR="001C0B41" w:rsidRDefault="001C0B41">
      <w:pPr>
        <w:pStyle w:val="FootnoteText"/>
      </w:pPr>
      <w:r>
        <w:rPr>
          <w:rStyle w:val="FootnoteReference"/>
        </w:rPr>
        <w:footnoteRef/>
      </w:r>
      <w:r>
        <w:t xml:space="preserve"> </w:t>
      </w:r>
      <w:r>
        <w:tab/>
      </w:r>
      <w:r w:rsidRPr="001B43AE">
        <w:t>AER</w:t>
      </w:r>
      <w:r>
        <w:t>,</w:t>
      </w:r>
      <w:r w:rsidRPr="001B43AE">
        <w:t xml:space="preserve"> </w:t>
      </w:r>
      <w:r w:rsidRPr="00A452C0">
        <w:rPr>
          <w:rStyle w:val="AERtextitalic"/>
        </w:rPr>
        <w:t>Expenditure Forecast Electricity Distribution Guideline</w:t>
      </w:r>
      <w:r w:rsidRPr="001B43AE">
        <w:t>, p. 9.</w:t>
      </w:r>
    </w:p>
  </w:footnote>
  <w:footnote w:id="22">
    <w:p w:rsidR="001C0B41" w:rsidRDefault="001C0B41">
      <w:pPr>
        <w:pStyle w:val="FootnoteText"/>
      </w:pPr>
      <w:r>
        <w:rPr>
          <w:rStyle w:val="FootnoteReference"/>
        </w:rPr>
        <w:footnoteRef/>
      </w:r>
      <w:r>
        <w:t xml:space="preserve"> </w:t>
      </w:r>
      <w:r>
        <w:tab/>
      </w:r>
      <w:r w:rsidRPr="001B43AE">
        <w:t>AEMC, Economic Regulation Final Rule Determination, p. 112.</w:t>
      </w:r>
    </w:p>
  </w:footnote>
  <w:footnote w:id="23">
    <w:p w:rsidR="001C0B41" w:rsidRDefault="001C0B41" w:rsidP="001B43AE">
      <w:pPr>
        <w:pStyle w:val="FootnoteText"/>
      </w:pPr>
      <w:r>
        <w:rPr>
          <w:rStyle w:val="FootnoteReference"/>
        </w:rPr>
        <w:footnoteRef/>
      </w:r>
      <w:r>
        <w:t xml:space="preserve"> </w:t>
      </w:r>
      <w:r>
        <w:tab/>
      </w:r>
      <w:r w:rsidRPr="000D3300">
        <w:t>NER, clauses S6.1.1(2), (4) and (5).</w:t>
      </w:r>
      <w:r>
        <w:tab/>
      </w:r>
    </w:p>
  </w:footnote>
  <w:footnote w:id="24">
    <w:p w:rsidR="001C0B41" w:rsidRDefault="001C0B41" w:rsidP="001B43AE">
      <w:pPr>
        <w:pStyle w:val="FootnoteText"/>
      </w:pPr>
      <w:r>
        <w:rPr>
          <w:rStyle w:val="FootnoteReference"/>
        </w:rPr>
        <w:footnoteRef/>
      </w:r>
      <w:r>
        <w:t xml:space="preserve"> </w:t>
      </w:r>
      <w:r>
        <w:tab/>
        <w:t xml:space="preserve">SA Power Networks, </w:t>
      </w:r>
      <w:r w:rsidRPr="000D3300">
        <w:t>regulatory proposal, p.108</w:t>
      </w:r>
    </w:p>
  </w:footnote>
  <w:footnote w:id="25">
    <w:p w:rsidR="001C0B41" w:rsidRDefault="001C0B41">
      <w:pPr>
        <w:pStyle w:val="FootnoteText"/>
      </w:pPr>
      <w:r>
        <w:rPr>
          <w:rStyle w:val="FootnoteReference"/>
        </w:rPr>
        <w:footnoteRef/>
      </w:r>
      <w:r>
        <w:t xml:space="preserve"> </w:t>
      </w:r>
      <w:r>
        <w:tab/>
      </w:r>
      <w:r w:rsidRPr="000D3300">
        <w:t>NER, clauses 6.8.1A and 11.</w:t>
      </w:r>
      <w:r>
        <w:t>60</w:t>
      </w:r>
      <w:r w:rsidRPr="000D3300">
        <w:t>.</w:t>
      </w:r>
      <w:r>
        <w:t>3</w:t>
      </w:r>
      <w:r w:rsidRPr="000D3300">
        <w:t>(</w:t>
      </w:r>
      <w:r>
        <w:t>c</w:t>
      </w:r>
      <w:r w:rsidRPr="000D3300">
        <w:t>);</w:t>
      </w:r>
      <w:r w:rsidRPr="001558AC">
        <w:t xml:space="preserve"> </w:t>
      </w:r>
      <w:r>
        <w:t xml:space="preserve">SA Power Networks, </w:t>
      </w:r>
      <w:r w:rsidRPr="00EC4683">
        <w:rPr>
          <w:rStyle w:val="AERtextitalic"/>
        </w:rPr>
        <w:t>PR1238-EXPENDITURE FORECASTING METHODOLOGY-METHOD-V1.0</w:t>
      </w:r>
    </w:p>
  </w:footnote>
  <w:footnote w:id="26">
    <w:p w:rsidR="001C0B41" w:rsidRDefault="001C0B41">
      <w:pPr>
        <w:pStyle w:val="FootnoteText"/>
      </w:pPr>
      <w:r>
        <w:rPr>
          <w:rStyle w:val="FootnoteReference"/>
        </w:rPr>
        <w:footnoteRef/>
      </w:r>
      <w:r>
        <w:t xml:space="preserve"> </w:t>
      </w:r>
      <w:r>
        <w:tab/>
      </w:r>
      <w:r w:rsidRPr="000D3300">
        <w:t>NER, clause S6.1.1(2);</w:t>
      </w:r>
    </w:p>
  </w:footnote>
  <w:footnote w:id="27">
    <w:p w:rsidR="001C0B41" w:rsidRDefault="001C0B41">
      <w:pPr>
        <w:pStyle w:val="FootnoteText"/>
      </w:pPr>
      <w:r>
        <w:rPr>
          <w:rStyle w:val="FootnoteReference"/>
        </w:rPr>
        <w:footnoteRef/>
      </w:r>
      <w:r>
        <w:t xml:space="preserve"> </w:t>
      </w:r>
      <w:r>
        <w:tab/>
        <w:t>SA Power Networks</w:t>
      </w:r>
      <w:r w:rsidRPr="000D3300">
        <w:t>, Expenditure Forecasting Methodology, 25 November 2013</w:t>
      </w:r>
      <w:r>
        <w:t>.</w:t>
      </w:r>
    </w:p>
  </w:footnote>
  <w:footnote w:id="28">
    <w:p w:rsidR="001C0B41" w:rsidRDefault="001C0B41" w:rsidP="00366104">
      <w:pPr>
        <w:pStyle w:val="FootnoteText"/>
      </w:pPr>
      <w:r>
        <w:rPr>
          <w:rStyle w:val="FootnoteReference"/>
        </w:rPr>
        <w:footnoteRef/>
      </w:r>
      <w:r>
        <w:t xml:space="preserve"> </w:t>
      </w:r>
      <w:r>
        <w:tab/>
      </w:r>
      <w:r w:rsidRPr="009558A5">
        <w:t>It is possible for a bottom-up approach to reasonably reflect the capex criteria and if our assessment demonstrated this to be the case, then we would accept a total capex forecast derived from the bottom-up assessment. However, due to potential overestimation in a bottom-up appr</w:t>
      </w:r>
      <w:r>
        <w:t xml:space="preserve">oach, a top down assessment is </w:t>
      </w:r>
      <w:r w:rsidRPr="009558A5">
        <w:t xml:space="preserve">a vital aspect of testing the validity of the bottom-up forecast.   </w:t>
      </w:r>
    </w:p>
  </w:footnote>
  <w:footnote w:id="29">
    <w:p w:rsidR="001C0B41" w:rsidRDefault="001C0B41" w:rsidP="00366104">
      <w:pPr>
        <w:pStyle w:val="FootnoteText"/>
      </w:pPr>
      <w:r>
        <w:rPr>
          <w:rStyle w:val="FootnoteReference"/>
        </w:rPr>
        <w:footnoteRef/>
      </w:r>
      <w:r>
        <w:t xml:space="preserve"> </w:t>
      </w:r>
      <w:r>
        <w:tab/>
      </w:r>
      <w:r w:rsidRPr="009558A5">
        <w:t xml:space="preserve">AER, </w:t>
      </w:r>
      <w:r w:rsidRPr="00A452C0">
        <w:rPr>
          <w:rStyle w:val="AERtextitalic"/>
        </w:rPr>
        <w:t>Expenditure Forecast Electricity Distribution Guideline</w:t>
      </w:r>
      <w:r w:rsidRPr="009558A5">
        <w:t>, p. 17.</w:t>
      </w:r>
    </w:p>
  </w:footnote>
  <w:footnote w:id="30">
    <w:p w:rsidR="001C0B41" w:rsidRDefault="001C0B41" w:rsidP="00366104">
      <w:pPr>
        <w:pStyle w:val="FootnoteText"/>
      </w:pPr>
      <w:r>
        <w:rPr>
          <w:rStyle w:val="FootnoteReference"/>
        </w:rPr>
        <w:footnoteRef/>
      </w:r>
      <w:r>
        <w:t xml:space="preserve"> </w:t>
      </w:r>
      <w:r>
        <w:tab/>
        <w:t>S</w:t>
      </w:r>
      <w:r w:rsidRPr="00513BCA">
        <w:t xml:space="preserve">ee SCADA and network control analysis </w:t>
      </w:r>
      <w:r>
        <w:t xml:space="preserve">as </w:t>
      </w:r>
      <w:r w:rsidRPr="00513BCA">
        <w:t>example</w:t>
      </w:r>
      <w:r>
        <w:t>s as set out in section B.2.</w:t>
      </w:r>
    </w:p>
  </w:footnote>
  <w:footnote w:id="31">
    <w:p w:rsidR="001C0B41" w:rsidRDefault="001C0B41" w:rsidP="00366104">
      <w:pPr>
        <w:pStyle w:val="FootnoteText"/>
      </w:pPr>
      <w:r>
        <w:rPr>
          <w:rStyle w:val="FootnoteReference"/>
        </w:rPr>
        <w:footnoteRef/>
      </w:r>
      <w:r>
        <w:t xml:space="preserve"> </w:t>
      </w:r>
      <w:r>
        <w:tab/>
        <w:t>See bushfire analysis</w:t>
      </w:r>
      <w:r w:rsidRPr="004E7D81">
        <w:t xml:space="preserve"> as set out in section B.2</w:t>
      </w:r>
      <w:r>
        <w:t>.</w:t>
      </w:r>
    </w:p>
  </w:footnote>
  <w:footnote w:id="32">
    <w:p w:rsidR="001C0B41" w:rsidRDefault="001C0B41" w:rsidP="00366104">
      <w:pPr>
        <w:pStyle w:val="FootnoteText"/>
      </w:pPr>
      <w:r>
        <w:rPr>
          <w:rStyle w:val="FootnoteReference"/>
        </w:rPr>
        <w:footnoteRef/>
      </w:r>
      <w:r>
        <w:t xml:space="preserve"> </w:t>
      </w:r>
      <w:r>
        <w:tab/>
        <w:t>S</w:t>
      </w:r>
      <w:r w:rsidRPr="00096D0A">
        <w:t xml:space="preserve">ee SCADA and network control analysis as examples </w:t>
      </w:r>
      <w:r>
        <w:t>as set out in section B.2.</w:t>
      </w:r>
    </w:p>
  </w:footnote>
  <w:footnote w:id="33">
    <w:p w:rsidR="001C0B41" w:rsidRDefault="001C0B41">
      <w:pPr>
        <w:pStyle w:val="FootnoteText"/>
      </w:pPr>
      <w:r>
        <w:rPr>
          <w:rStyle w:val="FootnoteReference"/>
        </w:rPr>
        <w:footnoteRef/>
      </w:r>
      <w:r>
        <w:t xml:space="preserve"> </w:t>
      </w:r>
      <w:r>
        <w:tab/>
      </w:r>
      <w:r w:rsidRPr="00345DC6">
        <w:t>NER, cl. 6.5.7(e).</w:t>
      </w:r>
    </w:p>
  </w:footnote>
  <w:footnote w:id="34">
    <w:p w:rsidR="001C0B41" w:rsidRDefault="001C0B41">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245</w:t>
      </w:r>
    </w:p>
  </w:footnote>
  <w:footnote w:id="35">
    <w:p w:rsidR="001C0B41" w:rsidRDefault="001C0B41" w:rsidP="001C0147">
      <w:pPr>
        <w:pStyle w:val="FootnoteText"/>
      </w:pPr>
      <w:r>
        <w:rPr>
          <w:rStyle w:val="FootnoteReference"/>
        </w:rPr>
        <w:footnoteRef/>
      </w:r>
      <w:r>
        <w:t xml:space="preserve"> </w:t>
      </w:r>
      <w:r>
        <w:tab/>
        <w:t xml:space="preserve">AER, </w:t>
      </w:r>
      <w:r w:rsidRPr="00EB724C">
        <w:t>Expenditure assessment guideline</w:t>
      </w:r>
      <w:r>
        <w:t>,</w:t>
      </w:r>
      <w:r w:rsidRPr="00EB724C">
        <w:t xml:space="preserve"> p.8</w:t>
      </w:r>
      <w:r>
        <w:t>.</w:t>
      </w:r>
    </w:p>
  </w:footnote>
  <w:footnote w:id="36">
    <w:p w:rsidR="001C0B41" w:rsidRDefault="001C0B41">
      <w:pPr>
        <w:pStyle w:val="FootnoteText"/>
      </w:pPr>
      <w:r>
        <w:rPr>
          <w:rStyle w:val="FootnoteReference"/>
        </w:rPr>
        <w:footnoteRef/>
      </w:r>
      <w:r>
        <w:t xml:space="preserve"> </w:t>
      </w:r>
      <w:r>
        <w:tab/>
      </w:r>
      <w:r w:rsidRPr="00A76603">
        <w:t>NER, cl. 6.5.7(e)(4).</w:t>
      </w:r>
    </w:p>
  </w:footnote>
  <w:footnote w:id="37">
    <w:p w:rsidR="001C0B41" w:rsidRDefault="001C0B41">
      <w:pPr>
        <w:pStyle w:val="FootnoteText"/>
      </w:pPr>
      <w:r>
        <w:rPr>
          <w:rStyle w:val="FootnoteReference"/>
        </w:rPr>
        <w:footnoteRef/>
      </w:r>
      <w:r>
        <w:t xml:space="preserve"> </w:t>
      </w:r>
      <w:r>
        <w:tab/>
      </w:r>
      <w:r w:rsidRPr="00A76603">
        <w:t>AER, Explanatory Statement: Expenditure Forecasting Assessment Guidelines, November 2013.</w:t>
      </w:r>
    </w:p>
  </w:footnote>
  <w:footnote w:id="38">
    <w:p w:rsidR="001C0B41" w:rsidRDefault="001C0B41">
      <w:pPr>
        <w:pStyle w:val="FootnoteText"/>
      </w:pPr>
      <w:r>
        <w:rPr>
          <w:rStyle w:val="FootnoteReference"/>
        </w:rPr>
        <w:footnoteRef/>
      </w:r>
      <w:r>
        <w:t xml:space="preserve"> </w:t>
      </w:r>
      <w:r>
        <w:tab/>
      </w:r>
      <w:r w:rsidRPr="00A76603">
        <w:t>NER, cl. 6.5.7(c).</w:t>
      </w:r>
    </w:p>
  </w:footnote>
  <w:footnote w:id="39">
    <w:p w:rsidR="001C0B41" w:rsidRDefault="001C0B41">
      <w:pPr>
        <w:pStyle w:val="FootnoteText"/>
      </w:pPr>
      <w:r>
        <w:rPr>
          <w:rStyle w:val="FootnoteReference"/>
        </w:rPr>
        <w:footnoteRef/>
      </w:r>
      <w:r>
        <w:t xml:space="preserve"> </w:t>
      </w:r>
      <w:r>
        <w:tab/>
      </w:r>
      <w:r w:rsidRPr="00A76603">
        <w:t>AEMC, Economic Regulation Final Rule Determination, p. 25.</w:t>
      </w:r>
    </w:p>
  </w:footnote>
  <w:footnote w:id="40">
    <w:p w:rsidR="001C0B41" w:rsidRDefault="001C0B41">
      <w:pPr>
        <w:pStyle w:val="FootnoteText"/>
      </w:pPr>
      <w:r>
        <w:rPr>
          <w:rStyle w:val="FootnoteReference"/>
        </w:rPr>
        <w:footnoteRef/>
      </w:r>
      <w:r>
        <w:t xml:space="preserve"> </w:t>
      </w:r>
      <w:r>
        <w:tab/>
      </w:r>
      <w:r w:rsidRPr="00A76603">
        <w:t>AEMC, Economic Regulation Final Rule Determination, p.113. Exogenous factors could include geographic factors, customer factors, network factors and jurisdictional factors.</w:t>
      </w:r>
    </w:p>
  </w:footnote>
  <w:footnote w:id="41">
    <w:p w:rsidR="001C0B41" w:rsidRDefault="001C0B41">
      <w:pPr>
        <w:pStyle w:val="FootnoteText"/>
      </w:pPr>
      <w:r>
        <w:rPr>
          <w:rStyle w:val="FootnoteReference"/>
        </w:rPr>
        <w:footnoteRef/>
      </w:r>
      <w:r>
        <w:t xml:space="preserve"> </w:t>
      </w:r>
      <w:r>
        <w:tab/>
      </w:r>
      <w:r w:rsidRPr="00A76603">
        <w:t>AER, Annual Benchmarking Report, 2014.</w:t>
      </w:r>
    </w:p>
  </w:footnote>
  <w:footnote w:id="42">
    <w:p w:rsidR="001C0B41" w:rsidRDefault="001C0B41">
      <w:pPr>
        <w:pStyle w:val="FootnoteText"/>
      </w:pPr>
      <w:r>
        <w:rPr>
          <w:rStyle w:val="FootnoteReference"/>
        </w:rPr>
        <w:footnoteRef/>
      </w:r>
      <w:r>
        <w:t xml:space="preserve"> </w:t>
      </w:r>
      <w:r>
        <w:tab/>
      </w:r>
      <w:r w:rsidRPr="00A76603">
        <w:t>NER, cl. 6.5.7(e)(5).</w:t>
      </w:r>
    </w:p>
  </w:footnote>
  <w:footnote w:id="43">
    <w:p w:rsidR="001C0B41" w:rsidRDefault="001C0B41">
      <w:pPr>
        <w:pStyle w:val="FootnoteText"/>
      </w:pPr>
      <w:r>
        <w:rPr>
          <w:rStyle w:val="FootnoteReference"/>
        </w:rPr>
        <w:footnoteRef/>
      </w:r>
      <w:r>
        <w:t xml:space="preserve"> </w:t>
      </w:r>
      <w:r>
        <w:tab/>
      </w:r>
      <w:r w:rsidRPr="00A76603">
        <w:t>NER, cl. 6.5.7(a)(3).</w:t>
      </w:r>
    </w:p>
  </w:footnote>
  <w:footnote w:id="44">
    <w:p w:rsidR="001C0B41" w:rsidRDefault="001C0B41">
      <w:pPr>
        <w:pStyle w:val="FootnoteText"/>
      </w:pPr>
      <w:r>
        <w:rPr>
          <w:rStyle w:val="FootnoteReference"/>
        </w:rPr>
        <w:footnoteRef/>
      </w:r>
      <w:r>
        <w:t xml:space="preserve"> </w:t>
      </w:r>
      <w:r>
        <w:tab/>
      </w:r>
      <w:r w:rsidRPr="00A76603">
        <w:t>NER, cl. 6.5.7(c).</w:t>
      </w:r>
    </w:p>
  </w:footnote>
  <w:footnote w:id="45">
    <w:p w:rsidR="001C0B41" w:rsidRDefault="001C0B41">
      <w:pPr>
        <w:pStyle w:val="FootnoteText"/>
      </w:pPr>
      <w:r>
        <w:rPr>
          <w:rStyle w:val="FootnoteReference"/>
        </w:rPr>
        <w:footnoteRef/>
      </w:r>
      <w:r>
        <w:t xml:space="preserve"> </w:t>
      </w:r>
      <w:r>
        <w:tab/>
      </w:r>
      <w:r w:rsidRPr="00A76603">
        <w:t>NER, cl. 6.5.7(e)(5).</w:t>
      </w:r>
    </w:p>
  </w:footnote>
  <w:footnote w:id="46">
    <w:p w:rsidR="001C0B41" w:rsidRDefault="001C0B41">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47">
    <w:p w:rsidR="001C0B41" w:rsidRDefault="001C0B41">
      <w:pPr>
        <w:pStyle w:val="FootnoteText"/>
      </w:pPr>
      <w:r>
        <w:rPr>
          <w:rStyle w:val="FootnoteReference"/>
        </w:rPr>
        <w:footnoteRef/>
      </w:r>
      <w:r>
        <w:t xml:space="preserve"> </w:t>
      </w:r>
      <w:r>
        <w:tab/>
      </w:r>
      <w:r w:rsidRPr="00A76603">
        <w:t>For more information, see: AER, Guidance document: AER augmentation model handbook, November</w:t>
      </w:r>
    </w:p>
  </w:footnote>
  <w:footnote w:id="48">
    <w:p w:rsidR="001C0B41" w:rsidRDefault="001C0B41">
      <w:pPr>
        <w:pStyle w:val="FootnoteText"/>
      </w:pPr>
      <w:r>
        <w:rPr>
          <w:rStyle w:val="FootnoteReference"/>
        </w:rPr>
        <w:footnoteRef/>
      </w:r>
      <w:r>
        <w:t xml:space="preserve"> </w:t>
      </w:r>
      <w:r>
        <w:tab/>
      </w:r>
      <w:r w:rsidRPr="00A76603">
        <w:t xml:space="preserve">AER, 'Meeting summary – </w:t>
      </w:r>
      <w:r>
        <w:t>distributor</w:t>
      </w:r>
      <w:r w:rsidRPr="00A76603">
        <w:t xml:space="preserve"> replacement and augmentation capex', Workshop 4: Category analysis work-stream – Replacement and demand driven augmentation (Distribution), 8 March 2013, p. 1.</w:t>
      </w:r>
    </w:p>
  </w:footnote>
  <w:footnote w:id="49">
    <w:p w:rsidR="001C0B41" w:rsidRDefault="001C0B41" w:rsidP="00525DDF">
      <w:pPr>
        <w:pStyle w:val="FootnoteText"/>
      </w:pPr>
      <w:r>
        <w:rPr>
          <w:rStyle w:val="FootnoteReference"/>
        </w:rPr>
        <w:footnoteRef/>
      </w:r>
      <w:r>
        <w:t xml:space="preserve"> </w:t>
      </w:r>
      <w:r>
        <w:tab/>
      </w:r>
      <w:r w:rsidRPr="00AA18D6">
        <w:rPr>
          <w:rStyle w:val="AERbody"/>
          <w:sz w:val="16"/>
        </w:rPr>
        <w:t xml:space="preserve">The augex model has been developed to derive an estimate of required augex based on predicted augmentation requirements (based on demand and asset utilisation) and unit costs. However, we have not relied heavily on the augex model for this reset. This is because </w:t>
      </w:r>
      <w:r>
        <w:rPr>
          <w:rStyle w:val="AERbody"/>
          <w:sz w:val="16"/>
        </w:rPr>
        <w:t>SA Power Networks</w:t>
      </w:r>
      <w:r w:rsidRPr="00AA18D6">
        <w:rPr>
          <w:rStyle w:val="AERbody"/>
          <w:sz w:val="16"/>
        </w:rPr>
        <w:t xml:space="preserve"> experienced negative demand growth and positive growth in augex in some network segments during the 2010</w:t>
      </w:r>
      <w:r>
        <w:rPr>
          <w:rStyle w:val="AERbody"/>
        </w:rPr>
        <w:t>–</w:t>
      </w:r>
      <w:r w:rsidRPr="00AA18D6">
        <w:rPr>
          <w:rStyle w:val="AERbody"/>
          <w:sz w:val="16"/>
        </w:rPr>
        <w:t>15 period. This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p>
  </w:footnote>
  <w:footnote w:id="50">
    <w:p w:rsidR="001C0B41" w:rsidRDefault="001C0B41" w:rsidP="00525DDF">
      <w:pPr>
        <w:pStyle w:val="FootnoteText"/>
      </w:pPr>
      <w:r>
        <w:rPr>
          <w:rStyle w:val="FootnoteReference"/>
        </w:rPr>
        <w:footnoteRef/>
      </w:r>
      <w:r>
        <w:t xml:space="preserve"> </w:t>
      </w:r>
      <w:r>
        <w:tab/>
        <w:t xml:space="preserve">This includes $94.6 million for general demand growth, $24.8 million for greenfields growth and $66.6 million for augmentation to address existing capacity constraints (excluding overheads). </w:t>
      </w:r>
    </w:p>
  </w:footnote>
  <w:footnote w:id="51">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217.</w:t>
      </w:r>
    </w:p>
  </w:footnote>
  <w:footnote w:id="52">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217.</w:t>
      </w:r>
    </w:p>
  </w:footnote>
  <w:footnote w:id="53">
    <w:p w:rsidR="001C0B41" w:rsidRDefault="001C0B41" w:rsidP="00525DDF">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54">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217</w:t>
      </w:r>
    </w:p>
  </w:footnote>
  <w:footnote w:id="55">
    <w:p w:rsidR="001C0B41" w:rsidRDefault="001C0B41" w:rsidP="00525DDF">
      <w:pPr>
        <w:pStyle w:val="FootnoteText"/>
      </w:pPr>
      <w:r>
        <w:rPr>
          <w:rStyle w:val="FootnoteReference"/>
        </w:rPr>
        <w:footnoteRef/>
      </w:r>
      <w:r>
        <w:t xml:space="preserve"> </w:t>
      </w:r>
      <w:r>
        <w:tab/>
        <w:t>SA Power Networks, Distribution System Planning Report, October 2014, p. 150.</w:t>
      </w:r>
    </w:p>
  </w:footnote>
  <w:footnote w:id="56">
    <w:p w:rsidR="001C0B41" w:rsidRDefault="001C0B41" w:rsidP="00525DDF">
      <w:pPr>
        <w:pStyle w:val="FootnoteText"/>
      </w:pPr>
      <w:r>
        <w:rPr>
          <w:rStyle w:val="FootnoteReference"/>
        </w:rPr>
        <w:footnoteRef/>
      </w:r>
      <w:r>
        <w:t xml:space="preserve"> </w:t>
      </w:r>
      <w:r>
        <w:tab/>
        <w:t>In particular, SA Power Networks propose to inst</w:t>
      </w:r>
      <w:r w:rsidRPr="00E6177A">
        <w:t xml:space="preserve">all </w:t>
      </w:r>
      <w:r w:rsidRPr="00E6177A">
        <w:rPr>
          <w:rStyle w:val="AERbody"/>
          <w:sz w:val="16"/>
        </w:rPr>
        <w:t>monitors at low voltage transformers, SWER lines and substations</w:t>
      </w:r>
      <w:r>
        <w:rPr>
          <w:rStyle w:val="AERbody"/>
        </w:rPr>
        <w:t>.</w:t>
      </w:r>
    </w:p>
  </w:footnote>
  <w:footnote w:id="57">
    <w:p w:rsidR="001C0B41" w:rsidRDefault="001C0B41" w:rsidP="00525DDF">
      <w:pPr>
        <w:pStyle w:val="FootnoteText"/>
      </w:pPr>
      <w:r>
        <w:rPr>
          <w:rStyle w:val="FootnoteReference"/>
        </w:rPr>
        <w:footnoteRef/>
      </w:r>
      <w:r>
        <w:t xml:space="preserve"> </w:t>
      </w:r>
      <w:r>
        <w:tab/>
        <w:t xml:space="preserve">High voltage fluctuations can occur </w:t>
      </w:r>
      <w:r w:rsidRPr="0091603D">
        <w:rPr>
          <w:rStyle w:val="AERbody"/>
          <w:sz w:val="16"/>
        </w:rPr>
        <w:t xml:space="preserve">when solar panels feed electricity into the distribution network and cause </w:t>
      </w:r>
      <w:r w:rsidRPr="002C3BB8">
        <w:rPr>
          <w:rStyle w:val="AERbody"/>
          <w:sz w:val="16"/>
        </w:rPr>
        <w:t>localised</w:t>
      </w:r>
      <w:r>
        <w:rPr>
          <w:rStyle w:val="AERbody"/>
        </w:rPr>
        <w:t xml:space="preserve"> </w:t>
      </w:r>
      <w:r w:rsidRPr="0091603D">
        <w:rPr>
          <w:rStyle w:val="AERbody"/>
          <w:sz w:val="16"/>
        </w:rPr>
        <w:t>increase</w:t>
      </w:r>
      <w:r w:rsidRPr="002C3BB8">
        <w:rPr>
          <w:rStyle w:val="AERbody"/>
          <w:sz w:val="16"/>
        </w:rPr>
        <w:t xml:space="preserve">s </w:t>
      </w:r>
      <w:r w:rsidRPr="0091603D">
        <w:rPr>
          <w:rStyle w:val="AERbody"/>
          <w:sz w:val="16"/>
        </w:rPr>
        <w:t>in voltage levels on the low voltage network (sometimes above acceptable limits).</w:t>
      </w:r>
      <w:r>
        <w:rPr>
          <w:rStyle w:val="AERbody"/>
        </w:rPr>
        <w:t xml:space="preserve"> </w:t>
      </w:r>
    </w:p>
  </w:footnote>
  <w:footnote w:id="58">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215.</w:t>
      </w:r>
    </w:p>
  </w:footnote>
  <w:footnote w:id="59">
    <w:p w:rsidR="001C0B41" w:rsidRDefault="001C0B41" w:rsidP="00525DDF">
      <w:pPr>
        <w:pStyle w:val="FootnoteText"/>
      </w:pPr>
      <w:r>
        <w:rPr>
          <w:rStyle w:val="FootnoteReference"/>
        </w:rPr>
        <w:footnoteRef/>
      </w:r>
      <w:r>
        <w:t xml:space="preserve"> </w:t>
      </w:r>
      <w:r>
        <w:tab/>
        <w:t>AEMO, South Australian Electricity Report, August 2014.</w:t>
      </w:r>
    </w:p>
  </w:footnote>
  <w:footnote w:id="60">
    <w:p w:rsidR="001C0B41" w:rsidRDefault="001C0B41" w:rsidP="00525DDF">
      <w:pPr>
        <w:pStyle w:val="FootnoteText"/>
      </w:pPr>
      <w:r>
        <w:rPr>
          <w:rStyle w:val="FootnoteReference"/>
        </w:rPr>
        <w:footnoteRef/>
      </w:r>
      <w:r>
        <w:t xml:space="preserve"> </w:t>
      </w:r>
      <w:r>
        <w:tab/>
        <w:t>AEMO, South Australian Electricity Report, August 2014, pp. 18-20.</w:t>
      </w:r>
    </w:p>
  </w:footnote>
  <w:footnote w:id="61">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215.</w:t>
      </w:r>
    </w:p>
  </w:footnote>
  <w:footnote w:id="62">
    <w:p w:rsidR="001C0B41" w:rsidRDefault="001C0B41" w:rsidP="00525DDF">
      <w:pPr>
        <w:pStyle w:val="FootnoteText"/>
      </w:pPr>
      <w:r>
        <w:rPr>
          <w:rStyle w:val="FootnoteReference"/>
        </w:rPr>
        <w:footnoteRef/>
      </w:r>
      <w:r>
        <w:t xml:space="preserve"> </w:t>
      </w:r>
      <w:r>
        <w:tab/>
        <w:t xml:space="preserve">Power Systems Consulting, </w:t>
      </w:r>
      <w:r w:rsidRPr="007854B5">
        <w:rPr>
          <w:rStyle w:val="AERtextitalic"/>
        </w:rPr>
        <w:t>Impact of distributed energy resources on quality of supply</w:t>
      </w:r>
      <w:r>
        <w:t xml:space="preserve">, May 2014, p. 6 (Attachment 13.2 of SA Power Networks, </w:t>
      </w:r>
      <w:r w:rsidRPr="007854B5">
        <w:rPr>
          <w:rStyle w:val="AERtextitalic"/>
        </w:rPr>
        <w:t>Regulatory Proposal 2015-20</w:t>
      </w:r>
      <w:r>
        <w:t>, 31 October 2014).</w:t>
      </w:r>
    </w:p>
  </w:footnote>
  <w:footnote w:id="63">
    <w:p w:rsidR="001C0B41" w:rsidRDefault="001C0B41" w:rsidP="00525DDF">
      <w:pPr>
        <w:pStyle w:val="FootnoteText"/>
      </w:pPr>
      <w:r>
        <w:rPr>
          <w:rStyle w:val="FootnoteReference"/>
        </w:rPr>
        <w:footnoteRef/>
      </w:r>
      <w:r>
        <w:t xml:space="preserve"> </w:t>
      </w:r>
      <w:r>
        <w:tab/>
        <w:t xml:space="preserve">Power Systems Consulting, </w:t>
      </w:r>
      <w:r w:rsidRPr="007854B5">
        <w:rPr>
          <w:rStyle w:val="AERtextitalic"/>
        </w:rPr>
        <w:t>Impact of distributed energy resources on quality of supply</w:t>
      </w:r>
      <w:r>
        <w:t>, May 2014, p. 6.</w:t>
      </w:r>
    </w:p>
  </w:footnote>
  <w:footnote w:id="64">
    <w:p w:rsidR="001C0B41" w:rsidRPr="006F5996" w:rsidRDefault="001C0B41" w:rsidP="00525DDF">
      <w:pPr>
        <w:pStyle w:val="FootnoteText"/>
      </w:pPr>
      <w:r>
        <w:rPr>
          <w:rStyle w:val="FootnoteReference"/>
        </w:rPr>
        <w:footnoteRef/>
      </w:r>
      <w:r>
        <w:t xml:space="preserve"> </w:t>
      </w:r>
      <w:r>
        <w:tab/>
      </w:r>
      <w:proofErr w:type="gramStart"/>
      <w:r>
        <w:t xml:space="preserve">Oakley Greenwood, </w:t>
      </w:r>
      <w:r w:rsidRPr="006570CD">
        <w:rPr>
          <w:rStyle w:val="AERtextitalic"/>
        </w:rPr>
        <w:fldChar w:fldCharType="begin"/>
      </w:r>
      <w:r w:rsidRPr="006570CD">
        <w:rPr>
          <w:rStyle w:val="AERtextitalic"/>
        </w:rPr>
        <w:instrText xml:space="preserve"> DOCPROPERTY "Title"  \* MERGEFORMAT </w:instrText>
      </w:r>
      <w:r w:rsidRPr="006570CD">
        <w:rPr>
          <w:rStyle w:val="AERtextitalic"/>
        </w:rPr>
        <w:fldChar w:fldCharType="separate"/>
      </w:r>
      <w:r w:rsidRPr="006570CD">
        <w:rPr>
          <w:rStyle w:val="AERtextitalic"/>
        </w:rPr>
        <w:t>Peer review of the willingness to pay research submitted by SA</w:t>
      </w:r>
      <w:r>
        <w:rPr>
          <w:rStyle w:val="AERtextitalic"/>
        </w:rPr>
        <w:t xml:space="preserve"> </w:t>
      </w:r>
      <w:r w:rsidRPr="006570CD">
        <w:rPr>
          <w:rStyle w:val="AERtextitalic"/>
        </w:rPr>
        <w:t>P</w:t>
      </w:r>
      <w:r>
        <w:rPr>
          <w:rStyle w:val="AERtextitalic"/>
        </w:rPr>
        <w:t>ower Networks</w:t>
      </w:r>
      <w:r w:rsidRPr="006570CD">
        <w:rPr>
          <w:rStyle w:val="AERtextitalic"/>
        </w:rPr>
        <w:fldChar w:fldCharType="end"/>
      </w:r>
      <w:r>
        <w:t>, April 2015.</w:t>
      </w:r>
      <w:proofErr w:type="gramEnd"/>
    </w:p>
    <w:p w:rsidR="001C0B41" w:rsidRDefault="001C0B41" w:rsidP="00525DDF">
      <w:pPr>
        <w:pStyle w:val="FootnoteText"/>
      </w:pPr>
    </w:p>
  </w:footnote>
  <w:footnote w:id="65">
    <w:p w:rsidR="001C0B41" w:rsidRDefault="001C0B41" w:rsidP="00525DDF">
      <w:pPr>
        <w:pStyle w:val="FootnoteText"/>
      </w:pPr>
      <w:r>
        <w:rPr>
          <w:rStyle w:val="FootnoteReference"/>
        </w:rPr>
        <w:footnoteRef/>
      </w:r>
      <w:r>
        <w:t xml:space="preserve"> </w:t>
      </w:r>
      <w:r>
        <w:tab/>
      </w:r>
      <w:r w:rsidRPr="00E9528C">
        <w:rPr>
          <w:i/>
        </w:rPr>
        <w:t>2009 Victorian Bushfires Royal Commission</w:t>
      </w:r>
      <w:r>
        <w:t xml:space="preserve">, Final Report – Summary, July 2010; </w:t>
      </w:r>
      <w:r w:rsidRPr="00E9528C">
        <w:rPr>
          <w:i/>
        </w:rPr>
        <w:t>Powerline Bushfire Safety Taskforce</w:t>
      </w:r>
      <w:r>
        <w:t>, 30 September 2011.</w:t>
      </w:r>
    </w:p>
  </w:footnote>
  <w:footnote w:id="66">
    <w:p w:rsidR="001C0B41" w:rsidRDefault="001C0B41" w:rsidP="00525DDF">
      <w:pPr>
        <w:pStyle w:val="FootnoteText"/>
      </w:pPr>
      <w:r>
        <w:rPr>
          <w:rStyle w:val="FootnoteReference"/>
        </w:rPr>
        <w:footnoteRef/>
      </w:r>
      <w:r>
        <w:t xml:space="preserve"> </w:t>
      </w:r>
      <w:r>
        <w:tab/>
        <w:t xml:space="preserve">CSIRO and Bureau of Meteorology, </w:t>
      </w:r>
      <w:r w:rsidRPr="00050C48">
        <w:rPr>
          <w:i/>
        </w:rPr>
        <w:t>State of the Climate 2014</w:t>
      </w:r>
      <w:r>
        <w:t xml:space="preserve">, 2014; Bureau of Meteorology (BOM), </w:t>
      </w:r>
      <w:r w:rsidRPr="00050C48">
        <w:rPr>
          <w:i/>
        </w:rPr>
        <w:t>Climate extremes analysis for South Australian Power Network operations</w:t>
      </w:r>
      <w:r>
        <w:t>, 2014.</w:t>
      </w:r>
    </w:p>
  </w:footnote>
  <w:footnote w:id="67">
    <w:p w:rsidR="001C0B41" w:rsidRDefault="001C0B41" w:rsidP="00525DDF">
      <w:pPr>
        <w:pStyle w:val="FootnoteText"/>
      </w:pPr>
      <w:r>
        <w:rPr>
          <w:rStyle w:val="FootnoteReference"/>
        </w:rPr>
        <w:footnoteRef/>
      </w:r>
      <w:r>
        <w:t xml:space="preserve"> </w:t>
      </w:r>
      <w:r>
        <w:tab/>
        <w:t xml:space="preserve">Bureau of Meteorology (BoM), </w:t>
      </w:r>
      <w:r w:rsidRPr="00050C48">
        <w:rPr>
          <w:i/>
        </w:rPr>
        <w:t>Climate extremes analysis for South Australian Power Network operations</w:t>
      </w:r>
      <w:r>
        <w:t>, 2014, p. 4.</w:t>
      </w:r>
    </w:p>
  </w:footnote>
  <w:footnote w:id="68">
    <w:p w:rsidR="001C0B41" w:rsidRDefault="001C0B41" w:rsidP="00525DDF">
      <w:pPr>
        <w:pStyle w:val="FootnoteText"/>
      </w:pPr>
      <w:r>
        <w:rPr>
          <w:rStyle w:val="FootnoteReference"/>
        </w:rPr>
        <w:footnoteRef/>
      </w:r>
      <w:r>
        <w:t xml:space="preserve"> </w:t>
      </w:r>
      <w:r>
        <w:tab/>
        <w:t xml:space="preserve">Jacobs, </w:t>
      </w:r>
      <w:r w:rsidRPr="008C3E7F">
        <w:rPr>
          <w:i/>
        </w:rPr>
        <w:t>Recommended Bushfire Risk Reduction Strategies for SA Power Networks</w:t>
      </w:r>
      <w:r>
        <w:t>, Final Report, October 2014.</w:t>
      </w:r>
    </w:p>
  </w:footnote>
  <w:footnote w:id="69">
    <w:p w:rsidR="001C0B41" w:rsidRDefault="001C0B41" w:rsidP="00525DDF">
      <w:pPr>
        <w:pStyle w:val="FootnoteText"/>
      </w:pPr>
      <w:r>
        <w:rPr>
          <w:rStyle w:val="FootnoteReference"/>
        </w:rPr>
        <w:footnoteRef/>
      </w:r>
      <w:r>
        <w:t xml:space="preserve"> </w:t>
      </w:r>
      <w:r>
        <w:tab/>
      </w:r>
      <w:r w:rsidRPr="00BE1548">
        <w:t>Note that the Jacobs report also recommended $15.6 million of opex. The $102 million is in addition to Jacobs recommended $26.6 million to underground portions of the main power lines located in HBFRAs that supply targeted Bushfire Safer Places (BSP).</w:t>
      </w:r>
    </w:p>
  </w:footnote>
  <w:footnote w:id="70">
    <w:p w:rsidR="001C0B41" w:rsidRDefault="001C0B41" w:rsidP="00525DDF">
      <w:pPr>
        <w:pStyle w:val="FootnoteText"/>
      </w:pPr>
      <w:r>
        <w:rPr>
          <w:rStyle w:val="FootnoteReference"/>
        </w:rPr>
        <w:footnoteRef/>
      </w:r>
      <w:r>
        <w:t xml:space="preserve"> </w:t>
      </w:r>
      <w:r>
        <w:tab/>
        <w:t xml:space="preserve">SA Treasury, </w:t>
      </w:r>
      <w:r w:rsidRPr="006F0B82">
        <w:rPr>
          <w:i/>
        </w:rPr>
        <w:t>Government of South Australia’s Submissions to the Australian Energy Regulatory on the SA Power Network’s Regulatory Proposal 2015-20</w:t>
      </w:r>
      <w:r>
        <w:t>, p. 3.</w:t>
      </w:r>
    </w:p>
  </w:footnote>
  <w:footnote w:id="71">
    <w:p w:rsidR="001C0B41" w:rsidRDefault="001C0B41" w:rsidP="00525DDF">
      <w:pPr>
        <w:pStyle w:val="FootnoteText"/>
      </w:pPr>
      <w:r>
        <w:rPr>
          <w:rStyle w:val="FootnoteReference"/>
        </w:rPr>
        <w:footnoteRef/>
      </w:r>
      <w:r>
        <w:t xml:space="preserve"> </w:t>
      </w:r>
      <w:r>
        <w:tab/>
        <w:t xml:space="preserve">Energy Consumers Coalition of SA (ECCSA), </w:t>
      </w:r>
      <w:r w:rsidRPr="00F80246">
        <w:rPr>
          <w:i/>
        </w:rPr>
        <w:t>A response by the Energy Consumers Coalition of SA</w:t>
      </w:r>
      <w:r>
        <w:t>, December 2014, p. 37.</w:t>
      </w:r>
    </w:p>
  </w:footnote>
  <w:footnote w:id="72">
    <w:p w:rsidR="001C0B41" w:rsidRDefault="001C0B41" w:rsidP="00525DDF">
      <w:pPr>
        <w:pStyle w:val="FootnoteText"/>
        <w:ind w:left="426" w:hanging="426"/>
      </w:pPr>
      <w:r>
        <w:rPr>
          <w:rStyle w:val="FootnoteReference"/>
        </w:rPr>
        <w:footnoteRef/>
      </w:r>
      <w:r>
        <w:t xml:space="preserve"> </w:t>
      </w:r>
      <w:r>
        <w:tab/>
        <w:t xml:space="preserve">Jacobs, October 2014, </w:t>
      </w:r>
      <w:r w:rsidRPr="00D616BE">
        <w:rPr>
          <w:i/>
        </w:rPr>
        <w:t>Recommended bushfire risk reduction strategies for SA Power Networks</w:t>
      </w:r>
      <w:r>
        <w:t>, p, 33.</w:t>
      </w:r>
    </w:p>
  </w:footnote>
  <w:footnote w:id="73">
    <w:p w:rsidR="001C0B41" w:rsidRDefault="001C0B41" w:rsidP="00525DDF">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October 2014, p. 13.</w:t>
      </w:r>
    </w:p>
  </w:footnote>
  <w:footnote w:id="74">
    <w:p w:rsidR="001C0B41" w:rsidRDefault="001C0B41" w:rsidP="00525DDF">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xml:space="preserve">, October 2014, p. 13. </w:t>
      </w:r>
    </w:p>
  </w:footnote>
  <w:footnote w:id="75">
    <w:p w:rsidR="001C0B41" w:rsidRDefault="001C0B41" w:rsidP="00525DDF">
      <w:pPr>
        <w:pStyle w:val="FootnoteText"/>
      </w:pPr>
      <w:r>
        <w:rPr>
          <w:rStyle w:val="FootnoteReference"/>
        </w:rPr>
        <w:footnoteRef/>
      </w:r>
      <w:r>
        <w:t xml:space="preserve"> </w:t>
      </w:r>
      <w:r>
        <w:tab/>
      </w:r>
      <w:r w:rsidR="006C0C3E">
        <w:t>File note</w:t>
      </w:r>
      <w:r>
        <w:t xml:space="preserve"> of conversation with a representative from the Office of the Technical Regulator, 24 February 2015. </w:t>
      </w:r>
    </w:p>
  </w:footnote>
  <w:footnote w:id="76">
    <w:p w:rsidR="001C0B41" w:rsidRDefault="001C0B41" w:rsidP="00525DDF">
      <w:pPr>
        <w:pStyle w:val="FootnoteText"/>
      </w:pPr>
      <w:r>
        <w:rPr>
          <w:rStyle w:val="FootnoteReference"/>
        </w:rPr>
        <w:footnoteRef/>
      </w:r>
      <w:r>
        <w:t xml:space="preserve"> </w:t>
      </w:r>
      <w:r>
        <w:tab/>
        <w:t>Electricity Act, section 53 (1 )and (2).</w:t>
      </w:r>
    </w:p>
  </w:footnote>
  <w:footnote w:id="77">
    <w:p w:rsidR="001C0B41" w:rsidRDefault="001C0B41" w:rsidP="00525DDF">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October 2014.</w:t>
      </w:r>
    </w:p>
  </w:footnote>
  <w:footnote w:id="78">
    <w:p w:rsidR="001C0B41" w:rsidRDefault="001C0B41" w:rsidP="00525DDF">
      <w:pPr>
        <w:pStyle w:val="FootnoteText"/>
      </w:pPr>
      <w:r>
        <w:rPr>
          <w:rStyle w:val="FootnoteReference"/>
        </w:rPr>
        <w:footnoteRef/>
      </w:r>
      <w:r>
        <w:t xml:space="preserve"> </w:t>
      </w:r>
      <w:r>
        <w:tab/>
        <w:t xml:space="preserve">Oakley Greenwood, </w:t>
      </w:r>
      <w:r w:rsidRPr="00E9528C">
        <w:rPr>
          <w:i/>
        </w:rPr>
        <w:t>Peer review of the willingness to pay research submitted by SA</w:t>
      </w:r>
      <w:r>
        <w:t xml:space="preserve"> Power Networks, April 2015.</w:t>
      </w:r>
    </w:p>
  </w:footnote>
  <w:footnote w:id="79">
    <w:p w:rsidR="001C0B41" w:rsidRDefault="001C0B41" w:rsidP="00525DDF">
      <w:pPr>
        <w:pStyle w:val="FootnoteText"/>
        <w:ind w:left="426" w:hanging="426"/>
      </w:pPr>
      <w:r>
        <w:rPr>
          <w:rStyle w:val="FootnoteReference"/>
        </w:rPr>
        <w:footnoteRef/>
      </w:r>
      <w:r>
        <w:t xml:space="preserve"> </w:t>
      </w:r>
      <w:r>
        <w:tab/>
        <w:t>SA</w:t>
      </w:r>
      <w:r w:rsidRPr="001558AC">
        <w:t xml:space="preserve"> Power Networks</w:t>
      </w:r>
      <w:r>
        <w:t xml:space="preserve">, </w:t>
      </w:r>
      <w:r w:rsidRPr="00AA00C2">
        <w:rPr>
          <w:i/>
        </w:rPr>
        <w:t>SA Power Networks: Bushfire Mitigation Programs Business Case</w:t>
      </w:r>
      <w:r>
        <w:t>, October 2014, p. 35.</w:t>
      </w:r>
    </w:p>
  </w:footnote>
  <w:footnote w:id="80">
    <w:p w:rsidR="001C0B41" w:rsidRDefault="001C0B41" w:rsidP="00525DDF">
      <w:pPr>
        <w:pStyle w:val="FootnoteText"/>
        <w:ind w:left="426" w:hanging="426"/>
      </w:pPr>
      <w:r>
        <w:rPr>
          <w:rStyle w:val="FootnoteReference"/>
        </w:rPr>
        <w:footnoteRef/>
      </w:r>
      <w:r>
        <w:t xml:space="preserve"> </w:t>
      </w:r>
      <w:r>
        <w:tab/>
        <w:t>Willis Risk Services, December 2013, “SA Power Networks Limited Bushfire Modelling”, Attachment 11.3a, p. 11.</w:t>
      </w:r>
    </w:p>
  </w:footnote>
  <w:footnote w:id="81">
    <w:p w:rsidR="001C0B41" w:rsidRDefault="001C0B41">
      <w:pPr>
        <w:pStyle w:val="FootnoteText"/>
      </w:pPr>
      <w:r>
        <w:rPr>
          <w:rStyle w:val="FootnoteReference"/>
        </w:rPr>
        <w:footnoteRef/>
      </w:r>
      <w:r>
        <w:t xml:space="preserve"> </w:t>
      </w:r>
      <w:r>
        <w:tab/>
        <w:t>See confidential appendix.</w:t>
      </w:r>
    </w:p>
  </w:footnote>
  <w:footnote w:id="82">
    <w:p w:rsidR="001C0B41" w:rsidRDefault="001C0B41" w:rsidP="00525DDF">
      <w:pPr>
        <w:pStyle w:val="FootnoteText"/>
      </w:pPr>
      <w:r>
        <w:rPr>
          <w:rStyle w:val="FootnoteReference"/>
        </w:rPr>
        <w:footnoteRef/>
      </w:r>
      <w:r>
        <w:t xml:space="preserve"> </w:t>
      </w:r>
      <w:r>
        <w:tab/>
        <w:t xml:space="preserve">The NTF Group, </w:t>
      </w:r>
      <w:r w:rsidRPr="000A6489">
        <w:rPr>
          <w:i/>
        </w:rPr>
        <w:t>SAPN Targeted Willingness to Pay Research – Research Findings</w:t>
      </w:r>
      <w:r>
        <w:t>, July 2014, p. 16.</w:t>
      </w:r>
    </w:p>
  </w:footnote>
  <w:footnote w:id="83">
    <w:p w:rsidR="001C0B41" w:rsidRDefault="001C0B41" w:rsidP="00525DDF">
      <w:pPr>
        <w:pStyle w:val="FootnoteText"/>
      </w:pPr>
      <w:r>
        <w:rPr>
          <w:rStyle w:val="FootnoteReference"/>
        </w:rPr>
        <w:footnoteRef/>
      </w:r>
      <w:r>
        <w:t xml:space="preserve"> </w:t>
      </w:r>
      <w:r>
        <w:tab/>
        <w:t xml:space="preserve">Energy Consumers Coalition of SA (ECCSA), </w:t>
      </w:r>
      <w:r w:rsidRPr="00F80246">
        <w:rPr>
          <w:i/>
        </w:rPr>
        <w:t>A response by the Energy Consumers Coalition of SA</w:t>
      </w:r>
      <w:r>
        <w:t>, December 2014, p. 22.</w:t>
      </w:r>
    </w:p>
  </w:footnote>
  <w:footnote w:id="84">
    <w:p w:rsidR="001C0B41" w:rsidRDefault="001C0B41" w:rsidP="00525DDF">
      <w:pPr>
        <w:pStyle w:val="FootnoteText"/>
      </w:pPr>
      <w:r>
        <w:rPr>
          <w:rStyle w:val="FootnoteReference"/>
        </w:rPr>
        <w:footnoteRef/>
      </w:r>
      <w:r>
        <w:t xml:space="preserve"> </w:t>
      </w:r>
      <w:r>
        <w:tab/>
        <w:t>SACOSS, SACOSS Submission to the Australian Energy Regulator on SA Power Networks’ 2015-20 Regulatory Proposal, January 2015, p. 3.</w:t>
      </w:r>
    </w:p>
  </w:footnote>
  <w:footnote w:id="85">
    <w:p w:rsidR="001C0B41" w:rsidRDefault="001C0B41">
      <w:pPr>
        <w:pStyle w:val="FootnoteText"/>
      </w:pPr>
      <w:r>
        <w:rPr>
          <w:rStyle w:val="FootnoteReference"/>
        </w:rPr>
        <w:footnoteRef/>
      </w:r>
      <w:r>
        <w:t xml:space="preserve"> </w:t>
      </w:r>
      <w:r>
        <w:tab/>
        <w:t xml:space="preserve">Energy Users Association of Australia, Submission to SA Power Networks Revenue Proposal (2015-2020), 30 January 2015, pp.14-16; Business SA, SA Power Networks Regulatory Proposal 2015-2, January 2015, p. 20. </w:t>
      </w:r>
    </w:p>
  </w:footnote>
  <w:footnote w:id="86">
    <w:p w:rsidR="001C0B41" w:rsidRDefault="001C0B41" w:rsidP="00525DDF">
      <w:pPr>
        <w:pStyle w:val="FootnoteText"/>
      </w:pPr>
      <w:r>
        <w:rPr>
          <w:rStyle w:val="FootnoteReference"/>
        </w:rPr>
        <w:footnoteRef/>
      </w:r>
      <w:r>
        <w:t xml:space="preserve"> </w:t>
      </w:r>
      <w:r>
        <w:tab/>
        <w:t xml:space="preserve">Consumer Challenge Panel 2, </w:t>
      </w:r>
      <w:r w:rsidRPr="000B500E">
        <w:rPr>
          <w:i/>
        </w:rPr>
        <w:t>Submission by the Consumer Challenge Panel 2 to the AER in response to SA Power Networks Regulatory Proposal for 2015-20</w:t>
      </w:r>
      <w:r>
        <w:t>, p. 42.</w:t>
      </w:r>
    </w:p>
  </w:footnote>
  <w:footnote w:id="87">
    <w:p w:rsidR="001C0B41" w:rsidRDefault="001C0B41" w:rsidP="00525DDF">
      <w:pPr>
        <w:pStyle w:val="FootnoteText"/>
      </w:pPr>
      <w:r>
        <w:rPr>
          <w:rStyle w:val="FootnoteReference"/>
        </w:rPr>
        <w:footnoteRef/>
      </w:r>
      <w:r>
        <w:t xml:space="preserve"> </w:t>
      </w:r>
      <w:r>
        <w:tab/>
        <w:t xml:space="preserve">NTF, </w:t>
      </w:r>
      <w:r>
        <w:rPr>
          <w:i/>
        </w:rPr>
        <w:t>Targeted willingness-to-pay research</w:t>
      </w:r>
      <w:r>
        <w:t>, July 2014, p. 29.</w:t>
      </w:r>
    </w:p>
  </w:footnote>
  <w:footnote w:id="88">
    <w:p w:rsidR="001C0B41" w:rsidRPr="00641E37" w:rsidRDefault="001C0B41" w:rsidP="00525DDF">
      <w:pPr>
        <w:pStyle w:val="FootnoteText"/>
      </w:pPr>
      <w:r>
        <w:rPr>
          <w:rStyle w:val="FootnoteReference"/>
        </w:rPr>
        <w:footnoteRef/>
      </w:r>
      <w:r>
        <w:t xml:space="preserve"> </w:t>
      </w:r>
      <w:r>
        <w:tab/>
      </w:r>
      <w:r w:rsidRPr="00C94FA2">
        <w:t>For example, in 2013–14 the EH&amp;FP region had the highest frequency of interruptions in South Australia, with those residing in it suffering almost 70 per cent more interruptions on average than those in major metropolitan areas</w:t>
      </w:r>
      <w:r>
        <w:rPr>
          <w:rFonts w:ascii="Times New Roman" w:eastAsia="Times New Roman" w:hAnsi="Times New Roman" w:cs="Times New Roman"/>
          <w:sz w:val="24"/>
          <w:szCs w:val="24"/>
        </w:rPr>
        <w:t xml:space="preserve"> (</w:t>
      </w:r>
      <w:r>
        <w:t xml:space="preserve">ESCOSA, </w:t>
      </w:r>
      <w:r>
        <w:rPr>
          <w:i/>
        </w:rPr>
        <w:t xml:space="preserve">Performance of SA Power Networks </w:t>
      </w:r>
      <w:r>
        <w:rPr>
          <w:rFonts w:cs="Arial"/>
          <w:i/>
        </w:rPr>
        <w:t>—</w:t>
      </w:r>
      <w:r>
        <w:rPr>
          <w:i/>
        </w:rPr>
        <w:t xml:space="preserve"> 2013</w:t>
      </w:r>
      <w:r>
        <w:rPr>
          <w:rFonts w:cs="Arial"/>
          <w:i/>
        </w:rPr>
        <w:t>–</w:t>
      </w:r>
      <w:r>
        <w:rPr>
          <w:i/>
        </w:rPr>
        <w:t>14</w:t>
      </w:r>
      <w:r>
        <w:t>, 2014, p. 2.)</w:t>
      </w:r>
    </w:p>
  </w:footnote>
  <w:footnote w:id="89">
    <w:p w:rsidR="001C0B41" w:rsidRDefault="001C0B41" w:rsidP="00525DDF">
      <w:pPr>
        <w:pStyle w:val="FootnoteText"/>
      </w:pPr>
      <w:r>
        <w:rPr>
          <w:rStyle w:val="FootnoteReference"/>
        </w:rPr>
        <w:footnoteRef/>
      </w:r>
      <w:r>
        <w:t xml:space="preserve"> </w:t>
      </w:r>
      <w:r>
        <w:tab/>
        <w:t xml:space="preserve">Oakley Greenwood, </w:t>
      </w:r>
      <w:r w:rsidRPr="00391861">
        <w:rPr>
          <w:i/>
        </w:rPr>
        <w:t>Peer review of the willingness to pay research submitted by SAPN</w:t>
      </w:r>
      <w:r>
        <w:t>, April 2015, p. 6.</w:t>
      </w:r>
    </w:p>
  </w:footnote>
  <w:footnote w:id="90">
    <w:p w:rsidR="001C0B41" w:rsidRDefault="001C0B41" w:rsidP="00525DDF">
      <w:pPr>
        <w:pStyle w:val="FootnoteText"/>
      </w:pPr>
      <w:r>
        <w:rPr>
          <w:rStyle w:val="FootnoteReference"/>
        </w:rPr>
        <w:footnoteRef/>
      </w:r>
      <w:r>
        <w:t xml:space="preserve"> </w:t>
      </w:r>
      <w:r>
        <w:tab/>
        <w:t xml:space="preserve">SA Treasury, </w:t>
      </w:r>
      <w:r w:rsidRPr="006F0B82">
        <w:rPr>
          <w:i/>
        </w:rPr>
        <w:t>Government of South Australia’s Submissions to the Australian Energy Regulatory on the SA Power Network’s Regulatory Proposal 2015-20</w:t>
      </w:r>
      <w:r>
        <w:t>, p. 11.</w:t>
      </w:r>
    </w:p>
  </w:footnote>
  <w:footnote w:id="91">
    <w:p w:rsidR="001C0B41" w:rsidRDefault="001C0B41" w:rsidP="00525DDF">
      <w:pPr>
        <w:pStyle w:val="FootnoteText"/>
      </w:pPr>
      <w:r>
        <w:rPr>
          <w:rStyle w:val="FootnoteReference"/>
        </w:rPr>
        <w:footnoteRef/>
      </w:r>
      <w:r>
        <w:t xml:space="preserve"> </w:t>
      </w:r>
      <w:r>
        <w:tab/>
        <w:t xml:space="preserve">Oakley Greenwood, </w:t>
      </w:r>
      <w:r w:rsidRPr="00391861">
        <w:rPr>
          <w:i/>
        </w:rPr>
        <w:t>Peer review of the willingness to pay research submitted by SAPN</w:t>
      </w:r>
      <w:r>
        <w:t>, April 2015, p.7–9.</w:t>
      </w:r>
    </w:p>
  </w:footnote>
  <w:footnote w:id="92">
    <w:p w:rsidR="001C0B41" w:rsidRDefault="001C0B41" w:rsidP="00525DDF">
      <w:pPr>
        <w:pStyle w:val="FootnoteText"/>
      </w:pPr>
      <w:r>
        <w:rPr>
          <w:rStyle w:val="FootnoteReference"/>
        </w:rPr>
        <w:footnoteRef/>
      </w:r>
      <w:r>
        <w:t xml:space="preserve"> </w:t>
      </w:r>
      <w:r>
        <w:tab/>
        <w:t xml:space="preserve">Oakley Greenwood, </w:t>
      </w:r>
      <w:r w:rsidRPr="00391861">
        <w:rPr>
          <w:i/>
        </w:rPr>
        <w:t>Peer review of the willingness to pay research submitted by SAPN</w:t>
      </w:r>
      <w:r>
        <w:t>, April 2015, p.10–13.</w:t>
      </w:r>
    </w:p>
  </w:footnote>
  <w:footnote w:id="93">
    <w:p w:rsidR="001C0B41" w:rsidRDefault="001C0B41" w:rsidP="00525DDF">
      <w:pPr>
        <w:pStyle w:val="FootnoteText"/>
      </w:pPr>
      <w:r>
        <w:rPr>
          <w:rStyle w:val="FootnoteReference"/>
        </w:rPr>
        <w:footnoteRef/>
      </w:r>
      <w:r>
        <w:t xml:space="preserve"> </w:t>
      </w:r>
      <w:r>
        <w:tab/>
        <w:t>See Electricity (Regulations) Act 2012, Part 9, section 44.</w:t>
      </w:r>
    </w:p>
  </w:footnote>
  <w:footnote w:id="94">
    <w:p w:rsidR="001C0B41" w:rsidRDefault="001C0B41" w:rsidP="00525DDF">
      <w:pPr>
        <w:pStyle w:val="FootnoteText"/>
      </w:pPr>
      <w:r>
        <w:rPr>
          <w:rStyle w:val="FootnoteReference"/>
        </w:rPr>
        <w:footnoteRef/>
      </w:r>
      <w:r>
        <w:t xml:space="preserve"> </w:t>
      </w:r>
      <w:r>
        <w:tab/>
        <w:t xml:space="preserve">SA Power Networks, </w:t>
      </w:r>
      <w:r w:rsidRPr="00AA00C2">
        <w:rPr>
          <w:i/>
        </w:rPr>
        <w:t>SA Power Networks</w:t>
      </w:r>
      <w:r>
        <w:rPr>
          <w:i/>
        </w:rPr>
        <w:t xml:space="preserve"> Regulatory proposal 2015-20, </w:t>
      </w:r>
      <w:r w:rsidRPr="000A6489">
        <w:t>p.14</w:t>
      </w:r>
      <w:r>
        <w:t>2–143.</w:t>
      </w:r>
    </w:p>
  </w:footnote>
  <w:footnote w:id="95">
    <w:p w:rsidR="001C0B41" w:rsidRDefault="001C0B41" w:rsidP="00525DDF">
      <w:pPr>
        <w:pStyle w:val="FootnoteText"/>
      </w:pPr>
      <w:r>
        <w:rPr>
          <w:rStyle w:val="FootnoteReference"/>
        </w:rPr>
        <w:footnoteRef/>
      </w:r>
      <w:r>
        <w:t xml:space="preserve"> </w:t>
      </w:r>
      <w:r>
        <w:tab/>
      </w:r>
      <w:r w:rsidRPr="00615E05">
        <w:t>Submission by the Consumer Challenge Panel 2 to the AER in response to SA Power Networks Regulatory Proposal for 2015-20</w:t>
      </w:r>
      <w:r>
        <w:t>, p. 43.</w:t>
      </w:r>
    </w:p>
  </w:footnote>
  <w:footnote w:id="96">
    <w:p w:rsidR="001C0B41" w:rsidRDefault="001C0B41" w:rsidP="00525DDF">
      <w:pPr>
        <w:pStyle w:val="FootnoteText"/>
      </w:pPr>
      <w:r>
        <w:rPr>
          <w:rStyle w:val="FootnoteReference"/>
        </w:rPr>
        <w:footnoteRef/>
      </w:r>
      <w:r>
        <w:t xml:space="preserve"> </w:t>
      </w:r>
      <w:r>
        <w:tab/>
        <w:t>The proposed locations of undergrounding are informed by a working committee that consists of SA Power Networks, the Motoring Accident Commission and the Department of Planning, Transport and Infrastructure SA.</w:t>
      </w:r>
    </w:p>
  </w:footnote>
  <w:footnote w:id="97">
    <w:p w:rsidR="001C0B41" w:rsidRDefault="001C0B41" w:rsidP="00525DDF">
      <w:pPr>
        <w:pStyle w:val="FootnoteText"/>
      </w:pPr>
      <w:r>
        <w:rPr>
          <w:rStyle w:val="FootnoteReference"/>
        </w:rPr>
        <w:footnoteRef/>
      </w:r>
      <w:r>
        <w:t xml:space="preserve"> </w:t>
      </w:r>
      <w:r>
        <w:tab/>
        <w:t>NER, cl. 6.5.7(a). to the extent that there is no applicable regulatory obligation or requirement in relation to reliability, SA Power Networks is required to maintain the reliability of the supply of standard control services, and of the distribution system through the supply of standard control services.</w:t>
      </w:r>
    </w:p>
  </w:footnote>
  <w:footnote w:id="98">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226.</w:t>
      </w:r>
    </w:p>
  </w:footnote>
  <w:footnote w:id="99">
    <w:p w:rsidR="001C0B41" w:rsidRDefault="001C0B41" w:rsidP="00525DDF">
      <w:pPr>
        <w:pStyle w:val="FootnoteText"/>
      </w:pPr>
      <w:r>
        <w:rPr>
          <w:rStyle w:val="FootnoteReference"/>
        </w:rPr>
        <w:footnoteRef/>
      </w:r>
      <w:r>
        <w:t xml:space="preserve"> </w:t>
      </w:r>
      <w:r>
        <w:tab/>
        <w:t xml:space="preserve">SA Government </w:t>
      </w:r>
      <w:r w:rsidRPr="000E550C">
        <w:t>submission on SA Power Networks Regulatory Proposal 2015</w:t>
      </w:r>
      <w:r>
        <w:t>–</w:t>
      </w:r>
      <w:r w:rsidRPr="000E550C">
        <w:t>20</w:t>
      </w:r>
      <w:r>
        <w:t>, p. 4.</w:t>
      </w:r>
    </w:p>
  </w:footnote>
  <w:footnote w:id="100">
    <w:p w:rsidR="001C0B41" w:rsidRPr="007854B5" w:rsidRDefault="001C0B41" w:rsidP="00525DDF">
      <w:pPr>
        <w:pStyle w:val="FootnoteText"/>
        <w:rPr>
          <w:rStyle w:val="AERtexthighlight"/>
        </w:rPr>
      </w:pPr>
      <w:r>
        <w:rPr>
          <w:rStyle w:val="FootnoteReference"/>
        </w:rPr>
        <w:footnoteRef/>
      </w:r>
      <w:r>
        <w:t xml:space="preserve"> </w:t>
      </w:r>
      <w:r>
        <w:tab/>
        <w:t>Business SA</w:t>
      </w:r>
      <w:r w:rsidRPr="00AD78F2">
        <w:t xml:space="preserve"> </w:t>
      </w:r>
      <w:r w:rsidRPr="000E550C">
        <w:t>submission on SA Power Networks Regulatory Proposal 2015-20</w:t>
      </w:r>
      <w:r>
        <w:t>, pp. 16–18.</w:t>
      </w:r>
    </w:p>
  </w:footnote>
  <w:footnote w:id="101">
    <w:p w:rsidR="001C0B41" w:rsidRDefault="001C0B41" w:rsidP="00525DDF">
      <w:pPr>
        <w:pStyle w:val="FootnoteText"/>
      </w:pPr>
      <w:r>
        <w:rPr>
          <w:rStyle w:val="FootnoteReference"/>
        </w:rPr>
        <w:footnoteRef/>
      </w:r>
      <w:r>
        <w:t xml:space="preserve"> </w:t>
      </w:r>
      <w:r>
        <w:tab/>
        <w:t xml:space="preserve">CCP submission on </w:t>
      </w:r>
      <w:r w:rsidRPr="00AD081C">
        <w:t>SA Power Networks Regulatory Proposal 2015-20</w:t>
      </w:r>
      <w:r>
        <w:t>, p. 22.</w:t>
      </w:r>
    </w:p>
  </w:footnote>
  <w:footnote w:id="102">
    <w:p w:rsidR="001C0B41" w:rsidRDefault="001C0B41" w:rsidP="00525DDF">
      <w:pPr>
        <w:pStyle w:val="FootnoteText"/>
      </w:pPr>
      <w:r>
        <w:rPr>
          <w:rStyle w:val="FootnoteReference"/>
        </w:rPr>
        <w:footnoteRef/>
      </w:r>
      <w:r>
        <w:t xml:space="preserve"> </w:t>
      </w:r>
      <w:r>
        <w:tab/>
        <w:t xml:space="preserve">CCP submission on </w:t>
      </w:r>
      <w:r w:rsidRPr="00AD081C">
        <w:t>SA Power Networks Regulatory Proposal 2015-20</w:t>
      </w:r>
      <w:r>
        <w:t xml:space="preserve">, p.23; SA Government </w:t>
      </w:r>
      <w:r w:rsidRPr="000E550C">
        <w:t>submission on SA Power Networks Regulatory Proposal 2015-20</w:t>
      </w:r>
      <w:r>
        <w:t>, p. 4.</w:t>
      </w:r>
    </w:p>
  </w:footnote>
  <w:footnote w:id="103">
    <w:p w:rsidR="001C0B41" w:rsidRDefault="001C0B41" w:rsidP="00525DDF">
      <w:pPr>
        <w:pStyle w:val="FootnoteText"/>
      </w:pPr>
      <w:r>
        <w:rPr>
          <w:rStyle w:val="FootnoteReference"/>
        </w:rPr>
        <w:footnoteRef/>
      </w:r>
      <w:r>
        <w:t xml:space="preserve"> </w:t>
      </w:r>
      <w:r>
        <w:tab/>
        <w:t xml:space="preserve">CCP submission on </w:t>
      </w:r>
      <w:r w:rsidRPr="00AD081C">
        <w:t>SA Power Networks Regulatory Proposal 2015-20</w:t>
      </w:r>
      <w:r>
        <w:t>, p. 45.</w:t>
      </w:r>
    </w:p>
  </w:footnote>
  <w:footnote w:id="104">
    <w:p w:rsidR="001C0B41" w:rsidRDefault="001C0B41" w:rsidP="00525DDF">
      <w:pPr>
        <w:pStyle w:val="FootnoteText"/>
      </w:pPr>
      <w:r>
        <w:rPr>
          <w:rStyle w:val="FootnoteReference"/>
        </w:rPr>
        <w:footnoteRef/>
      </w:r>
      <w:r>
        <w:t xml:space="preserve"> </w:t>
      </w:r>
      <w:r>
        <w:tab/>
        <w:t xml:space="preserve">NTF Group, </w:t>
      </w:r>
      <w:r w:rsidRPr="007854B5">
        <w:rPr>
          <w:rStyle w:val="AERtextitalic"/>
        </w:rPr>
        <w:t>SA Power Networks Targeted Willingness to Pay Research — Research Findings</w:t>
      </w:r>
      <w:r>
        <w:t xml:space="preserve">, July 2014 (SA Power Networks, </w:t>
      </w:r>
      <w:r w:rsidRPr="007854B5">
        <w:rPr>
          <w:rStyle w:val="AERtextitalic"/>
        </w:rPr>
        <w:t>Regulatory Proposal 2015</w:t>
      </w:r>
      <w:r>
        <w:rPr>
          <w:rStyle w:val="AERtextitalic"/>
        </w:rPr>
        <w:t>–</w:t>
      </w:r>
      <w:r w:rsidRPr="007854B5">
        <w:rPr>
          <w:rStyle w:val="AERtextitalic"/>
        </w:rPr>
        <w:t>20</w:t>
      </w:r>
      <w:r>
        <w:t>, 31 October 2014, Attachment 6.8).</w:t>
      </w:r>
    </w:p>
  </w:footnote>
  <w:footnote w:id="10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w:t>
      </w:r>
      <w:r>
        <w:rPr>
          <w:rStyle w:val="AERtextitalic"/>
        </w:rPr>
        <w:t>–</w:t>
      </w:r>
      <w:r w:rsidRPr="007854B5">
        <w:rPr>
          <w:rStyle w:val="AERtextitalic"/>
        </w:rPr>
        <w:t>20</w:t>
      </w:r>
      <w:r>
        <w:t>, 31 October 2014, p. 66.</w:t>
      </w:r>
    </w:p>
  </w:footnote>
  <w:footnote w:id="106">
    <w:p w:rsidR="001C0B41" w:rsidRDefault="001C0B41" w:rsidP="00525DDF">
      <w:pPr>
        <w:pStyle w:val="FootnoteText"/>
      </w:pPr>
      <w:r>
        <w:rPr>
          <w:rStyle w:val="FootnoteReference"/>
        </w:rPr>
        <w:footnoteRef/>
      </w:r>
      <w:r>
        <w:t xml:space="preserve"> </w:t>
      </w:r>
      <w:r>
        <w:tab/>
        <w:t xml:space="preserve">NTF Group, </w:t>
      </w:r>
      <w:r w:rsidRPr="007854B5">
        <w:rPr>
          <w:rStyle w:val="AERtextitalic"/>
        </w:rPr>
        <w:t>SA Power Networks Targeted Willingness to Pay Research — Research Findings</w:t>
      </w:r>
      <w:r>
        <w:t xml:space="preserve">, July 2014, p. 5 (SA Power Networks, </w:t>
      </w:r>
      <w:r w:rsidRPr="007854B5">
        <w:rPr>
          <w:rStyle w:val="AERtextitalic"/>
        </w:rPr>
        <w:t>Regulatory Proposal 2015</w:t>
      </w:r>
      <w:r>
        <w:rPr>
          <w:rStyle w:val="AERtextitalic"/>
        </w:rPr>
        <w:t>–</w:t>
      </w:r>
      <w:r w:rsidRPr="007854B5">
        <w:rPr>
          <w:rStyle w:val="AERtextitalic"/>
        </w:rPr>
        <w:t>20</w:t>
      </w:r>
      <w:r>
        <w:t>, 31 October 2014, Attachment 6.8).</w:t>
      </w:r>
    </w:p>
  </w:footnote>
  <w:footnote w:id="107">
    <w:p w:rsidR="001C0B41" w:rsidRDefault="001C0B41" w:rsidP="00525DDF">
      <w:pPr>
        <w:pStyle w:val="FootnoteText"/>
      </w:pPr>
      <w:r>
        <w:rPr>
          <w:rStyle w:val="FootnoteReference"/>
        </w:rPr>
        <w:footnoteRef/>
      </w:r>
      <w:r>
        <w:t xml:space="preserve"> </w:t>
      </w:r>
      <w:r>
        <w:tab/>
        <w:t xml:space="preserve">Oakley Greenwood, </w:t>
      </w:r>
      <w:r w:rsidRPr="006570CD">
        <w:rPr>
          <w:rStyle w:val="AERtextitalic"/>
        </w:rPr>
        <w:fldChar w:fldCharType="begin"/>
      </w:r>
      <w:r w:rsidRPr="006570CD">
        <w:rPr>
          <w:rStyle w:val="AERtextitalic"/>
        </w:rPr>
        <w:instrText xml:space="preserve"> DOCPROPERTY "Title"  \* MERGEFORMAT </w:instrText>
      </w:r>
      <w:r w:rsidRPr="006570CD">
        <w:rPr>
          <w:rStyle w:val="AERtextitalic"/>
        </w:rPr>
        <w:fldChar w:fldCharType="separate"/>
      </w:r>
      <w:r w:rsidRPr="006570CD">
        <w:rPr>
          <w:rStyle w:val="AERtextitalic"/>
        </w:rPr>
        <w:t>Peer review of the willingness to pay research submitted by SAPN</w:t>
      </w:r>
      <w:r w:rsidRPr="006570CD">
        <w:rPr>
          <w:rStyle w:val="AERtextitalic"/>
        </w:rPr>
        <w:fldChar w:fldCharType="end"/>
      </w:r>
      <w:r>
        <w:t>, April 2015</w:t>
      </w:r>
    </w:p>
  </w:footnote>
  <w:footnote w:id="108">
    <w:p w:rsidR="001C0B41" w:rsidRDefault="001C0B41" w:rsidP="00525DDF">
      <w:pPr>
        <w:pStyle w:val="FootnoteText"/>
      </w:pPr>
      <w:r>
        <w:rPr>
          <w:rStyle w:val="FootnoteReference"/>
        </w:rPr>
        <w:footnoteRef/>
      </w:r>
      <w:r>
        <w:t xml:space="preserve"> </w:t>
      </w:r>
      <w:r>
        <w:tab/>
        <w:t xml:space="preserve">Oakley Greenwood, </w:t>
      </w:r>
      <w:r w:rsidRPr="00D96A12">
        <w:rPr>
          <w:rStyle w:val="AERtextitalic"/>
        </w:rPr>
        <w:fldChar w:fldCharType="begin"/>
      </w:r>
      <w:r w:rsidRPr="00D96A12">
        <w:rPr>
          <w:rStyle w:val="AERtextitalic"/>
        </w:rPr>
        <w:instrText xml:space="preserve"> DOCPROPERTY "Title"  \* MERGEFORMAT </w:instrText>
      </w:r>
      <w:r w:rsidRPr="00D96A12">
        <w:rPr>
          <w:rStyle w:val="AERtextitalic"/>
        </w:rPr>
        <w:fldChar w:fldCharType="separate"/>
      </w:r>
      <w:r w:rsidRPr="00D96A12">
        <w:rPr>
          <w:rStyle w:val="AERtextitalic"/>
        </w:rPr>
        <w:t>Peer review of the willingness to pay research submitted by SAPN</w:t>
      </w:r>
      <w:r w:rsidRPr="00D96A12">
        <w:rPr>
          <w:rStyle w:val="AERtextitalic"/>
        </w:rPr>
        <w:fldChar w:fldCharType="end"/>
      </w:r>
      <w:r>
        <w:t>, April 2015, p. 6</w:t>
      </w:r>
    </w:p>
  </w:footnote>
  <w:footnote w:id="109">
    <w:p w:rsidR="001C0B41" w:rsidRDefault="001C0B41" w:rsidP="00525DDF">
      <w:pPr>
        <w:pStyle w:val="FootnoteText"/>
      </w:pPr>
      <w:r>
        <w:rPr>
          <w:rStyle w:val="FootnoteReference"/>
        </w:rPr>
        <w:footnoteRef/>
      </w:r>
      <w:r>
        <w:t xml:space="preserve"> </w:t>
      </w:r>
      <w:r>
        <w:tab/>
        <w:t xml:space="preserve">SA Government </w:t>
      </w:r>
      <w:r w:rsidRPr="000E550C">
        <w:t>submission on SA Power Networks Regulatory Proposal 2015-20</w:t>
      </w:r>
      <w:r>
        <w:t>, p</w:t>
      </w:r>
      <w:r w:rsidRPr="00EA4C84">
        <w:t>. 12-13</w:t>
      </w:r>
      <w:r w:rsidRPr="00EA4C84">
        <w:rPr>
          <w:rStyle w:val="AERtexthighlight"/>
          <w:shd w:val="clear" w:color="auto" w:fill="auto"/>
        </w:rPr>
        <w:t xml:space="preserve">; Energy Users Association of Australia </w:t>
      </w:r>
      <w:r w:rsidRPr="00EA4C84">
        <w:t>submission on SA Power Networks Regulatory Proposal 2015-20</w:t>
      </w:r>
      <w:r w:rsidRPr="00EA4C84">
        <w:rPr>
          <w:rStyle w:val="AERtexthighlight"/>
          <w:shd w:val="clear" w:color="auto" w:fill="auto"/>
        </w:rPr>
        <w:t xml:space="preserve">, pp. 15-16; </w:t>
      </w:r>
      <w:r w:rsidRPr="00EA4C84">
        <w:t>Business</w:t>
      </w:r>
      <w:r>
        <w:t xml:space="preserve"> SA</w:t>
      </w:r>
      <w:r w:rsidRPr="00AD78F2">
        <w:t xml:space="preserve"> </w:t>
      </w:r>
      <w:r w:rsidRPr="000E550C">
        <w:t>submission on SA Power Networks Regulatory Proposal 2015-20</w:t>
      </w:r>
      <w:r>
        <w:t>, p. 20.</w:t>
      </w:r>
    </w:p>
  </w:footnote>
  <w:footnote w:id="110">
    <w:p w:rsidR="001C0B41" w:rsidRDefault="001C0B41" w:rsidP="00525DDF">
      <w:pPr>
        <w:pStyle w:val="FootnoteText"/>
      </w:pPr>
      <w:r>
        <w:rPr>
          <w:rStyle w:val="FootnoteReference"/>
        </w:rPr>
        <w:footnoteRef/>
      </w:r>
      <w:r>
        <w:t xml:space="preserve"> </w:t>
      </w:r>
      <w:r>
        <w:tab/>
        <w:t xml:space="preserve">CCP submission on </w:t>
      </w:r>
      <w:r w:rsidRPr="00AD081C">
        <w:t>SA Power Networks Regulatory Proposal 2015-20</w:t>
      </w:r>
      <w:r>
        <w:t>, pp. 35–38.</w:t>
      </w:r>
    </w:p>
  </w:footnote>
  <w:footnote w:id="111">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AMP 2.1.03 Kangaroo Island – Network Security Second Undersea Cable 2015 to 2035</w:t>
      </w:r>
      <w:r>
        <w:t>, October 2014, p. 11</w:t>
      </w:r>
    </w:p>
  </w:footnote>
  <w:footnote w:id="112">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AMP 2.1.03 Kangaroo Island – Network Security Second Undersea Cable 2015 to 2035</w:t>
      </w:r>
      <w:r>
        <w:t>, October 2014, p. 11.</w:t>
      </w:r>
    </w:p>
  </w:footnote>
  <w:footnote w:id="113">
    <w:p w:rsidR="001C0B41" w:rsidRDefault="001C0B41" w:rsidP="00525DDF">
      <w:pPr>
        <w:pStyle w:val="FootnoteText"/>
      </w:pPr>
      <w:r>
        <w:rPr>
          <w:rStyle w:val="FootnoteReference"/>
        </w:rPr>
        <w:footnoteRef/>
      </w:r>
      <w:r>
        <w:t xml:space="preserve"> </w:t>
      </w:r>
      <w:r>
        <w:tab/>
        <w:t xml:space="preserve">Business SA submission on </w:t>
      </w:r>
      <w:r w:rsidRPr="00AD081C">
        <w:t>SA Power Networks Regulatory Proposal 2015-20</w:t>
      </w:r>
      <w:r>
        <w:t>, p. 23.</w:t>
      </w:r>
    </w:p>
  </w:footnote>
  <w:footnote w:id="114">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AMP 2.1.03 Kangaroo Island – Network Security Second Undersea Cable 2015 to 2035</w:t>
      </w:r>
      <w:r>
        <w:t>, October 2014, p. 8.</w:t>
      </w:r>
    </w:p>
  </w:footnote>
  <w:footnote w:id="11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220.</w:t>
      </w:r>
    </w:p>
  </w:footnote>
  <w:footnote w:id="116">
    <w:p w:rsidR="001C0B41" w:rsidRDefault="001C0B41" w:rsidP="00525DDF">
      <w:pPr>
        <w:pStyle w:val="FootnoteText"/>
      </w:pPr>
      <w:r>
        <w:rPr>
          <w:rStyle w:val="FootnoteReference"/>
        </w:rPr>
        <w:footnoteRef/>
      </w:r>
      <w:r>
        <w:t xml:space="preserve"> </w:t>
      </w:r>
      <w:r>
        <w:tab/>
        <w:t xml:space="preserve">Business SA submission on </w:t>
      </w:r>
      <w:r w:rsidRPr="00AD081C">
        <w:t>SA Power Networks Regulatory Proposal 2015-20</w:t>
      </w:r>
      <w:r>
        <w:t>, p. 22.</w:t>
      </w:r>
    </w:p>
  </w:footnote>
  <w:footnote w:id="117">
    <w:p w:rsidR="001C0B41" w:rsidRDefault="001C0B41" w:rsidP="00525DDF">
      <w:pPr>
        <w:pStyle w:val="FootnoteText"/>
      </w:pPr>
      <w:r>
        <w:rPr>
          <w:rStyle w:val="FootnoteReference"/>
        </w:rPr>
        <w:footnoteRef/>
      </w:r>
      <w:r>
        <w:t xml:space="preserve"> </w:t>
      </w:r>
      <w:r>
        <w:tab/>
        <w:t xml:space="preserve">ECCSA, Submission on </w:t>
      </w:r>
      <w:r w:rsidRPr="00AD081C">
        <w:t>SA Power Networks Regulatory Proposal 2015-20</w:t>
      </w:r>
      <w:r>
        <w:t>, p. 22.</w:t>
      </w:r>
    </w:p>
  </w:footnote>
  <w:footnote w:id="118">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AMP 2.1.03 Kangaroo Island – Network Security Second Undersea Cable 2015 to 2035</w:t>
      </w:r>
      <w:r>
        <w:t>, October 2014, p. 9.</w:t>
      </w:r>
    </w:p>
  </w:footnote>
  <w:footnote w:id="119">
    <w:p w:rsidR="001C0B41" w:rsidRDefault="001C0B41" w:rsidP="00525DDF">
      <w:pPr>
        <w:pStyle w:val="FootnoteText"/>
      </w:pPr>
      <w:r>
        <w:rPr>
          <w:rStyle w:val="FootnoteReference"/>
        </w:rPr>
        <w:footnoteRef/>
      </w:r>
      <w:r>
        <w:t xml:space="preserve"> </w:t>
      </w:r>
      <w:r>
        <w:tab/>
        <w:t>SA Power Networks, response to AER SAPN037, p. 1.</w:t>
      </w:r>
    </w:p>
  </w:footnote>
  <w:footnote w:id="120">
    <w:p w:rsidR="001C0B41" w:rsidRDefault="001C0B41" w:rsidP="00525DDF">
      <w:pPr>
        <w:pStyle w:val="FootnoteText"/>
      </w:pPr>
      <w:r>
        <w:rPr>
          <w:rStyle w:val="FootnoteReference"/>
        </w:rPr>
        <w:footnoteRef/>
      </w:r>
      <w:r>
        <w:t xml:space="preserve"> </w:t>
      </w:r>
      <w:r>
        <w:tab/>
        <w:t xml:space="preserve">EMCa, </w:t>
      </w:r>
      <w:r w:rsidRPr="00EA4C84">
        <w:rPr>
          <w:rStyle w:val="AERtextitalic"/>
        </w:rPr>
        <w:t>Peer review of AER analysis for Kangaroo Island – Network security second undersea cable</w:t>
      </w:r>
      <w:r>
        <w:t>, 9 April 2015, p. ii.</w:t>
      </w:r>
    </w:p>
  </w:footnote>
  <w:footnote w:id="121">
    <w:p w:rsidR="001C0B41" w:rsidRDefault="001C0B41" w:rsidP="00525DDF">
      <w:pPr>
        <w:pStyle w:val="FootnoteText"/>
      </w:pPr>
      <w:r>
        <w:rPr>
          <w:rStyle w:val="FootnoteReference"/>
        </w:rPr>
        <w:footnoteRef/>
      </w:r>
      <w:r>
        <w:t xml:space="preserve"> </w:t>
      </w:r>
      <w:r>
        <w:tab/>
        <w:t xml:space="preserve">SA Government </w:t>
      </w:r>
      <w:r w:rsidRPr="000E550C">
        <w:t xml:space="preserve">submission on SA Power Networks Regulatory Proposal 2015-20, </w:t>
      </w:r>
      <w:r>
        <w:t>p. 8.</w:t>
      </w:r>
    </w:p>
  </w:footnote>
  <w:footnote w:id="122">
    <w:p w:rsidR="001C0B41" w:rsidRDefault="001C0B41" w:rsidP="00525DDF">
      <w:pPr>
        <w:pStyle w:val="FootnoteText"/>
      </w:pPr>
      <w:r>
        <w:rPr>
          <w:rStyle w:val="FootnoteReference"/>
        </w:rPr>
        <w:footnoteRef/>
      </w:r>
      <w:r>
        <w:t xml:space="preserve"> </w:t>
      </w:r>
      <w:r>
        <w:tab/>
        <w:t>SA Power Networks response to AER SAPN037, e-mail, 12 March 2015.</w:t>
      </w:r>
    </w:p>
  </w:footnote>
  <w:footnote w:id="123">
    <w:p w:rsidR="001C0B41" w:rsidRDefault="001C0B41" w:rsidP="00525DDF">
      <w:pPr>
        <w:pStyle w:val="FootnoteText"/>
      </w:pPr>
      <w:r>
        <w:rPr>
          <w:rStyle w:val="FootnoteReference"/>
        </w:rPr>
        <w:footnoteRef/>
      </w:r>
      <w:r>
        <w:t xml:space="preserve"> </w:t>
      </w:r>
      <w:r>
        <w:tab/>
        <w:t xml:space="preserve">EMCa, </w:t>
      </w:r>
      <w:r w:rsidRPr="00EA4C84">
        <w:rPr>
          <w:rStyle w:val="AERtextitalic"/>
        </w:rPr>
        <w:t>Peer review of AER analysis for Kangaroo Island – Network security second undersea cable</w:t>
      </w:r>
      <w:r>
        <w:t>, 9 April 2015, pp. 16-17.</w:t>
      </w:r>
    </w:p>
  </w:footnote>
  <w:footnote w:id="124">
    <w:p w:rsidR="001C0B41" w:rsidRDefault="001C0B41" w:rsidP="00525DDF">
      <w:pPr>
        <w:pStyle w:val="FootnoteText"/>
      </w:pPr>
      <w:r>
        <w:rPr>
          <w:rStyle w:val="FootnoteReference"/>
        </w:rPr>
        <w:footnoteRef/>
      </w:r>
      <w:r>
        <w:t xml:space="preserve"> </w:t>
      </w:r>
      <w:r>
        <w:tab/>
        <w:t>SA Power Networks, response to AER SAPN037, p. 2.</w:t>
      </w:r>
    </w:p>
  </w:footnote>
  <w:footnote w:id="125">
    <w:p w:rsidR="001C0B41" w:rsidRDefault="001C0B41" w:rsidP="00525DDF">
      <w:pPr>
        <w:pStyle w:val="FootnoteText"/>
      </w:pPr>
      <w:r>
        <w:rPr>
          <w:rStyle w:val="FootnoteReference"/>
        </w:rPr>
        <w:footnoteRef/>
      </w:r>
      <w:r>
        <w:t xml:space="preserve"> </w:t>
      </w:r>
      <w:r>
        <w:tab/>
        <w:t xml:space="preserve">See for example, </w:t>
      </w:r>
      <w:hyperlink r:id="rId1" w:history="1">
        <w:r w:rsidRPr="00700D67">
          <w:rPr>
            <w:rStyle w:val="Hyperlink"/>
            <w:sz w:val="16"/>
          </w:rPr>
          <w:t>http://www.rentocean.com/</w:t>
        </w:r>
      </w:hyperlink>
      <w:r>
        <w:t xml:space="preserve"> </w:t>
      </w:r>
    </w:p>
  </w:footnote>
  <w:footnote w:id="126">
    <w:p w:rsidR="001C0B41" w:rsidRDefault="001C0B41" w:rsidP="00525DDF">
      <w:pPr>
        <w:pStyle w:val="FootnoteText"/>
      </w:pPr>
      <w:r>
        <w:rPr>
          <w:rStyle w:val="FootnoteReference"/>
        </w:rPr>
        <w:footnoteRef/>
      </w:r>
      <w:r>
        <w:t xml:space="preserve"> </w:t>
      </w:r>
      <w:r>
        <w:tab/>
        <w:t>SA Power Networks, response to ER SAPN037, p. 4.</w:t>
      </w:r>
    </w:p>
  </w:footnote>
  <w:footnote w:id="127">
    <w:p w:rsidR="001C0B41" w:rsidRDefault="001C0B41" w:rsidP="00525DDF">
      <w:pPr>
        <w:pStyle w:val="FootnoteText"/>
      </w:pPr>
      <w:r>
        <w:rPr>
          <w:rStyle w:val="FootnoteReference"/>
        </w:rPr>
        <w:footnoteRef/>
      </w:r>
      <w:r>
        <w:t xml:space="preserve"> </w:t>
      </w:r>
      <w:r>
        <w:tab/>
        <w:t xml:space="preserve">SA Power Networks, </w:t>
      </w:r>
      <w:r w:rsidRPr="004A0705">
        <w:t>AMP 2.1.03 Kangaroo Island – Network Security</w:t>
      </w:r>
      <w:r>
        <w:t>, p. 17.</w:t>
      </w:r>
    </w:p>
  </w:footnote>
  <w:footnote w:id="128">
    <w:p w:rsidR="001C0B41" w:rsidRDefault="001C0B41" w:rsidP="00525DDF">
      <w:pPr>
        <w:pStyle w:val="FootnoteText"/>
      </w:pPr>
      <w:r>
        <w:rPr>
          <w:rStyle w:val="FootnoteReference"/>
        </w:rPr>
        <w:footnoteRef/>
      </w:r>
      <w:r>
        <w:t xml:space="preserve"> </w:t>
      </w:r>
      <w:r>
        <w:tab/>
        <w:t>Business SA</w:t>
      </w:r>
      <w:r w:rsidRPr="00AD78F2">
        <w:t xml:space="preserve"> </w:t>
      </w:r>
      <w:r w:rsidRPr="000E550C">
        <w:t>submission on SA Power Networks Regulatory Proposal 2015-20,</w:t>
      </w:r>
      <w:r>
        <w:t xml:space="preserve"> p. 23.</w:t>
      </w:r>
    </w:p>
  </w:footnote>
  <w:footnote w:id="129">
    <w:p w:rsidR="001C0B41" w:rsidRDefault="001C0B41" w:rsidP="00525DDF">
      <w:pPr>
        <w:pStyle w:val="FootnoteText"/>
      </w:pPr>
      <w:r>
        <w:rPr>
          <w:rStyle w:val="FootnoteReference"/>
        </w:rPr>
        <w:footnoteRef/>
      </w:r>
      <w:r>
        <w:t xml:space="preserve"> </w:t>
      </w:r>
      <w:r>
        <w:tab/>
        <w:t>TEC</w:t>
      </w:r>
      <w:r w:rsidRPr="00AD78F2">
        <w:t xml:space="preserve"> </w:t>
      </w:r>
      <w:r w:rsidRPr="000E550C">
        <w:t>submission on SA Power Networks Regulatory Proposal 2015-20,</w:t>
      </w:r>
      <w:r>
        <w:t xml:space="preserve"> p. 9.</w:t>
      </w:r>
    </w:p>
  </w:footnote>
  <w:footnote w:id="130">
    <w:p w:rsidR="001C0B41" w:rsidRDefault="001C0B41" w:rsidP="00525DDF">
      <w:pPr>
        <w:pStyle w:val="FootnoteText"/>
      </w:pPr>
      <w:r>
        <w:rPr>
          <w:rStyle w:val="FootnoteReference"/>
        </w:rPr>
        <w:footnoteRef/>
      </w:r>
      <w:r>
        <w:t xml:space="preserve"> </w:t>
      </w:r>
      <w:r>
        <w:tab/>
        <w:t>Business SA</w:t>
      </w:r>
      <w:r w:rsidRPr="00AD78F2">
        <w:t xml:space="preserve"> </w:t>
      </w:r>
      <w:r w:rsidRPr="000E550C">
        <w:t>submission on SA Power Networks Regulatory Proposal 2015-20,</w:t>
      </w:r>
      <w:r>
        <w:t xml:space="preserve"> p. 24.</w:t>
      </w:r>
    </w:p>
  </w:footnote>
  <w:footnote w:id="131">
    <w:p w:rsidR="001C0B41" w:rsidRDefault="001C0B41" w:rsidP="00525DDF">
      <w:pPr>
        <w:pStyle w:val="FootnoteText"/>
      </w:pPr>
      <w:r>
        <w:rPr>
          <w:rStyle w:val="FootnoteReference"/>
        </w:rPr>
        <w:footnoteRef/>
      </w:r>
      <w:r>
        <w:t xml:space="preserve"> </w:t>
      </w:r>
      <w:r>
        <w:tab/>
        <w:t xml:space="preserve">Business SA </w:t>
      </w:r>
      <w:r w:rsidRPr="000E550C">
        <w:t>submission on SA Power Networks Regulatory Proposal 2015-20,</w:t>
      </w:r>
      <w:r>
        <w:t xml:space="preserve"> p. 3.</w:t>
      </w:r>
    </w:p>
  </w:footnote>
  <w:footnote w:id="132">
    <w:p w:rsidR="001C0B41" w:rsidRDefault="001C0B41" w:rsidP="00525DDF">
      <w:pPr>
        <w:pStyle w:val="FootnoteText"/>
      </w:pPr>
      <w:r>
        <w:rPr>
          <w:rStyle w:val="FootnoteReference"/>
        </w:rPr>
        <w:footnoteRef/>
      </w:r>
      <w:r>
        <w:t xml:space="preserve"> </w:t>
      </w:r>
      <w:r>
        <w:tab/>
        <w:t xml:space="preserve">EMCa, </w:t>
      </w:r>
      <w:r w:rsidRPr="00EA4C84">
        <w:rPr>
          <w:rStyle w:val="AERtextitalic"/>
        </w:rPr>
        <w:t>Peer review of AER analysis for Kangaroo Island – Network security second undersea cable</w:t>
      </w:r>
      <w:r>
        <w:t>, 9 April 2015, p. 17.</w:t>
      </w:r>
    </w:p>
  </w:footnote>
  <w:footnote w:id="133">
    <w:p w:rsidR="001C0B41" w:rsidRDefault="001C0B41" w:rsidP="00525DDF">
      <w:pPr>
        <w:pStyle w:val="FootnoteText"/>
      </w:pPr>
      <w:r>
        <w:rPr>
          <w:rStyle w:val="FootnoteReference"/>
        </w:rPr>
        <w:footnoteRef/>
      </w:r>
      <w:r>
        <w:t xml:space="preserve"> </w:t>
      </w:r>
      <w:r>
        <w:tab/>
      </w:r>
      <w:r w:rsidRPr="00106C78">
        <w:t>TEC submission on SA Power Networks Regulatory Proposal 2015-20, p</w:t>
      </w:r>
      <w:r>
        <w:t>. 9.</w:t>
      </w:r>
    </w:p>
  </w:footnote>
  <w:footnote w:id="134">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Attachment 13.1, p. 3.</w:t>
      </w:r>
    </w:p>
  </w:footnote>
  <w:footnote w:id="135">
    <w:p w:rsidR="001C0B41" w:rsidRDefault="001C0B41" w:rsidP="00A745DE">
      <w:pPr>
        <w:pStyle w:val="FootnoteText"/>
      </w:pPr>
      <w:r>
        <w:rPr>
          <w:rStyle w:val="FootnoteReference"/>
        </w:rPr>
        <w:footnoteRef/>
      </w:r>
      <w:r>
        <w:t xml:space="preserve"> </w:t>
      </w:r>
      <w:r>
        <w:tab/>
        <w:t xml:space="preserve">Note that the costs of these individual programs are inclusive of overheads. SA Power Networks did not submit the direct costs of these programs. However, given that our preliminary decision is not to include entire $24.7 million </w:t>
      </w:r>
      <w:r w:rsidRPr="00EB78CC">
        <w:rPr>
          <w:rStyle w:val="AERbody"/>
          <w:sz w:val="16"/>
        </w:rPr>
        <w:t>($2014–15)</w:t>
      </w:r>
      <w:r>
        <w:t xml:space="preserve"> (excluding overheads) in our alternative capex estimate, the inclusion of overheads in our assessment of each individual program does not affect the overall outcome.</w:t>
      </w:r>
    </w:p>
  </w:footnote>
  <w:footnote w:id="136">
    <w:p w:rsidR="001C0B41" w:rsidRDefault="001C0B41" w:rsidP="00525DDF">
      <w:pPr>
        <w:pStyle w:val="FootnoteText"/>
      </w:pPr>
      <w:r>
        <w:rPr>
          <w:rStyle w:val="FootnoteReference"/>
        </w:rPr>
        <w:footnoteRef/>
      </w:r>
      <w:r>
        <w:t xml:space="preserve"> </w:t>
      </w:r>
      <w:r>
        <w:tab/>
        <w:t>SA Power Networks, response to AER SAPN020, p. 2.</w:t>
      </w:r>
    </w:p>
  </w:footnote>
  <w:footnote w:id="137">
    <w:p w:rsidR="001C0B41" w:rsidRDefault="001C0B41" w:rsidP="00525DDF">
      <w:pPr>
        <w:pStyle w:val="FootnoteText"/>
      </w:pPr>
      <w:r>
        <w:rPr>
          <w:rStyle w:val="FootnoteReference"/>
        </w:rPr>
        <w:footnoteRef/>
      </w:r>
      <w:r>
        <w:t xml:space="preserve"> </w:t>
      </w:r>
      <w:r>
        <w:tab/>
        <w:t>SA Power Networks, response to AER SAPN020, pp. 2–3.</w:t>
      </w:r>
    </w:p>
  </w:footnote>
  <w:footnote w:id="138">
    <w:p w:rsidR="001C0B41" w:rsidRDefault="001C0B41" w:rsidP="00525DDF">
      <w:pPr>
        <w:pStyle w:val="FootnoteText"/>
      </w:pPr>
      <w:r>
        <w:rPr>
          <w:rStyle w:val="FootnoteReference"/>
        </w:rPr>
        <w:footnoteRef/>
      </w:r>
      <w:r>
        <w:t xml:space="preserve"> </w:t>
      </w:r>
      <w:r>
        <w:tab/>
        <w:t xml:space="preserve">SA Power Networks, </w:t>
      </w:r>
      <w:r w:rsidRPr="00EA4C84">
        <w:rPr>
          <w:rStyle w:val="AERtextitalic"/>
        </w:rPr>
        <w:t>Asset Management Plan 2.1.0</w:t>
      </w:r>
      <w:r>
        <w:rPr>
          <w:rStyle w:val="AERtextitalic"/>
        </w:rPr>
        <w:t>2</w:t>
      </w:r>
      <w:r w:rsidRPr="00EA4C84">
        <w:rPr>
          <w:rStyle w:val="AERtextitalic"/>
        </w:rPr>
        <w:t xml:space="preserve"> Network Security and Control 2014 to 20</w:t>
      </w:r>
      <w:r>
        <w:rPr>
          <w:rStyle w:val="AERtextitalic"/>
        </w:rPr>
        <w:t>2</w:t>
      </w:r>
      <w:r w:rsidRPr="00EA4C84">
        <w:rPr>
          <w:rStyle w:val="AERtextitalic"/>
        </w:rPr>
        <w:t>5</w:t>
      </w:r>
      <w:r>
        <w:t>, October 2014, 18.</w:t>
      </w:r>
    </w:p>
  </w:footnote>
  <w:footnote w:id="139">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20.69b (DNV-GL, </w:t>
      </w:r>
      <w:r w:rsidRPr="00667FAD">
        <w:t>ADMS Roadmap and Project Investigation – Appendix E</w:t>
      </w:r>
      <w:r>
        <w:t>, 10 July 2014).</w:t>
      </w:r>
    </w:p>
  </w:footnote>
  <w:footnote w:id="140">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supporting document 20.69b, p. 15.</w:t>
      </w:r>
    </w:p>
  </w:footnote>
  <w:footnote w:id="141">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supporting document 20.69b, pp. 16-17.</w:t>
      </w:r>
    </w:p>
  </w:footnote>
  <w:footnote w:id="142">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supporting document 20.69b, pp. 17-18.</w:t>
      </w:r>
    </w:p>
  </w:footnote>
  <w:footnote w:id="143">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supporting document 20.69b, p. 24.</w:t>
      </w:r>
    </w:p>
  </w:footnote>
  <w:footnote w:id="144">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supporting document 20.69b, p. 24.</w:t>
      </w:r>
    </w:p>
  </w:footnote>
  <w:footnote w:id="14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218. </w:t>
      </w:r>
    </w:p>
  </w:footnote>
  <w:footnote w:id="146">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201. </w:t>
      </w:r>
    </w:p>
  </w:footnote>
  <w:footnote w:id="147">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218. </w:t>
      </w:r>
    </w:p>
  </w:footnote>
  <w:footnote w:id="148">
    <w:p w:rsidR="001C0B41" w:rsidRDefault="001C0B41" w:rsidP="00C76FB7">
      <w:pPr>
        <w:pStyle w:val="FootnoteText"/>
      </w:pPr>
      <w:r>
        <w:rPr>
          <w:rStyle w:val="FootnoteReference"/>
        </w:rPr>
        <w:footnoteRef/>
      </w:r>
      <w:r>
        <w:t xml:space="preserve"> </w:t>
      </w:r>
      <w:r>
        <w:tab/>
        <w:t>NER, Clause 6.5.7(a).</w:t>
      </w:r>
    </w:p>
  </w:footnote>
  <w:footnote w:id="149">
    <w:p w:rsidR="001C0B41" w:rsidRDefault="001C0B41" w:rsidP="00C76FB7">
      <w:pPr>
        <w:pStyle w:val="FootnoteText"/>
      </w:pPr>
      <w:r>
        <w:rPr>
          <w:rStyle w:val="FootnoteReference"/>
        </w:rPr>
        <w:footnoteRef/>
      </w:r>
      <w:r>
        <w:t xml:space="preserve"> </w:t>
      </w:r>
      <w:r>
        <w:tab/>
        <w:t xml:space="preserve">SA Power Networks, </w:t>
      </w:r>
      <w:r w:rsidRPr="00200556">
        <w:rPr>
          <w:rStyle w:val="AERtextitalic"/>
        </w:rPr>
        <w:t>response to AER SAPN020</w:t>
      </w:r>
      <w:r>
        <w:t>, 9 February 2015, p. 3.</w:t>
      </w:r>
    </w:p>
  </w:footnote>
  <w:footnote w:id="150">
    <w:p w:rsidR="001C0B41" w:rsidRDefault="001C0B41" w:rsidP="00525DDF">
      <w:pPr>
        <w:pStyle w:val="FootnoteText"/>
      </w:pPr>
      <w:r>
        <w:rPr>
          <w:rStyle w:val="FootnoteReference"/>
        </w:rPr>
        <w:footnoteRef/>
      </w:r>
      <w:r>
        <w:t xml:space="preserve"> </w:t>
      </w:r>
      <w:r>
        <w:tab/>
      </w:r>
      <w:r w:rsidRPr="00AA29B7">
        <w:t>The Essential Services Commission of South Australia</w:t>
      </w:r>
      <w:r w:rsidRPr="003F5D85">
        <w:t xml:space="preserve"> </w:t>
      </w:r>
      <w:r>
        <w:t>(</w:t>
      </w:r>
      <w:r w:rsidRPr="003F5D85">
        <w:t>ESCOSA</w:t>
      </w:r>
      <w:r>
        <w:t>)</w:t>
      </w:r>
      <w:r w:rsidRPr="003F5D85">
        <w:t xml:space="preserve">, </w:t>
      </w:r>
      <w:r w:rsidRPr="00C34754">
        <w:rPr>
          <w:rStyle w:val="AERtextitalic"/>
        </w:rPr>
        <w:t>SA Power Networks Jurisdictional Service Standards for the 2015-20 Regulatory Period Final Targets</w:t>
      </w:r>
      <w:r w:rsidRPr="003F5D85">
        <w:t>, October 2014, p. 2</w:t>
      </w:r>
      <w:r>
        <w:t xml:space="preserve">. </w:t>
      </w:r>
    </w:p>
  </w:footnote>
  <w:footnote w:id="151">
    <w:p w:rsidR="001C0B41" w:rsidRDefault="001C0B41" w:rsidP="00525DDF">
      <w:pPr>
        <w:pStyle w:val="FootnoteText"/>
      </w:pPr>
      <w:r>
        <w:rPr>
          <w:rStyle w:val="FootnoteReference"/>
        </w:rPr>
        <w:footnoteRef/>
      </w:r>
      <w:r>
        <w:t xml:space="preserve"> </w:t>
      </w:r>
      <w:r>
        <w:tab/>
        <w:t xml:space="preserve">ESCOSA, </w:t>
      </w:r>
      <w:r w:rsidRPr="00C34754">
        <w:rPr>
          <w:rStyle w:val="AERtextitalic"/>
        </w:rPr>
        <w:t>Fact Sheet: SA Power Networks Jurisdictional Service Standards for the 2015-20 Regulatory Period Final Targets</w:t>
      </w:r>
      <w:r>
        <w:t>, October 2014, p. 2.</w:t>
      </w:r>
    </w:p>
  </w:footnote>
  <w:footnote w:id="152">
    <w:p w:rsidR="001C0B41" w:rsidRDefault="001C0B41" w:rsidP="00525DDF">
      <w:pPr>
        <w:pStyle w:val="FootnoteText"/>
      </w:pPr>
      <w:r>
        <w:rPr>
          <w:rStyle w:val="FootnoteReference"/>
        </w:rPr>
        <w:footnoteRef/>
      </w:r>
      <w:r>
        <w:t xml:space="preserve"> </w:t>
      </w:r>
      <w:r>
        <w:tab/>
        <w:t>ESCoSA</w:t>
      </w:r>
      <w:r w:rsidRPr="00AA29B7">
        <w:t>,</w:t>
      </w:r>
      <w:r>
        <w:t xml:space="preserve"> </w:t>
      </w:r>
      <w:r w:rsidRPr="00C34754">
        <w:rPr>
          <w:rStyle w:val="AERtextitalic"/>
        </w:rPr>
        <w:t>Fact Sheet: SA Power Networks Jurisdictional Service Standards for the 2015–20 Regulatory Period, Implementation of Service Standard Targets</w:t>
      </w:r>
      <w:r w:rsidRPr="00AA29B7">
        <w:t>, October 2014, p.</w:t>
      </w:r>
      <w:r>
        <w:t xml:space="preserve"> </w:t>
      </w:r>
      <w:r w:rsidRPr="00AA29B7">
        <w:t>3.</w:t>
      </w:r>
    </w:p>
  </w:footnote>
  <w:footnote w:id="153">
    <w:p w:rsidR="001C0B41" w:rsidRDefault="001C0B41" w:rsidP="00525DDF">
      <w:pPr>
        <w:pStyle w:val="FootnoteText"/>
      </w:pPr>
      <w:r>
        <w:rPr>
          <w:rStyle w:val="FootnoteReference"/>
        </w:rPr>
        <w:footnoteRef/>
      </w:r>
      <w:r>
        <w:t xml:space="preserve"> </w:t>
      </w:r>
      <w:r>
        <w:tab/>
        <w:t>ESCoSA</w:t>
      </w:r>
      <w:r w:rsidRPr="00AA29B7">
        <w:t>,</w:t>
      </w:r>
      <w:r>
        <w:t xml:space="preserve"> </w:t>
      </w:r>
      <w:r w:rsidRPr="00C34754">
        <w:rPr>
          <w:rStyle w:val="AERtextitalic"/>
        </w:rPr>
        <w:t>Fact Sheet: SA Power Networks Jurisdictional Service Standards for the 2015–20 Regulatory Period, Implementation of Service Standard Targets</w:t>
      </w:r>
      <w:r w:rsidRPr="00AA29B7">
        <w:t>, October 2014, p.</w:t>
      </w:r>
      <w:r>
        <w:t xml:space="preserve"> </w:t>
      </w:r>
      <w:r w:rsidRPr="00AA29B7">
        <w:t>3.</w:t>
      </w:r>
    </w:p>
  </w:footnote>
  <w:footnote w:id="154">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 6.</w:t>
      </w:r>
    </w:p>
  </w:footnote>
  <w:footnote w:id="15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57.</w:t>
      </w:r>
    </w:p>
  </w:footnote>
  <w:footnote w:id="156">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219.</w:t>
      </w:r>
    </w:p>
  </w:footnote>
  <w:footnote w:id="157">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219; SA Power Networks, </w:t>
      </w:r>
      <w:r w:rsidRPr="00AC1704">
        <w:rPr>
          <w:rStyle w:val="AERtextitalic"/>
        </w:rPr>
        <w:t>response to AER SAPN20</w:t>
      </w:r>
      <w:r>
        <w:rPr>
          <w:rStyle w:val="AERtextitalic"/>
        </w:rPr>
        <w:t xml:space="preserve">, </w:t>
      </w:r>
      <w:r w:rsidRPr="00C50776">
        <w:rPr>
          <w:rStyle w:val="AERtextitalic"/>
          <w:i w:val="0"/>
        </w:rPr>
        <w:t>9</w:t>
      </w:r>
      <w:r>
        <w:rPr>
          <w:rStyle w:val="AERtextitalic"/>
        </w:rPr>
        <w:t xml:space="preserve"> </w:t>
      </w:r>
      <w:r>
        <w:t xml:space="preserve">February 2015,. </w:t>
      </w:r>
    </w:p>
  </w:footnote>
  <w:footnote w:id="158">
    <w:p w:rsidR="001C0B41" w:rsidRDefault="001C0B41" w:rsidP="00525DDF">
      <w:pPr>
        <w:pStyle w:val="FootnoteText"/>
      </w:pPr>
      <w:r>
        <w:rPr>
          <w:rStyle w:val="FootnoteReference"/>
        </w:rPr>
        <w:footnoteRef/>
      </w:r>
      <w:r>
        <w:t xml:space="preserve"> </w:t>
      </w:r>
      <w:r>
        <w:tab/>
        <w:t xml:space="preserve">Australian PV Institute, </w:t>
      </w:r>
      <w:r w:rsidRPr="00AC1704">
        <w:rPr>
          <w:rStyle w:val="AERtextitalic"/>
        </w:rPr>
        <w:t>Submission to the Australian Energy Regulator on SA Power Networks Regulatory Proposal 2015–20</w:t>
      </w:r>
      <w:r>
        <w:t xml:space="preserve">, January 2015, p. 6; Origin Energy, </w:t>
      </w:r>
      <w:r w:rsidRPr="00AC1704">
        <w:rPr>
          <w:rStyle w:val="AERtextitalic"/>
        </w:rPr>
        <w:t>submission to the Australian Energy Regulator on SA</w:t>
      </w:r>
      <w:r>
        <w:t xml:space="preserve"> </w:t>
      </w:r>
      <w:r w:rsidRPr="00AC1704">
        <w:rPr>
          <w:rStyle w:val="AERtextitalic"/>
        </w:rPr>
        <w:t>Power Networks Regulatory Proposal 2015–20</w:t>
      </w:r>
      <w:r>
        <w:t xml:space="preserve">, January 2015, p. 10; South Australian Wine Industry Association, </w:t>
      </w:r>
      <w:r w:rsidRPr="00AC1704">
        <w:rPr>
          <w:rStyle w:val="AERtextitalic"/>
        </w:rPr>
        <w:t>submission to the Australian Energy Regulator on SA Power Networks Regulatory Proposal 2015–20</w:t>
      </w:r>
      <w:r>
        <w:t xml:space="preserve">, January 2015, p. 4. </w:t>
      </w:r>
      <w:r w:rsidRPr="001D0BEF">
        <w:t xml:space="preserve">Central Irrigation Trust, </w:t>
      </w:r>
      <w:r w:rsidRPr="00AC1704">
        <w:rPr>
          <w:rStyle w:val="AERtextitalic"/>
        </w:rPr>
        <w:t>submission to the Australian Energy Regulator on SA Power Networks Regulatory Proposal 2015–20</w:t>
      </w:r>
      <w:r w:rsidRPr="001D0BEF">
        <w:t>, January 2015</w:t>
      </w:r>
      <w:r>
        <w:t xml:space="preserve">, p. 2; </w:t>
      </w:r>
      <w:r w:rsidRPr="001D0BEF">
        <w:t xml:space="preserve">Energy Users Association of Australia, </w:t>
      </w:r>
      <w:r w:rsidRPr="00AC1704">
        <w:rPr>
          <w:rStyle w:val="AERtextitalic"/>
        </w:rPr>
        <w:t>submission to the Australian Energy Regulator on SA Power Networks Regulatory Proposal 2015–20</w:t>
      </w:r>
      <w:r w:rsidRPr="001D0BEF">
        <w:t>, January 2015</w:t>
      </w:r>
      <w:r>
        <w:t>, p. 9.</w:t>
      </w:r>
    </w:p>
  </w:footnote>
  <w:footnote w:id="159">
    <w:p w:rsidR="001C0B41" w:rsidRDefault="001C0B41" w:rsidP="00525DDF">
      <w:pPr>
        <w:pStyle w:val="FootnoteText"/>
      </w:pPr>
      <w:r>
        <w:rPr>
          <w:rStyle w:val="FootnoteReference"/>
        </w:rPr>
        <w:footnoteRef/>
      </w:r>
      <w:r>
        <w:t xml:space="preserve"> </w:t>
      </w:r>
      <w:r>
        <w:tab/>
        <w:t xml:space="preserve">Government of South Australia, </w:t>
      </w:r>
      <w:r w:rsidRPr="00AC1704">
        <w:rPr>
          <w:rStyle w:val="AERtextitalic"/>
        </w:rPr>
        <w:t>submission to the Australian Energy Regulator on SA Power Networks Regulatory Proposal 2015–20</w:t>
      </w:r>
      <w:r>
        <w:t>, January 2015, pp. 6–7.</w:t>
      </w:r>
    </w:p>
  </w:footnote>
  <w:footnote w:id="160">
    <w:p w:rsidR="001C0B41" w:rsidRDefault="001C0B41" w:rsidP="00525DDF">
      <w:pPr>
        <w:pStyle w:val="FootnoteText"/>
      </w:pPr>
      <w:r>
        <w:rPr>
          <w:rStyle w:val="FootnoteReference"/>
        </w:rPr>
        <w:footnoteRef/>
      </w:r>
      <w:r>
        <w:t xml:space="preserve"> </w:t>
      </w:r>
      <w:r>
        <w:tab/>
        <w:t xml:space="preserve">AGL, </w:t>
      </w:r>
      <w:r w:rsidRPr="00AC1704">
        <w:rPr>
          <w:rStyle w:val="AERtextitalic"/>
        </w:rPr>
        <w:t>Submission to the Australian Energy Regulator on SA Power Networks Regulatory Proposal 2015–20</w:t>
      </w:r>
      <w:r>
        <w:t>, January 2015, p. 11.</w:t>
      </w:r>
    </w:p>
  </w:footnote>
  <w:footnote w:id="161">
    <w:p w:rsidR="001C0B41" w:rsidRDefault="001C0B41" w:rsidP="00525DDF">
      <w:pPr>
        <w:pStyle w:val="FootnoteText"/>
      </w:pPr>
      <w:r>
        <w:rPr>
          <w:rStyle w:val="FootnoteReference"/>
        </w:rPr>
        <w:footnoteRef/>
      </w:r>
      <w:r>
        <w:t xml:space="preserve"> </w:t>
      </w:r>
      <w:r>
        <w:tab/>
        <w:t xml:space="preserve">Energy Consumers Coalition of South Australia, </w:t>
      </w:r>
      <w:r w:rsidRPr="00AC1704">
        <w:rPr>
          <w:rStyle w:val="AERtextitalic"/>
        </w:rPr>
        <w:t>submission to the Australian Energy Regulator on SA Power Networks Regulatory Proposal 2015–20</w:t>
      </w:r>
      <w:r>
        <w:t xml:space="preserve">, December 2014, pp. 31–32. Energy Users Association of Australia, </w:t>
      </w:r>
      <w:r w:rsidRPr="00AC1704">
        <w:rPr>
          <w:rStyle w:val="AERtextitalic"/>
        </w:rPr>
        <w:t>submission to the Australian Energy Regulator on SA Power Networks Regulatory Proposal 2015–20</w:t>
      </w:r>
      <w:r>
        <w:t xml:space="preserve">, January 2015, pp. 9, 16; Central Irrigation Trust, </w:t>
      </w:r>
      <w:r w:rsidRPr="00AC1704">
        <w:rPr>
          <w:rStyle w:val="AERtextitalic"/>
        </w:rPr>
        <w:t>submission to the Australian Energy Regulator on SA Power Networks Regulatory Proposal 2015–20</w:t>
      </w:r>
      <w:r>
        <w:t xml:space="preserve">, January 2015, pp. 2, 5, 6; The Renmark Irrigation Trust, </w:t>
      </w:r>
      <w:r w:rsidRPr="00AC1704">
        <w:rPr>
          <w:rStyle w:val="AERtextitalic"/>
        </w:rPr>
        <w:t>submission to the Australian Energy Regulator on SA Power Networks Regulatory Proposal 2015–20</w:t>
      </w:r>
      <w:r>
        <w:t>, March 2015</w:t>
      </w:r>
    </w:p>
  </w:footnote>
  <w:footnote w:id="162">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SAPN39</w:t>
      </w:r>
      <w:r>
        <w:t>, 17 March 2015, p. 8.</w:t>
      </w:r>
    </w:p>
  </w:footnote>
  <w:footnote w:id="163">
    <w:p w:rsidR="001C0B41" w:rsidRDefault="001C0B41" w:rsidP="00525DDF">
      <w:pPr>
        <w:pStyle w:val="FootnoteText"/>
      </w:pPr>
      <w:r>
        <w:rPr>
          <w:rStyle w:val="FootnoteReference"/>
        </w:rPr>
        <w:footnoteRef/>
      </w:r>
      <w:r>
        <w:t xml:space="preserve"> </w:t>
      </w:r>
      <w:r>
        <w:tab/>
        <w:t xml:space="preserve">Energy Consumers Coalition of South Australia, </w:t>
      </w:r>
      <w:r w:rsidRPr="00AC1704">
        <w:rPr>
          <w:rStyle w:val="AERtextitalic"/>
        </w:rPr>
        <w:t>submission to the Australian Energy Regulator on SA Power Networks Regulatory Proposal 2015–20</w:t>
      </w:r>
      <w:r>
        <w:t>, December 2014, p. 42.</w:t>
      </w:r>
    </w:p>
  </w:footnote>
  <w:footnote w:id="164">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 3.</w:t>
      </w:r>
    </w:p>
  </w:footnote>
  <w:footnote w:id="165">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 3.</w:t>
      </w:r>
    </w:p>
  </w:footnote>
  <w:footnote w:id="166">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pp. 2-3.</w:t>
      </w:r>
    </w:p>
  </w:footnote>
  <w:footnote w:id="167">
    <w:p w:rsidR="001C0B41" w:rsidRDefault="001C0B41" w:rsidP="00525DDF">
      <w:pPr>
        <w:pStyle w:val="FootnoteText"/>
      </w:pPr>
      <w:r>
        <w:rPr>
          <w:rStyle w:val="FootnoteReference"/>
        </w:rPr>
        <w:footnoteRef/>
      </w:r>
      <w:r>
        <w:t xml:space="preserve"> </w:t>
      </w:r>
      <w:r>
        <w:tab/>
      </w:r>
      <w:r w:rsidRPr="00C84D8E">
        <w:t xml:space="preserve">SA Power Networks, </w:t>
      </w:r>
      <w:r w:rsidRPr="00AC1704">
        <w:rPr>
          <w:rStyle w:val="AERtextitalic"/>
        </w:rPr>
        <w:t>response to AER SAPN020</w:t>
      </w:r>
      <w:r w:rsidRPr="00C84D8E">
        <w:t>,</w:t>
      </w:r>
      <w:r>
        <w:t xml:space="preserve"> 9</w:t>
      </w:r>
      <w:r w:rsidRPr="00C84D8E">
        <w:t xml:space="preserve"> </w:t>
      </w:r>
      <w:r>
        <w:t>February 2015, pp. 2-3.</w:t>
      </w:r>
    </w:p>
  </w:footnote>
  <w:footnote w:id="168">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pp. 2-4.</w:t>
      </w:r>
    </w:p>
  </w:footnote>
  <w:footnote w:id="169">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 4.</w:t>
      </w:r>
    </w:p>
  </w:footnote>
  <w:footnote w:id="170">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9 February 2015,  p. 2.</w:t>
      </w:r>
    </w:p>
  </w:footnote>
  <w:footnote w:id="171">
    <w:p w:rsidR="001C0B41" w:rsidRDefault="001C0B41" w:rsidP="00525DDF">
      <w:pPr>
        <w:pStyle w:val="FootnoteText"/>
      </w:pPr>
      <w:r>
        <w:rPr>
          <w:rStyle w:val="FootnoteReference"/>
        </w:rPr>
        <w:footnoteRef/>
      </w:r>
      <w:r>
        <w:t xml:space="preserve"> </w:t>
      </w:r>
      <w:r>
        <w:tab/>
        <w:t xml:space="preserve">AER, </w:t>
      </w:r>
      <w:r w:rsidRPr="00045454">
        <w:rPr>
          <w:rStyle w:val="AERtextitalic"/>
        </w:rPr>
        <w:t>Final framework and approach for SA Power Networks Regulatory control period commencing 1 July 2015</w:t>
      </w:r>
      <w:r>
        <w:t>, April 2014, p. 14.</w:t>
      </w:r>
    </w:p>
  </w:footnote>
  <w:footnote w:id="172">
    <w:p w:rsidR="001C0B41" w:rsidRDefault="001C0B41" w:rsidP="00525DDF">
      <w:pPr>
        <w:pStyle w:val="FootnoteText"/>
      </w:pPr>
      <w:r>
        <w:rPr>
          <w:rStyle w:val="FootnoteReference"/>
        </w:rPr>
        <w:footnoteRef/>
      </w:r>
      <w:r>
        <w:t xml:space="preserve"> </w:t>
      </w:r>
      <w:r>
        <w:tab/>
        <w:t xml:space="preserve">Footnote 23, p.11-11, </w:t>
      </w:r>
      <w:r w:rsidRPr="0012077C">
        <w:rPr>
          <w:i/>
          <w:noProof/>
        </w:rPr>
        <w:t>Attachment 1</w:t>
      </w:r>
      <w:r w:rsidRPr="0012077C">
        <w:rPr>
          <w:i/>
        </w:rPr>
        <w:t>1</w:t>
      </w:r>
      <w:r w:rsidRPr="0012077C">
        <w:rPr>
          <w:i/>
          <w:noProof/>
        </w:rPr>
        <w:t xml:space="preserve"> </w:t>
      </w:r>
      <w:r w:rsidRPr="0012077C">
        <w:rPr>
          <w:rFonts w:cs="Gautami"/>
          <w:i/>
          <w:noProof/>
        </w:rPr>
        <w:t xml:space="preserve">– </w:t>
      </w:r>
      <w:r w:rsidRPr="0012077C">
        <w:rPr>
          <w:i/>
        </w:rPr>
        <w:t>STPIS</w:t>
      </w:r>
      <w:r w:rsidRPr="0012077C">
        <w:rPr>
          <w:rFonts w:cs="Gautami"/>
          <w:i/>
          <w:noProof/>
        </w:rPr>
        <w:t xml:space="preserve"> | </w:t>
      </w:r>
      <w:r w:rsidRPr="0012077C">
        <w:rPr>
          <w:i/>
        </w:rPr>
        <w:t>SA Power Networks'</w:t>
      </w:r>
      <w:r w:rsidRPr="0012077C">
        <w:rPr>
          <w:rFonts w:cs="Gautami"/>
          <w:i/>
          <w:noProof/>
        </w:rPr>
        <w:t xml:space="preserve"> determination 2015–20</w:t>
      </w:r>
      <w:r>
        <w:rPr>
          <w:rFonts w:cs="Gautami"/>
          <w:i/>
          <w:noProof/>
        </w:rPr>
        <w:t xml:space="preserve"> </w:t>
      </w:r>
      <w:r>
        <w:t xml:space="preserve"> : </w:t>
      </w:r>
      <w:r w:rsidRPr="002E2EF8">
        <w:t xml:space="preserve">Under the Box-Cox method, approximately 4 to 6 most severe storms/heatwaves days each year are excluded from STPIS performance measures. The change to log-normal transformation method would mean the number of </w:t>
      </w:r>
      <w:r>
        <w:t xml:space="preserve">major event days being excluded </w:t>
      </w:r>
      <w:r w:rsidRPr="002E2EF8">
        <w:t>would be reduced to 2 to 4 days each year.</w:t>
      </w:r>
    </w:p>
  </w:footnote>
  <w:footnote w:id="173">
    <w:p w:rsidR="001C0B41" w:rsidRDefault="001C0B41" w:rsidP="00525DDF">
      <w:pPr>
        <w:pStyle w:val="FootnoteText"/>
      </w:pPr>
      <w:r>
        <w:rPr>
          <w:rStyle w:val="FootnoteReference"/>
        </w:rPr>
        <w:footnoteRef/>
      </w:r>
      <w:r>
        <w:t xml:space="preserve"> </w:t>
      </w:r>
      <w:r>
        <w:tab/>
        <w:t xml:space="preserve">See Section 11.4.3, </w:t>
      </w:r>
      <w:r w:rsidRPr="0012077C">
        <w:rPr>
          <w:i/>
          <w:noProof/>
        </w:rPr>
        <w:t>Attachment 1</w:t>
      </w:r>
      <w:r w:rsidRPr="0012077C">
        <w:rPr>
          <w:i/>
        </w:rPr>
        <w:t>1</w:t>
      </w:r>
      <w:r w:rsidRPr="0012077C">
        <w:rPr>
          <w:i/>
          <w:noProof/>
        </w:rPr>
        <w:t xml:space="preserve"> </w:t>
      </w:r>
      <w:r w:rsidRPr="0012077C">
        <w:rPr>
          <w:rFonts w:cs="Gautami"/>
          <w:i/>
          <w:noProof/>
        </w:rPr>
        <w:t xml:space="preserve">– </w:t>
      </w:r>
      <w:r w:rsidRPr="0012077C">
        <w:rPr>
          <w:i/>
        </w:rPr>
        <w:t>STPIS</w:t>
      </w:r>
      <w:r w:rsidRPr="0012077C">
        <w:rPr>
          <w:rFonts w:cs="Gautami"/>
          <w:i/>
          <w:noProof/>
        </w:rPr>
        <w:t xml:space="preserve"> | </w:t>
      </w:r>
      <w:r w:rsidRPr="0012077C">
        <w:rPr>
          <w:i/>
        </w:rPr>
        <w:t>SA Power Networks'</w:t>
      </w:r>
      <w:r w:rsidRPr="0012077C">
        <w:rPr>
          <w:rFonts w:cs="Gautami"/>
          <w:i/>
          <w:noProof/>
        </w:rPr>
        <w:t xml:space="preserve"> determination 2015–20</w:t>
      </w:r>
      <w:r>
        <w:rPr>
          <w:rFonts w:cs="Gautami"/>
          <w:noProof/>
        </w:rPr>
        <w:t>.</w:t>
      </w:r>
      <w:r w:rsidRPr="0012077C">
        <w:t xml:space="preserve"> </w:t>
      </w:r>
      <w:r>
        <w:t>Footnote 2.</w:t>
      </w:r>
    </w:p>
  </w:footnote>
  <w:footnote w:id="174">
    <w:p w:rsidR="001C0B41" w:rsidRDefault="001C0B41" w:rsidP="00525DDF">
      <w:pPr>
        <w:pStyle w:val="FootnoteText"/>
      </w:pPr>
      <w:r>
        <w:rPr>
          <w:rStyle w:val="FootnoteReference"/>
        </w:rPr>
        <w:footnoteRef/>
      </w:r>
      <w:r>
        <w:t xml:space="preserve">    SA Power Networks, </w:t>
      </w:r>
      <w:r w:rsidRPr="00AC1704">
        <w:rPr>
          <w:rStyle w:val="AERtextitalic"/>
        </w:rPr>
        <w:t>response to AER SAPN039</w:t>
      </w:r>
      <w:r>
        <w:t>, 17 March 2015, pp. 2–5.</w:t>
      </w:r>
    </w:p>
  </w:footnote>
  <w:footnote w:id="17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219.</w:t>
      </w:r>
    </w:p>
  </w:footnote>
  <w:footnote w:id="176">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218.</w:t>
      </w:r>
    </w:p>
  </w:footnote>
  <w:footnote w:id="177">
    <w:p w:rsidR="001C0B41" w:rsidRPr="0082309C" w:rsidRDefault="001C0B41" w:rsidP="00525DDF">
      <w:pPr>
        <w:pStyle w:val="FootnoteText"/>
      </w:pPr>
      <w:r>
        <w:rPr>
          <w:rStyle w:val="FootnoteReference"/>
        </w:rPr>
        <w:footnoteRef/>
      </w:r>
      <w:r>
        <w:t xml:space="preserve"> </w:t>
      </w:r>
      <w:r>
        <w:tab/>
        <w:t>SA Power Networks</w:t>
      </w:r>
      <w:r w:rsidRPr="0082309C">
        <w:t xml:space="preserve">, </w:t>
      </w:r>
      <w:r w:rsidRPr="00CA5D9D">
        <w:rPr>
          <w:rStyle w:val="AERtextitalic"/>
        </w:rPr>
        <w:t>AMP 2.1.01 Reliability Performance Management Strategy 2015–20, October 2014</w:t>
      </w:r>
      <w:r w:rsidRPr="0082309C">
        <w:t>, p.</w:t>
      </w:r>
      <w:r>
        <w:t xml:space="preserve"> </w:t>
      </w:r>
      <w:r w:rsidRPr="0082309C">
        <w:t>24</w:t>
      </w:r>
      <w:r>
        <w:t>.</w:t>
      </w:r>
    </w:p>
  </w:footnote>
  <w:footnote w:id="178">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SAPN020</w:t>
      </w:r>
      <w:r>
        <w:t>, February 2015, pp. 3–7.</w:t>
      </w:r>
    </w:p>
  </w:footnote>
  <w:footnote w:id="179">
    <w:p w:rsidR="001C0B41" w:rsidRDefault="001C0B41" w:rsidP="00525DDF">
      <w:pPr>
        <w:pStyle w:val="FootnoteText"/>
      </w:pPr>
      <w:r>
        <w:rPr>
          <w:rStyle w:val="FootnoteReference"/>
        </w:rPr>
        <w:footnoteRef/>
      </w:r>
      <w:r>
        <w:t xml:space="preserve"> </w:t>
      </w:r>
      <w:r>
        <w:tab/>
      </w:r>
      <w:r w:rsidRPr="00C84D8E">
        <w:t xml:space="preserve">SA Power Networks, </w:t>
      </w:r>
      <w:r w:rsidRPr="00AC1704">
        <w:rPr>
          <w:rStyle w:val="AERtextitalic"/>
        </w:rPr>
        <w:t>Regulatory Proposal 2015-20</w:t>
      </w:r>
      <w:r>
        <w:t>, 31 October 2014, p. 219.</w:t>
      </w:r>
    </w:p>
  </w:footnote>
  <w:footnote w:id="180">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SAPN039</w:t>
      </w:r>
      <w:r>
        <w:t>, 17 March 2015, pp. 3–7.</w:t>
      </w:r>
    </w:p>
  </w:footnote>
  <w:footnote w:id="181">
    <w:p w:rsidR="001C0B41" w:rsidRDefault="001C0B41" w:rsidP="00525DDF">
      <w:pPr>
        <w:pStyle w:val="FootnoteText"/>
      </w:pPr>
      <w:r>
        <w:rPr>
          <w:rStyle w:val="FootnoteReference"/>
        </w:rPr>
        <w:footnoteRef/>
      </w:r>
      <w:r>
        <w:t xml:space="preserve"> </w:t>
      </w:r>
      <w:r>
        <w:tab/>
        <w:t xml:space="preserve">SA Power Networks, </w:t>
      </w:r>
      <w:r w:rsidRPr="00CA5D9D">
        <w:rPr>
          <w:rStyle w:val="AERtextitalic"/>
        </w:rPr>
        <w:t>AMP 2.1.01 Reliability Performance Management Strategy 2015 - 2020, October 2014</w:t>
      </w:r>
      <w:r>
        <w:t>, p. 26.</w:t>
      </w:r>
    </w:p>
  </w:footnote>
  <w:footnote w:id="182">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219.</w:t>
      </w:r>
    </w:p>
  </w:footnote>
  <w:footnote w:id="183">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SAPN039</w:t>
      </w:r>
      <w:r>
        <w:t xml:space="preserve">, 17 March 2015, p. 9. </w:t>
      </w:r>
    </w:p>
  </w:footnote>
  <w:footnote w:id="184">
    <w:p w:rsidR="001C0B41" w:rsidRDefault="001C0B41" w:rsidP="00525DDF">
      <w:pPr>
        <w:pStyle w:val="FootnoteText"/>
      </w:pPr>
      <w:r>
        <w:rPr>
          <w:rStyle w:val="FootnoteReference"/>
        </w:rPr>
        <w:footnoteRef/>
      </w:r>
      <w:r>
        <w:t xml:space="preserve"> </w:t>
      </w:r>
      <w:r>
        <w:tab/>
        <w:t xml:space="preserve">SA Council of Social Services, </w:t>
      </w:r>
      <w:r w:rsidRPr="00AC1704">
        <w:rPr>
          <w:rStyle w:val="AERtextitalic"/>
        </w:rPr>
        <w:t>submission to the Australian Energy Regulator on SA Power Networks Regulatory Proposal 2015–20</w:t>
      </w:r>
      <w:r>
        <w:t>, January 2015.</w:t>
      </w:r>
    </w:p>
  </w:footnote>
  <w:footnote w:id="185">
    <w:p w:rsidR="001C0B41" w:rsidRDefault="001C0B41" w:rsidP="00525DDF">
      <w:pPr>
        <w:pStyle w:val="FootnoteText"/>
      </w:pPr>
      <w:r>
        <w:rPr>
          <w:rStyle w:val="FootnoteReference"/>
        </w:rPr>
        <w:footnoteRef/>
      </w:r>
      <w:r>
        <w:t xml:space="preserve"> </w:t>
      </w:r>
      <w:r>
        <w:tab/>
        <w:t xml:space="preserve">SA Power Networks, </w:t>
      </w:r>
      <w:r w:rsidRPr="00AC1704">
        <w:rPr>
          <w:rStyle w:val="AERtextitalic"/>
        </w:rPr>
        <w:t>response to AER SAPN039</w:t>
      </w:r>
      <w:r>
        <w:t>, 17 March 2015, p. 10.</w:t>
      </w:r>
    </w:p>
  </w:footnote>
  <w:footnote w:id="186">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222.</w:t>
      </w:r>
    </w:p>
  </w:footnote>
  <w:footnote w:id="187">
    <w:p w:rsidR="001C0B41" w:rsidRDefault="001C0B41" w:rsidP="00525DDF">
      <w:pPr>
        <w:pStyle w:val="FootnoteText"/>
      </w:pPr>
      <w:r>
        <w:rPr>
          <w:rStyle w:val="FootnoteReference"/>
        </w:rPr>
        <w:footnoteRef/>
      </w:r>
      <w:r>
        <w:t xml:space="preserve"> </w:t>
      </w:r>
      <w:r>
        <w:tab/>
      </w:r>
      <w:r w:rsidRPr="00660C50">
        <w:t xml:space="preserve">Energy Consumers Coalition of South Australia, </w:t>
      </w:r>
      <w:r w:rsidRPr="00AC1704">
        <w:rPr>
          <w:rStyle w:val="AERtextitalic"/>
        </w:rPr>
        <w:t>submission to the Australian Energy Regulator on SA Power Networks Regulatory Proposal 2015–20</w:t>
      </w:r>
      <w:r w:rsidRPr="00660C50">
        <w:t>, December 201</w:t>
      </w:r>
      <w:r>
        <w:t xml:space="preserve">4, p. 34. </w:t>
      </w:r>
    </w:p>
  </w:footnote>
  <w:footnote w:id="188">
    <w:p w:rsidR="001C0B41" w:rsidRDefault="001C0B41" w:rsidP="00525DDF">
      <w:pPr>
        <w:pStyle w:val="FootnoteText"/>
      </w:pPr>
      <w:r>
        <w:rPr>
          <w:rStyle w:val="FootnoteReference"/>
        </w:rPr>
        <w:footnoteRef/>
      </w:r>
      <w:r>
        <w:t xml:space="preserve"> </w:t>
      </w:r>
      <w:r>
        <w:tab/>
        <w:t xml:space="preserve">The relevant obligations are the </w:t>
      </w:r>
      <w:r w:rsidRPr="009307F9">
        <w:t>Environment Protection Act 1993</w:t>
      </w:r>
      <w:r>
        <w:t xml:space="preserve">, Environment Protection (Water Quality) Policy 2003 and the </w:t>
      </w:r>
      <w:r w:rsidRPr="002E59FA">
        <w:t>National Environment Protection Measure (1999)</w:t>
      </w:r>
      <w:r>
        <w:t>. These obligations generally require SA Power Networks to ensure that oil or other substances</w:t>
      </w:r>
      <w:r w:rsidRPr="00277901">
        <w:t xml:space="preserve"> </w:t>
      </w:r>
      <w:r>
        <w:t xml:space="preserve">is not </w:t>
      </w:r>
      <w:r w:rsidRPr="00277901">
        <w:t xml:space="preserve">deposited </w:t>
      </w:r>
      <w:r>
        <w:t>in the surrounding environment, including waterways.</w:t>
      </w:r>
    </w:p>
  </w:footnote>
  <w:footnote w:id="189">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w:t>
      </w:r>
      <w:r w:rsidRPr="007F58C1">
        <w:t xml:space="preserve"> </w:t>
      </w:r>
      <w:r>
        <w:t>Supporting Document 20.103 Substation Oil Containment AMP 4.1.01, October 2014; and Supporting Document 20.103 Distribution Environmental AMP 4.1.03, October 2014.</w:t>
      </w:r>
    </w:p>
  </w:footnote>
  <w:footnote w:id="190">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Substation Noise Control AMP 4.1.05, October 2014, p. 6.  </w:t>
      </w:r>
    </w:p>
  </w:footnote>
  <w:footnote w:id="191">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Substation Noise Control AMP 4.1.05, October 2014, p. 8.  </w:t>
      </w:r>
    </w:p>
  </w:footnote>
  <w:footnote w:id="192">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Mannum Town Substation Replacements AMP 4.1.06, October 2014, p. 7. </w:t>
      </w:r>
    </w:p>
  </w:footnote>
  <w:footnote w:id="193">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Mannum Town Substation Replacements AMP 4.1.06, October 2014, p. 7. </w:t>
      </w:r>
    </w:p>
  </w:footnote>
  <w:footnote w:id="194">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222. </w:t>
      </w:r>
    </w:p>
  </w:footnote>
  <w:footnote w:id="195">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Mannum Town Substation Replacements AMP 4.1.06, October 2014, pp. 9–11. </w:t>
      </w:r>
    </w:p>
  </w:footnote>
  <w:footnote w:id="196">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Supporting Document 20.103 SA Power Networks Mannum Town Substation Replacements AMP 4.1.06. October 2014, pp. 9–10.  </w:t>
      </w:r>
    </w:p>
  </w:footnote>
  <w:footnote w:id="197">
    <w:p w:rsidR="001C0B41" w:rsidRDefault="001C0B41" w:rsidP="00525DDF">
      <w:pPr>
        <w:pStyle w:val="FootnoteText"/>
      </w:pPr>
      <w:r>
        <w:rPr>
          <w:rStyle w:val="FootnoteReference"/>
        </w:rPr>
        <w:footnoteRef/>
      </w:r>
      <w:r>
        <w:t xml:space="preserve"> </w:t>
      </w:r>
      <w:r>
        <w:tab/>
        <w:t xml:space="preserve">SA Power Networks, </w:t>
      </w:r>
      <w:r w:rsidRPr="007854B5">
        <w:rPr>
          <w:rStyle w:val="AERtextitalic"/>
        </w:rPr>
        <w:t>Regulatory Proposal 2015-20</w:t>
      </w:r>
      <w:r>
        <w:t xml:space="preserve">, 31 October 2014, p. 140; SA Power Networks, </w:t>
      </w:r>
      <w:r w:rsidRPr="001355B1">
        <w:rPr>
          <w:rStyle w:val="AERtextitalic"/>
        </w:rPr>
        <w:t>response to AER SAPN027</w:t>
      </w:r>
      <w:r>
        <w:t>, 18 February 2015.</w:t>
      </w:r>
    </w:p>
  </w:footnote>
  <w:footnote w:id="198">
    <w:p w:rsidR="001C0B41" w:rsidRDefault="001C0B41" w:rsidP="00525DDF">
      <w:pPr>
        <w:pStyle w:val="FootnoteText"/>
      </w:pPr>
      <w:r>
        <w:rPr>
          <w:rStyle w:val="FootnoteReference"/>
        </w:rPr>
        <w:footnoteRef/>
      </w:r>
      <w:r>
        <w:t xml:space="preserve"> </w:t>
      </w:r>
      <w:r>
        <w:tab/>
      </w:r>
      <w:r w:rsidRPr="00C40F62">
        <w:t xml:space="preserve">Government of South Australia, </w:t>
      </w:r>
      <w:r w:rsidRPr="001355B1">
        <w:rPr>
          <w:rStyle w:val="AERtextitalic"/>
        </w:rPr>
        <w:t>submission to the Australian Energy Regulator on SA Power Networks Regulatory Proposal 2015–20</w:t>
      </w:r>
      <w:r w:rsidRPr="00C40F62">
        <w:t>, January 2015</w:t>
      </w:r>
      <w:r>
        <w:t xml:space="preserve">, p. 4. </w:t>
      </w:r>
    </w:p>
  </w:footnote>
  <w:footnote w:id="199">
    <w:p w:rsidR="001C0B41" w:rsidRDefault="001C0B41" w:rsidP="00525DDF">
      <w:pPr>
        <w:pStyle w:val="FootnoteText"/>
      </w:pPr>
      <w:r>
        <w:rPr>
          <w:rStyle w:val="FootnoteReference"/>
        </w:rPr>
        <w:footnoteRef/>
      </w:r>
      <w:r>
        <w:t xml:space="preserve"> </w:t>
      </w:r>
      <w:r>
        <w:tab/>
        <w:t>NER, clause 6.5.7(a)(2)</w:t>
      </w:r>
    </w:p>
  </w:footnote>
  <w:footnote w:id="200">
    <w:p w:rsidR="001C0B41" w:rsidRDefault="001C0B41" w:rsidP="00525DDF">
      <w:pPr>
        <w:pStyle w:val="FootnoteText"/>
      </w:pPr>
      <w:r>
        <w:rPr>
          <w:rStyle w:val="FootnoteReference"/>
        </w:rPr>
        <w:footnoteRef/>
      </w:r>
      <w:r>
        <w:t xml:space="preserve"> </w:t>
      </w:r>
      <w:r>
        <w:tab/>
        <w:t>Australian PV Institute, APVI submission to the AER on the issues paper on SA Power network's regulatory proposal, December 2014, p. 4.</w:t>
      </w:r>
    </w:p>
  </w:footnote>
  <w:footnote w:id="201">
    <w:p w:rsidR="001C0B41" w:rsidRDefault="001C0B41" w:rsidP="00525DDF">
      <w:pPr>
        <w:pStyle w:val="FootnoteText"/>
      </w:pPr>
      <w:r>
        <w:rPr>
          <w:rStyle w:val="FootnoteReference"/>
        </w:rPr>
        <w:footnoteRef/>
      </w:r>
      <w:r>
        <w:t xml:space="preserve"> </w:t>
      </w:r>
      <w:r>
        <w:tab/>
        <w:t>South Australia Power Networks, SA Power Networks response to the AER's issues paper: SA Power Networks electricity distribution regulatory proposal 2015–16 to 2019–20, p. 4.</w:t>
      </w:r>
    </w:p>
  </w:footnote>
  <w:footnote w:id="202">
    <w:p w:rsidR="001C0B41" w:rsidRDefault="001C0B41" w:rsidP="00525DDF">
      <w:pPr>
        <w:pStyle w:val="FootnoteText"/>
      </w:pPr>
      <w:r>
        <w:rPr>
          <w:rStyle w:val="FootnoteReference"/>
        </w:rPr>
        <w:footnoteRef/>
      </w:r>
      <w:r>
        <w:t xml:space="preserve"> </w:t>
      </w:r>
      <w:r>
        <w:tab/>
        <w:t xml:space="preserve">Energy Consumers Coalition of South Australia, SA electricity distribution revenue reset, A response, December 2014, pp. 38–39. </w:t>
      </w:r>
    </w:p>
  </w:footnote>
  <w:footnote w:id="203">
    <w:p w:rsidR="001C0B41" w:rsidRDefault="001C0B41" w:rsidP="00537EAD">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204">
    <w:p w:rsidR="001C0B41" w:rsidRDefault="001C0B41" w:rsidP="00537EAD">
      <w:pPr>
        <w:pStyle w:val="FootnoteText"/>
      </w:pPr>
      <w:r>
        <w:rPr>
          <w:rStyle w:val="FootnoteReference"/>
        </w:rPr>
        <w:footnoteRef/>
      </w:r>
      <w:r>
        <w:t xml:space="preserve"> </w:t>
      </w:r>
      <w:r>
        <w:tab/>
        <w:t xml:space="preserve">We have presented an amount of $756 million in our preliminary decision capex model due to the allocation of a negative balancing item contained in SA Power Networks RIN response across the capex drivers, including repex. </w:t>
      </w:r>
    </w:p>
  </w:footnote>
  <w:footnote w:id="205">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t xml:space="preserve">, </w:t>
      </w:r>
      <w:r w:rsidRPr="000C0FAA">
        <w:rPr>
          <w:rStyle w:val="AERtextitalic"/>
        </w:rPr>
        <w:t>October 2014</w:t>
      </w:r>
      <w:r>
        <w:rPr>
          <w:rStyle w:val="AERtextitalic"/>
        </w:rPr>
        <w:t>,</w:t>
      </w:r>
      <w:r>
        <w:t xml:space="preserve"> p. 180.</w:t>
      </w:r>
    </w:p>
  </w:footnote>
  <w:footnote w:id="206">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t xml:space="preserve">, </w:t>
      </w:r>
      <w:r w:rsidRPr="000C0FAA">
        <w:rPr>
          <w:rStyle w:val="AERtextitalic"/>
        </w:rPr>
        <w:t>October 2014</w:t>
      </w:r>
      <w:r>
        <w:t xml:space="preserve"> p. 189.</w:t>
      </w:r>
    </w:p>
  </w:footnote>
  <w:footnote w:id="207">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t xml:space="preserve">, </w:t>
      </w:r>
      <w:r w:rsidRPr="000C0FAA">
        <w:rPr>
          <w:rStyle w:val="AERtextitalic"/>
        </w:rPr>
        <w:t>October 2014</w:t>
      </w:r>
      <w:r>
        <w:t xml:space="preserve"> p. 197.</w:t>
      </w:r>
    </w:p>
  </w:footnote>
  <w:footnote w:id="208">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201.</w:t>
      </w:r>
    </w:p>
  </w:footnote>
  <w:footnote w:id="209">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202.</w:t>
      </w:r>
    </w:p>
  </w:footnote>
  <w:footnote w:id="210">
    <w:p w:rsidR="001C0B41" w:rsidRDefault="001C0B41" w:rsidP="00537EAD">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and QLD distributors. </w:t>
      </w:r>
    </w:p>
  </w:footnote>
  <w:footnote w:id="211">
    <w:p w:rsidR="001C0B41" w:rsidRDefault="001C0B41" w:rsidP="00537EAD">
      <w:pPr>
        <w:pStyle w:val="FootnoteText"/>
      </w:pPr>
      <w:r>
        <w:rPr>
          <w:rStyle w:val="FootnoteReference"/>
        </w:rPr>
        <w:footnoteRef/>
      </w:r>
      <w:r>
        <w:t xml:space="preserve"> </w:t>
      </w:r>
      <w:r>
        <w:tab/>
      </w:r>
      <w:r w:rsidRPr="0085121C">
        <w:t xml:space="preserve">AER, </w:t>
      </w:r>
      <w:r w:rsidRPr="00850410">
        <w:rPr>
          <w:rStyle w:val="AERtextitalic"/>
        </w:rPr>
        <w:t>Electricity network service providers, Replacement expenditure model handbook</w:t>
      </w:r>
      <w:r>
        <w:t>, November 2013, p. 10.</w:t>
      </w:r>
    </w:p>
  </w:footnote>
  <w:footnote w:id="212">
    <w:p w:rsidR="001C0B41" w:rsidRDefault="001C0B41" w:rsidP="00537EAD">
      <w:pPr>
        <w:pStyle w:val="FootnoteText"/>
      </w:pPr>
      <w:r>
        <w:rPr>
          <w:rStyle w:val="FootnoteReference"/>
        </w:rPr>
        <w:footnoteRef/>
      </w:r>
      <w:r>
        <w:t xml:space="preserve"> </w:t>
      </w:r>
      <w:r>
        <w:tab/>
      </w:r>
      <w:r w:rsidRPr="002F7DF5">
        <w:t>AER, Electricity network service providers, Replacement expenditure model handbook, November 2013.</w:t>
      </w:r>
    </w:p>
  </w:footnote>
  <w:footnote w:id="213">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86.</w:t>
      </w:r>
    </w:p>
  </w:footnote>
  <w:footnote w:id="214">
    <w:p w:rsidR="001C0B41" w:rsidRPr="00FA39F8" w:rsidRDefault="001C0B41" w:rsidP="00537EAD">
      <w:pPr>
        <w:pStyle w:val="FootnoteText"/>
        <w:rPr>
          <w:rStyle w:val="AERtextitalic"/>
        </w:rPr>
      </w:pPr>
      <w:r>
        <w:rPr>
          <w:rStyle w:val="FootnoteReference"/>
        </w:rPr>
        <w:footnoteRef/>
      </w:r>
      <w:r>
        <w:t xml:space="preserve"> </w:t>
      </w:r>
      <w:r>
        <w:tab/>
        <w:t xml:space="preserve">In the Reset RIN we defined replacement expenditure to be: </w:t>
      </w:r>
      <w:r>
        <w:rPr>
          <w:rStyle w:val="AERtextitalic"/>
        </w:rPr>
        <w:t xml:space="preserve">Repex: </w:t>
      </w:r>
      <w:r w:rsidRPr="00FA39F8">
        <w:rPr>
          <w:rStyle w:val="AERtextitalic"/>
        </w:rPr>
        <w:t>The non-demand driven capex to replace an asset with its modern equivalent where the asset has reached the end of its economic life. Capex has a primary driver of replacement expenditure if the factor determining the expenditure is the existing asset's inability to efficiently maintain its service performance requirement.</w:t>
      </w:r>
    </w:p>
  </w:footnote>
  <w:footnote w:id="215">
    <w:p w:rsidR="001C0B41" w:rsidRDefault="001C0B41" w:rsidP="00537EAD">
      <w:pPr>
        <w:pStyle w:val="FootnoteText"/>
      </w:pPr>
      <w:r>
        <w:rPr>
          <w:rStyle w:val="FootnoteReference"/>
        </w:rPr>
        <w:footnoteRef/>
      </w:r>
      <w:r>
        <w:t xml:space="preserve"> </w:t>
      </w:r>
      <w:r>
        <w:tab/>
        <w:t>NER, cl. 6.5.7 (a).</w:t>
      </w:r>
    </w:p>
  </w:footnote>
  <w:footnote w:id="216">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180.</w:t>
      </w:r>
    </w:p>
  </w:footnote>
  <w:footnote w:id="217">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183.</w:t>
      </w:r>
    </w:p>
  </w:footnote>
  <w:footnote w:id="218">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183.</w:t>
      </w:r>
    </w:p>
  </w:footnote>
  <w:footnote w:id="219">
    <w:p w:rsidR="001C0B41" w:rsidRDefault="001C0B41" w:rsidP="00537EAD">
      <w:pPr>
        <w:pStyle w:val="FootnoteText"/>
      </w:pPr>
      <w:r>
        <w:rPr>
          <w:rStyle w:val="FootnoteReference"/>
        </w:rPr>
        <w:footnoteRef/>
      </w:r>
      <w:r>
        <w:t xml:space="preserve"> </w:t>
      </w:r>
      <w:r>
        <w:tab/>
      </w:r>
      <w:r w:rsidRPr="00CF7208">
        <w:t>https://www.sa.gov.au/topics/water-energy-and-environment/electrical-gas-and-plumbing-safety-and-technical-regulation/compliance-and-enforcement/srmtmp/about-srmtmps</w:t>
      </w:r>
    </w:p>
  </w:footnote>
  <w:footnote w:id="220">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pp. 183–84.</w:t>
      </w:r>
    </w:p>
  </w:footnote>
  <w:footnote w:id="221">
    <w:p w:rsidR="001C0B41" w:rsidRDefault="001C0B41" w:rsidP="00537EAD">
      <w:pPr>
        <w:pStyle w:val="FootnoteText"/>
      </w:pPr>
      <w:r>
        <w:rPr>
          <w:rStyle w:val="FootnoteReference"/>
        </w:rPr>
        <w:footnoteRef/>
      </w:r>
      <w:r>
        <w:t xml:space="preserve"> </w:t>
      </w:r>
      <w:r>
        <w:tab/>
        <w:t xml:space="preserve">SA Power Networks,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186.</w:t>
      </w:r>
    </w:p>
  </w:footnote>
  <w:footnote w:id="222">
    <w:p w:rsidR="001C0B41" w:rsidRDefault="001C0B41" w:rsidP="00537EAD">
      <w:pPr>
        <w:pStyle w:val="FootnoteText"/>
      </w:pPr>
      <w:r>
        <w:rPr>
          <w:rStyle w:val="FootnoteReference"/>
        </w:rPr>
        <w:footnoteRef/>
      </w:r>
      <w:r>
        <w:t xml:space="preserve"> </w:t>
      </w:r>
      <w:r>
        <w:tab/>
      </w:r>
      <w:r w:rsidRPr="002F3C24">
        <w:t>Energy Us</w:t>
      </w:r>
      <w:r>
        <w:t xml:space="preserve">ers Association of Australia, </w:t>
      </w:r>
      <w:r w:rsidRPr="00F85CE7">
        <w:rPr>
          <w:rStyle w:val="AERtextitalic"/>
        </w:rPr>
        <w:t xml:space="preserve">Submission on SAPN's </w:t>
      </w:r>
      <w:r>
        <w:rPr>
          <w:rStyle w:val="AERtextitalic"/>
        </w:rPr>
        <w:t>regulatory proposal 2015–20</w:t>
      </w:r>
      <w:r w:rsidRPr="002F3C24">
        <w:t>, January 2015, pp. 5–7; Renmark Irrigation Trust</w:t>
      </w:r>
      <w:r>
        <w:t>,</w:t>
      </w:r>
      <w:r w:rsidRPr="002F3C24">
        <w:t xml:space="preserve"> </w:t>
      </w:r>
      <w:r w:rsidRPr="00F85CE7">
        <w:rPr>
          <w:rStyle w:val="AERtextitalic"/>
        </w:rPr>
        <w:t>Submission on SAPN</w:t>
      </w:r>
      <w:r>
        <w:rPr>
          <w:rStyle w:val="AERtextitalic"/>
        </w:rPr>
        <w:t>'s regulatory proposal 2015–</w:t>
      </w:r>
      <w:r w:rsidRPr="00F85CE7">
        <w:rPr>
          <w:rStyle w:val="AERtextitalic"/>
        </w:rPr>
        <w:t>20</w:t>
      </w:r>
      <w:r>
        <w:rPr>
          <w:rStyle w:val="AERtextitalic"/>
        </w:rPr>
        <w:t>,</w:t>
      </w:r>
      <w:r w:rsidRPr="002F3C24">
        <w:t xml:space="preserve"> January 2015, p. 2</w:t>
      </w:r>
      <w:r>
        <w:t xml:space="preserve">; </w:t>
      </w:r>
      <w:r w:rsidRPr="002F3C24">
        <w:t>E</w:t>
      </w:r>
      <w:r>
        <w:t xml:space="preserve">nergy Consumers Coalition of SA, </w:t>
      </w:r>
      <w:r w:rsidRPr="00F85CE7">
        <w:rPr>
          <w:rStyle w:val="AERtextitalic"/>
        </w:rPr>
        <w:t>Submission on SAPN's re</w:t>
      </w:r>
      <w:r>
        <w:rPr>
          <w:rStyle w:val="AERtextitalic"/>
        </w:rPr>
        <w:t>gulatory proposal 2015–</w:t>
      </w:r>
      <w:r w:rsidRPr="00F85CE7">
        <w:rPr>
          <w:rStyle w:val="AERtextitalic"/>
        </w:rPr>
        <w:t>20</w:t>
      </w:r>
      <w:r>
        <w:rPr>
          <w:rStyle w:val="AERtextitalic"/>
        </w:rPr>
        <w:t>,</w:t>
      </w:r>
      <w:r>
        <w:t xml:space="preserve"> </w:t>
      </w:r>
      <w:r w:rsidRPr="002F3C24">
        <w:t>January 2015</w:t>
      </w:r>
      <w:r>
        <w:t xml:space="preserve">, pp. 41–49; </w:t>
      </w:r>
      <w:r w:rsidRPr="002F3C24">
        <w:t>SA Financial Counsellors Association Consortium</w:t>
      </w:r>
      <w:r>
        <w:t>,</w:t>
      </w:r>
      <w:r w:rsidRPr="002F3C24">
        <w:t xml:space="preserve"> </w:t>
      </w:r>
      <w:r w:rsidRPr="00F85CE7">
        <w:rPr>
          <w:rStyle w:val="AERtextitalic"/>
        </w:rPr>
        <w:t>Submission on SAPN's regulatory proposal</w:t>
      </w:r>
      <w:r>
        <w:rPr>
          <w:rStyle w:val="AERtextitalic"/>
        </w:rPr>
        <w:t xml:space="preserve"> 2015–20,</w:t>
      </w:r>
      <w:r w:rsidRPr="002F3C24">
        <w:t xml:space="preserve"> January 2015</w:t>
      </w:r>
      <w:r>
        <w:t xml:space="preserve">, p. 9; Central Irrigation Trust, </w:t>
      </w:r>
      <w:r w:rsidRPr="00F85CE7">
        <w:rPr>
          <w:rStyle w:val="AERtextitalic"/>
        </w:rPr>
        <w:t>Submission on SAPN's regulatory propo</w:t>
      </w:r>
      <w:r>
        <w:rPr>
          <w:rStyle w:val="AERtextitalic"/>
        </w:rPr>
        <w:t>sal 2015–</w:t>
      </w:r>
      <w:r w:rsidRPr="00F85CE7">
        <w:rPr>
          <w:rStyle w:val="AERtextitalic"/>
        </w:rPr>
        <w:t>20</w:t>
      </w:r>
      <w:r>
        <w:rPr>
          <w:rStyle w:val="AERtextitalic"/>
        </w:rPr>
        <w:t>,</w:t>
      </w:r>
      <w:r>
        <w:t xml:space="preserve"> January 2015, p</w:t>
      </w:r>
      <w:r w:rsidRPr="009F6CD0">
        <w:t>. 6</w:t>
      </w:r>
      <w:r>
        <w:t xml:space="preserve">; </w:t>
      </w:r>
      <w:r w:rsidRPr="00D57E5F">
        <w:t>AGL</w:t>
      </w:r>
      <w:r>
        <w:t>,</w:t>
      </w:r>
      <w:r w:rsidRPr="00D57E5F">
        <w:t xml:space="preserve"> </w:t>
      </w:r>
      <w:r w:rsidRPr="00F85CE7">
        <w:rPr>
          <w:rStyle w:val="AERtextitalic"/>
        </w:rPr>
        <w:t>Submission on SAPN s regulatory proposal 2015-20</w:t>
      </w:r>
      <w:r>
        <w:rPr>
          <w:rStyle w:val="AERtextitalic"/>
        </w:rPr>
        <w:t>,</w:t>
      </w:r>
      <w:r w:rsidRPr="00D57E5F">
        <w:t xml:space="preserve"> January 2015, p. 11.</w:t>
      </w:r>
    </w:p>
  </w:footnote>
  <w:footnote w:id="223">
    <w:p w:rsidR="001C0B41" w:rsidRDefault="001C0B41" w:rsidP="00537EAD">
      <w:pPr>
        <w:pStyle w:val="FootnoteText"/>
      </w:pPr>
      <w:r>
        <w:rPr>
          <w:rStyle w:val="FootnoteReference"/>
        </w:rPr>
        <w:footnoteRef/>
      </w:r>
      <w:r>
        <w:t xml:space="preserve"> </w:t>
      </w:r>
      <w:r>
        <w:tab/>
      </w:r>
      <w:r w:rsidRPr="00C945D9">
        <w:t>E</w:t>
      </w:r>
      <w:r>
        <w:t xml:space="preserve">nergy Consumers Coalition of SA, </w:t>
      </w:r>
      <w:r w:rsidRPr="00F85CE7">
        <w:rPr>
          <w:rStyle w:val="AERtextitalic"/>
        </w:rPr>
        <w:t>Submission on SAPN's regulatory proposal 2015-20</w:t>
      </w:r>
      <w:r>
        <w:rPr>
          <w:rStyle w:val="AERtextitalic"/>
        </w:rPr>
        <w:t>,</w:t>
      </w:r>
      <w:r w:rsidRPr="00C945D9">
        <w:t xml:space="preserve"> January 2015, pp. 41-49.</w:t>
      </w:r>
    </w:p>
  </w:footnote>
  <w:footnote w:id="224">
    <w:p w:rsidR="001C0B41" w:rsidRDefault="001C0B41" w:rsidP="00537EAD">
      <w:pPr>
        <w:pStyle w:val="FootnoteText"/>
      </w:pPr>
      <w:r>
        <w:rPr>
          <w:rStyle w:val="FootnoteReference"/>
        </w:rPr>
        <w:footnoteRef/>
      </w:r>
      <w:r>
        <w:t xml:space="preserve"> </w:t>
      </w:r>
      <w:r>
        <w:tab/>
        <w:t xml:space="preserve">SA Council of Social Services, </w:t>
      </w:r>
      <w:r w:rsidRPr="00F85CE7">
        <w:rPr>
          <w:rStyle w:val="AERtextitalic"/>
        </w:rPr>
        <w:t>Submission on SAPN's regulatory proposal 2015-20</w:t>
      </w:r>
      <w:r>
        <w:rPr>
          <w:rStyle w:val="AERtextitalic"/>
        </w:rPr>
        <w:t xml:space="preserve">, </w:t>
      </w:r>
      <w:r w:rsidRPr="00093459">
        <w:t>January 2015, p. ii; SA Greens</w:t>
      </w:r>
      <w:r>
        <w:t>,</w:t>
      </w:r>
      <w:r w:rsidRPr="00093459">
        <w:t xml:space="preserve"> </w:t>
      </w:r>
      <w:r w:rsidRPr="00F85CE7">
        <w:rPr>
          <w:rStyle w:val="AERtextitalic"/>
        </w:rPr>
        <w:t xml:space="preserve">Submission on SAPN's regulatory proposal </w:t>
      </w:r>
      <w:r>
        <w:rPr>
          <w:rStyle w:val="AERtextitalic"/>
        </w:rPr>
        <w:t>2015–</w:t>
      </w:r>
      <w:r w:rsidRPr="00F85CE7">
        <w:rPr>
          <w:rStyle w:val="AERtextitalic"/>
        </w:rPr>
        <w:t>20</w:t>
      </w:r>
      <w:r>
        <w:rPr>
          <w:rStyle w:val="AERtextitalic"/>
        </w:rPr>
        <w:t>,</w:t>
      </w:r>
      <w:r w:rsidRPr="00093459">
        <w:t xml:space="preserve"> January 2015, p. 1.</w:t>
      </w:r>
    </w:p>
  </w:footnote>
  <w:footnote w:id="225">
    <w:p w:rsidR="001C0B41" w:rsidRDefault="001C0B41" w:rsidP="00537EAD">
      <w:pPr>
        <w:pStyle w:val="FootnoteText"/>
      </w:pPr>
      <w:r>
        <w:rPr>
          <w:rStyle w:val="FootnoteReference"/>
        </w:rPr>
        <w:footnoteRef/>
      </w:r>
      <w:r>
        <w:t xml:space="preserve"> </w:t>
      </w:r>
      <w:r>
        <w:tab/>
        <w:t xml:space="preserve">Business SA, </w:t>
      </w:r>
      <w:r w:rsidRPr="00F85CE7">
        <w:rPr>
          <w:rStyle w:val="AERtextitalic"/>
        </w:rPr>
        <w:t>Submission on SAPN's regulatory proposal 2015-20</w:t>
      </w:r>
      <w:r>
        <w:rPr>
          <w:rStyle w:val="AERtextitalic"/>
        </w:rPr>
        <w:t>,</w:t>
      </w:r>
      <w:r w:rsidRPr="00C945D9">
        <w:t xml:space="preserve"> January 2015, pp. 4, 12.</w:t>
      </w:r>
    </w:p>
  </w:footnote>
  <w:footnote w:id="226">
    <w:p w:rsidR="001C0B41" w:rsidRDefault="001C0B41" w:rsidP="00537EAD">
      <w:pPr>
        <w:pStyle w:val="FootnoteText"/>
      </w:pPr>
      <w:r>
        <w:rPr>
          <w:rStyle w:val="FootnoteReference"/>
        </w:rPr>
        <w:footnoteRef/>
      </w:r>
      <w:r>
        <w:t xml:space="preserve"> </w:t>
      </w:r>
      <w:r>
        <w:tab/>
        <w:t>The repex model predicts replacement volumes for the next 20 years.</w:t>
      </w:r>
    </w:p>
  </w:footnote>
  <w:footnote w:id="227">
    <w:p w:rsidR="001C0B41" w:rsidRDefault="001C0B41" w:rsidP="00537EAD">
      <w:pPr>
        <w:pStyle w:val="FootnoteText"/>
      </w:pPr>
      <w:r>
        <w:rPr>
          <w:rStyle w:val="FootnoteReference"/>
        </w:rPr>
        <w:footnoteRef/>
      </w:r>
      <w:r>
        <w:t xml:space="preserve"> </w:t>
      </w:r>
      <w:r>
        <w:tab/>
        <w:t>See the AER's draft decisions for Essential Energy, Endeavour Energy, ActewAGL and Ausgrid published in November 2014.</w:t>
      </w:r>
    </w:p>
  </w:footnote>
  <w:footnote w:id="228">
    <w:p w:rsidR="001C0B41" w:rsidRDefault="001C0B41" w:rsidP="00537EAD">
      <w:pPr>
        <w:pStyle w:val="FootnoteText"/>
      </w:pPr>
      <w:r>
        <w:rPr>
          <w:rStyle w:val="FootnoteReference"/>
        </w:rPr>
        <w:footnoteRef/>
      </w:r>
      <w:r>
        <w:t xml:space="preserve"> </w:t>
      </w:r>
      <w:r>
        <w:tab/>
        <w:t>SA Power Networks</w:t>
      </w:r>
      <w:r>
        <w:rPr>
          <w:rStyle w:val="AERtextitalic"/>
        </w:rPr>
        <w:t>,</w:t>
      </w:r>
      <w:r w:rsidRPr="00F85CE7">
        <w:rPr>
          <w:rStyle w:val="AERtextitalic"/>
        </w:rPr>
        <w:t xml:space="preserve"> </w:t>
      </w:r>
      <w:r w:rsidRPr="000C0FAA">
        <w:rPr>
          <w:rStyle w:val="AERtextitalic"/>
        </w:rPr>
        <w:t>Regulatory Proposal</w:t>
      </w:r>
      <w:r>
        <w:rPr>
          <w:rStyle w:val="AERtextitalic"/>
        </w:rPr>
        <w:t xml:space="preserve"> 2015–20</w:t>
      </w:r>
      <w:r>
        <w:t xml:space="preserve">, </w:t>
      </w:r>
      <w:r w:rsidRPr="00850410">
        <w:rPr>
          <w:rStyle w:val="AERtextsize8"/>
        </w:rPr>
        <w:t>October 2014</w:t>
      </w:r>
      <w:r>
        <w:rPr>
          <w:rStyle w:val="AERtextitalic"/>
        </w:rPr>
        <w:t>,</w:t>
      </w:r>
      <w:r>
        <w:t xml:space="preserve"> p. 206.</w:t>
      </w:r>
    </w:p>
  </w:footnote>
  <w:footnote w:id="229">
    <w:p w:rsidR="001C0B41" w:rsidRDefault="001C0B41" w:rsidP="00537EAD">
      <w:pPr>
        <w:pStyle w:val="FootnoteText"/>
      </w:pPr>
      <w:r>
        <w:rPr>
          <w:rStyle w:val="FootnoteReference"/>
        </w:rPr>
        <w:footnoteRef/>
      </w:r>
      <w:r>
        <w:t xml:space="preserve"> </w:t>
      </w:r>
      <w:r>
        <w:tab/>
        <w:t>SA Power Networks,</w:t>
      </w:r>
      <w:r w:rsidRPr="00F2538B">
        <w:t xml:space="preserve"> </w:t>
      </w:r>
      <w:r w:rsidRPr="006A75FD">
        <w:rPr>
          <w:rStyle w:val="AERtextitalic"/>
        </w:rPr>
        <w:t>Ex</w:t>
      </w:r>
      <w:r w:rsidRPr="00F85CE7">
        <w:rPr>
          <w:rStyle w:val="AERtextitalic"/>
        </w:rPr>
        <w:t>penditure forecasting methodology</w:t>
      </w:r>
      <w:r>
        <w:t>, October 2014, p. 31.</w:t>
      </w:r>
    </w:p>
  </w:footnote>
  <w:footnote w:id="230">
    <w:p w:rsidR="001C0B41" w:rsidRDefault="001C0B41" w:rsidP="00537EAD">
      <w:pPr>
        <w:pStyle w:val="FootnoteText"/>
      </w:pPr>
      <w:r>
        <w:rPr>
          <w:rStyle w:val="FootnoteReference"/>
        </w:rPr>
        <w:footnoteRef/>
      </w:r>
      <w:r>
        <w:t xml:space="preserve"> </w:t>
      </w:r>
      <w:r>
        <w:tab/>
        <w:t xml:space="preserve">SA Power Networks, </w:t>
      </w:r>
      <w:r w:rsidRPr="00F85CE7">
        <w:rPr>
          <w:rStyle w:val="AERtextitalic"/>
        </w:rPr>
        <w:t>Asset Management Plan 3.0.01 – Condition Monitoring &amp; Life Assessment Methodology</w:t>
      </w:r>
      <w:r w:rsidRPr="002243C2">
        <w:t xml:space="preserve">, </w:t>
      </w:r>
      <w:r>
        <w:t xml:space="preserve">October 2014, </w:t>
      </w:r>
      <w:r w:rsidRPr="002243C2">
        <w:t>p.</w:t>
      </w:r>
      <w:r>
        <w:t xml:space="preserve"> 7.</w:t>
      </w:r>
    </w:p>
  </w:footnote>
  <w:footnote w:id="231">
    <w:p w:rsidR="001C0B41" w:rsidRDefault="001C0B41" w:rsidP="00537EAD">
      <w:pPr>
        <w:pStyle w:val="FootnoteText"/>
      </w:pPr>
      <w:r>
        <w:rPr>
          <w:rStyle w:val="FootnoteReference"/>
        </w:rPr>
        <w:footnoteRef/>
      </w:r>
      <w:r>
        <w:t xml:space="preserve"> </w:t>
      </w:r>
      <w:r>
        <w:tab/>
        <w:t xml:space="preserve">SA Power Networks, </w:t>
      </w:r>
      <w:r w:rsidRPr="00F85CE7">
        <w:rPr>
          <w:rStyle w:val="AERtextitalic"/>
        </w:rPr>
        <w:t>Asset Management Plan 3.0.01 – Condition Monitoring &amp; Life Assessment Methodology</w:t>
      </w:r>
      <w:r>
        <w:rPr>
          <w:rStyle w:val="AERtextitalic"/>
        </w:rPr>
        <w:t xml:space="preserve">, </w:t>
      </w:r>
      <w:r>
        <w:rPr>
          <w:rStyle w:val="AERtextsize8"/>
        </w:rPr>
        <w:t>October 2014,</w:t>
      </w:r>
      <w:r>
        <w:t xml:space="preserve"> pp. 10–11.</w:t>
      </w:r>
    </w:p>
  </w:footnote>
  <w:footnote w:id="232">
    <w:p w:rsidR="001C0B41" w:rsidRDefault="001C0B41" w:rsidP="00537EAD">
      <w:pPr>
        <w:pStyle w:val="FootnoteText"/>
      </w:pPr>
      <w:r>
        <w:rPr>
          <w:rStyle w:val="FootnoteReference"/>
        </w:rPr>
        <w:footnoteRef/>
      </w:r>
      <w:r>
        <w:t xml:space="preserve"> </w:t>
      </w:r>
      <w:r>
        <w:tab/>
        <w:t xml:space="preserve">SA Power Networks, </w:t>
      </w:r>
      <w:r w:rsidRPr="00F85CE7">
        <w:rPr>
          <w:rStyle w:val="AERtextitalic"/>
        </w:rPr>
        <w:t>Asset Management Plan 3.0.01 – Condition Monitoring &amp; Life Assessment Methodology</w:t>
      </w:r>
      <w:r>
        <w:t>, October 2014, p. 19.</w:t>
      </w:r>
    </w:p>
  </w:footnote>
  <w:footnote w:id="233">
    <w:p w:rsidR="001C0B41" w:rsidRDefault="001C0B41" w:rsidP="00537EAD">
      <w:pPr>
        <w:pStyle w:val="FootnoteText"/>
      </w:pPr>
      <w:r>
        <w:rPr>
          <w:rStyle w:val="FootnoteReference"/>
        </w:rPr>
        <w:footnoteRef/>
      </w:r>
      <w:r>
        <w:t xml:space="preserve"> </w:t>
      </w:r>
      <w:r>
        <w:tab/>
        <w:t xml:space="preserve">SA Power Networks, </w:t>
      </w:r>
      <w:r w:rsidRPr="00F85CE7">
        <w:rPr>
          <w:rStyle w:val="AERtextitalic"/>
        </w:rPr>
        <w:t>Asset Management Plan 3.0.01 – Condition Monitoring &amp; Life Assessment Methodology</w:t>
      </w:r>
      <w:r>
        <w:t>, October 2014, pp. 23–24.</w:t>
      </w:r>
    </w:p>
  </w:footnote>
  <w:footnote w:id="234">
    <w:p w:rsidR="001C0B41" w:rsidRDefault="001C0B41" w:rsidP="00537EAD">
      <w:pPr>
        <w:pStyle w:val="FootnoteText"/>
      </w:pPr>
      <w:r>
        <w:rPr>
          <w:rStyle w:val="FootnoteReference"/>
        </w:rPr>
        <w:footnoteRef/>
      </w:r>
      <w:r>
        <w:t xml:space="preserve"> </w:t>
      </w:r>
      <w:r>
        <w:tab/>
        <w:t xml:space="preserve">SA Power Networks, </w:t>
      </w:r>
      <w:r w:rsidRPr="00C32639">
        <w:rPr>
          <w:rStyle w:val="AERtextitalic"/>
        </w:rPr>
        <w:t>Asset Management Plan 3.0.01 – Condition Monitoring &amp; Life Assessment Methodology</w:t>
      </w:r>
      <w:r>
        <w:t>, October 2014, p. 13.</w:t>
      </w:r>
    </w:p>
  </w:footnote>
  <w:footnote w:id="235">
    <w:p w:rsidR="001C0B41" w:rsidRDefault="001C0B41" w:rsidP="00537EAD">
      <w:pPr>
        <w:pStyle w:val="FootnoteText"/>
      </w:pPr>
      <w:r>
        <w:rPr>
          <w:rStyle w:val="FootnoteReference"/>
        </w:rPr>
        <w:footnoteRef/>
      </w:r>
      <w:r>
        <w:t xml:space="preserve"> </w:t>
      </w:r>
      <w:r>
        <w:tab/>
        <w:t>NER, cl. 6.5.7(c).</w:t>
      </w:r>
    </w:p>
  </w:footnote>
  <w:footnote w:id="236">
    <w:p w:rsidR="001C0B41" w:rsidRDefault="001C0B41">
      <w:pPr>
        <w:pStyle w:val="FootnoteText"/>
      </w:pPr>
      <w:r>
        <w:rPr>
          <w:rStyle w:val="FootnoteReference"/>
        </w:rPr>
        <w:footnoteRef/>
      </w:r>
      <w:r>
        <w:t xml:space="preserve"> </w:t>
      </w:r>
      <w:r>
        <w:tab/>
        <w:t xml:space="preserve">AER, </w:t>
      </w:r>
      <w:r w:rsidRPr="009F62A0">
        <w:t>Info request SAPN 033</w:t>
      </w:r>
    </w:p>
  </w:footnote>
  <w:footnote w:id="237">
    <w:p w:rsidR="001C0B41" w:rsidRDefault="001C0B41">
      <w:pPr>
        <w:pStyle w:val="FootnoteText"/>
      </w:pPr>
      <w:r>
        <w:rPr>
          <w:rStyle w:val="FootnoteReference"/>
        </w:rPr>
        <w:footnoteRef/>
      </w:r>
      <w:r>
        <w:t xml:space="preserve"> </w:t>
      </w:r>
      <w:r>
        <w:tab/>
        <w:t xml:space="preserve">SA Power Networks, </w:t>
      </w:r>
      <w:r w:rsidRPr="009F62A0">
        <w:t>response to</w:t>
      </w:r>
      <w:r>
        <w:t xml:space="preserve"> AER information request</w:t>
      </w:r>
      <w:r w:rsidRPr="009F62A0">
        <w:t xml:space="preserve"> SAPN 033</w:t>
      </w:r>
    </w:p>
  </w:footnote>
  <w:footnote w:id="238">
    <w:p w:rsidR="001C0B41" w:rsidRDefault="001C0B41">
      <w:pPr>
        <w:pStyle w:val="FootnoteText"/>
      </w:pPr>
      <w:r>
        <w:rPr>
          <w:rStyle w:val="FootnoteReference"/>
        </w:rPr>
        <w:footnoteRef/>
      </w:r>
      <w:r>
        <w:t xml:space="preserve"> </w:t>
      </w:r>
      <w:r>
        <w:tab/>
        <w:t>SA Power Networks</w:t>
      </w:r>
      <w:r w:rsidRPr="009F62A0">
        <w:t xml:space="preserve"> response to </w:t>
      </w:r>
      <w:r w:rsidRPr="004E7D81">
        <w:t xml:space="preserve">AER information request </w:t>
      </w:r>
      <w:r w:rsidRPr="009F62A0">
        <w:t>SAPN 033</w:t>
      </w:r>
    </w:p>
  </w:footnote>
  <w:footnote w:id="239">
    <w:p w:rsidR="001C0B41" w:rsidRDefault="001C0B41" w:rsidP="00083276">
      <w:pPr>
        <w:pStyle w:val="FootnoteText"/>
      </w:pPr>
      <w:r>
        <w:rPr>
          <w:rStyle w:val="FootnoteReference"/>
        </w:rPr>
        <w:footnoteRef/>
      </w:r>
      <w:r>
        <w:t xml:space="preserve"> </w:t>
      </w:r>
      <w:r>
        <w:tab/>
        <w:t xml:space="preserve">SA Power Networks, </w:t>
      </w:r>
      <w:r w:rsidRPr="00490DED">
        <w:rPr>
          <w:rStyle w:val="AERtextitalic"/>
        </w:rPr>
        <w:t>21.11b - SEM-Capex Model 2015 V17.2</w:t>
      </w:r>
      <w:r>
        <w:t>, Reconciliation tab. This excludes communications expenditure of $25.4 million which is discussed in this section but modelled as part of network capex in line with SA Power Networks' capex model.</w:t>
      </w:r>
    </w:p>
  </w:footnote>
  <w:footnote w:id="240">
    <w:p w:rsidR="001C0B41" w:rsidRDefault="001C0B41" w:rsidP="00083276">
      <w:pPr>
        <w:pStyle w:val="FootnoteText"/>
      </w:pPr>
      <w:r>
        <w:rPr>
          <w:rStyle w:val="FootnoteReference"/>
        </w:rPr>
        <w:footnoteRef/>
      </w:r>
      <w:r>
        <w:t xml:space="preserve"> </w:t>
      </w:r>
      <w:r>
        <w:tab/>
        <w:t>NER, cl. 6.5.7(c).</w:t>
      </w:r>
    </w:p>
  </w:footnote>
  <w:footnote w:id="241">
    <w:p w:rsidR="001C0B41" w:rsidRDefault="001C0B41" w:rsidP="00083276">
      <w:pPr>
        <w:pStyle w:val="FootnoteText"/>
      </w:pPr>
      <w:r>
        <w:rPr>
          <w:rStyle w:val="FootnoteReference"/>
        </w:rPr>
        <w:footnoteRef/>
      </w:r>
      <w:r>
        <w:t xml:space="preserve"> </w:t>
      </w:r>
      <w:r>
        <w:tab/>
        <w:t>NER, cl. 6.5.7(e)(5).</w:t>
      </w:r>
    </w:p>
  </w:footnote>
  <w:footnote w:id="242">
    <w:p w:rsidR="001C0B41" w:rsidRDefault="001C0B41" w:rsidP="00083276">
      <w:pPr>
        <w:pStyle w:val="FootnoteText"/>
      </w:pPr>
      <w:r>
        <w:rPr>
          <w:rStyle w:val="FootnoteReference"/>
        </w:rPr>
        <w:footnoteRef/>
      </w:r>
      <w:r>
        <w:t xml:space="preserve"> </w:t>
      </w:r>
      <w:r>
        <w:tab/>
        <w:t xml:space="preserve">SA Power Networks, </w:t>
      </w:r>
      <w:r w:rsidRPr="000439A5">
        <w:rPr>
          <w:rStyle w:val="AERtextitalic"/>
        </w:rPr>
        <w:t>Regulatory proposal</w:t>
      </w:r>
      <w:r>
        <w:t>, October 2015, p. 235. SA Power Networks 's post tax revenue model includes forecast capex for IT assets of $358.7 million ($2014-15).</w:t>
      </w:r>
    </w:p>
  </w:footnote>
  <w:footnote w:id="243">
    <w:p w:rsidR="001C0B41" w:rsidRDefault="001C0B41" w:rsidP="00083276">
      <w:pPr>
        <w:pStyle w:val="FootnoteText"/>
      </w:pPr>
      <w:r>
        <w:rPr>
          <w:rStyle w:val="FootnoteReference"/>
        </w:rPr>
        <w:footnoteRef/>
      </w:r>
      <w:r>
        <w:t xml:space="preserve"> </w:t>
      </w:r>
      <w:r>
        <w:tab/>
        <w:t xml:space="preserve">SA Power Networks, </w:t>
      </w:r>
      <w:r w:rsidRPr="00A2349D">
        <w:rPr>
          <w:rStyle w:val="AERtextitalic"/>
        </w:rPr>
        <w:t>Regulatory proposal</w:t>
      </w:r>
      <w:r>
        <w:t>, October 2014, p. 233.</w:t>
      </w:r>
    </w:p>
  </w:footnote>
  <w:footnote w:id="244">
    <w:p w:rsidR="001C0B41" w:rsidRDefault="001C0B41" w:rsidP="00083276">
      <w:pPr>
        <w:pStyle w:val="FootnoteText"/>
      </w:pPr>
      <w:r>
        <w:rPr>
          <w:rStyle w:val="FootnoteReference"/>
        </w:rPr>
        <w:footnoteRef/>
      </w:r>
      <w:r>
        <w:t xml:space="preserve"> </w:t>
      </w:r>
      <w:r>
        <w:tab/>
        <w:t>SA Power Networks, Regulatory proposal, October 2014, p. 237.</w:t>
      </w:r>
    </w:p>
  </w:footnote>
  <w:footnote w:id="245">
    <w:p w:rsidR="001C0B41" w:rsidRDefault="001C0B41" w:rsidP="00083276">
      <w:pPr>
        <w:pStyle w:val="FootnoteText"/>
      </w:pPr>
      <w:r>
        <w:rPr>
          <w:rStyle w:val="FootnoteReference"/>
        </w:rPr>
        <w:footnoteRef/>
      </w:r>
      <w:r>
        <w:t xml:space="preserve"> </w:t>
      </w:r>
      <w:r>
        <w:tab/>
        <w:t>SA Power Networks, Regulatory proposal, October 2014, pp. 236-237.</w:t>
      </w:r>
    </w:p>
  </w:footnote>
  <w:footnote w:id="246">
    <w:p w:rsidR="001C0B41" w:rsidRDefault="001C0B41" w:rsidP="00083276">
      <w:pPr>
        <w:pStyle w:val="FootnoteText"/>
      </w:pPr>
      <w:r>
        <w:rPr>
          <w:rStyle w:val="FootnoteReference"/>
        </w:rPr>
        <w:footnoteRef/>
      </w:r>
      <w:r>
        <w:t xml:space="preserve"> </w:t>
      </w:r>
      <w:r>
        <w:tab/>
        <w:t xml:space="preserve">SA Power Networks, </w:t>
      </w:r>
      <w:r w:rsidRPr="00B66696">
        <w:rPr>
          <w:rStyle w:val="AERtextitalic"/>
        </w:rPr>
        <w:t>Regulatory proposal</w:t>
      </w:r>
      <w:r>
        <w:t>,</w:t>
      </w:r>
      <w:r w:rsidRPr="008236EF">
        <w:t xml:space="preserve"> </w:t>
      </w:r>
      <w:r>
        <w:t>October 2014, p. 245.</w:t>
      </w:r>
    </w:p>
  </w:footnote>
  <w:footnote w:id="247">
    <w:p w:rsidR="001C0B41" w:rsidRDefault="001C0B41" w:rsidP="00083276">
      <w:pPr>
        <w:pStyle w:val="FootnoteText"/>
      </w:pPr>
      <w:r>
        <w:rPr>
          <w:rStyle w:val="FootnoteReference"/>
        </w:rPr>
        <w:footnoteRef/>
      </w:r>
      <w:r>
        <w:t xml:space="preserve"> </w:t>
      </w:r>
      <w:r>
        <w:tab/>
        <w:t xml:space="preserve">SA Power Networks, </w:t>
      </w:r>
      <w:r w:rsidRPr="00A2349D">
        <w:rPr>
          <w:rStyle w:val="AERtextitalic"/>
        </w:rPr>
        <w:t>Regulatory information notice</w:t>
      </w:r>
      <w:r>
        <w:t xml:space="preserve">, template 2.6; SA Power Networks, </w:t>
      </w:r>
      <w:r w:rsidRPr="00B66696">
        <w:rPr>
          <w:rStyle w:val="AERtextitalic"/>
        </w:rPr>
        <w:t>CA RIN response</w:t>
      </w:r>
      <w:r>
        <w:t>, template 2.6; AER analysis.</w:t>
      </w:r>
    </w:p>
  </w:footnote>
  <w:footnote w:id="248">
    <w:p w:rsidR="001C0B41" w:rsidRDefault="001C0B41" w:rsidP="00083276">
      <w:pPr>
        <w:pStyle w:val="FootnoteText"/>
      </w:pPr>
      <w:r>
        <w:rPr>
          <w:rStyle w:val="FootnoteReference"/>
        </w:rPr>
        <w:footnoteRef/>
      </w:r>
      <w:r>
        <w:t xml:space="preserve"> </w:t>
      </w:r>
      <w:r>
        <w:tab/>
        <w:t xml:space="preserve">SA Power Networks, </w:t>
      </w:r>
      <w:r w:rsidRPr="00B66696">
        <w:rPr>
          <w:rStyle w:val="AERtextitalic"/>
        </w:rPr>
        <w:t>IT capital and operating expenditure model</w:t>
      </w:r>
      <w:r>
        <w:t>, Business Cases - Summary tab.</w:t>
      </w:r>
    </w:p>
  </w:footnote>
  <w:footnote w:id="249">
    <w:p w:rsidR="001C0B41" w:rsidRDefault="001C0B41" w:rsidP="00083276">
      <w:pPr>
        <w:pStyle w:val="FootnoteText"/>
      </w:pPr>
      <w:r>
        <w:rPr>
          <w:rStyle w:val="FootnoteReference"/>
        </w:rPr>
        <w:footnoteRef/>
      </w:r>
      <w:r>
        <w:t xml:space="preserve"> </w:t>
      </w:r>
      <w:r>
        <w:tab/>
        <w:t xml:space="preserve">SA Power Networks, </w:t>
      </w:r>
      <w:r w:rsidRPr="00B66696">
        <w:rPr>
          <w:rStyle w:val="AERtextitalic"/>
        </w:rPr>
        <w:t>Regulatory proposal</w:t>
      </w:r>
      <w:r>
        <w:t>,</w:t>
      </w:r>
      <w:r w:rsidRPr="008236EF">
        <w:t xml:space="preserve"> </w:t>
      </w:r>
      <w:r>
        <w:t>October 2014, p. 232.</w:t>
      </w:r>
    </w:p>
  </w:footnote>
  <w:footnote w:id="250">
    <w:p w:rsidR="001C0B41" w:rsidRDefault="001C0B41" w:rsidP="00083276">
      <w:pPr>
        <w:pStyle w:val="FootnoteText"/>
      </w:pPr>
      <w:r>
        <w:rPr>
          <w:rStyle w:val="FootnoteReference"/>
        </w:rPr>
        <w:footnoteRef/>
      </w:r>
      <w:r>
        <w:t xml:space="preserve"> </w:t>
      </w:r>
      <w:r>
        <w:tab/>
        <w:t xml:space="preserve">SA Power Networks, </w:t>
      </w:r>
      <w:r w:rsidRPr="008236EF">
        <w:rPr>
          <w:rStyle w:val="AERtextitalic"/>
        </w:rPr>
        <w:t>Attachment 20.32 - Information Technology Investment Plan 2015-2020</w:t>
      </w:r>
      <w:r>
        <w:t>, October 2014, pp. 5-6.</w:t>
      </w:r>
    </w:p>
  </w:footnote>
  <w:footnote w:id="251">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3.</w:t>
      </w:r>
    </w:p>
  </w:footnote>
  <w:footnote w:id="252">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xml:space="preserve">, 20 October 2014. </w:t>
      </w:r>
    </w:p>
  </w:footnote>
  <w:footnote w:id="253">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5.</w:t>
      </w:r>
    </w:p>
  </w:footnote>
  <w:footnote w:id="254">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3.</w:t>
      </w:r>
    </w:p>
  </w:footnote>
  <w:footnote w:id="255">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11.</w:t>
      </w:r>
    </w:p>
  </w:footnote>
  <w:footnote w:id="256">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27.</w:t>
      </w:r>
    </w:p>
  </w:footnote>
  <w:footnote w:id="257">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 20.</w:t>
      </w:r>
    </w:p>
  </w:footnote>
  <w:footnote w:id="258">
    <w:p w:rsidR="001C0B41" w:rsidRDefault="001C0B41" w:rsidP="00083276">
      <w:pPr>
        <w:pStyle w:val="FootnoteText"/>
      </w:pPr>
      <w:r>
        <w:rPr>
          <w:rStyle w:val="FootnoteReference"/>
        </w:rPr>
        <w:footnoteRef/>
      </w:r>
      <w:r>
        <w:t xml:space="preserve"> </w:t>
      </w:r>
      <w:r>
        <w:tab/>
        <w:t xml:space="preserve">SA Power Networks, </w:t>
      </w:r>
      <w:r w:rsidRPr="00FC2E40">
        <w:rPr>
          <w:rStyle w:val="AERtextitalic"/>
        </w:rPr>
        <w:t>Attachment 20.43 - IT Sourcing and Resourcing Plan</w:t>
      </w:r>
      <w:r>
        <w:rPr>
          <w:rStyle w:val="AERtextitalic"/>
        </w:rPr>
        <w:t xml:space="preserve"> 2015-</w:t>
      </w:r>
      <w:r w:rsidRPr="00FC2E40">
        <w:rPr>
          <w:rStyle w:val="AERtextitalic"/>
        </w:rPr>
        <w:t>20</w:t>
      </w:r>
      <w:r>
        <w:t>, 20 October 2014, pp. 7 and 21.</w:t>
      </w:r>
    </w:p>
  </w:footnote>
  <w:footnote w:id="259">
    <w:p w:rsidR="001C0B41" w:rsidRDefault="001C0B41" w:rsidP="00083276">
      <w:pPr>
        <w:pStyle w:val="FootnoteText"/>
      </w:pPr>
      <w:r>
        <w:rPr>
          <w:rStyle w:val="FootnoteReference"/>
        </w:rPr>
        <w:footnoteRef/>
      </w:r>
      <w:r>
        <w:t xml:space="preserve"> </w:t>
      </w:r>
      <w:r>
        <w:tab/>
        <w:t xml:space="preserve">SA Power Networks, </w:t>
      </w:r>
      <w:r w:rsidRPr="008236EF">
        <w:rPr>
          <w:rStyle w:val="AERtextitalic"/>
        </w:rPr>
        <w:t>Attachment 20.32 - Information Technology Investment Plan 2015-2020</w:t>
      </w:r>
      <w:r>
        <w:t>, 20 October 2014, pp. 59-63.</w:t>
      </w:r>
    </w:p>
  </w:footnote>
  <w:footnote w:id="260">
    <w:p w:rsidR="001C0B41" w:rsidRDefault="001C0B41" w:rsidP="00083276">
      <w:pPr>
        <w:pStyle w:val="FootnoteText"/>
      </w:pPr>
      <w:r>
        <w:rPr>
          <w:rStyle w:val="FootnoteReference"/>
        </w:rPr>
        <w:footnoteRef/>
      </w:r>
      <w:r>
        <w:t xml:space="preserve"> </w:t>
      </w:r>
      <w:r>
        <w:tab/>
        <w:t xml:space="preserve">Solisma, </w:t>
      </w:r>
      <w:r w:rsidRPr="00DD3454">
        <w:rPr>
          <w:rStyle w:val="AERtextitalic"/>
        </w:rPr>
        <w:t>Service Management Maturity Assessment Report - May 2011</w:t>
      </w:r>
      <w:r>
        <w:t xml:space="preserve">, quoted in SA Power Networks, </w:t>
      </w:r>
      <w:r w:rsidRPr="00DD3454">
        <w:rPr>
          <w:rStyle w:val="AERtextitalic"/>
        </w:rPr>
        <w:t>BC29 - IT Management and Operations</w:t>
      </w:r>
      <w:r>
        <w:t>, pp. 9-10.</w:t>
      </w:r>
    </w:p>
  </w:footnote>
  <w:footnote w:id="261">
    <w:p w:rsidR="001C0B41" w:rsidRDefault="001C0B41" w:rsidP="00083276">
      <w:pPr>
        <w:pStyle w:val="FootnoteText"/>
      </w:pPr>
      <w:r>
        <w:rPr>
          <w:rStyle w:val="FootnoteReference"/>
        </w:rPr>
        <w:footnoteRef/>
      </w:r>
      <w:r>
        <w:t xml:space="preserve"> </w:t>
      </w:r>
      <w:r>
        <w:tab/>
        <w:t xml:space="preserve">SA Power Networks, </w:t>
      </w:r>
      <w:r w:rsidRPr="00DD3454">
        <w:rPr>
          <w:rStyle w:val="AERtextitalic"/>
        </w:rPr>
        <w:t>BC29 - IT Management and Operations</w:t>
      </w:r>
      <w:r>
        <w:t>, p. 10.</w:t>
      </w:r>
    </w:p>
  </w:footnote>
  <w:footnote w:id="262">
    <w:p w:rsidR="001C0B41" w:rsidRDefault="001C0B41" w:rsidP="00083276">
      <w:pPr>
        <w:pStyle w:val="FootnoteText"/>
      </w:pPr>
      <w:r>
        <w:rPr>
          <w:rStyle w:val="FootnoteReference"/>
        </w:rPr>
        <w:footnoteRef/>
      </w:r>
      <w:r>
        <w:t xml:space="preserve"> </w:t>
      </w:r>
      <w:r>
        <w:tab/>
        <w:t xml:space="preserve">Consumer Challenge Panel Sub-panel 2, </w:t>
      </w:r>
      <w:r w:rsidRPr="000E54C4">
        <w:rPr>
          <w:rStyle w:val="AERtextitalic"/>
        </w:rPr>
        <w:t>Submission to the AER</w:t>
      </w:r>
      <w:r>
        <w:t>, 30 January 2015, p. 23.</w:t>
      </w:r>
    </w:p>
  </w:footnote>
  <w:footnote w:id="263">
    <w:p w:rsidR="001C0B41" w:rsidRDefault="001C0B41" w:rsidP="00083276">
      <w:pPr>
        <w:pStyle w:val="FootnoteText"/>
      </w:pPr>
      <w:r>
        <w:rPr>
          <w:rStyle w:val="FootnoteReference"/>
        </w:rPr>
        <w:footnoteRef/>
      </w:r>
      <w:r>
        <w:t xml:space="preserve"> </w:t>
      </w:r>
      <w:r>
        <w:tab/>
        <w:t xml:space="preserve">SA Power Networks, </w:t>
      </w:r>
      <w:r w:rsidRPr="00B35571">
        <w:rPr>
          <w:rStyle w:val="AERtextitalic"/>
        </w:rPr>
        <w:t>Regulatory proposal</w:t>
      </w:r>
      <w:r>
        <w:t>, October 2014, p. 233.</w:t>
      </w:r>
    </w:p>
  </w:footnote>
  <w:footnote w:id="264">
    <w:p w:rsidR="001C0B41" w:rsidRDefault="001C0B41" w:rsidP="00083276">
      <w:pPr>
        <w:pStyle w:val="FootnoteText"/>
      </w:pPr>
      <w:r>
        <w:rPr>
          <w:rStyle w:val="FootnoteReference"/>
        </w:rPr>
        <w:footnoteRef/>
      </w:r>
      <w:r>
        <w:t xml:space="preserve"> </w:t>
      </w:r>
      <w:r>
        <w:tab/>
        <w:t xml:space="preserve">KPMG, </w:t>
      </w:r>
      <w:r w:rsidRPr="00E06033">
        <w:rPr>
          <w:rStyle w:val="AERtextitalic"/>
        </w:rPr>
        <w:t>Independent Prudence and Efficiency Review of the 2015-20 Regulatory Technology Submission</w:t>
      </w:r>
      <w:r>
        <w:t>, October 2014, pp. 10-12.</w:t>
      </w:r>
    </w:p>
  </w:footnote>
  <w:footnote w:id="265">
    <w:p w:rsidR="001C0B41" w:rsidRDefault="001C0B41" w:rsidP="00083276">
      <w:pPr>
        <w:pStyle w:val="FootnoteText"/>
      </w:pPr>
      <w:r>
        <w:rPr>
          <w:rStyle w:val="FootnoteReference"/>
        </w:rPr>
        <w:footnoteRef/>
      </w:r>
      <w:r>
        <w:t xml:space="preserve"> </w:t>
      </w:r>
      <w:r>
        <w:tab/>
        <w:t xml:space="preserve">KPMG, </w:t>
      </w:r>
      <w:r w:rsidRPr="00E06033">
        <w:rPr>
          <w:rStyle w:val="AERtextitalic"/>
        </w:rPr>
        <w:t>Independent Prudence and Efficiency Review of the 2015-20 Regulatory Technology Submission</w:t>
      </w:r>
      <w:r>
        <w:t>, October 2014, p. 9.</w:t>
      </w:r>
    </w:p>
  </w:footnote>
  <w:footnote w:id="266">
    <w:p w:rsidR="001C0B41" w:rsidRDefault="001C0B41" w:rsidP="00083276">
      <w:pPr>
        <w:pStyle w:val="FootnoteText"/>
      </w:pPr>
      <w:r>
        <w:rPr>
          <w:rStyle w:val="FootnoteReference"/>
        </w:rPr>
        <w:footnoteRef/>
      </w:r>
      <w:r>
        <w:t xml:space="preserve"> </w:t>
      </w:r>
      <w:r>
        <w:tab/>
        <w:t xml:space="preserve">KPMG, </w:t>
      </w:r>
      <w:r w:rsidRPr="00E06033">
        <w:rPr>
          <w:rStyle w:val="AERtextitalic"/>
        </w:rPr>
        <w:t>Independent Prudence and Efficiency Review of the 2015-20 Regulatory Technology Submission</w:t>
      </w:r>
      <w:r>
        <w:t>, October 2014, p. 10.</w:t>
      </w:r>
    </w:p>
  </w:footnote>
  <w:footnote w:id="267">
    <w:p w:rsidR="001C0B41" w:rsidRDefault="001C0B41" w:rsidP="00083276">
      <w:pPr>
        <w:pStyle w:val="FootnoteText"/>
      </w:pPr>
      <w:r>
        <w:rPr>
          <w:rStyle w:val="FootnoteReference"/>
        </w:rPr>
        <w:footnoteRef/>
      </w:r>
      <w:r>
        <w:t xml:space="preserve"> </w:t>
      </w:r>
      <w:r>
        <w:tab/>
        <w:t xml:space="preserve">KPMG, </w:t>
      </w:r>
      <w:r w:rsidRPr="00E06033">
        <w:rPr>
          <w:rStyle w:val="AERtextitalic"/>
        </w:rPr>
        <w:t>Independent Prudence and Efficiency Review of the 2015-20 Regulatory Technology Submission</w:t>
      </w:r>
      <w:r>
        <w:t>, October 2014, p. 13.</w:t>
      </w:r>
    </w:p>
  </w:footnote>
  <w:footnote w:id="268">
    <w:p w:rsidR="001C0B41" w:rsidRDefault="001C0B41" w:rsidP="00083276">
      <w:pPr>
        <w:pStyle w:val="FootnoteText"/>
      </w:pPr>
      <w:r>
        <w:rPr>
          <w:rStyle w:val="FootnoteReference"/>
        </w:rPr>
        <w:footnoteRef/>
      </w:r>
      <w:r>
        <w:t xml:space="preserve"> </w:t>
      </w:r>
      <w:r>
        <w:tab/>
        <w:t xml:space="preserve">Consumer Challenge Panel Sub-panel 2, </w:t>
      </w:r>
      <w:r w:rsidRPr="00B20956">
        <w:rPr>
          <w:rStyle w:val="AERtextitalic"/>
        </w:rPr>
        <w:t>Submission to the AER</w:t>
      </w:r>
      <w:r>
        <w:t>, 30 January 2015, pp. 23-24.</w:t>
      </w:r>
    </w:p>
  </w:footnote>
  <w:footnote w:id="269">
    <w:p w:rsidR="001C0B41" w:rsidRDefault="001C0B41" w:rsidP="00083276">
      <w:pPr>
        <w:pStyle w:val="FootnoteText"/>
      </w:pPr>
      <w:r>
        <w:rPr>
          <w:rStyle w:val="FootnoteReference"/>
        </w:rPr>
        <w:footnoteRef/>
      </w:r>
      <w:r>
        <w:t xml:space="preserve"> </w:t>
      </w:r>
      <w:r>
        <w:tab/>
        <w:t>NER, clauses .6.5.7(c)(1) and 6.5.7(c)(2).</w:t>
      </w:r>
    </w:p>
  </w:footnote>
  <w:footnote w:id="270">
    <w:p w:rsidR="001C0B41" w:rsidRDefault="001C0B41" w:rsidP="00083276">
      <w:pPr>
        <w:pStyle w:val="FootnoteText"/>
      </w:pPr>
      <w:r>
        <w:rPr>
          <w:rStyle w:val="FootnoteReference"/>
        </w:rPr>
        <w:footnoteRef/>
      </w:r>
      <w:r>
        <w:t xml:space="preserve"> </w:t>
      </w:r>
      <w:r>
        <w:tab/>
        <w:t xml:space="preserve">These projects are: </w:t>
      </w:r>
      <w:r w:rsidRPr="00A46C49">
        <w:rPr>
          <w:rStyle w:val="AERtextitalic"/>
        </w:rPr>
        <w:t>Intelligent Design Management System</w:t>
      </w:r>
      <w:r>
        <w:t xml:space="preserve"> and </w:t>
      </w:r>
      <w:r w:rsidRPr="00A46C49">
        <w:rPr>
          <w:rStyle w:val="AERtextitalic"/>
        </w:rPr>
        <w:t>Field Force Mobility</w:t>
      </w:r>
      <w:r>
        <w:t>.</w:t>
      </w:r>
    </w:p>
  </w:footnote>
  <w:footnote w:id="271">
    <w:p w:rsidR="001C0B41" w:rsidRDefault="001C0B41" w:rsidP="00083276">
      <w:pPr>
        <w:pStyle w:val="FootnoteText"/>
      </w:pPr>
      <w:r>
        <w:rPr>
          <w:rStyle w:val="FootnoteReference"/>
        </w:rPr>
        <w:footnoteRef/>
      </w:r>
      <w:r>
        <w:t xml:space="preserve"> </w:t>
      </w:r>
      <w:r>
        <w:tab/>
        <w:t xml:space="preserve">These projects are: </w:t>
      </w:r>
      <w:r w:rsidRPr="00A46C49">
        <w:rPr>
          <w:rStyle w:val="AERtextitalic"/>
        </w:rPr>
        <w:t>Customer Facing Technologies</w:t>
      </w:r>
      <w:r>
        <w:t xml:space="preserve">, </w:t>
      </w:r>
      <w:r w:rsidRPr="00A46C49">
        <w:rPr>
          <w:rStyle w:val="AERtextitalic"/>
        </w:rPr>
        <w:t>Enterprise Asset Management</w:t>
      </w:r>
      <w:r>
        <w:t xml:space="preserve">, </w:t>
      </w:r>
      <w:r w:rsidRPr="00A46C49">
        <w:rPr>
          <w:rStyle w:val="AERtextitalic"/>
        </w:rPr>
        <w:t>Supply Chain</w:t>
      </w:r>
      <w:r>
        <w:t xml:space="preserve">, </w:t>
      </w:r>
      <w:r w:rsidRPr="00A46C49">
        <w:rPr>
          <w:rStyle w:val="AERtextitalic"/>
        </w:rPr>
        <w:t>Portfolio Project Management</w:t>
      </w:r>
      <w:r>
        <w:t xml:space="preserve">, </w:t>
      </w:r>
      <w:r w:rsidRPr="00A46C49">
        <w:rPr>
          <w:rStyle w:val="AERtextitalic"/>
        </w:rPr>
        <w:t>Intelligent Design Management System</w:t>
      </w:r>
      <w:r>
        <w:t xml:space="preserve">, </w:t>
      </w:r>
      <w:r w:rsidRPr="00A46C49">
        <w:rPr>
          <w:rStyle w:val="AERtextitalic"/>
        </w:rPr>
        <w:t>HR Systems</w:t>
      </w:r>
      <w:r>
        <w:t xml:space="preserve">, </w:t>
      </w:r>
      <w:r w:rsidRPr="00A46C49">
        <w:rPr>
          <w:rStyle w:val="AERtextitalic"/>
        </w:rPr>
        <w:t>Unified Communications</w:t>
      </w:r>
      <w:r>
        <w:t xml:space="preserve">, </w:t>
      </w:r>
      <w:r w:rsidRPr="00A46C49">
        <w:rPr>
          <w:rStyle w:val="AERtextitalic"/>
        </w:rPr>
        <w:t>Enterprise Integration</w:t>
      </w:r>
      <w:r>
        <w:t xml:space="preserve">, and </w:t>
      </w:r>
      <w:r w:rsidRPr="00A46C49">
        <w:rPr>
          <w:rStyle w:val="AERtextitalic"/>
        </w:rPr>
        <w:t>Data Management</w:t>
      </w:r>
      <w:r>
        <w:t>.</w:t>
      </w:r>
    </w:p>
  </w:footnote>
  <w:footnote w:id="272">
    <w:p w:rsidR="001C0B41" w:rsidRDefault="001C0B41" w:rsidP="00083276">
      <w:pPr>
        <w:pStyle w:val="FootnoteText"/>
      </w:pPr>
      <w:r>
        <w:rPr>
          <w:rStyle w:val="FootnoteReference"/>
        </w:rPr>
        <w:footnoteRef/>
      </w:r>
      <w:r>
        <w:t xml:space="preserve"> </w:t>
      </w:r>
      <w:r>
        <w:tab/>
        <w:t xml:space="preserve">These projects are: </w:t>
      </w:r>
      <w:r w:rsidRPr="00DA6EB4">
        <w:rPr>
          <w:rStyle w:val="AERtextitalic"/>
        </w:rPr>
        <w:t>SAP Foundation</w:t>
      </w:r>
      <w:r>
        <w:t xml:space="preserve">, </w:t>
      </w:r>
      <w:r w:rsidRPr="00DA6EB4">
        <w:rPr>
          <w:rStyle w:val="AERtextitalic"/>
        </w:rPr>
        <w:t>Enterprise Mobility</w:t>
      </w:r>
      <w:r>
        <w:t xml:space="preserve">, </w:t>
      </w:r>
      <w:r w:rsidRPr="00DA6EB4">
        <w:rPr>
          <w:rStyle w:val="AERtextitalic"/>
        </w:rPr>
        <w:t>Business Intelligence Enablement</w:t>
      </w:r>
      <w:r>
        <w:t xml:space="preserve">, </w:t>
      </w:r>
      <w:r w:rsidRPr="00DA6EB4">
        <w:rPr>
          <w:rStyle w:val="AERtextitalic"/>
        </w:rPr>
        <w:t>Enterprise Information Management</w:t>
      </w:r>
      <w:r>
        <w:t xml:space="preserve">, </w:t>
      </w:r>
      <w:r w:rsidRPr="00DA6EB4">
        <w:rPr>
          <w:rStyle w:val="AERtextitalic"/>
        </w:rPr>
        <w:t>Enterprise Information Security</w:t>
      </w:r>
      <w:r>
        <w:t xml:space="preserve">, and </w:t>
      </w:r>
      <w:r w:rsidRPr="00DA6EB4">
        <w:rPr>
          <w:rStyle w:val="AERtextitalic"/>
        </w:rPr>
        <w:t>Risk, Governance and Compliance</w:t>
      </w:r>
      <w:r>
        <w:t>.</w:t>
      </w:r>
    </w:p>
  </w:footnote>
  <w:footnote w:id="273">
    <w:p w:rsidR="001C0B41" w:rsidRDefault="001C0B41" w:rsidP="00083276">
      <w:pPr>
        <w:pStyle w:val="FootnoteText"/>
      </w:pPr>
      <w:r>
        <w:rPr>
          <w:rStyle w:val="FootnoteReference"/>
        </w:rPr>
        <w:footnoteRef/>
      </w:r>
      <w:r>
        <w:t xml:space="preserve"> </w:t>
      </w:r>
      <w:r>
        <w:tab/>
        <w:t xml:space="preserve">Business SA, </w:t>
      </w:r>
      <w:r w:rsidRPr="00466A6D">
        <w:rPr>
          <w:rStyle w:val="AERtextitalic"/>
        </w:rPr>
        <w:t>Submission to the AER</w:t>
      </w:r>
      <w:r>
        <w:t>, January 2015, p. 18.</w:t>
      </w:r>
    </w:p>
  </w:footnote>
  <w:footnote w:id="274">
    <w:p w:rsidR="001C0B41" w:rsidRDefault="001C0B41" w:rsidP="00083276">
      <w:pPr>
        <w:pStyle w:val="FootnoteText"/>
      </w:pPr>
      <w:r>
        <w:rPr>
          <w:rStyle w:val="FootnoteReference"/>
        </w:rPr>
        <w:footnoteRef/>
      </w:r>
      <w:r>
        <w:t xml:space="preserve"> </w:t>
      </w:r>
      <w:r>
        <w:tab/>
        <w:t xml:space="preserve">SA Power Networks, </w:t>
      </w:r>
      <w:r w:rsidRPr="00B35571">
        <w:rPr>
          <w:rStyle w:val="AERtextitalic"/>
        </w:rPr>
        <w:t>Attachment 20.42 - IT Benefits Map</w:t>
      </w:r>
      <w:r>
        <w:t>, October 2014, pp. 6-8.</w:t>
      </w:r>
    </w:p>
  </w:footnote>
  <w:footnote w:id="275">
    <w:p w:rsidR="001C0B41" w:rsidRDefault="001C0B41" w:rsidP="00083276">
      <w:pPr>
        <w:pStyle w:val="FootnoteText"/>
      </w:pPr>
      <w:r>
        <w:rPr>
          <w:rStyle w:val="FootnoteReference"/>
        </w:rPr>
        <w:footnoteRef/>
      </w:r>
      <w:r>
        <w:t xml:space="preserve"> </w:t>
      </w:r>
      <w:r>
        <w:tab/>
        <w:t xml:space="preserve">Energy Users Association of Australia, </w:t>
      </w:r>
      <w:r w:rsidRPr="00E4654E">
        <w:rPr>
          <w:rStyle w:val="AERtextitalic"/>
        </w:rPr>
        <w:t>Submission to the AER</w:t>
      </w:r>
      <w:r>
        <w:t>, 30 January 2015, p. 9.</w:t>
      </w:r>
    </w:p>
  </w:footnote>
  <w:footnote w:id="276">
    <w:p w:rsidR="001C0B41" w:rsidRDefault="001C0B41" w:rsidP="00083276">
      <w:pPr>
        <w:pStyle w:val="FootnoteText"/>
      </w:pPr>
      <w:r>
        <w:rPr>
          <w:rStyle w:val="FootnoteReference"/>
        </w:rPr>
        <w:footnoteRef/>
      </w:r>
      <w:r>
        <w:t xml:space="preserve"> </w:t>
      </w:r>
      <w:r>
        <w:tab/>
        <w:t xml:space="preserve">SA Power Networks, </w:t>
      </w:r>
      <w:r w:rsidRPr="00B35571">
        <w:rPr>
          <w:rStyle w:val="AERtextitalic"/>
        </w:rPr>
        <w:t>Attachment 20.42 - IT Benefits Map</w:t>
      </w:r>
      <w:r>
        <w:t>, October 2014, p. 12.</w:t>
      </w:r>
    </w:p>
  </w:footnote>
  <w:footnote w:id="277">
    <w:p w:rsidR="001C0B41" w:rsidRDefault="001C0B41" w:rsidP="00083276">
      <w:pPr>
        <w:pStyle w:val="FootnoteText"/>
      </w:pPr>
      <w:r>
        <w:rPr>
          <w:rStyle w:val="FootnoteReference"/>
        </w:rPr>
        <w:footnoteRef/>
      </w:r>
      <w:r>
        <w:t xml:space="preserve"> </w:t>
      </w:r>
      <w:r>
        <w:tab/>
        <w:t xml:space="preserve">Business SA, </w:t>
      </w:r>
      <w:r w:rsidRPr="00466A6D">
        <w:rPr>
          <w:rStyle w:val="AERtextitalic"/>
        </w:rPr>
        <w:t>Submission to the AER</w:t>
      </w:r>
      <w:r>
        <w:t>, January 2015, p. 18.</w:t>
      </w:r>
    </w:p>
  </w:footnote>
  <w:footnote w:id="278">
    <w:p w:rsidR="001C0B41" w:rsidRDefault="001C0B41" w:rsidP="00083276">
      <w:pPr>
        <w:pStyle w:val="FootnoteText"/>
      </w:pPr>
      <w:r>
        <w:rPr>
          <w:rStyle w:val="FootnoteReference"/>
        </w:rPr>
        <w:footnoteRef/>
      </w:r>
      <w:r>
        <w:t xml:space="preserve"> </w:t>
      </w:r>
      <w:r>
        <w:tab/>
      </w:r>
      <w:r w:rsidRPr="00E11435">
        <w:t>Refer to the discussion on augmentation capex in this decision.</w:t>
      </w:r>
    </w:p>
  </w:footnote>
  <w:footnote w:id="279">
    <w:p w:rsidR="001C0B41" w:rsidRDefault="001C0B41" w:rsidP="00083276">
      <w:pPr>
        <w:pStyle w:val="FootnoteText"/>
      </w:pPr>
      <w:r>
        <w:rPr>
          <w:rStyle w:val="FootnoteReference"/>
        </w:rPr>
        <w:footnoteRef/>
      </w:r>
      <w:r>
        <w:t xml:space="preserve"> </w:t>
      </w:r>
      <w:r>
        <w:tab/>
        <w:t>NER, cl. 6.5.7(a).</w:t>
      </w:r>
    </w:p>
  </w:footnote>
  <w:footnote w:id="280">
    <w:p w:rsidR="001C0B41" w:rsidRDefault="001C0B41" w:rsidP="00083276">
      <w:pPr>
        <w:pStyle w:val="FootnoteText"/>
      </w:pPr>
      <w:r>
        <w:rPr>
          <w:rStyle w:val="FootnoteReference"/>
        </w:rPr>
        <w:footnoteRef/>
      </w:r>
      <w:r>
        <w:t xml:space="preserve"> </w:t>
      </w:r>
      <w:r>
        <w:tab/>
        <w:t>NER, clauses .6.5.7(c).</w:t>
      </w:r>
    </w:p>
  </w:footnote>
  <w:footnote w:id="281">
    <w:p w:rsidR="001C0B41" w:rsidRDefault="001C0B41" w:rsidP="00083276">
      <w:pPr>
        <w:pStyle w:val="FootnoteText"/>
      </w:pPr>
      <w:r>
        <w:rPr>
          <w:rStyle w:val="FootnoteReference"/>
        </w:rPr>
        <w:footnoteRef/>
      </w:r>
      <w:r>
        <w:t xml:space="preserve"> </w:t>
      </w:r>
      <w:r>
        <w:tab/>
        <w:t>NER, clauses .6.5.7(c).</w:t>
      </w:r>
    </w:p>
  </w:footnote>
  <w:footnote w:id="282">
    <w:p w:rsidR="001C0B41" w:rsidRDefault="001C0B41" w:rsidP="00083276">
      <w:pPr>
        <w:pStyle w:val="FootnoteText"/>
      </w:pPr>
      <w:r>
        <w:rPr>
          <w:rStyle w:val="FootnoteReference"/>
        </w:rPr>
        <w:footnoteRef/>
      </w:r>
      <w:r>
        <w:t xml:space="preserve"> </w:t>
      </w:r>
      <w:r>
        <w:tab/>
        <w:t xml:space="preserve">SA Power Networks, </w:t>
      </w:r>
      <w:r w:rsidRPr="000455AA">
        <w:rPr>
          <w:rStyle w:val="AERtextitalic"/>
        </w:rPr>
        <w:t>Regulatory proposal</w:t>
      </w:r>
      <w:r>
        <w:t>, October 2014, p. 238.</w:t>
      </w:r>
    </w:p>
  </w:footnote>
  <w:footnote w:id="283">
    <w:p w:rsidR="001C0B41" w:rsidRDefault="001C0B41" w:rsidP="00083276">
      <w:pPr>
        <w:pStyle w:val="FootnoteText"/>
      </w:pPr>
      <w:r>
        <w:rPr>
          <w:rStyle w:val="FootnoteReference"/>
        </w:rPr>
        <w:footnoteRef/>
      </w:r>
      <w:r>
        <w:t xml:space="preserve"> </w:t>
      </w:r>
      <w:r>
        <w:tab/>
        <w:t>NER, clauses .6.5.7(c)(1) and 6.5.7(c)(2).</w:t>
      </w:r>
    </w:p>
  </w:footnote>
  <w:footnote w:id="284">
    <w:p w:rsidR="001C0B41" w:rsidRDefault="001C0B41" w:rsidP="00083276">
      <w:pPr>
        <w:pStyle w:val="FootnoteText"/>
      </w:pPr>
      <w:r>
        <w:rPr>
          <w:rStyle w:val="FootnoteReference"/>
        </w:rPr>
        <w:footnoteRef/>
      </w:r>
      <w:r>
        <w:t xml:space="preserve"> </w:t>
      </w:r>
      <w:r>
        <w:tab/>
        <w:t xml:space="preserve">SA Power Networks, </w:t>
      </w:r>
      <w:r w:rsidRPr="00443BBB">
        <w:rPr>
          <w:rStyle w:val="AERtextitalic"/>
        </w:rPr>
        <w:t>Regulatory proposal</w:t>
      </w:r>
      <w:r>
        <w:t>, October 2014, p. 241.</w:t>
      </w:r>
    </w:p>
  </w:footnote>
  <w:footnote w:id="285">
    <w:p w:rsidR="001C0B41" w:rsidRDefault="001C0B41" w:rsidP="00083276">
      <w:pPr>
        <w:pStyle w:val="FootnoteText"/>
      </w:pPr>
      <w:r>
        <w:rPr>
          <w:rStyle w:val="FootnoteReference"/>
        </w:rPr>
        <w:footnoteRef/>
      </w:r>
      <w:r>
        <w:t xml:space="preserve"> </w:t>
      </w:r>
      <w:r>
        <w:tab/>
        <w:t>SA Power Networks</w:t>
      </w:r>
      <w:r w:rsidRPr="00443BBB">
        <w:t xml:space="preserve">, </w:t>
      </w:r>
      <w:r w:rsidRPr="00443BBB">
        <w:rPr>
          <w:rStyle w:val="AERtextitalic"/>
        </w:rPr>
        <w:t>Regulatory proposal</w:t>
      </w:r>
      <w:r w:rsidRPr="00443BBB">
        <w:t>, October 2014, pp. 240-241.</w:t>
      </w:r>
    </w:p>
  </w:footnote>
  <w:footnote w:id="286">
    <w:p w:rsidR="001C0B41" w:rsidRDefault="001C0B41" w:rsidP="00083276">
      <w:pPr>
        <w:pStyle w:val="FootnoteText"/>
      </w:pPr>
      <w:r>
        <w:rPr>
          <w:rStyle w:val="FootnoteReference"/>
        </w:rPr>
        <w:footnoteRef/>
      </w:r>
      <w:r>
        <w:t xml:space="preserve"> </w:t>
      </w:r>
      <w:r>
        <w:tab/>
        <w:t xml:space="preserve">SA Power Networks, </w:t>
      </w:r>
      <w:r w:rsidRPr="00382B10">
        <w:rPr>
          <w:rStyle w:val="AERtextitalic"/>
        </w:rPr>
        <w:t>Attachment 16.7 - Strategic Property Plan 2015-2020, September 2014</w:t>
      </w:r>
      <w:r>
        <w:t xml:space="preserve">, pp. 20-22 ; and MRS Property, </w:t>
      </w:r>
      <w:r w:rsidRPr="00382B10">
        <w:rPr>
          <w:rStyle w:val="AERtextitalic"/>
        </w:rPr>
        <w:t>Property Portfolio Review and Analysis 2015-2020</w:t>
      </w:r>
      <w:r>
        <w:t>, September 2014.</w:t>
      </w:r>
    </w:p>
  </w:footnote>
  <w:footnote w:id="287">
    <w:p w:rsidR="001C0B41" w:rsidRDefault="001C0B41" w:rsidP="00083276">
      <w:pPr>
        <w:pStyle w:val="FootnoteText"/>
      </w:pPr>
      <w:r>
        <w:rPr>
          <w:rStyle w:val="FootnoteReference"/>
        </w:rPr>
        <w:footnoteRef/>
      </w:r>
      <w:r>
        <w:t xml:space="preserve"> </w:t>
      </w:r>
      <w:r>
        <w:tab/>
        <w:t xml:space="preserve">MRS Property, </w:t>
      </w:r>
      <w:r w:rsidRPr="00382B10">
        <w:rPr>
          <w:rStyle w:val="AERtextitalic"/>
        </w:rPr>
        <w:t>Property Portfolio Review and Analysis 2015-2020</w:t>
      </w:r>
      <w:r>
        <w:t>, September 2014, p. 11.</w:t>
      </w:r>
    </w:p>
  </w:footnote>
  <w:footnote w:id="288">
    <w:p w:rsidR="001C0B41" w:rsidRDefault="001C0B41" w:rsidP="00083276">
      <w:pPr>
        <w:pStyle w:val="FootnoteText"/>
      </w:pPr>
      <w:r>
        <w:rPr>
          <w:rStyle w:val="FootnoteReference"/>
        </w:rPr>
        <w:footnoteRef/>
      </w:r>
      <w:r>
        <w:t xml:space="preserve"> </w:t>
      </w:r>
      <w:r>
        <w:tab/>
        <w:t xml:space="preserve">MRS Property, </w:t>
      </w:r>
      <w:r w:rsidRPr="00382B10">
        <w:rPr>
          <w:rStyle w:val="AERtextitalic"/>
        </w:rPr>
        <w:t>Property Portfolio Review and Analysis 2015-2020</w:t>
      </w:r>
      <w:r>
        <w:t>, September 2014, pp. 11-18.</w:t>
      </w:r>
    </w:p>
  </w:footnote>
  <w:footnote w:id="289">
    <w:p w:rsidR="001C0B41" w:rsidRDefault="001C0B41" w:rsidP="00083276">
      <w:pPr>
        <w:pStyle w:val="FootnoteText"/>
      </w:pPr>
      <w:r>
        <w:rPr>
          <w:rStyle w:val="FootnoteReference"/>
        </w:rPr>
        <w:footnoteRef/>
      </w:r>
      <w:r>
        <w:t xml:space="preserve"> </w:t>
      </w:r>
      <w:r>
        <w:tab/>
        <w:t xml:space="preserve">MRS Property, </w:t>
      </w:r>
      <w:r w:rsidRPr="00382B10">
        <w:rPr>
          <w:rStyle w:val="AERtextitalic"/>
        </w:rPr>
        <w:t>Property Portfolio Review and Analysis 2015-2020</w:t>
      </w:r>
      <w:r>
        <w:t>, September 2014, pp. 19-20.</w:t>
      </w:r>
    </w:p>
  </w:footnote>
  <w:footnote w:id="290">
    <w:p w:rsidR="001C0B41" w:rsidRDefault="001C0B41" w:rsidP="00083276">
      <w:pPr>
        <w:pStyle w:val="FootnoteText"/>
      </w:pPr>
      <w:r>
        <w:rPr>
          <w:rStyle w:val="FootnoteReference"/>
        </w:rPr>
        <w:footnoteRef/>
      </w:r>
      <w:r>
        <w:t xml:space="preserve"> </w:t>
      </w:r>
      <w:r>
        <w:tab/>
        <w:t>SA Power Networks</w:t>
      </w:r>
      <w:r w:rsidRPr="00443BBB">
        <w:t xml:space="preserve">, </w:t>
      </w:r>
      <w:r w:rsidRPr="00443BBB">
        <w:rPr>
          <w:rStyle w:val="AERtextitalic"/>
        </w:rPr>
        <w:t>Regulatory proposal</w:t>
      </w:r>
      <w:r w:rsidRPr="00443BBB">
        <w:t>, October 2014, p. 241.</w:t>
      </w:r>
    </w:p>
  </w:footnote>
  <w:footnote w:id="291">
    <w:p w:rsidR="001C0B41" w:rsidRDefault="001C0B41" w:rsidP="00083276">
      <w:pPr>
        <w:pStyle w:val="FootnoteText"/>
      </w:pPr>
      <w:r>
        <w:rPr>
          <w:rStyle w:val="FootnoteReference"/>
        </w:rPr>
        <w:footnoteRef/>
      </w:r>
      <w:r>
        <w:t xml:space="preserve"> </w:t>
      </w:r>
      <w:r>
        <w:tab/>
        <w:t xml:space="preserve">MRS Property, </w:t>
      </w:r>
      <w:r w:rsidRPr="00382B10">
        <w:rPr>
          <w:rStyle w:val="AERtextitalic"/>
        </w:rPr>
        <w:t>Property Portfolio Review and Analysis 2015-2020</w:t>
      </w:r>
      <w:r>
        <w:t>, September 2014, pp. 19-20.</w:t>
      </w:r>
    </w:p>
  </w:footnote>
  <w:footnote w:id="292">
    <w:p w:rsidR="001C0B41" w:rsidRDefault="001C0B41" w:rsidP="00083276">
      <w:pPr>
        <w:pStyle w:val="FootnoteText"/>
      </w:pPr>
      <w:r>
        <w:rPr>
          <w:rStyle w:val="FootnoteReference"/>
        </w:rPr>
        <w:footnoteRef/>
      </w:r>
      <w:r>
        <w:t xml:space="preserve"> </w:t>
      </w:r>
      <w:r>
        <w:tab/>
        <w:t>NER, clauses .6.5.7(c)(1) and 6.5.7(c)(2).</w:t>
      </w:r>
    </w:p>
  </w:footnote>
  <w:footnote w:id="293">
    <w:p w:rsidR="001C0B41" w:rsidRDefault="001C0B41" w:rsidP="00083276">
      <w:pPr>
        <w:pStyle w:val="FootnoteText"/>
      </w:pPr>
      <w:r>
        <w:rPr>
          <w:rStyle w:val="FootnoteReference"/>
        </w:rPr>
        <w:footnoteRef/>
      </w:r>
      <w:r>
        <w:t xml:space="preserve"> </w:t>
      </w:r>
      <w:r>
        <w:tab/>
        <w:t xml:space="preserve">SA Power Networks, </w:t>
      </w:r>
      <w:r w:rsidRPr="003928DB">
        <w:rPr>
          <w:rStyle w:val="AERtextitalic"/>
        </w:rPr>
        <w:t>Regulatory proposal</w:t>
      </w:r>
      <w:r>
        <w:t xml:space="preserve"> </w:t>
      </w:r>
      <w:r>
        <w:rPr>
          <w:rStyle w:val="AERtextitalic"/>
        </w:rPr>
        <w:t>a</w:t>
      </w:r>
      <w:r w:rsidRPr="00AB363C">
        <w:rPr>
          <w:rStyle w:val="AERtextitalic"/>
        </w:rPr>
        <w:t>ttachment</w:t>
      </w:r>
      <w:r>
        <w:rPr>
          <w:rStyle w:val="AERtextitalic"/>
        </w:rPr>
        <w:t>s 21.50a - 21.50h</w:t>
      </w:r>
      <w:r>
        <w:t>, October 2014.</w:t>
      </w:r>
    </w:p>
  </w:footnote>
  <w:footnote w:id="294">
    <w:p w:rsidR="001C0B41" w:rsidRDefault="001C0B41" w:rsidP="00083276">
      <w:pPr>
        <w:pStyle w:val="FootnoteText"/>
      </w:pPr>
      <w:r>
        <w:rPr>
          <w:rStyle w:val="FootnoteReference"/>
        </w:rPr>
        <w:footnoteRef/>
      </w:r>
      <w:r>
        <w:t xml:space="preserve"> </w:t>
      </w:r>
      <w:r>
        <w:tab/>
        <w:t>The Nuriootpa business case (</w:t>
      </w:r>
      <w:r w:rsidRPr="00AB363C">
        <w:rPr>
          <w:rStyle w:val="AERtextitalic"/>
        </w:rPr>
        <w:t>Attachment 21.50g - Business Case Nuriootpa</w:t>
      </w:r>
      <w:r>
        <w:t>) is the only business case which formally considers a 'do-nothing' option of minimal maintenance and refurbishment.</w:t>
      </w:r>
    </w:p>
  </w:footnote>
  <w:footnote w:id="295">
    <w:p w:rsidR="001C0B41" w:rsidRDefault="001C0B41" w:rsidP="00083276">
      <w:pPr>
        <w:pStyle w:val="FootnoteText"/>
      </w:pPr>
      <w:r>
        <w:rPr>
          <w:rStyle w:val="FootnoteReference"/>
        </w:rPr>
        <w:footnoteRef/>
      </w:r>
      <w:r>
        <w:t xml:space="preserve"> </w:t>
      </w:r>
      <w:r>
        <w:tab/>
        <w:t>The business cases only identify the benefits of the preferred option</w:t>
      </w:r>
    </w:p>
  </w:footnote>
  <w:footnote w:id="296">
    <w:p w:rsidR="001C0B41" w:rsidRDefault="001C0B41" w:rsidP="00083276">
      <w:pPr>
        <w:pStyle w:val="FootnoteText"/>
      </w:pPr>
      <w:r>
        <w:rPr>
          <w:rStyle w:val="FootnoteReference"/>
        </w:rPr>
        <w:footnoteRef/>
      </w:r>
      <w:r>
        <w:t xml:space="preserve"> </w:t>
      </w:r>
      <w:r>
        <w:tab/>
        <w:t xml:space="preserve">AER, </w:t>
      </w:r>
      <w:r w:rsidRPr="00BC4591">
        <w:rPr>
          <w:rStyle w:val="AERtextitalic"/>
        </w:rPr>
        <w:t xml:space="preserve">Information request AER </w:t>
      </w:r>
      <w:r>
        <w:rPr>
          <w:rStyle w:val="AERtextitalic"/>
        </w:rPr>
        <w:t>SA Power Networks</w:t>
      </w:r>
      <w:r w:rsidRPr="00BC4591">
        <w:rPr>
          <w:rStyle w:val="AERtextitalic"/>
        </w:rPr>
        <w:t xml:space="preserve"> 013</w:t>
      </w:r>
      <w:r>
        <w:t>, 19 December 2014.</w:t>
      </w:r>
    </w:p>
  </w:footnote>
  <w:footnote w:id="297">
    <w:p w:rsidR="001C0B41" w:rsidRDefault="001C0B41" w:rsidP="00083276">
      <w:pPr>
        <w:pStyle w:val="FootnoteText"/>
      </w:pPr>
      <w:r>
        <w:rPr>
          <w:rStyle w:val="FootnoteReference"/>
        </w:rPr>
        <w:footnoteRef/>
      </w:r>
      <w:r>
        <w:t xml:space="preserve"> </w:t>
      </w:r>
      <w:r>
        <w:tab/>
        <w:t xml:space="preserve">SA Power Networks, </w:t>
      </w:r>
      <w:r w:rsidRPr="00BC4591">
        <w:rPr>
          <w:rStyle w:val="AERtextitalic"/>
        </w:rPr>
        <w:t xml:space="preserve">Response to Information Request AER </w:t>
      </w:r>
      <w:r>
        <w:rPr>
          <w:rStyle w:val="AERtextitalic"/>
        </w:rPr>
        <w:t>SA Power Networks</w:t>
      </w:r>
      <w:r w:rsidRPr="00BC4591">
        <w:rPr>
          <w:rStyle w:val="AERtextitalic"/>
        </w:rPr>
        <w:t xml:space="preserve"> 013</w:t>
      </w:r>
      <w:r>
        <w:t>, 19 January 2015.</w:t>
      </w:r>
    </w:p>
  </w:footnote>
  <w:footnote w:id="298">
    <w:p w:rsidR="001C0B41" w:rsidRDefault="001C0B41" w:rsidP="00083276">
      <w:pPr>
        <w:pStyle w:val="FootnoteText"/>
      </w:pPr>
      <w:r>
        <w:rPr>
          <w:rStyle w:val="FootnoteReference"/>
        </w:rPr>
        <w:footnoteRef/>
      </w:r>
      <w:r>
        <w:t xml:space="preserve"> </w:t>
      </w:r>
      <w:r>
        <w:tab/>
        <w:t xml:space="preserve">For example, the </w:t>
      </w:r>
      <w:r w:rsidRPr="00381BFF">
        <w:rPr>
          <w:rStyle w:val="AERtextitalic"/>
        </w:rPr>
        <w:t xml:space="preserve">Clare </w:t>
      </w:r>
      <w:r>
        <w:rPr>
          <w:rStyle w:val="AERtextitalic"/>
        </w:rPr>
        <w:t xml:space="preserve">Depot Site Assessment </w:t>
      </w:r>
      <w:r>
        <w:t>is six pages long and contains 29 photographs and 18 dot points.</w:t>
      </w:r>
    </w:p>
  </w:footnote>
  <w:footnote w:id="299">
    <w:p w:rsidR="001C0B41" w:rsidRDefault="001C0B41" w:rsidP="00083276">
      <w:pPr>
        <w:pStyle w:val="FootnoteText"/>
      </w:pPr>
      <w:r>
        <w:rPr>
          <w:rStyle w:val="FootnoteReference"/>
        </w:rPr>
        <w:footnoteRef/>
      </w:r>
      <w:r>
        <w:t xml:space="preserve"> </w:t>
      </w:r>
      <w:r>
        <w:tab/>
        <w:t xml:space="preserve">SA Power Networks, </w:t>
      </w:r>
      <w:r w:rsidRPr="00443BBB">
        <w:rPr>
          <w:rStyle w:val="AERtextitalic"/>
        </w:rPr>
        <w:t>Regulatory proposal</w:t>
      </w:r>
      <w:r w:rsidRPr="00443BBB">
        <w:t>, October 2014, p. 241.</w:t>
      </w:r>
    </w:p>
  </w:footnote>
  <w:footnote w:id="300">
    <w:p w:rsidR="001C0B41" w:rsidRDefault="001C0B41" w:rsidP="00083276">
      <w:pPr>
        <w:pStyle w:val="FootnoteText"/>
      </w:pPr>
      <w:r>
        <w:rPr>
          <w:rStyle w:val="FootnoteReference"/>
        </w:rPr>
        <w:footnoteRef/>
      </w:r>
      <w:r>
        <w:t xml:space="preserve"> </w:t>
      </w:r>
      <w:r>
        <w:tab/>
        <w:t>NER, cl. 6.5.7(e)(5).</w:t>
      </w:r>
    </w:p>
  </w:footnote>
  <w:footnote w:id="301">
    <w:p w:rsidR="001C0B41" w:rsidRDefault="001C0B41" w:rsidP="00083276">
      <w:pPr>
        <w:pStyle w:val="FootnoteText"/>
      </w:pPr>
      <w:r>
        <w:rPr>
          <w:rStyle w:val="FootnoteReference"/>
        </w:rPr>
        <w:footnoteRef/>
      </w:r>
      <w:r>
        <w:t xml:space="preserve"> </w:t>
      </w:r>
      <w:r>
        <w:tab/>
        <w:t xml:space="preserve">SA Power Networks, </w:t>
      </w:r>
      <w:r w:rsidRPr="00443BBB">
        <w:rPr>
          <w:rStyle w:val="AERtextitalic"/>
        </w:rPr>
        <w:t>Regulatory proposal</w:t>
      </w:r>
      <w:r>
        <w:t>, October 2014, p. 240</w:t>
      </w:r>
      <w:r w:rsidRPr="00443BBB">
        <w:t>.</w:t>
      </w:r>
    </w:p>
  </w:footnote>
  <w:footnote w:id="302">
    <w:p w:rsidR="001C0B41" w:rsidRDefault="001C0B41" w:rsidP="00083276">
      <w:pPr>
        <w:pStyle w:val="FootnoteText"/>
      </w:pPr>
      <w:r>
        <w:rPr>
          <w:rStyle w:val="FootnoteReference"/>
        </w:rPr>
        <w:footnoteRef/>
      </w:r>
      <w:r>
        <w:t xml:space="preserve"> </w:t>
      </w:r>
      <w:r>
        <w:tab/>
        <w:t xml:space="preserve">SA Power Networks, </w:t>
      </w:r>
      <w:r w:rsidRPr="00443BBB">
        <w:rPr>
          <w:rStyle w:val="AERtextitalic"/>
        </w:rPr>
        <w:t>Regulatory proposal</w:t>
      </w:r>
      <w:r>
        <w:t>, October 2014, p. 240</w:t>
      </w:r>
      <w:r w:rsidRPr="00443BBB">
        <w:t>.</w:t>
      </w:r>
      <w:r>
        <w:t xml:space="preserve"> SA Power Networks has proposed to complete the Seaford depot in 2016-17, but has not submitted </w:t>
      </w:r>
      <w:r w:rsidRPr="00C6365F">
        <w:t xml:space="preserve">evidence relating to </w:t>
      </w:r>
      <w:r>
        <w:t xml:space="preserve">historical or forecast </w:t>
      </w:r>
      <w:r w:rsidRPr="00C6365F">
        <w:t>housing development growth</w:t>
      </w:r>
      <w:r>
        <w:t>.</w:t>
      </w:r>
    </w:p>
  </w:footnote>
  <w:footnote w:id="303">
    <w:p w:rsidR="001C0B41" w:rsidRDefault="001C0B41" w:rsidP="00083276">
      <w:pPr>
        <w:pStyle w:val="FootnoteText"/>
      </w:pPr>
      <w:r>
        <w:rPr>
          <w:rStyle w:val="FootnoteReference"/>
        </w:rPr>
        <w:footnoteRef/>
      </w:r>
      <w:r>
        <w:t xml:space="preserve"> </w:t>
      </w:r>
      <w:r>
        <w:tab/>
        <w:t>NER, clauses .6.5.7(c)(1) and 6.5.7(c)(2).</w:t>
      </w:r>
    </w:p>
  </w:footnote>
  <w:footnote w:id="304">
    <w:p w:rsidR="001C0B41" w:rsidRDefault="001C0B41" w:rsidP="00083276">
      <w:pPr>
        <w:pStyle w:val="FootnoteText"/>
      </w:pPr>
      <w:r>
        <w:rPr>
          <w:rStyle w:val="FootnoteReference"/>
        </w:rPr>
        <w:footnoteRef/>
      </w:r>
      <w:r>
        <w:t xml:space="preserve"> </w:t>
      </w:r>
      <w:r>
        <w:tab/>
        <w:t xml:space="preserve">SA Power Networks, </w:t>
      </w:r>
      <w:r w:rsidRPr="000912AE">
        <w:rPr>
          <w:rStyle w:val="AERtextitalic"/>
        </w:rPr>
        <w:t>Revenue proposal</w:t>
      </w:r>
      <w:r>
        <w:t>, October 2015, p. 241. SA Power Networks 's post tax revenue model included forecast capex for motor vehicles assets of $142.9 million ($2014-15).</w:t>
      </w:r>
    </w:p>
  </w:footnote>
  <w:footnote w:id="305">
    <w:p w:rsidR="001C0B41" w:rsidRDefault="001C0B41" w:rsidP="00083276">
      <w:pPr>
        <w:pStyle w:val="FootnoteText"/>
      </w:pPr>
      <w:r>
        <w:rPr>
          <w:rStyle w:val="FootnoteReference"/>
        </w:rPr>
        <w:footnoteRef/>
      </w:r>
      <w:r>
        <w:t xml:space="preserve"> </w:t>
      </w:r>
      <w:r>
        <w:tab/>
        <w:t xml:space="preserve">SA Power Networks, </w:t>
      </w:r>
      <w:r w:rsidRPr="00500C52">
        <w:rPr>
          <w:rStyle w:val="AERtextitalic"/>
        </w:rPr>
        <w:t xml:space="preserve">Revenue Proposal, </w:t>
      </w:r>
      <w:hyperlink r:id="rId2" w:history="1">
        <w:r>
          <w:rPr>
            <w:rStyle w:val="AERtextitalic"/>
          </w:rPr>
          <w:t>SA Power Networks</w:t>
        </w:r>
        <w:r w:rsidRPr="00500C52">
          <w:rPr>
            <w:rStyle w:val="AERtextitalic"/>
          </w:rPr>
          <w:t xml:space="preserve"> - 20.26 PUBLIC - Strategic Fleet Plan 2015-2020</w:t>
        </w:r>
      </w:hyperlink>
      <w:r>
        <w:t>, October 2015, p. 4.</w:t>
      </w:r>
    </w:p>
  </w:footnote>
  <w:footnote w:id="306">
    <w:p w:rsidR="001C0B41" w:rsidRDefault="001C0B41" w:rsidP="00083276">
      <w:pPr>
        <w:pStyle w:val="FootnoteText"/>
      </w:pPr>
      <w:r>
        <w:rPr>
          <w:rStyle w:val="FootnoteReference"/>
        </w:rPr>
        <w:footnoteRef/>
      </w:r>
      <w:r>
        <w:t xml:space="preserve"> </w:t>
      </w:r>
      <w:r>
        <w:tab/>
        <w:t xml:space="preserve">SA Power Networks, </w:t>
      </w:r>
      <w:r w:rsidRPr="00500C52">
        <w:rPr>
          <w:rStyle w:val="AERtextitalic"/>
        </w:rPr>
        <w:t xml:space="preserve">Revenue Proposal, </w:t>
      </w:r>
      <w:hyperlink r:id="rId3" w:history="1">
        <w:r>
          <w:rPr>
            <w:rStyle w:val="AERtextitalic"/>
          </w:rPr>
          <w:t>SA Power Networks</w:t>
        </w:r>
        <w:r w:rsidRPr="00500C52">
          <w:rPr>
            <w:rStyle w:val="AERtextitalic"/>
          </w:rPr>
          <w:t xml:space="preserve"> - 20.26 PUBLIC - Strategic Fleet Plan 2015-2020</w:t>
        </w:r>
      </w:hyperlink>
      <w:r>
        <w:t>, October 2015, p. 20.</w:t>
      </w:r>
    </w:p>
  </w:footnote>
  <w:footnote w:id="307">
    <w:p w:rsidR="001C0B41" w:rsidRDefault="001C0B41" w:rsidP="00083276">
      <w:pPr>
        <w:pStyle w:val="FootnoteText"/>
      </w:pPr>
      <w:r>
        <w:rPr>
          <w:rStyle w:val="FootnoteReference"/>
        </w:rPr>
        <w:footnoteRef/>
      </w:r>
      <w:r>
        <w:t xml:space="preserve"> </w:t>
      </w:r>
      <w:r>
        <w:tab/>
        <w:t>SA Power Networks</w:t>
      </w:r>
      <w:r w:rsidRPr="00546E4B">
        <w:t xml:space="preserve">, </w:t>
      </w:r>
      <w:r w:rsidRPr="00546E4B">
        <w:rPr>
          <w:rStyle w:val="AERtextitalic"/>
        </w:rPr>
        <w:t>Revenue proposal</w:t>
      </w:r>
      <w:r w:rsidRPr="00546E4B">
        <w:t>, October 2015, p. 24</w:t>
      </w:r>
      <w:r>
        <w:t>4</w:t>
      </w:r>
      <w:r w:rsidRPr="00546E4B">
        <w:t>.</w:t>
      </w:r>
    </w:p>
  </w:footnote>
  <w:footnote w:id="308">
    <w:p w:rsidR="001C0B41" w:rsidRDefault="001C0B41" w:rsidP="00083276">
      <w:pPr>
        <w:pStyle w:val="FootnoteText"/>
      </w:pPr>
      <w:r>
        <w:rPr>
          <w:rStyle w:val="FootnoteReference"/>
        </w:rPr>
        <w:footnoteRef/>
      </w:r>
      <w:r>
        <w:t xml:space="preserve"> </w:t>
      </w:r>
      <w:r>
        <w:tab/>
        <w:t>SA Power Networks</w:t>
      </w:r>
      <w:r w:rsidRPr="00546E4B">
        <w:t xml:space="preserve">, </w:t>
      </w:r>
      <w:r w:rsidRPr="00546E4B">
        <w:rPr>
          <w:rStyle w:val="AERtextitalic"/>
        </w:rPr>
        <w:t xml:space="preserve">Revenue Proposal, </w:t>
      </w:r>
      <w:hyperlink r:id="rId4" w:history="1">
        <w:r>
          <w:rPr>
            <w:rStyle w:val="AERtextitalic"/>
          </w:rPr>
          <w:t>SA Power Networks</w:t>
        </w:r>
        <w:r w:rsidRPr="00546E4B">
          <w:rPr>
            <w:rStyle w:val="AERtextitalic"/>
          </w:rPr>
          <w:t xml:space="preserve"> - 20.26 PUBLIC - Strategic Fleet Plan 2015-2020</w:t>
        </w:r>
      </w:hyperlink>
      <w:r w:rsidRPr="00546E4B">
        <w:t xml:space="preserve">, October 2015, p. </w:t>
      </w:r>
      <w:r>
        <w:t>15.</w:t>
      </w:r>
    </w:p>
  </w:footnote>
  <w:footnote w:id="309">
    <w:p w:rsidR="001C0B41" w:rsidRDefault="001C0B41" w:rsidP="00083276">
      <w:pPr>
        <w:pStyle w:val="FootnoteText"/>
      </w:pPr>
      <w:r>
        <w:rPr>
          <w:rStyle w:val="FootnoteReference"/>
        </w:rPr>
        <w:footnoteRef/>
      </w:r>
      <w:r>
        <w:t xml:space="preserve"> </w:t>
      </w:r>
      <w:r>
        <w:tab/>
        <w:t>SA Power Networks</w:t>
      </w:r>
      <w:r w:rsidRPr="00546E4B">
        <w:t xml:space="preserve">, </w:t>
      </w:r>
      <w:r w:rsidRPr="00546E4B">
        <w:rPr>
          <w:rStyle w:val="AERtextitalic"/>
        </w:rPr>
        <w:t xml:space="preserve">Revenue Proposal, </w:t>
      </w:r>
      <w:hyperlink r:id="rId5" w:history="1">
        <w:r>
          <w:rPr>
            <w:rStyle w:val="AERtextitalic"/>
          </w:rPr>
          <w:t>SA Power Networks</w:t>
        </w:r>
        <w:r w:rsidRPr="00546E4B">
          <w:rPr>
            <w:rStyle w:val="AERtextitalic"/>
          </w:rPr>
          <w:t xml:space="preserve"> - 20.26 PUBLIC - Strategic Fleet Plan 2015-2020</w:t>
        </w:r>
      </w:hyperlink>
      <w:r w:rsidRPr="00546E4B">
        <w:t xml:space="preserve">, October 2015, p. </w:t>
      </w:r>
      <w:r>
        <w:t>19</w:t>
      </w:r>
      <w:r w:rsidRPr="00546E4B">
        <w:t>.</w:t>
      </w:r>
    </w:p>
  </w:footnote>
  <w:footnote w:id="310">
    <w:p w:rsidR="001C0B41" w:rsidRDefault="001C0B41" w:rsidP="00083276">
      <w:pPr>
        <w:pStyle w:val="FootnoteText"/>
      </w:pPr>
      <w:r>
        <w:rPr>
          <w:rStyle w:val="FootnoteReference"/>
        </w:rPr>
        <w:footnoteRef/>
      </w:r>
      <w:r>
        <w:t xml:space="preserve"> </w:t>
      </w:r>
      <w:r>
        <w:tab/>
        <w:t>SA Power Networks</w:t>
      </w:r>
      <w:r w:rsidRPr="008E6F80">
        <w:t xml:space="preserve">, </w:t>
      </w:r>
      <w:r w:rsidRPr="008E6F80">
        <w:rPr>
          <w:rStyle w:val="AERtextitalic"/>
        </w:rPr>
        <w:t xml:space="preserve">Revenue Proposal, </w:t>
      </w:r>
      <w:hyperlink r:id="rId6" w:history="1">
        <w:r>
          <w:rPr>
            <w:rStyle w:val="AERtextitalic"/>
          </w:rPr>
          <w:t>SA Power Networks</w:t>
        </w:r>
        <w:r w:rsidRPr="008E6F80">
          <w:rPr>
            <w:rStyle w:val="AERtextitalic"/>
          </w:rPr>
          <w:t xml:space="preserve"> - 20.26 PUBLIC - Strategic Fleet Plan 2015-2020</w:t>
        </w:r>
      </w:hyperlink>
      <w:r w:rsidRPr="008E6F80">
        <w:t>, October 2015, p. 2</w:t>
      </w:r>
      <w:r>
        <w:t>1</w:t>
      </w:r>
      <w:r w:rsidRPr="008E6F80">
        <w:t>.</w:t>
      </w:r>
    </w:p>
  </w:footnote>
  <w:footnote w:id="311">
    <w:p w:rsidR="001C0B41" w:rsidRDefault="001C0B41" w:rsidP="00083276">
      <w:pPr>
        <w:pStyle w:val="FootnoteText"/>
      </w:pPr>
      <w:r>
        <w:rPr>
          <w:rStyle w:val="FootnoteReference"/>
        </w:rPr>
        <w:footnoteRef/>
      </w:r>
      <w:r>
        <w:t xml:space="preserve"> </w:t>
      </w:r>
      <w:r>
        <w:tab/>
        <w:t>SA Power Networks</w:t>
      </w:r>
      <w:r w:rsidRPr="008E6F80">
        <w:t xml:space="preserve">, </w:t>
      </w:r>
      <w:r w:rsidRPr="008E6F80">
        <w:rPr>
          <w:rStyle w:val="AERtextitalic"/>
        </w:rPr>
        <w:t xml:space="preserve">Revenue Proposal, </w:t>
      </w:r>
      <w:hyperlink r:id="rId7" w:history="1">
        <w:r>
          <w:rPr>
            <w:rStyle w:val="AERtextitalic"/>
          </w:rPr>
          <w:t>SA Power Networks</w:t>
        </w:r>
        <w:r w:rsidRPr="008E6F80">
          <w:rPr>
            <w:rStyle w:val="AERtextitalic"/>
          </w:rPr>
          <w:t xml:space="preserve"> - 20.26 PUBLIC - Strategic Fleet Plan 2015-2020</w:t>
        </w:r>
      </w:hyperlink>
      <w:r w:rsidRPr="008E6F80">
        <w:t xml:space="preserve">, October 2015, p. </w:t>
      </w:r>
      <w:r>
        <w:t>14</w:t>
      </w:r>
      <w:r w:rsidRPr="008E6F80">
        <w:t>.</w:t>
      </w:r>
    </w:p>
  </w:footnote>
  <w:footnote w:id="312">
    <w:p w:rsidR="001C0B41" w:rsidRDefault="001C0B41" w:rsidP="00083276">
      <w:pPr>
        <w:pStyle w:val="FootnoteText"/>
      </w:pPr>
      <w:r>
        <w:rPr>
          <w:rStyle w:val="FootnoteReference"/>
        </w:rPr>
        <w:footnoteRef/>
      </w:r>
      <w:r>
        <w:t xml:space="preserve"> </w:t>
      </w:r>
      <w:r>
        <w:tab/>
        <w:t>SA Power Networks</w:t>
      </w:r>
      <w:r w:rsidRPr="008E6F80">
        <w:t xml:space="preserve">, </w:t>
      </w:r>
      <w:r w:rsidRPr="008E6F80">
        <w:rPr>
          <w:rStyle w:val="AERtextitalic"/>
        </w:rPr>
        <w:t xml:space="preserve">Revenue Proposal, </w:t>
      </w:r>
      <w:hyperlink r:id="rId8" w:history="1">
        <w:r>
          <w:rPr>
            <w:rStyle w:val="AERtextitalic"/>
          </w:rPr>
          <w:t>SA Power Networks</w:t>
        </w:r>
        <w:r w:rsidRPr="008E6F80">
          <w:rPr>
            <w:rStyle w:val="AERtextitalic"/>
          </w:rPr>
          <w:t xml:space="preserve"> - 20.26 PUBLIC - Strategic Fleet Plan 2015-2020</w:t>
        </w:r>
      </w:hyperlink>
      <w:r w:rsidRPr="008E6F80">
        <w:t xml:space="preserve">, October 2015, p. </w:t>
      </w:r>
      <w:r>
        <w:t>22</w:t>
      </w:r>
      <w:r w:rsidRPr="008E6F80">
        <w:t>.</w:t>
      </w:r>
    </w:p>
  </w:footnote>
  <w:footnote w:id="313">
    <w:p w:rsidR="001C0B41" w:rsidRDefault="001C0B41" w:rsidP="00083276">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SA Power Networks 009 - fleet</w:t>
      </w:r>
      <w:r>
        <w:t>, 16 January 2015.</w:t>
      </w:r>
    </w:p>
  </w:footnote>
  <w:footnote w:id="314">
    <w:p w:rsidR="001C0B41" w:rsidRDefault="001C0B41" w:rsidP="00083276">
      <w:pPr>
        <w:pStyle w:val="FootnoteText"/>
      </w:pPr>
      <w:r>
        <w:rPr>
          <w:rStyle w:val="FootnoteReference"/>
        </w:rPr>
        <w:footnoteRef/>
      </w:r>
      <w:r>
        <w:t xml:space="preserve"> </w:t>
      </w:r>
      <w:r>
        <w:tab/>
      </w:r>
      <w:r w:rsidRPr="0014197E">
        <w:t xml:space="preserve">AER, </w:t>
      </w:r>
      <w:r w:rsidRPr="0014197E">
        <w:rPr>
          <w:rStyle w:val="AERtextitalic"/>
        </w:rPr>
        <w:t xml:space="preserve">Information request </w:t>
      </w:r>
      <w:r>
        <w:rPr>
          <w:rStyle w:val="AERtextitalic"/>
        </w:rPr>
        <w:t>SA Power Networks</w:t>
      </w:r>
      <w:r w:rsidRPr="0014197E">
        <w:rPr>
          <w:rStyle w:val="AERtextitalic"/>
        </w:rPr>
        <w:t xml:space="preserve"> 009 - fleet</w:t>
      </w:r>
      <w:r w:rsidRPr="0014197E">
        <w:t>, 16 January 2015.</w:t>
      </w:r>
    </w:p>
  </w:footnote>
  <w:footnote w:id="315">
    <w:p w:rsidR="001C0B41" w:rsidRDefault="001C0B41" w:rsidP="00083276">
      <w:pPr>
        <w:pStyle w:val="FootnoteText"/>
      </w:pPr>
      <w:r>
        <w:rPr>
          <w:rStyle w:val="FootnoteReference"/>
        </w:rPr>
        <w:footnoteRef/>
      </w:r>
      <w:r>
        <w:t xml:space="preserve"> </w:t>
      </w:r>
      <w:r>
        <w:tab/>
      </w:r>
      <w:r w:rsidRPr="0014197E">
        <w:t xml:space="preserve">AER, </w:t>
      </w:r>
      <w:r w:rsidRPr="0014197E">
        <w:rPr>
          <w:rStyle w:val="AERtextitalic"/>
        </w:rPr>
        <w:t xml:space="preserve">Information request </w:t>
      </w:r>
      <w:r>
        <w:rPr>
          <w:rStyle w:val="AERtextitalic"/>
        </w:rPr>
        <w:t>SA Power Networks</w:t>
      </w:r>
      <w:r w:rsidRPr="0014197E">
        <w:rPr>
          <w:rStyle w:val="AERtextitalic"/>
        </w:rPr>
        <w:t xml:space="preserve"> 009 - fleet</w:t>
      </w:r>
      <w:r w:rsidRPr="00AC43EB">
        <w:rPr>
          <w:rStyle w:val="AERtextitalic"/>
        </w:rPr>
        <w:t>, CONFID Fleet Analysis Model.xlsx (Confidential)</w:t>
      </w:r>
      <w:r>
        <w:t>, 1</w:t>
      </w:r>
      <w:r w:rsidRPr="0014197E">
        <w:t>6 January 2015.</w:t>
      </w:r>
    </w:p>
  </w:footnote>
  <w:footnote w:id="316">
    <w:p w:rsidR="001C0B41" w:rsidRDefault="001C0B41" w:rsidP="00083276">
      <w:pPr>
        <w:pStyle w:val="FootnoteText"/>
      </w:pPr>
      <w:r>
        <w:rPr>
          <w:rStyle w:val="FootnoteReference"/>
        </w:rPr>
        <w:footnoteRef/>
      </w:r>
      <w:r>
        <w:t xml:space="preserve"> </w:t>
      </w:r>
      <w:r>
        <w:tab/>
      </w:r>
      <w:r w:rsidRPr="00D83AAA">
        <w:t xml:space="preserve">AER, </w:t>
      </w:r>
      <w:r w:rsidRPr="00D83AAA">
        <w:rPr>
          <w:rStyle w:val="AERtextitalic"/>
        </w:rPr>
        <w:t xml:space="preserve">Information request </w:t>
      </w:r>
      <w:r>
        <w:rPr>
          <w:rStyle w:val="AERtextitalic"/>
        </w:rPr>
        <w:t>SA Power Networks</w:t>
      </w:r>
      <w:r w:rsidRPr="00D83AAA">
        <w:rPr>
          <w:rStyle w:val="AERtextitalic"/>
        </w:rPr>
        <w:t xml:space="preserve"> 009 - fleet</w:t>
      </w:r>
      <w:r w:rsidRPr="00D83AAA">
        <w:t>, 16 January 2015.</w:t>
      </w:r>
    </w:p>
  </w:footnote>
  <w:footnote w:id="317">
    <w:p w:rsidR="001C0B41" w:rsidRDefault="001C0B41" w:rsidP="00083276">
      <w:pPr>
        <w:pStyle w:val="FootnoteText"/>
      </w:pPr>
      <w:r>
        <w:rPr>
          <w:rStyle w:val="FootnoteReference"/>
        </w:rPr>
        <w:footnoteRef/>
      </w:r>
      <w:r>
        <w:t xml:space="preserve"> </w:t>
      </w:r>
      <w:r>
        <w:tab/>
        <w:t>SA Power Networks</w:t>
      </w:r>
      <w:r w:rsidRPr="00546E4B">
        <w:t xml:space="preserve">, </w:t>
      </w:r>
      <w:r w:rsidRPr="00546E4B">
        <w:rPr>
          <w:rStyle w:val="AERtextitalic"/>
        </w:rPr>
        <w:t xml:space="preserve">Revenue Proposal, </w:t>
      </w:r>
      <w:hyperlink r:id="rId9" w:history="1">
        <w:r>
          <w:rPr>
            <w:rStyle w:val="AERtextitalic"/>
          </w:rPr>
          <w:t>SA Power Networks</w:t>
        </w:r>
        <w:r w:rsidRPr="00FE287C">
          <w:rPr>
            <w:rStyle w:val="AERtextitalic"/>
          </w:rPr>
          <w:t xml:space="preserve"> - RESET RIN 2015-20 PUBLIC</w:t>
        </w:r>
      </w:hyperlink>
      <w:r w:rsidRPr="00FE287C">
        <w:rPr>
          <w:rStyle w:val="AERtextitalic"/>
        </w:rPr>
        <w:t>, template 2</w:t>
      </w:r>
      <w:r>
        <w:rPr>
          <w:rStyle w:val="AERtextitalic"/>
        </w:rPr>
        <w:t>.</w:t>
      </w:r>
      <w:r w:rsidRPr="00FE287C">
        <w:rPr>
          <w:rStyle w:val="AERtextitalic"/>
        </w:rPr>
        <w:t>6 Non-network, Table 2.6.3</w:t>
      </w:r>
      <w:r w:rsidRPr="00546E4B">
        <w:t>, October 2015</w:t>
      </w:r>
      <w:r>
        <w:t>.</w:t>
      </w:r>
    </w:p>
  </w:footnote>
  <w:footnote w:id="318">
    <w:p w:rsidR="001C0B41" w:rsidRDefault="001C0B41" w:rsidP="00083276">
      <w:pPr>
        <w:pStyle w:val="FootnoteText"/>
      </w:pPr>
      <w:r>
        <w:rPr>
          <w:rStyle w:val="FootnoteReference"/>
        </w:rPr>
        <w:footnoteRef/>
      </w:r>
      <w:r>
        <w:t xml:space="preserve"> </w:t>
      </w:r>
      <w:r>
        <w:tab/>
      </w:r>
      <w:r w:rsidRPr="00FE287C">
        <w:t xml:space="preserve">AER, </w:t>
      </w:r>
      <w:r w:rsidRPr="00FE287C">
        <w:rPr>
          <w:rStyle w:val="AERtextitalic"/>
        </w:rPr>
        <w:t xml:space="preserve">Information request </w:t>
      </w:r>
      <w:r>
        <w:rPr>
          <w:rStyle w:val="AERtextitalic"/>
        </w:rPr>
        <w:t>SA Power Networks</w:t>
      </w:r>
      <w:r w:rsidRPr="00FE287C">
        <w:rPr>
          <w:rStyle w:val="AERtextitalic"/>
        </w:rPr>
        <w:t xml:space="preserve"> 009 - fleet</w:t>
      </w:r>
      <w:r w:rsidRPr="00FE287C">
        <w:t>, 16 January 2015.</w:t>
      </w:r>
    </w:p>
  </w:footnote>
  <w:footnote w:id="319">
    <w:p w:rsidR="001C0B41" w:rsidRDefault="001C0B41" w:rsidP="00083276">
      <w:pPr>
        <w:pStyle w:val="FootnoteText"/>
      </w:pPr>
      <w:r>
        <w:rPr>
          <w:rStyle w:val="FootnoteReference"/>
        </w:rPr>
        <w:footnoteRef/>
      </w:r>
      <w:r>
        <w:t xml:space="preserve"> </w:t>
      </w:r>
      <w:r>
        <w:tab/>
      </w:r>
      <w:r w:rsidRPr="0014197E">
        <w:t xml:space="preserve">AER, </w:t>
      </w:r>
      <w:r w:rsidRPr="0014197E">
        <w:rPr>
          <w:rStyle w:val="AERtextitalic"/>
        </w:rPr>
        <w:t xml:space="preserve">Information request </w:t>
      </w:r>
      <w:r>
        <w:rPr>
          <w:rStyle w:val="AERtextitalic"/>
        </w:rPr>
        <w:t>SA Power Networks</w:t>
      </w:r>
      <w:r w:rsidRPr="0014197E">
        <w:rPr>
          <w:rStyle w:val="AERtextitalic"/>
        </w:rPr>
        <w:t xml:space="preserve"> 009 - fleet</w:t>
      </w:r>
      <w:r w:rsidRPr="00AC43EB">
        <w:rPr>
          <w:rStyle w:val="AERtextitalic"/>
        </w:rPr>
        <w:t>, CONFID Fleet Analysis Model.xlsx (Confidential)</w:t>
      </w:r>
      <w:r>
        <w:t>, 1</w:t>
      </w:r>
      <w:r w:rsidRPr="0014197E">
        <w:t>6 January 2015.</w:t>
      </w:r>
    </w:p>
  </w:footnote>
  <w:footnote w:id="320">
    <w:p w:rsidR="001C0B41" w:rsidRDefault="001C0B41" w:rsidP="00083276">
      <w:pPr>
        <w:pStyle w:val="FootnoteText"/>
      </w:pPr>
      <w:r>
        <w:rPr>
          <w:rStyle w:val="FootnoteReference"/>
        </w:rPr>
        <w:footnoteRef/>
      </w:r>
      <w:r>
        <w:t xml:space="preserve"> </w:t>
      </w:r>
      <w:r>
        <w:tab/>
      </w:r>
      <w:r w:rsidRPr="00973489">
        <w:t xml:space="preserve">AER, </w:t>
      </w:r>
      <w:r w:rsidRPr="00973489">
        <w:rPr>
          <w:rStyle w:val="AERtextitalic"/>
        </w:rPr>
        <w:t xml:space="preserve">Information request </w:t>
      </w:r>
      <w:r>
        <w:rPr>
          <w:rStyle w:val="AERtextitalic"/>
        </w:rPr>
        <w:t>SA Power Networks</w:t>
      </w:r>
      <w:r w:rsidRPr="00973489">
        <w:rPr>
          <w:rStyle w:val="AERtextitalic"/>
        </w:rPr>
        <w:t xml:space="preserve"> 009 - fleet</w:t>
      </w:r>
      <w:r w:rsidRPr="00973489">
        <w:t>, 16 January 2015.</w:t>
      </w:r>
    </w:p>
  </w:footnote>
  <w:footnote w:id="321">
    <w:p w:rsidR="001C0B41" w:rsidRDefault="001C0B41" w:rsidP="00083276">
      <w:pPr>
        <w:pStyle w:val="FootnoteText"/>
      </w:pPr>
      <w:r>
        <w:rPr>
          <w:rStyle w:val="FootnoteReference"/>
        </w:rPr>
        <w:footnoteRef/>
      </w:r>
      <w:r>
        <w:t xml:space="preserve"> </w:t>
      </w:r>
      <w:r>
        <w:tab/>
      </w:r>
      <w:r w:rsidRPr="00594ED0">
        <w:t xml:space="preserve">AER, </w:t>
      </w:r>
      <w:r w:rsidRPr="00594ED0">
        <w:rPr>
          <w:rStyle w:val="AERtextitalic"/>
        </w:rPr>
        <w:t xml:space="preserve">Information request </w:t>
      </w:r>
      <w:r>
        <w:rPr>
          <w:rStyle w:val="AERtextitalic"/>
        </w:rPr>
        <w:t>SA Power Networks</w:t>
      </w:r>
      <w:r w:rsidRPr="00594ED0">
        <w:rPr>
          <w:rStyle w:val="AERtextitalic"/>
        </w:rPr>
        <w:t xml:space="preserve"> 009 - fleet</w:t>
      </w:r>
      <w:r w:rsidRPr="00594ED0">
        <w:t>, 16 January 2015.</w:t>
      </w:r>
    </w:p>
  </w:footnote>
  <w:footnote w:id="322">
    <w:p w:rsidR="001C0B41" w:rsidRDefault="001C0B41" w:rsidP="00083276">
      <w:pPr>
        <w:pStyle w:val="FootnoteText"/>
      </w:pPr>
      <w:r>
        <w:rPr>
          <w:rStyle w:val="FootnoteReference"/>
        </w:rPr>
        <w:footnoteRef/>
      </w:r>
      <w:r>
        <w:t xml:space="preserve"> </w:t>
      </w:r>
      <w:r>
        <w:tab/>
      </w:r>
      <w:r w:rsidRPr="00594ED0">
        <w:t xml:space="preserve">AER, </w:t>
      </w:r>
      <w:r w:rsidRPr="00594ED0">
        <w:rPr>
          <w:rStyle w:val="AERtextitalic"/>
        </w:rPr>
        <w:t xml:space="preserve">Information request </w:t>
      </w:r>
      <w:r>
        <w:rPr>
          <w:rStyle w:val="AERtextitalic"/>
        </w:rPr>
        <w:t>SA Power Networks</w:t>
      </w:r>
      <w:r w:rsidRPr="00594ED0">
        <w:rPr>
          <w:rStyle w:val="AERtextitalic"/>
        </w:rPr>
        <w:t xml:space="preserve"> 009 - fleet</w:t>
      </w:r>
      <w:r w:rsidRPr="00594ED0">
        <w:t>, 16 January 2015.</w:t>
      </w:r>
    </w:p>
  </w:footnote>
  <w:footnote w:id="323">
    <w:p w:rsidR="001C0B41" w:rsidRDefault="001C0B41" w:rsidP="00083276">
      <w:pPr>
        <w:pStyle w:val="FootnoteText"/>
      </w:pPr>
      <w:r>
        <w:rPr>
          <w:rStyle w:val="FootnoteReference"/>
        </w:rPr>
        <w:footnoteRef/>
      </w:r>
      <w:r>
        <w:t xml:space="preserve"> </w:t>
      </w:r>
      <w:r>
        <w:tab/>
        <w:t>SA Power Networks</w:t>
      </w:r>
      <w:r w:rsidRPr="008C40EE">
        <w:t xml:space="preserve">, </w:t>
      </w:r>
      <w:r w:rsidRPr="008C40EE">
        <w:rPr>
          <w:rStyle w:val="AERtextitalic"/>
        </w:rPr>
        <w:t xml:space="preserve">Revenue Proposal, </w:t>
      </w:r>
      <w:hyperlink r:id="rId10" w:history="1">
        <w:r>
          <w:rPr>
            <w:rStyle w:val="AERtextitalic"/>
          </w:rPr>
          <w:t>SA Power Networks</w:t>
        </w:r>
        <w:r w:rsidRPr="008C40EE">
          <w:rPr>
            <w:rStyle w:val="AERtextitalic"/>
          </w:rPr>
          <w:t xml:space="preserve"> - RESET RIN 2015-20 PUBLIC</w:t>
        </w:r>
      </w:hyperlink>
      <w:r w:rsidRPr="008C40EE">
        <w:rPr>
          <w:rStyle w:val="AERtextitalic"/>
        </w:rPr>
        <w:t>, template 2.6 Non-network, Table 2.6.3</w:t>
      </w:r>
      <w:r w:rsidRPr="008C40EE">
        <w:t>, October 2015.</w:t>
      </w:r>
    </w:p>
  </w:footnote>
  <w:footnote w:id="324">
    <w:p w:rsidR="001C0B41" w:rsidRDefault="001C0B41" w:rsidP="00083276">
      <w:pPr>
        <w:pStyle w:val="FootnoteText"/>
      </w:pPr>
      <w:r>
        <w:rPr>
          <w:rStyle w:val="FootnoteReference"/>
        </w:rPr>
        <w:footnoteRef/>
      </w:r>
      <w:r>
        <w:t xml:space="preserve"> </w:t>
      </w:r>
      <w:r>
        <w:tab/>
        <w:t>SA Power Networks</w:t>
      </w:r>
      <w:r w:rsidRPr="00A271A5">
        <w:t xml:space="preserve">, </w:t>
      </w:r>
      <w:r w:rsidRPr="00A271A5">
        <w:rPr>
          <w:rStyle w:val="AERtextitalic"/>
        </w:rPr>
        <w:t xml:space="preserve">Revenue Proposal, </w:t>
      </w:r>
      <w:hyperlink r:id="rId11" w:history="1">
        <w:r>
          <w:rPr>
            <w:rStyle w:val="AERtextitalic"/>
          </w:rPr>
          <w:t>SA Power Networks</w:t>
        </w:r>
        <w:r w:rsidRPr="00A271A5">
          <w:rPr>
            <w:rStyle w:val="AERtextitalic"/>
          </w:rPr>
          <w:t xml:space="preserve"> - 20.26 PUBLIC - Strategic Fleet Plan 2015-2020</w:t>
        </w:r>
      </w:hyperlink>
      <w:r w:rsidRPr="00A271A5">
        <w:t>, October 2015, p. 26.</w:t>
      </w:r>
    </w:p>
  </w:footnote>
  <w:footnote w:id="325">
    <w:p w:rsidR="001C0B41" w:rsidRDefault="001C0B41" w:rsidP="00083276">
      <w:pPr>
        <w:pStyle w:val="FootnoteText"/>
      </w:pPr>
      <w:r>
        <w:rPr>
          <w:rStyle w:val="FootnoteReference"/>
        </w:rPr>
        <w:footnoteRef/>
      </w:r>
      <w:r>
        <w:t xml:space="preserve"> </w:t>
      </w:r>
      <w:r>
        <w:tab/>
      </w:r>
      <w:r w:rsidRPr="0014197E">
        <w:t xml:space="preserve">AER, </w:t>
      </w:r>
      <w:r w:rsidRPr="0014197E">
        <w:rPr>
          <w:rStyle w:val="AERtextitalic"/>
        </w:rPr>
        <w:t xml:space="preserve">Information request </w:t>
      </w:r>
      <w:r>
        <w:rPr>
          <w:rStyle w:val="AERtextitalic"/>
        </w:rPr>
        <w:t>SA Power Networks</w:t>
      </w:r>
      <w:r w:rsidRPr="0014197E">
        <w:rPr>
          <w:rStyle w:val="AERtextitalic"/>
        </w:rPr>
        <w:t xml:space="preserve"> 009 - fleet</w:t>
      </w:r>
      <w:r w:rsidRPr="00AC43EB">
        <w:rPr>
          <w:rStyle w:val="AERtextitalic"/>
        </w:rPr>
        <w:t>, CONFID Fleet Analysis Model.xlsx (Confidential)</w:t>
      </w:r>
      <w:r>
        <w:t>, 1</w:t>
      </w:r>
      <w:r w:rsidRPr="0014197E">
        <w:t>6 January 2015.</w:t>
      </w:r>
    </w:p>
  </w:footnote>
  <w:footnote w:id="326">
    <w:p w:rsidR="001C0B41" w:rsidRDefault="001C0B41" w:rsidP="00083276">
      <w:pPr>
        <w:pStyle w:val="FootnoteText"/>
      </w:pPr>
      <w:r>
        <w:rPr>
          <w:rStyle w:val="FootnoteReference"/>
        </w:rPr>
        <w:footnoteRef/>
      </w:r>
      <w:r>
        <w:t xml:space="preserve"> </w:t>
      </w:r>
      <w:r>
        <w:tab/>
        <w:t>SA Power Networks</w:t>
      </w:r>
      <w:r w:rsidRPr="00A271A5">
        <w:t xml:space="preserve">, </w:t>
      </w:r>
      <w:r w:rsidRPr="00A271A5">
        <w:rPr>
          <w:rStyle w:val="AERtextitalic"/>
        </w:rPr>
        <w:t xml:space="preserve">Revenue Proposal, </w:t>
      </w:r>
      <w:hyperlink r:id="rId12" w:history="1">
        <w:r>
          <w:rPr>
            <w:rStyle w:val="AERtextitalic"/>
          </w:rPr>
          <w:t>SA Power Networks</w:t>
        </w:r>
        <w:r w:rsidRPr="00A271A5">
          <w:rPr>
            <w:rStyle w:val="AERtextitalic"/>
          </w:rPr>
          <w:t xml:space="preserve"> - 20.26 PUBLIC - Strategic Fleet Plan 2015-2020</w:t>
        </w:r>
      </w:hyperlink>
      <w:r w:rsidRPr="00A271A5">
        <w:t>, October 2015, p. 2</w:t>
      </w:r>
      <w:r>
        <w:t>0</w:t>
      </w:r>
      <w:r w:rsidRPr="00A271A5">
        <w:t>.</w:t>
      </w:r>
    </w:p>
  </w:footnote>
  <w:footnote w:id="327">
    <w:p w:rsidR="001C0B41" w:rsidRDefault="001C0B41" w:rsidP="00083276">
      <w:pPr>
        <w:pStyle w:val="FootnoteText"/>
      </w:pPr>
      <w:r>
        <w:rPr>
          <w:rStyle w:val="FootnoteReference"/>
        </w:rPr>
        <w:footnoteRef/>
      </w:r>
      <w:r>
        <w:t xml:space="preserve"> </w:t>
      </w:r>
      <w:r>
        <w:tab/>
        <w:t>NER, cl. 6.5.7(c)(1).</w:t>
      </w:r>
    </w:p>
  </w:footnote>
  <w:footnote w:id="328">
    <w:p w:rsidR="001C0B41" w:rsidRDefault="001C0B41" w:rsidP="00083276">
      <w:pPr>
        <w:pStyle w:val="FootnoteText"/>
      </w:pPr>
      <w:r>
        <w:rPr>
          <w:rStyle w:val="FootnoteReference"/>
        </w:rPr>
        <w:footnoteRef/>
      </w:r>
      <w:r>
        <w:t xml:space="preserve"> </w:t>
      </w:r>
      <w:r>
        <w:tab/>
        <w:t>NER, cl. 6.5.7(c)(1).</w:t>
      </w:r>
    </w:p>
  </w:footnote>
  <w:footnote w:id="329">
    <w:p w:rsidR="001C0B41" w:rsidRDefault="001C0B41" w:rsidP="00525DDF">
      <w:pPr>
        <w:pStyle w:val="FootnoteText"/>
      </w:pPr>
      <w:r>
        <w:rPr>
          <w:rStyle w:val="FootnoteReference"/>
        </w:rPr>
        <w:footnoteRef/>
      </w:r>
      <w:r>
        <w:t xml:space="preserve"> </w:t>
      </w:r>
      <w:r>
        <w:tab/>
        <w:t>NER, clause 6.5.7(3)(10).</w:t>
      </w:r>
    </w:p>
  </w:footnote>
  <w:footnote w:id="330">
    <w:p w:rsidR="001C0B41" w:rsidRDefault="001C0B41" w:rsidP="00525DDF">
      <w:pPr>
        <w:pStyle w:val="FootnoteText"/>
      </w:pPr>
      <w:r>
        <w:rPr>
          <w:rStyle w:val="FootnoteReference"/>
        </w:rPr>
        <w:footnoteRef/>
      </w:r>
      <w:r>
        <w:t xml:space="preserve"> </w:t>
      </w:r>
      <w:r>
        <w:tab/>
        <w:t>NER Clause 6.5.7(e)(10)</w:t>
      </w:r>
    </w:p>
  </w:footnote>
  <w:footnote w:id="331">
    <w:p w:rsidR="001C0B41" w:rsidRDefault="001C0B41" w:rsidP="00525DDF">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p>
  </w:footnote>
  <w:footnote w:id="332">
    <w:p w:rsidR="001C0B41" w:rsidRDefault="001C0B41" w:rsidP="00525DDF">
      <w:pPr>
        <w:pStyle w:val="FootnoteText"/>
      </w:pPr>
      <w:r>
        <w:rPr>
          <w:rStyle w:val="FootnoteReference"/>
        </w:rPr>
        <w:footnoteRef/>
      </w:r>
      <w:r>
        <w:t xml:space="preserve"> </w:t>
      </w:r>
      <w:r>
        <w:tab/>
        <w:t>NER, clause 6.5.6(c)(3) and 6.5.7(c)(3).</w:t>
      </w:r>
    </w:p>
  </w:footnote>
  <w:footnote w:id="333">
    <w:p w:rsidR="001C0B41" w:rsidRDefault="001C0B41" w:rsidP="00525DDF">
      <w:pPr>
        <w:pStyle w:val="FootnoteText"/>
      </w:pPr>
      <w:r>
        <w:rPr>
          <w:rStyle w:val="FootnoteReference"/>
        </w:rPr>
        <w:footnoteRef/>
      </w:r>
      <w:r>
        <w:t xml:space="preserve"> </w:t>
      </w:r>
      <w:r>
        <w:tab/>
        <w:t xml:space="preserve">Sections </w:t>
      </w:r>
      <w:r>
        <w:fldChar w:fldCharType="begin"/>
      </w:r>
      <w:r>
        <w:instrText xml:space="preserve"> REF _Ref416794632 \r \h </w:instrText>
      </w:r>
      <w:r>
        <w:fldChar w:fldCharType="separate"/>
      </w:r>
      <w:r>
        <w:t>B.2</w:t>
      </w:r>
      <w:r>
        <w:fldChar w:fldCharType="end"/>
      </w:r>
      <w:r>
        <w:t xml:space="preserve"> and </w:t>
      </w:r>
      <w:r>
        <w:fldChar w:fldCharType="begin"/>
      </w:r>
      <w:r>
        <w:instrText xml:space="preserve"> REF _Ref416794635 \r \h </w:instrText>
      </w:r>
      <w:r>
        <w:fldChar w:fldCharType="separate"/>
      </w:r>
      <w:r>
        <w:t>B.3</w:t>
      </w:r>
      <w:r>
        <w:fldChar w:fldCharType="end"/>
      </w:r>
      <w:r>
        <w:t xml:space="preserve"> discuss our consideration of SA Power Networks' augex and connections expenditure.</w:t>
      </w:r>
    </w:p>
  </w:footnote>
  <w:footnote w:id="334">
    <w:p w:rsidR="001C0B41" w:rsidRDefault="001C0B41" w:rsidP="00525DDF">
      <w:pPr>
        <w:pStyle w:val="FootnoteText"/>
      </w:pPr>
      <w:r>
        <w:rPr>
          <w:rStyle w:val="FootnoteReference"/>
        </w:rPr>
        <w:footnoteRef/>
      </w:r>
      <w:r>
        <w:t xml:space="preserve"> </w:t>
      </w:r>
      <w:r>
        <w:tab/>
        <w:t>Other factors, such as network utilisation, are also important high level indicators of growth capex requirements.</w:t>
      </w:r>
    </w:p>
  </w:footnote>
  <w:footnote w:id="335">
    <w:p w:rsidR="001C0B41" w:rsidRDefault="001C0B41" w:rsidP="00525DDF">
      <w:pPr>
        <w:pStyle w:val="FootnoteText"/>
      </w:pPr>
      <w:r>
        <w:rPr>
          <w:rStyle w:val="FootnoteReference"/>
        </w:rPr>
        <w:footnoteRef/>
      </w:r>
      <w:r>
        <w:t xml:space="preserve"> </w:t>
      </w:r>
      <w:r>
        <w:tab/>
        <w:t>NER, clause 6.5.6(c)(3) and 6.5.7(c)(3).</w:t>
      </w:r>
    </w:p>
  </w:footnote>
  <w:footnote w:id="336">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 2. </w:t>
      </w:r>
    </w:p>
  </w:footnote>
  <w:footnote w:id="337">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p. 11.</w:t>
      </w:r>
    </w:p>
  </w:footnote>
  <w:footnote w:id="338">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p. 11.</w:t>
      </w:r>
    </w:p>
  </w:footnote>
  <w:footnote w:id="339">
    <w:p w:rsidR="001C0B41" w:rsidRDefault="001C0B41" w:rsidP="00525DDF">
      <w:pPr>
        <w:pStyle w:val="FootnoteText"/>
      </w:pPr>
      <w:r>
        <w:rPr>
          <w:rStyle w:val="FootnoteReference"/>
        </w:rPr>
        <w:footnoteRef/>
      </w:r>
      <w:r>
        <w:t xml:space="preserve"> </w:t>
      </w:r>
      <w:r>
        <w:tab/>
      </w:r>
      <w:r w:rsidRPr="00A23C62">
        <w:t xml:space="preserve">SA Council of Social Services, </w:t>
      </w:r>
      <w:r w:rsidRPr="00D4063F">
        <w:rPr>
          <w:rStyle w:val="AERtextitalic"/>
        </w:rPr>
        <w:t>submission to the Australian Energy Regulator on SA Power Networks Regulatory Proposal 2015–20</w:t>
      </w:r>
      <w:r w:rsidRPr="00A23C62">
        <w:t>, January 2015, p.2</w:t>
      </w:r>
      <w:r>
        <w:t xml:space="preserve">; </w:t>
      </w:r>
      <w:r w:rsidRPr="00A23C62">
        <w:t xml:space="preserve">SA Greens, </w:t>
      </w:r>
      <w:r w:rsidRPr="00D4063F">
        <w:rPr>
          <w:rStyle w:val="AERtextitalic"/>
        </w:rPr>
        <w:t>submission to the Australian Energy Regulator on SA Power Networks Regulatory Proposal 2015–20</w:t>
      </w:r>
      <w:r w:rsidRPr="00A23C62">
        <w:t>, January 2015, p.1.</w:t>
      </w:r>
    </w:p>
  </w:footnote>
  <w:footnote w:id="340">
    <w:p w:rsidR="001C0B41" w:rsidRDefault="001C0B41" w:rsidP="00525DDF">
      <w:pPr>
        <w:pStyle w:val="FootnoteText"/>
      </w:pPr>
      <w:r>
        <w:rPr>
          <w:rStyle w:val="FootnoteReference"/>
        </w:rPr>
        <w:footnoteRef/>
      </w:r>
      <w:r>
        <w:t xml:space="preserve"> </w:t>
      </w:r>
      <w:r>
        <w:tab/>
      </w:r>
      <w:r w:rsidRPr="001A2EE8">
        <w:t xml:space="preserve">Australian PV Institute, </w:t>
      </w:r>
      <w:r w:rsidRPr="00D4063F">
        <w:rPr>
          <w:rStyle w:val="AERtextitalic"/>
        </w:rPr>
        <w:t>submission to the Australian Energy Regulator on SA Power Networks Regulatory Proposal 2015–20</w:t>
      </w:r>
      <w:r w:rsidRPr="001A2EE8">
        <w:t>, January 2015, p.2</w:t>
      </w:r>
      <w:r>
        <w:t xml:space="preserve">; </w:t>
      </w:r>
      <w:r w:rsidRPr="001A2EE8">
        <w:t xml:space="preserve">AGL, </w:t>
      </w:r>
      <w:r w:rsidRPr="00D4063F">
        <w:rPr>
          <w:rStyle w:val="AERtextitalic"/>
        </w:rPr>
        <w:t>submission to the Australian Energy Regulator on SA Power Networks Regulatory Proposal 2015–20</w:t>
      </w:r>
      <w:r w:rsidRPr="001A2EE8">
        <w:t>, January 2015, p.8</w:t>
      </w:r>
      <w:r>
        <w:t xml:space="preserve">; </w:t>
      </w:r>
      <w:r w:rsidRPr="001A2EE8">
        <w:t xml:space="preserve">Total Environment Centre, </w:t>
      </w:r>
      <w:r w:rsidRPr="00D4063F">
        <w:rPr>
          <w:rStyle w:val="AERtextitalic"/>
        </w:rPr>
        <w:t>submission to the Australian Energy Regulator on SA Power Networks Regulatory Proposal 2015–20, January 2015</w:t>
      </w:r>
      <w:r w:rsidRPr="001A2EE8">
        <w:t>, p.3.</w:t>
      </w:r>
    </w:p>
  </w:footnote>
  <w:footnote w:id="341">
    <w:p w:rsidR="001C0B41" w:rsidRDefault="001C0B41" w:rsidP="00525DDF">
      <w:pPr>
        <w:pStyle w:val="FootnoteText"/>
      </w:pPr>
      <w:r>
        <w:rPr>
          <w:rStyle w:val="FootnoteReference"/>
        </w:rPr>
        <w:footnoteRef/>
      </w:r>
      <w:r>
        <w:t xml:space="preserve"> </w:t>
      </w:r>
      <w:r>
        <w:tab/>
      </w:r>
      <w:r w:rsidRPr="00486371">
        <w:t xml:space="preserve">COTA SA, </w:t>
      </w:r>
      <w:r w:rsidRPr="00D4063F">
        <w:rPr>
          <w:rStyle w:val="AERtextitalic"/>
        </w:rPr>
        <w:t>submission to the Australian Energy Regulator on SA Power Networks Regulatory Proposal 2015–20</w:t>
      </w:r>
      <w:r w:rsidRPr="00486371">
        <w:t>, January 2015</w:t>
      </w:r>
      <w:r>
        <w:t xml:space="preserve">, p.5; </w:t>
      </w:r>
      <w:r w:rsidRPr="007240E4">
        <w:t xml:space="preserve">Energy Consumers Coalition of South Australia, </w:t>
      </w:r>
      <w:r w:rsidRPr="00D4063F">
        <w:rPr>
          <w:rStyle w:val="AERtextitalic"/>
        </w:rPr>
        <w:t>submission to the Australian Energy Regulator on SA Power Networks Regulatory Proposal 2015–20</w:t>
      </w:r>
      <w:r w:rsidRPr="007240E4">
        <w:t>, December 2014</w:t>
      </w:r>
      <w:r>
        <w:t xml:space="preserve">, pp.3-4; </w:t>
      </w:r>
      <w:r w:rsidRPr="0007360B">
        <w:t xml:space="preserve">UnitingCare Australia, </w:t>
      </w:r>
      <w:r w:rsidRPr="00D4063F">
        <w:rPr>
          <w:rStyle w:val="AERtextitalic"/>
        </w:rPr>
        <w:t xml:space="preserve">submission to the Australian Energy Regulator: response to Electricity Distribution Business Regulatory Proposal for 2015-20 from SA Power Networks, </w:t>
      </w:r>
      <w:r w:rsidRPr="0007360B">
        <w:t>February 2015</w:t>
      </w:r>
      <w:r>
        <w:t xml:space="preserve">, p. 16. </w:t>
      </w:r>
    </w:p>
  </w:footnote>
  <w:footnote w:id="342">
    <w:p w:rsidR="001C0B41" w:rsidRDefault="001C0B41" w:rsidP="00525DDF">
      <w:pPr>
        <w:pStyle w:val="FootnoteText"/>
      </w:pPr>
      <w:r>
        <w:rPr>
          <w:rStyle w:val="FootnoteReference"/>
        </w:rPr>
        <w:footnoteRef/>
      </w:r>
      <w:r>
        <w:t xml:space="preserve"> </w:t>
      </w:r>
      <w:r>
        <w:tab/>
      </w:r>
      <w:r w:rsidRPr="00D46D83">
        <w:t xml:space="preserve">Origin Energy, </w:t>
      </w:r>
      <w:r w:rsidRPr="00D4063F">
        <w:rPr>
          <w:rStyle w:val="AERtextitalic"/>
        </w:rPr>
        <w:t>submission to the Australian Energy Regulator on SA Power Networks Regulatory Proposal 2015–20,</w:t>
      </w:r>
      <w:r w:rsidRPr="00D46D83">
        <w:t xml:space="preserve"> January 2015</w:t>
      </w:r>
      <w:r>
        <w:t xml:space="preserve">, p.5;  </w:t>
      </w:r>
      <w:r w:rsidRPr="00D24FF1">
        <w:t xml:space="preserve">AGL, </w:t>
      </w:r>
      <w:r w:rsidRPr="00D4063F">
        <w:rPr>
          <w:rStyle w:val="AERtextitalic"/>
        </w:rPr>
        <w:t>submission to the Australian Energy Regulator on SA Power Networks Regulatory Proposal 2015–20, January 2015,</w:t>
      </w:r>
      <w:r>
        <w:t xml:space="preserve"> p.8. </w:t>
      </w:r>
    </w:p>
  </w:footnote>
  <w:footnote w:id="343">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w:t>
      </w:r>
    </w:p>
  </w:footnote>
  <w:footnote w:id="344">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p.5.  </w:t>
      </w:r>
    </w:p>
  </w:footnote>
  <w:footnote w:id="345">
    <w:p w:rsidR="001C0B41" w:rsidRDefault="001C0B41" w:rsidP="00525DDF">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346">
    <w:p w:rsidR="001C0B41" w:rsidRDefault="001C0B41" w:rsidP="00525DDF">
      <w:pPr>
        <w:pStyle w:val="FootnoteText"/>
      </w:pPr>
      <w:r>
        <w:rPr>
          <w:rStyle w:val="FootnoteReference"/>
        </w:rPr>
        <w:footnoteRef/>
      </w:r>
      <w:r>
        <w:t xml:space="preserve"> </w:t>
      </w:r>
      <w:r>
        <w:tab/>
        <w:t xml:space="preserve">AER, Draft Decision, </w:t>
      </w:r>
      <w:r w:rsidRPr="0051194B">
        <w:rPr>
          <w:rStyle w:val="AERtextitalic"/>
        </w:rPr>
        <w:t>Ausgrid distribution determination, 2015-16 to 2018-19, Attachment 6: Capital expenditure</w:t>
      </w:r>
      <w:r>
        <w:t>, November 2014, p 6-118</w:t>
      </w:r>
    </w:p>
  </w:footnote>
  <w:footnote w:id="347">
    <w:p w:rsidR="001C0B41" w:rsidRDefault="001C0B41" w:rsidP="00525DDF">
      <w:pPr>
        <w:pStyle w:val="FootnoteText"/>
      </w:pPr>
      <w:r>
        <w:rPr>
          <w:rStyle w:val="FootnoteReference"/>
        </w:rPr>
        <w:footnoteRef/>
      </w:r>
      <w:r>
        <w:t xml:space="preserve"> </w:t>
      </w:r>
      <w:r>
        <w:tab/>
        <w:t xml:space="preserve">SA Power Networks did not provide winter demand forecasts to AEMO. (See  AEMO, </w:t>
      </w:r>
      <w:r w:rsidRPr="008E3338">
        <w:rPr>
          <w:rStyle w:val="AERtextitalic"/>
        </w:rPr>
        <w:t>Transmission Connection Point Forecasting Report for South Australia, December 2014</w:t>
      </w:r>
      <w:r>
        <w:t>, p. 2.)</w:t>
      </w:r>
    </w:p>
  </w:footnote>
  <w:footnote w:id="348">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 2. </w:t>
      </w:r>
    </w:p>
  </w:footnote>
  <w:footnote w:id="349">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 1. </w:t>
      </w:r>
    </w:p>
  </w:footnote>
  <w:footnote w:id="350">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 1. </w:t>
      </w:r>
    </w:p>
  </w:footnote>
  <w:footnote w:id="351">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p. 11</w:t>
      </w:r>
    </w:p>
  </w:footnote>
  <w:footnote w:id="352">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p. 11</w:t>
      </w:r>
    </w:p>
  </w:footnote>
  <w:footnote w:id="353">
    <w:p w:rsidR="001C0B41" w:rsidRDefault="001C0B41" w:rsidP="00525DDF">
      <w:pPr>
        <w:pStyle w:val="FootnoteText"/>
      </w:pPr>
      <w:r>
        <w:rPr>
          <w:rStyle w:val="FootnoteReference"/>
        </w:rPr>
        <w:footnoteRef/>
      </w:r>
      <w:r>
        <w:t xml:space="preserve"> </w:t>
      </w:r>
      <w:r>
        <w:tab/>
        <w:t xml:space="preserve">AEMO, </w:t>
      </w:r>
      <w:r w:rsidRPr="008E3338">
        <w:rPr>
          <w:rStyle w:val="AERtextitalic"/>
        </w:rPr>
        <w:t>Transmission Connection Point Forecasting Report for South Australia, December 2014</w:t>
      </w:r>
      <w:r>
        <w:t xml:space="preserve">, p. 11. </w:t>
      </w:r>
    </w:p>
  </w:footnote>
  <w:footnote w:id="354">
    <w:p w:rsidR="001C0B41" w:rsidRDefault="001C0B41" w:rsidP="00834D39">
      <w:pPr>
        <w:pStyle w:val="FootnoteText"/>
      </w:pPr>
      <w:r>
        <w:rPr>
          <w:rStyle w:val="FootnoteReference"/>
        </w:rPr>
        <w:footnoteRef/>
      </w:r>
      <w:r>
        <w:t xml:space="preserve"> </w:t>
      </w:r>
      <w:r>
        <w:tab/>
        <w:t>NER, clause 6.5.7(a).</w:t>
      </w:r>
    </w:p>
  </w:footnote>
  <w:footnote w:id="355">
    <w:p w:rsidR="001C0B41" w:rsidRDefault="001C0B41" w:rsidP="00834D39">
      <w:pPr>
        <w:pStyle w:val="FootnoteText"/>
      </w:pPr>
      <w:r>
        <w:rPr>
          <w:rStyle w:val="FootnoteReference"/>
        </w:rPr>
        <w:footnoteRef/>
      </w:r>
      <w:r>
        <w:t xml:space="preserve"> </w:t>
      </w:r>
      <w:r>
        <w:tab/>
      </w:r>
      <w:r w:rsidRPr="00E416DD">
        <w:t>NER, clause 6.5.7(</w:t>
      </w:r>
      <w:r>
        <w:t>c</w:t>
      </w:r>
      <w:r w:rsidRPr="00E416DD">
        <w:t>)</w:t>
      </w:r>
      <w:r>
        <w:t>(3)</w:t>
      </w:r>
      <w:r w:rsidRPr="00E416DD">
        <w:t>.</w:t>
      </w:r>
    </w:p>
  </w:footnote>
  <w:footnote w:id="356">
    <w:p w:rsidR="001C0B41" w:rsidRDefault="001C0B41" w:rsidP="00834D39">
      <w:pPr>
        <w:pStyle w:val="FootnoteText"/>
      </w:pPr>
      <w:r>
        <w:rPr>
          <w:rStyle w:val="FootnoteReference"/>
        </w:rPr>
        <w:footnoteRef/>
      </w:r>
      <w:r>
        <w:t xml:space="preserve"> </w:t>
      </w:r>
      <w:r>
        <w:tab/>
        <w:t xml:space="preserve">SA Power Networks, </w:t>
      </w:r>
      <w:r w:rsidRPr="0051219A">
        <w:rPr>
          <w:rStyle w:val="AERtextitalic"/>
        </w:rPr>
        <w:t>Revenue proposal</w:t>
      </w:r>
      <w:r>
        <w:rPr>
          <w:rStyle w:val="AERtextitalic"/>
        </w:rPr>
        <w:t>, 31 October 2014</w:t>
      </w:r>
      <w:r>
        <w:t>, pp. 267-268.</w:t>
      </w:r>
    </w:p>
  </w:footnote>
  <w:footnote w:id="357">
    <w:p w:rsidR="001C0B41" w:rsidRDefault="001C0B41" w:rsidP="00834D39">
      <w:pPr>
        <w:pStyle w:val="FootnoteText"/>
      </w:pPr>
      <w:r>
        <w:rPr>
          <w:rStyle w:val="FootnoteReference"/>
        </w:rPr>
        <w:footnoteRef/>
      </w:r>
      <w:r>
        <w:t xml:space="preserve"> </w:t>
      </w:r>
      <w:r>
        <w:tab/>
        <w:t xml:space="preserve">CEG, </w:t>
      </w:r>
      <w:r>
        <w:rPr>
          <w:rStyle w:val="AERtextitalic"/>
        </w:rPr>
        <w:t>Materials cost escalation factors: a report for SA Power Networks</w:t>
      </w:r>
      <w:r>
        <w:t>, August 2014.</w:t>
      </w:r>
    </w:p>
  </w:footnote>
  <w:footnote w:id="358">
    <w:p w:rsidR="001C0B41" w:rsidRDefault="001C0B41" w:rsidP="00A248F7">
      <w:pPr>
        <w:pStyle w:val="FootnoteText"/>
      </w:pPr>
      <w:r>
        <w:rPr>
          <w:rStyle w:val="FootnoteReference"/>
        </w:rPr>
        <w:footnoteRef/>
      </w:r>
      <w:r>
        <w:t xml:space="preserve"> </w:t>
      </w:r>
      <w:r>
        <w:tab/>
      </w:r>
      <w:r w:rsidRPr="00A60855">
        <w:t xml:space="preserve">CEG, </w:t>
      </w:r>
      <w:r>
        <w:rPr>
          <w:rStyle w:val="AERtextitalic"/>
        </w:rPr>
        <w:t>Materials cost escalation factors: a report for SA Power Networks</w:t>
      </w:r>
      <w:r>
        <w:t>, August 2014, pp. 6-7</w:t>
      </w:r>
      <w:r w:rsidRPr="00A60855">
        <w:t>.</w:t>
      </w:r>
    </w:p>
  </w:footnote>
  <w:footnote w:id="359">
    <w:p w:rsidR="001C0B41" w:rsidRDefault="001C0B41" w:rsidP="00A248F7">
      <w:pPr>
        <w:pStyle w:val="FootnoteText"/>
      </w:pPr>
      <w:r>
        <w:rPr>
          <w:rStyle w:val="FootnoteReference"/>
        </w:rPr>
        <w:footnoteRef/>
      </w:r>
      <w:r>
        <w:t xml:space="preserve"> </w:t>
      </w:r>
      <w:r>
        <w:tab/>
        <w:t xml:space="preserve">Jacobs, </w:t>
      </w:r>
      <w:r>
        <w:rPr>
          <w:rStyle w:val="AERtextitalic"/>
        </w:rPr>
        <w:t>Nominal Material Cost Escalation Indices Forecast</w:t>
      </w:r>
      <w:r>
        <w:t>, September 2014.</w:t>
      </w:r>
    </w:p>
  </w:footnote>
  <w:footnote w:id="360">
    <w:p w:rsidR="001C0B41" w:rsidRDefault="001C0B41" w:rsidP="00834D39">
      <w:pPr>
        <w:pStyle w:val="FootnoteText"/>
      </w:pPr>
      <w:r>
        <w:rPr>
          <w:rStyle w:val="FootnoteReference"/>
        </w:rPr>
        <w:footnoteRef/>
      </w:r>
      <w:r>
        <w:t xml:space="preserve"> </w:t>
      </w:r>
      <w:r>
        <w:tab/>
        <w:t xml:space="preserve">SA Power Networks, </w:t>
      </w:r>
      <w:r w:rsidRPr="00720FB8">
        <w:rPr>
          <w:rStyle w:val="AERtextitalic"/>
        </w:rPr>
        <w:t>Revenue proposal</w:t>
      </w:r>
      <w:r>
        <w:t xml:space="preserve">, </w:t>
      </w:r>
      <w:r w:rsidRPr="00CB18AB">
        <w:t>Attachment 20.3, CEG Materials cost escalation factors: a report for SA Power Networks, August 2014, p. 1</w:t>
      </w:r>
      <w:r>
        <w:t>.</w:t>
      </w:r>
    </w:p>
  </w:footnote>
  <w:footnote w:id="361">
    <w:p w:rsidR="001C0B41" w:rsidRDefault="001C0B41">
      <w:pPr>
        <w:pStyle w:val="FootnoteText"/>
      </w:pPr>
      <w:r>
        <w:rPr>
          <w:rStyle w:val="FootnoteReference"/>
        </w:rPr>
        <w:footnoteRef/>
      </w:r>
      <w:r>
        <w:t xml:space="preserve"> </w:t>
      </w:r>
      <w:r>
        <w:tab/>
      </w:r>
      <w:r w:rsidRPr="00CD532A">
        <w:t xml:space="preserve">SAPN, </w:t>
      </w:r>
      <w:r w:rsidRPr="00CD532A">
        <w:rPr>
          <w:rStyle w:val="AERtextitalic"/>
        </w:rPr>
        <w:t>Revenue proposal</w:t>
      </w:r>
      <w:r w:rsidRPr="00CD532A">
        <w:t>, Attachment 20.3, CEG Materials cost escalation factors: a report for SA Power Networks, August 2014, p. 1</w:t>
      </w:r>
      <w:r>
        <w:t>6</w:t>
      </w:r>
      <w:r w:rsidRPr="00CD532A">
        <w:t>.</w:t>
      </w:r>
    </w:p>
  </w:footnote>
  <w:footnote w:id="362">
    <w:p w:rsidR="001C0B41" w:rsidRDefault="001C0B41" w:rsidP="00834D39">
      <w:pPr>
        <w:pStyle w:val="FootnoteText"/>
      </w:pPr>
      <w:r>
        <w:rPr>
          <w:rStyle w:val="FootnoteReference"/>
        </w:rPr>
        <w:footnoteRef/>
      </w:r>
      <w:r>
        <w:t xml:space="preserve"> </w:t>
      </w:r>
      <w:r>
        <w:tab/>
        <w:t>NER, clause 6.5.7(c).</w:t>
      </w:r>
    </w:p>
  </w:footnote>
  <w:footnote w:id="363">
    <w:p w:rsidR="001C0B41" w:rsidRDefault="001C0B41" w:rsidP="00834D39">
      <w:pPr>
        <w:pStyle w:val="FootnoteText"/>
      </w:pPr>
      <w:r>
        <w:rPr>
          <w:rStyle w:val="FootnoteReference"/>
        </w:rPr>
        <w:footnoteRef/>
      </w:r>
      <w:r>
        <w:t xml:space="preserve"> </w:t>
      </w:r>
      <w:r>
        <w:tab/>
        <w:t>NER, clause 6.5.7(c)(3).</w:t>
      </w:r>
    </w:p>
  </w:footnote>
  <w:footnote w:id="364">
    <w:p w:rsidR="001C0B41" w:rsidRDefault="001C0B41" w:rsidP="00834D3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50-51.</w:t>
      </w:r>
    </w:p>
  </w:footnote>
  <w:footnote w:id="365">
    <w:p w:rsidR="001C0B41" w:rsidRDefault="001C0B41" w:rsidP="00834D3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366">
    <w:p w:rsidR="001C0B41" w:rsidRDefault="001C0B41" w:rsidP="00834D3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367">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w:t>
      </w:r>
    </w:p>
  </w:footnote>
  <w:footnote w:id="368">
    <w:p w:rsidR="001C0B41" w:rsidRDefault="001C0B41">
      <w:pPr>
        <w:pStyle w:val="FootnoteText"/>
      </w:pPr>
      <w:r>
        <w:rPr>
          <w:rStyle w:val="FootnoteReference"/>
        </w:rPr>
        <w:footnoteRef/>
      </w:r>
      <w:r>
        <w:t xml:space="preserve"> </w:t>
      </w:r>
      <w:r>
        <w:tab/>
      </w:r>
      <w:hyperlink r:id="rId13" w:history="1">
        <w:r w:rsidRPr="002C3472">
          <w:t>Energy Consumers Coalition of SA (ECCSA)</w:t>
        </w:r>
        <w:r>
          <w:t xml:space="preserve">, </w:t>
        </w:r>
        <w:r w:rsidRPr="002C3472">
          <w:rPr>
            <w:rStyle w:val="AERtextitalic"/>
          </w:rPr>
          <w:t>Submission on SAPN's regulatory proposal 2015-20</w:t>
        </w:r>
        <w:r>
          <w:t>,</w:t>
        </w:r>
        <w:r w:rsidRPr="002C3472">
          <w:t xml:space="preserve"> 31 January 2015</w:t>
        </w:r>
      </w:hyperlink>
      <w:r>
        <w:t>.</w:t>
      </w:r>
    </w:p>
  </w:footnote>
  <w:footnote w:id="369">
    <w:p w:rsidR="001C0B41" w:rsidRDefault="001C0B41">
      <w:pPr>
        <w:pStyle w:val="FootnoteText"/>
      </w:pPr>
      <w:r>
        <w:rPr>
          <w:rStyle w:val="FootnoteReference"/>
        </w:rPr>
        <w:footnoteRef/>
      </w:r>
      <w:r>
        <w:t xml:space="preserve"> </w:t>
      </w:r>
      <w:r>
        <w:tab/>
      </w:r>
      <w:hyperlink r:id="rId14" w:history="1">
        <w:r w:rsidRPr="002C3472">
          <w:t>Energy Users Association of Australia</w:t>
        </w:r>
        <w:r>
          <w:t>,</w:t>
        </w:r>
        <w:r w:rsidRPr="002C3472">
          <w:t xml:space="preserve"> </w:t>
        </w:r>
        <w:r w:rsidRPr="002C3472">
          <w:rPr>
            <w:rStyle w:val="AERtextitalic"/>
          </w:rPr>
          <w:t>Submission on SAPN's regulatory proposal 2015-20</w:t>
        </w:r>
        <w:r>
          <w:t>,</w:t>
        </w:r>
        <w:r w:rsidRPr="002C3472">
          <w:t xml:space="preserve"> 30 January 2015</w:t>
        </w:r>
      </w:hyperlink>
      <w:r>
        <w:t>.</w:t>
      </w:r>
    </w:p>
  </w:footnote>
  <w:footnote w:id="370">
    <w:p w:rsidR="001C0B41" w:rsidRDefault="001C0B41">
      <w:pPr>
        <w:pStyle w:val="FootnoteText"/>
      </w:pPr>
      <w:r>
        <w:rPr>
          <w:rStyle w:val="FootnoteReference"/>
        </w:rPr>
        <w:footnoteRef/>
      </w:r>
      <w:r>
        <w:t xml:space="preserve"> </w:t>
      </w:r>
      <w:r>
        <w:tab/>
      </w:r>
      <w:hyperlink r:id="rId15" w:history="1">
        <w:r w:rsidRPr="00BF59DB">
          <w:t xml:space="preserve">Business SA - </w:t>
        </w:r>
        <w:r w:rsidRPr="00BF59DB">
          <w:rPr>
            <w:rStyle w:val="AERtextitalic"/>
          </w:rPr>
          <w:t>Submission on SAPN's regulatory proposal 2015-20</w:t>
        </w:r>
        <w:r w:rsidRPr="00BF59DB">
          <w:t xml:space="preserve"> - 30 January 2015</w:t>
        </w:r>
      </w:hyperlink>
      <w:r>
        <w:t>.</w:t>
      </w:r>
    </w:p>
  </w:footnote>
  <w:footnote w:id="371">
    <w:p w:rsidR="001C0B41" w:rsidRDefault="001C0B41" w:rsidP="00834D39">
      <w:pPr>
        <w:pStyle w:val="FootnoteText"/>
      </w:pPr>
      <w:r>
        <w:rPr>
          <w:rStyle w:val="FootnoteReference"/>
        </w:rPr>
        <w:footnoteRef/>
      </w:r>
      <w:r>
        <w:t xml:space="preserve"> </w:t>
      </w:r>
      <w:r>
        <w:tab/>
        <w:t>NER, clause 6.5.7(c).</w:t>
      </w:r>
    </w:p>
  </w:footnote>
  <w:footnote w:id="372">
    <w:p w:rsidR="001C0B41" w:rsidRDefault="001C0B41" w:rsidP="00834D39">
      <w:pPr>
        <w:pStyle w:val="FootnoteText"/>
      </w:pPr>
      <w:r>
        <w:rPr>
          <w:rStyle w:val="FootnoteReference"/>
        </w:rPr>
        <w:footnoteRef/>
      </w:r>
      <w:r>
        <w:t xml:space="preserve"> </w:t>
      </w:r>
      <w:r>
        <w:tab/>
        <w:t>NER, clause 6.5.7(c)(3).</w:t>
      </w:r>
    </w:p>
  </w:footnote>
  <w:footnote w:id="373">
    <w:p w:rsidR="001C0B41" w:rsidRDefault="001C0B41" w:rsidP="00834D39">
      <w:pPr>
        <w:pStyle w:val="FootnoteText"/>
      </w:pPr>
      <w:r>
        <w:rPr>
          <w:rStyle w:val="FootnoteReference"/>
        </w:rPr>
        <w:footnoteRef/>
      </w:r>
      <w:r>
        <w:t xml:space="preserve"> </w:t>
      </w:r>
      <w:r>
        <w:tab/>
        <w:t>NER, clause 6.5.7(e)(7).</w:t>
      </w:r>
    </w:p>
  </w:footnote>
  <w:footnote w:id="374">
    <w:p w:rsidR="001C0B41" w:rsidRDefault="001C0B41" w:rsidP="00834D39">
      <w:pPr>
        <w:pStyle w:val="FootnoteText"/>
      </w:pPr>
      <w:r>
        <w:rPr>
          <w:rStyle w:val="FootnoteReference"/>
        </w:rPr>
        <w:footnoteRef/>
      </w:r>
      <w:r>
        <w:t xml:space="preserve"> </w:t>
      </w:r>
      <w:r>
        <w:tab/>
        <w:t>NER, clause 6.5.7(e)(6).</w:t>
      </w:r>
    </w:p>
  </w:footnote>
  <w:footnote w:id="375">
    <w:p w:rsidR="001C0B41" w:rsidRDefault="001C0B41" w:rsidP="00834D39">
      <w:pPr>
        <w:pStyle w:val="FootnoteText"/>
      </w:pPr>
      <w:r>
        <w:rPr>
          <w:rStyle w:val="FootnoteReference"/>
        </w:rPr>
        <w:footnoteRef/>
      </w:r>
      <w:r>
        <w:t xml:space="preserve"> </w:t>
      </w:r>
      <w:r>
        <w:tab/>
        <w:t>NER, clause 6.5.7(c)(3).</w:t>
      </w:r>
    </w:p>
  </w:footnote>
  <w:footnote w:id="376">
    <w:p w:rsidR="001C0B41" w:rsidRDefault="001C0B41" w:rsidP="00834D39">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68-69 and pp. 427–508) and</w:t>
      </w:r>
      <w:r w:rsidRPr="00E63D8A">
        <w:t xml:space="preserve"> </w:t>
      </w:r>
      <w:r>
        <w:t xml:space="preserve">International Monetary Fund, </w:t>
      </w:r>
      <w:r w:rsidRPr="00053352">
        <w:rPr>
          <w:i/>
        </w:rPr>
        <w:t>World Economic Outlook — Recovery Strengthens, Remains Uneven</w:t>
      </w:r>
      <w:r>
        <w:t>, Washington, April 2014, pp. 25-31.</w:t>
      </w:r>
    </w:p>
  </w:footnote>
  <w:footnote w:id="377">
    <w:p w:rsidR="001C0B41" w:rsidRDefault="001C0B41" w:rsidP="00834D39">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xml:space="preserve">, Journal of Futures Markets, 2014, Volume 34, Issue 7, p. 19 and pp. 607-636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378">
    <w:p w:rsidR="001C0B41" w:rsidRDefault="001C0B41" w:rsidP="00834D39">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379">
    <w:p w:rsidR="001C0B41" w:rsidRDefault="001C0B41">
      <w:pPr>
        <w:pStyle w:val="FootnoteText"/>
      </w:pPr>
      <w:r>
        <w:rPr>
          <w:rStyle w:val="FootnoteReference"/>
        </w:rPr>
        <w:footnoteRef/>
      </w:r>
      <w:r>
        <w:t xml:space="preserve"> </w:t>
      </w:r>
      <w:r>
        <w:tab/>
      </w:r>
      <w:hyperlink r:id="rId16" w:history="1">
        <w:r w:rsidRPr="00CD3889">
          <w:t xml:space="preserve">Energy Consumers Coalition of SA (ECCSA), </w:t>
        </w:r>
        <w:r w:rsidRPr="00CD3889">
          <w:rPr>
            <w:rStyle w:val="AERtextitalic"/>
          </w:rPr>
          <w:t>Submission on SAPN's regulatory proposal 2015-20</w:t>
        </w:r>
        <w:r w:rsidRPr="00CD3889">
          <w:t>, 31 January 2015</w:t>
        </w:r>
      </w:hyperlink>
      <w:r>
        <w:t>, p. 92.</w:t>
      </w:r>
    </w:p>
  </w:footnote>
  <w:footnote w:id="380">
    <w:p w:rsidR="001C0B41" w:rsidRDefault="001C0B41">
      <w:pPr>
        <w:pStyle w:val="FootnoteText"/>
      </w:pPr>
      <w:r>
        <w:rPr>
          <w:rStyle w:val="FootnoteReference"/>
        </w:rPr>
        <w:footnoteRef/>
      </w:r>
      <w:r>
        <w:t xml:space="preserve"> </w:t>
      </w:r>
      <w:r>
        <w:tab/>
      </w:r>
      <w:hyperlink r:id="rId17" w:history="1">
        <w:r w:rsidRPr="00CD3889">
          <w:t xml:space="preserve">Business SA - </w:t>
        </w:r>
        <w:r w:rsidRPr="00CD3889">
          <w:rPr>
            <w:rStyle w:val="AERtextitalic"/>
          </w:rPr>
          <w:t>Submission on SAPN's regulatory proposal 2015-20</w:t>
        </w:r>
        <w:r w:rsidRPr="00CD3889">
          <w:t xml:space="preserve"> - 30 January 2015</w:t>
        </w:r>
      </w:hyperlink>
      <w:r>
        <w:t xml:space="preserve">, p. 31 and </w:t>
      </w:r>
      <w:hyperlink r:id="rId18" w:history="1">
        <w:r w:rsidRPr="00CD3889">
          <w:t xml:space="preserve">Energy Users Association of Australia, </w:t>
        </w:r>
        <w:r w:rsidRPr="00CD3889">
          <w:rPr>
            <w:rStyle w:val="AERtextitalic"/>
          </w:rPr>
          <w:t>Submission on SAPN's regulatory proposal 2015-20</w:t>
        </w:r>
        <w:r w:rsidRPr="00CD3889">
          <w:t>, 30 January 2015</w:t>
        </w:r>
      </w:hyperlink>
      <w:r>
        <w:t>, p. 10.</w:t>
      </w:r>
    </w:p>
  </w:footnote>
  <w:footnote w:id="381">
    <w:p w:rsidR="001C0B41" w:rsidRDefault="001C0B41" w:rsidP="00834D39">
      <w:pPr>
        <w:pStyle w:val="FootnoteText"/>
      </w:pPr>
      <w:r>
        <w:rPr>
          <w:rStyle w:val="FootnoteReference"/>
        </w:rPr>
        <w:footnoteRef/>
      </w:r>
      <w:r>
        <w:t xml:space="preserve"> </w:t>
      </w:r>
      <w:r>
        <w:tab/>
        <w:t>NER, clause 6.5.7(e)(7).</w:t>
      </w:r>
    </w:p>
  </w:footnote>
  <w:footnote w:id="382">
    <w:p w:rsidR="001C0B41" w:rsidRDefault="001C0B41" w:rsidP="00834D39">
      <w:pPr>
        <w:pStyle w:val="FootnoteText"/>
      </w:pPr>
      <w:r>
        <w:rPr>
          <w:rStyle w:val="FootnoteReference"/>
        </w:rPr>
        <w:footnoteRef/>
      </w:r>
      <w:r>
        <w:t xml:space="preserve"> </w:t>
      </w:r>
      <w:r>
        <w:tab/>
        <w:t>NEL, Part 1, section 7.</w:t>
      </w:r>
    </w:p>
  </w:footnote>
  <w:footnote w:id="383">
    <w:p w:rsidR="001C0B41" w:rsidRDefault="001C0B41" w:rsidP="00834D39">
      <w:pPr>
        <w:pStyle w:val="FootnoteText"/>
      </w:pPr>
      <w:r>
        <w:rPr>
          <w:rStyle w:val="FootnoteReference"/>
        </w:rPr>
        <w:footnoteRef/>
      </w:r>
      <w:r>
        <w:t xml:space="preserve"> </w:t>
      </w:r>
      <w:r>
        <w:tab/>
        <w:t>NER, clause 6.5.7(e)(8).</w:t>
      </w:r>
    </w:p>
  </w:footnote>
  <w:footnote w:id="384">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pp. 5-6.</w:t>
      </w:r>
    </w:p>
  </w:footnote>
  <w:footnote w:id="385">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p.11</w:t>
      </w:r>
      <w:r w:rsidRPr="007F2DB1">
        <w:t>.</w:t>
      </w:r>
    </w:p>
  </w:footnote>
  <w:footnote w:id="386">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13</w:t>
      </w:r>
      <w:r w:rsidRPr="007F2DB1">
        <w:t>.</w:t>
      </w:r>
    </w:p>
  </w:footnote>
  <w:footnote w:id="387">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w:t>
      </w:r>
      <w:r w:rsidRPr="007F2DB1">
        <w:t>.</w:t>
      </w:r>
      <w:r>
        <w:t xml:space="preserve"> 13.</w:t>
      </w:r>
    </w:p>
  </w:footnote>
  <w:footnote w:id="388">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16</w:t>
      </w:r>
      <w:r w:rsidRPr="007F2DB1">
        <w:t>.</w:t>
      </w:r>
    </w:p>
  </w:footnote>
  <w:footnote w:id="389">
    <w:p w:rsidR="001C0B41" w:rsidRDefault="001C0B41" w:rsidP="00834D3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pp. 15, 17 and 20</w:t>
      </w:r>
      <w:r w:rsidRPr="007F2DB1">
        <w:t>.</w:t>
      </w:r>
    </w:p>
  </w:footnote>
  <w:footnote w:id="390">
    <w:p w:rsidR="001C0B41" w:rsidRDefault="001C0B41">
      <w:pPr>
        <w:pStyle w:val="FootnoteText"/>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w:t>
      </w:r>
    </w:p>
  </w:footnote>
  <w:footnote w:id="391">
    <w:p w:rsidR="001C0B41" w:rsidRPr="00411AE1" w:rsidRDefault="001C0B41" w:rsidP="00326603">
      <w:pPr>
        <w:pStyle w:val="FootnoteText"/>
        <w:rPr>
          <w:rStyle w:val="AERtexthighlight"/>
        </w:rPr>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 p. 3.</w:t>
      </w:r>
    </w:p>
  </w:footnote>
  <w:footnote w:id="392">
    <w:p w:rsidR="001C0B41" w:rsidRPr="00411AE1" w:rsidRDefault="001C0B41" w:rsidP="00326603">
      <w:pPr>
        <w:pStyle w:val="FootnoteText"/>
        <w:rPr>
          <w:rStyle w:val="AERtexthighlight"/>
        </w:rPr>
      </w:pPr>
      <w:r w:rsidRPr="00761F54">
        <w:rPr>
          <w:rStyle w:val="AERsuperscript"/>
        </w:rPr>
        <w:footnoteRef/>
      </w:r>
      <w:r>
        <w:tab/>
        <w:t>C</w:t>
      </w:r>
      <w:r w:rsidRPr="00761F54">
        <w:t xml:space="preserve">EG, </w:t>
      </w:r>
      <w:r w:rsidRPr="00C1345C">
        <w:rPr>
          <w:rStyle w:val="AERtextitalic"/>
        </w:rPr>
        <w:t>Escalation factors affecting expenditure forecasts</w:t>
      </w:r>
      <w:r w:rsidRPr="00761F54">
        <w:t>, December 2013, pp. 4-5.</w:t>
      </w:r>
    </w:p>
  </w:footnote>
  <w:footnote w:id="393">
    <w:p w:rsidR="001C0B41" w:rsidRPr="000D1797" w:rsidRDefault="001C0B41" w:rsidP="00326603">
      <w:pPr>
        <w:pStyle w:val="FootnoteText"/>
        <w:rPr>
          <w:rStyle w:val="AERtexthighlight"/>
        </w:rPr>
      </w:pPr>
      <w:r>
        <w:rPr>
          <w:rStyle w:val="FootnoteReference"/>
        </w:rPr>
        <w:footnoteRef/>
      </w:r>
      <w:r>
        <w:t xml:space="preserve"> </w:t>
      </w:r>
      <w:r>
        <w:tab/>
      </w:r>
      <w:r w:rsidRPr="00761F54">
        <w:t xml:space="preserve">CEG, Escalation factors affecting expenditure forecasts, December 2013, pp. 5-6. </w:t>
      </w:r>
      <w:r>
        <w:rPr>
          <w:rStyle w:val="AERtexthighlight"/>
        </w:rPr>
        <w:t xml:space="preserve">  </w:t>
      </w:r>
    </w:p>
  </w:footnote>
  <w:footnote w:id="394">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395">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396">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397">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398">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p.16.</w:t>
      </w:r>
    </w:p>
  </w:footnote>
  <w:footnote w:id="399">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400">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401">
    <w:p w:rsidR="001C0B41" w:rsidRDefault="001C0B41" w:rsidP="00834D3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6.</w:t>
      </w:r>
    </w:p>
  </w:footnote>
  <w:footnote w:id="402">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403">
    <w:p w:rsidR="001C0B41" w:rsidRDefault="001C0B41" w:rsidP="00834D3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404">
    <w:p w:rsidR="001C0B41" w:rsidRDefault="001C0B41" w:rsidP="00834D3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405">
    <w:p w:rsidR="001C0B41" w:rsidRDefault="001C0B41" w:rsidP="00834D3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406">
    <w:p w:rsidR="001C0B41" w:rsidRDefault="001C0B41" w:rsidP="00E130D6">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40.</w:t>
      </w:r>
    </w:p>
  </w:footnote>
  <w:footnote w:id="407">
    <w:p w:rsidR="001C0B41" w:rsidRDefault="001C0B41" w:rsidP="00E130D6">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iii.</w:t>
      </w:r>
    </w:p>
  </w:footnote>
  <w:footnote w:id="408">
    <w:p w:rsidR="001C0B41" w:rsidRDefault="001C0B41" w:rsidP="00A906C4">
      <w:pPr>
        <w:pStyle w:val="FootnoteText"/>
      </w:pPr>
      <w:r>
        <w:rPr>
          <w:rStyle w:val="FootnoteReference"/>
        </w:rPr>
        <w:footnoteRef/>
      </w:r>
      <w:r>
        <w:t xml:space="preserve"> </w:t>
      </w:r>
      <w:r>
        <w:tab/>
        <w:t>NER, clause 6.5.7(a).</w:t>
      </w:r>
    </w:p>
  </w:footnote>
  <w:footnote w:id="409">
    <w:p w:rsidR="001C0B41" w:rsidRDefault="001C0B41" w:rsidP="0071295E">
      <w:pPr>
        <w:pStyle w:val="FootnoteText"/>
      </w:pPr>
      <w:r>
        <w:rPr>
          <w:rStyle w:val="FootnoteReference"/>
        </w:rPr>
        <w:footnoteRef/>
      </w:r>
      <w:r>
        <w:t xml:space="preserve"> </w:t>
      </w:r>
      <w:r>
        <w:tab/>
        <w:t xml:space="preserve"> Jacobs, </w:t>
      </w:r>
      <w:r>
        <w:rPr>
          <w:rStyle w:val="AERtextitalic"/>
        </w:rPr>
        <w:t>Nominal Material Cost Escalation Indices Forecast</w:t>
      </w:r>
      <w:r>
        <w:t>, September 2014, p.8</w:t>
      </w:r>
      <w:r w:rsidRPr="00165DCD">
        <w:t>.</w:t>
      </w:r>
    </w:p>
  </w:footnote>
  <w:footnote w:id="410">
    <w:p w:rsidR="001C0B41" w:rsidRDefault="001C0B41" w:rsidP="0071295E">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411">
    <w:p w:rsidR="001C0B41" w:rsidRDefault="001C0B41" w:rsidP="0071295E">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412">
    <w:p w:rsidR="001C0B41" w:rsidRDefault="001C0B41" w:rsidP="0071295E">
      <w:pPr>
        <w:pStyle w:val="FootnoteText"/>
      </w:pPr>
      <w:r>
        <w:rPr>
          <w:rStyle w:val="FootnoteReference"/>
        </w:rPr>
        <w:footnoteRef/>
      </w:r>
      <w:r>
        <w:t xml:space="preserve"> </w:t>
      </w:r>
      <w:r>
        <w:tab/>
        <w:t>NEL, section 7(2).</w:t>
      </w:r>
    </w:p>
  </w:footnote>
  <w:footnote w:id="413">
    <w:p w:rsidR="001C0B41" w:rsidRDefault="001C0B41" w:rsidP="0071295E">
      <w:pPr>
        <w:pStyle w:val="FootnoteText"/>
      </w:pPr>
      <w:r>
        <w:rPr>
          <w:rStyle w:val="FootnoteReference"/>
        </w:rPr>
        <w:footnoteRef/>
      </w:r>
      <w:r>
        <w:t xml:space="preserve"> </w:t>
      </w:r>
      <w:r>
        <w:tab/>
      </w:r>
      <w:r w:rsidRPr="00B8450D">
        <w:t>NER, clauses 6.5.6(c)(3) and.6.5.7(c)(3)</w:t>
      </w:r>
      <w:r>
        <w:t>.</w:t>
      </w:r>
    </w:p>
  </w:footnote>
  <w:footnote w:id="414">
    <w:p w:rsidR="001C0B41" w:rsidRDefault="001C0B41" w:rsidP="00DB185B">
      <w:pPr>
        <w:pStyle w:val="FootnoteText"/>
      </w:pPr>
      <w:r>
        <w:rPr>
          <w:rStyle w:val="FootnoteReference"/>
        </w:rPr>
        <w:footnoteRef/>
      </w:r>
      <w:r>
        <w:t xml:space="preserve"> </w:t>
      </w:r>
      <w:r>
        <w:tab/>
        <w:t xml:space="preserve">AEMC, </w:t>
      </w:r>
      <w:r w:rsidRPr="00E55BC4">
        <w:rPr>
          <w:rStyle w:val="AERtextitalic"/>
        </w:rPr>
        <w:t>Rule Determination, National Electricity Amendment (Economic Regulation of Network Service Providers) Rule 2012</w:t>
      </w:r>
      <w:r>
        <w:t>, 29 November 2012.</w:t>
      </w:r>
    </w:p>
  </w:footnote>
  <w:footnote w:id="415">
    <w:p w:rsidR="001C0B41" w:rsidRDefault="001C0B41" w:rsidP="00DB185B">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416">
    <w:p w:rsidR="001C0B41" w:rsidRDefault="001C0B41" w:rsidP="00DB185B">
      <w:pPr>
        <w:pStyle w:val="FootnoteText"/>
      </w:pPr>
      <w:r>
        <w:rPr>
          <w:rStyle w:val="FootnoteReference"/>
        </w:rPr>
        <w:footnoteRef/>
      </w:r>
      <w:r>
        <w:t xml:space="preserve"> </w:t>
      </w:r>
      <w:r>
        <w:tab/>
      </w:r>
      <w:r w:rsidRPr="005C53AC">
        <w:t>AER, Expenditure Forecast Assessment Guideline for Electricity Distribution, November 2013; AER, Expenditure Forecast Assessment Guideline for Electricity Transmission, November 2013.</w:t>
      </w:r>
    </w:p>
  </w:footnote>
  <w:footnote w:id="417">
    <w:p w:rsidR="001C0B41" w:rsidRDefault="001C0B41" w:rsidP="00DB185B">
      <w:pPr>
        <w:pStyle w:val="FootnoteText"/>
      </w:pPr>
      <w:r>
        <w:rPr>
          <w:rStyle w:val="FootnoteReference"/>
        </w:rPr>
        <w:footnoteRef/>
      </w:r>
      <w:r>
        <w:t xml:space="preserve"> </w:t>
      </w:r>
      <w:r>
        <w:tab/>
        <w:t>AER Determinations for 2011–15 for CitiPower, Jemena, Powercor, SP AusNet, and United Energy.</w:t>
      </w:r>
    </w:p>
  </w:footnote>
  <w:footnote w:id="418">
    <w:p w:rsidR="001C0B41" w:rsidRDefault="001C0B41" w:rsidP="00DB185B">
      <w:pPr>
        <w:pStyle w:val="FootnoteText"/>
      </w:pPr>
      <w:r>
        <w:rPr>
          <w:rStyle w:val="FootnoteReference"/>
        </w:rPr>
        <w:footnoteRef/>
      </w:r>
      <w:r>
        <w:t xml:space="preserve"> </w:t>
      </w:r>
      <w:r>
        <w:tab/>
      </w:r>
      <w:r w:rsidRPr="002F7DF5">
        <w:t>AER, Electricity network service providers, Replacement expenditure model handbook, November 2013.</w:t>
      </w:r>
    </w:p>
  </w:footnote>
  <w:footnote w:id="419">
    <w:p w:rsidR="001C0B41" w:rsidRPr="00BF322D" w:rsidRDefault="001C0B41" w:rsidP="00DB185B">
      <w:pPr>
        <w:pStyle w:val="FootnoteText"/>
      </w:pPr>
      <w:r>
        <w:rPr>
          <w:rStyle w:val="FootnoteReference"/>
        </w:rPr>
        <w:footnoteRef/>
      </w:r>
      <w:r>
        <w:t xml:space="preserve"> </w:t>
      </w:r>
      <w:r>
        <w:tab/>
      </w:r>
      <w:r w:rsidRPr="002A176D">
        <w:rPr>
          <w:rStyle w:val="AERbody"/>
          <w:sz w:val="16"/>
        </w:rPr>
        <w:t>The repex model has been applied in the Victorian 2011–15 and Aurora Energy 2012–17 distribution determinations; AER, Electricity network service providers Replacement expenditure model handbook, November 2013.</w:t>
      </w:r>
    </w:p>
  </w:footnote>
  <w:footnote w:id="420">
    <w:p w:rsidR="001C0B41" w:rsidRPr="002A176D" w:rsidRDefault="001C0B41" w:rsidP="00DB185B">
      <w:pPr>
        <w:pStyle w:val="FootnoteText"/>
      </w:pPr>
      <w:r>
        <w:rPr>
          <w:rStyle w:val="FootnoteReference"/>
        </w:rPr>
        <w:footnoteRef/>
      </w:r>
      <w:r>
        <w:t xml:space="preserve"> </w:t>
      </w:r>
      <w:r>
        <w:tab/>
      </w:r>
      <w:r w:rsidRPr="002A176D">
        <w:t>NER, clause 6.5.7(e)(6).</w:t>
      </w:r>
    </w:p>
  </w:footnote>
  <w:footnote w:id="421">
    <w:p w:rsidR="001C0B41" w:rsidRDefault="001C0B41" w:rsidP="00DB185B">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19" w:history="1">
        <w:r w:rsidRPr="002A176D">
          <w:rPr>
            <w:rStyle w:val="Hyperlink"/>
            <w:color w:val="auto"/>
            <w:sz w:val="16"/>
            <w:u w:val="none"/>
          </w:rPr>
          <w:t>http://www.aer.gov.au/node/21843</w:t>
        </w:r>
      </w:hyperlink>
      <w:r>
        <w:t>.</w:t>
      </w:r>
    </w:p>
  </w:footnote>
  <w:footnote w:id="422">
    <w:p w:rsidR="001C0B41" w:rsidRDefault="001C0B41" w:rsidP="00DB185B">
      <w:pPr>
        <w:pStyle w:val="FootnoteText"/>
      </w:pPr>
      <w:r>
        <w:rPr>
          <w:rStyle w:val="FootnoteReference"/>
        </w:rPr>
        <w:footnoteRef/>
      </w:r>
      <w:r>
        <w:t xml:space="preserve"> </w:t>
      </w:r>
      <w:r>
        <w:tab/>
        <w:t>NER, cl. 6.9.1.</w:t>
      </w:r>
    </w:p>
  </w:footnote>
  <w:footnote w:id="423">
    <w:p w:rsidR="001C0B41" w:rsidRDefault="001C0B41" w:rsidP="00DB185B">
      <w:pPr>
        <w:pStyle w:val="FootnoteText"/>
      </w:pPr>
      <w:r>
        <w:rPr>
          <w:rStyle w:val="FootnoteReference"/>
        </w:rPr>
        <w:footnoteRef/>
      </w:r>
      <w:r>
        <w:t xml:space="preserve"> </w:t>
      </w:r>
      <w:r>
        <w:tab/>
        <w:t>NSW, ACT, SA and QLD distribution network service providers—Ausgrid, Endeavour Energy, Essential Energy, ActewAGL, SA Power Networks, Energex and Ergon Energy.</w:t>
      </w:r>
    </w:p>
  </w:footnote>
  <w:footnote w:id="424">
    <w:p w:rsidR="001C0B41" w:rsidRDefault="001C0B41" w:rsidP="00DB185B">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425">
    <w:p w:rsidR="001C0B41" w:rsidRDefault="001C0B41" w:rsidP="00DB185B">
      <w:pPr>
        <w:pStyle w:val="FootnoteText"/>
      </w:pPr>
      <w:r>
        <w:rPr>
          <w:rStyle w:val="FootnoteReference"/>
        </w:rPr>
        <w:footnoteRef/>
      </w:r>
      <w:r>
        <w:t xml:space="preserve"> </w:t>
      </w:r>
      <w:r>
        <w:tab/>
        <w:t>We took into account whether the distributor reported on calendar or financial year basis.</w:t>
      </w:r>
    </w:p>
  </w:footnote>
  <w:footnote w:id="426">
    <w:p w:rsidR="001C0B41" w:rsidRDefault="001C0B41" w:rsidP="00DB185B">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427">
    <w:p w:rsidR="001C0B41" w:rsidRDefault="001C0B41" w:rsidP="00DB185B">
      <w:pPr>
        <w:pStyle w:val="FootnoteText"/>
      </w:pPr>
      <w:r>
        <w:rPr>
          <w:rStyle w:val="FootnoteReference"/>
        </w:rPr>
        <w:footnoteRef/>
      </w:r>
      <w:r>
        <w:t xml:space="preserve"> </w:t>
      </w:r>
      <w:r>
        <w:tab/>
        <w:t xml:space="preserve">We did not determine quartile or best values for the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service providers, Replacement expenditure model handbook</w:t>
      </w:r>
      <w:r w:rsidRPr="0030703C">
        <w:t>, November 2013.</w:t>
      </w:r>
    </w:p>
  </w:footnote>
  <w:footnote w:id="428">
    <w:p w:rsidR="001C0B41" w:rsidRDefault="001C0B41" w:rsidP="00DB185B">
      <w:pPr>
        <w:pStyle w:val="FootnoteText"/>
      </w:pPr>
      <w:r>
        <w:rPr>
          <w:rStyle w:val="FootnoteReference"/>
        </w:rPr>
        <w:footnoteRef/>
      </w:r>
      <w:r>
        <w:t xml:space="preserve"> </w:t>
      </w:r>
      <w:r>
        <w:tab/>
        <w:t>I</w:t>
      </w:r>
      <w:r w:rsidRPr="0030703C">
        <w:t xml:space="preserve">t has been necessary for some </w:t>
      </w:r>
      <w:r>
        <w:t>distributors</w:t>
      </w:r>
      <w:r w:rsidRPr="0030703C">
        <w:t xml:space="preserve"> to make assumptions on the asset age profile to remove double counting. This is detailed at the end of this appendix</w:t>
      </w:r>
      <w:r>
        <w:t>.</w:t>
      </w:r>
    </w:p>
  </w:footnote>
  <w:footnote w:id="429">
    <w:p w:rsidR="001C0B41" w:rsidRDefault="001C0B41" w:rsidP="00DB185B">
      <w:pPr>
        <w:pStyle w:val="FootnoteText"/>
      </w:pPr>
      <w:r>
        <w:rPr>
          <w:rStyle w:val="FootnoteReference"/>
        </w:rPr>
        <w:footnoteRef/>
      </w:r>
      <w:r>
        <w:t xml:space="preserve"> </w:t>
      </w:r>
      <w:r>
        <w:tab/>
      </w:r>
      <w:r w:rsidRPr="0030703C">
        <w:t xml:space="preserve">AER, </w:t>
      </w:r>
      <w:r w:rsidRPr="00FE758F">
        <w:rPr>
          <w:rStyle w:val="AERtextitalic"/>
        </w:rPr>
        <w:t>Electricity network service providers, Replacement expenditure model handbook</w:t>
      </w:r>
      <w:r w:rsidRPr="0030703C">
        <w:t>, November 2013.</w:t>
      </w:r>
    </w:p>
  </w:footnote>
  <w:footnote w:id="430">
    <w:p w:rsidR="001C0B41" w:rsidRPr="00013C04" w:rsidRDefault="001C0B41" w:rsidP="00DB185B">
      <w:pPr>
        <w:pStyle w:val="FootnoteText"/>
      </w:pPr>
      <w:r>
        <w:rPr>
          <w:rStyle w:val="FootnoteReference"/>
        </w:rPr>
        <w:footnoteRef/>
      </w:r>
      <w:r>
        <w:t xml:space="preserve"> </w:t>
      </w:r>
      <w:r>
        <w:tab/>
      </w:r>
      <w:r w:rsidRPr="0030703C">
        <w:t>AER, Electricity network service providers, Replacement expenditure mod</w:t>
      </w:r>
      <w:r>
        <w:t>el handbook, November 2013</w:t>
      </w:r>
      <w:r w:rsidRPr="00013C04">
        <w:t xml:space="preserve">, </w:t>
      </w:r>
      <w:r w:rsidRPr="00013C04">
        <w:rPr>
          <w:rStyle w:val="AERtexthighlight"/>
          <w:shd w:val="clear" w:color="auto" w:fill="auto"/>
        </w:rPr>
        <w:t>pp. 20–21.</w:t>
      </w:r>
    </w:p>
  </w:footnote>
  <w:footnote w:id="431">
    <w:p w:rsidR="001C0B41" w:rsidRDefault="001C0B41" w:rsidP="00DB185B">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432">
    <w:p w:rsidR="001C0B41" w:rsidRDefault="001C0B41" w:rsidP="00DB185B">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433">
    <w:p w:rsidR="001C0B41" w:rsidRDefault="001C0B41" w:rsidP="00DB185B">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93C7537"/>
    <w:multiLevelType w:val="hybridMultilevel"/>
    <w:tmpl w:val="F0102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6BD9"/>
    <w:multiLevelType w:val="hybridMultilevel"/>
    <w:tmpl w:val="EDFEA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C3F44DE"/>
    <w:multiLevelType w:val="multilevel"/>
    <w:tmpl w:val="950A1C52"/>
    <w:numStyleLink w:val="AERHeadings"/>
  </w:abstractNum>
  <w:abstractNum w:abstractNumId="16">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592056E"/>
    <w:multiLevelType w:val="multilevel"/>
    <w:tmpl w:val="950A1C52"/>
    <w:numStyleLink w:val="AERHeadings"/>
  </w:abstractNum>
  <w:abstractNum w:abstractNumId="20">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2">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E19117B"/>
    <w:multiLevelType w:val="multilevel"/>
    <w:tmpl w:val="950A1C52"/>
    <w:numStyleLink w:val="AERHeadings"/>
  </w:abstractNum>
  <w:abstractNum w:abstractNumId="29">
    <w:nsid w:val="3F5F4FFC"/>
    <w:multiLevelType w:val="multilevel"/>
    <w:tmpl w:val="950A1C52"/>
    <w:numStyleLink w:val="AERHeadings"/>
  </w:abstractNum>
  <w:abstractNum w:abstractNumId="3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41A80E45"/>
    <w:multiLevelType w:val="multilevel"/>
    <w:tmpl w:val="950A1C52"/>
    <w:numStyleLink w:val="AERHeadings"/>
  </w:abstractNum>
  <w:abstractNum w:abstractNumId="32">
    <w:nsid w:val="487C7731"/>
    <w:multiLevelType w:val="multilevel"/>
    <w:tmpl w:val="950A1C52"/>
    <w:numStyleLink w:val="AERHeadings"/>
  </w:abstractNum>
  <w:abstractNum w:abstractNumId="3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8">
    <w:nsid w:val="5ECE4384"/>
    <w:multiLevelType w:val="multilevel"/>
    <w:tmpl w:val="D4266FE6"/>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857"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0">
    <w:nsid w:val="6DE36827"/>
    <w:multiLevelType w:val="multilevel"/>
    <w:tmpl w:val="950A1C52"/>
    <w:numStyleLink w:val="AERHeadings"/>
  </w:abstractNum>
  <w:abstractNum w:abstractNumId="41">
    <w:nsid w:val="6F8A5B13"/>
    <w:multiLevelType w:val="hybridMultilevel"/>
    <w:tmpl w:val="E8A244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3B95A35"/>
    <w:multiLevelType w:val="hybridMultilevel"/>
    <w:tmpl w:val="F760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4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26"/>
  </w:num>
  <w:num w:numId="14">
    <w:abstractNumId w:val="12"/>
  </w:num>
  <w:num w:numId="15">
    <w:abstractNumId w:val="16"/>
  </w:num>
  <w:num w:numId="16">
    <w:abstractNumId w:val="33"/>
  </w:num>
  <w:num w:numId="17">
    <w:abstractNumId w:val="11"/>
  </w:num>
  <w:num w:numId="18">
    <w:abstractNumId w:val="21"/>
  </w:num>
  <w:num w:numId="19">
    <w:abstractNumId w:val="34"/>
  </w:num>
  <w:num w:numId="20">
    <w:abstractNumId w:val="42"/>
  </w:num>
  <w:num w:numId="21">
    <w:abstractNumId w:val="37"/>
  </w:num>
  <w:num w:numId="22">
    <w:abstractNumId w:val="35"/>
  </w:num>
  <w:num w:numId="23">
    <w:abstractNumId w:val="23"/>
  </w:num>
  <w:num w:numId="24">
    <w:abstractNumId w:val="36"/>
  </w:num>
  <w:num w:numId="25">
    <w:abstractNumId w:val="38"/>
  </w:num>
  <w:num w:numId="26">
    <w:abstractNumId w:val="25"/>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2"/>
  </w:num>
  <w:num w:numId="31">
    <w:abstractNumId w:val="43"/>
  </w:num>
  <w:num w:numId="32">
    <w:abstractNumId w:val="18"/>
  </w:num>
  <w:num w:numId="33">
    <w:abstractNumId w:val="30"/>
  </w:num>
  <w:num w:numId="34">
    <w:abstractNumId w:val="23"/>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5">
    <w:abstractNumId w:val="23"/>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6">
    <w:abstractNumId w:val="23"/>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7">
    <w:abstractNumId w:val="40"/>
  </w:num>
  <w:num w:numId="38">
    <w:abstractNumId w:val="28"/>
  </w:num>
  <w:num w:numId="39">
    <w:abstractNumId w:val="24"/>
  </w:num>
  <w:num w:numId="40">
    <w:abstractNumId w:val="27"/>
  </w:num>
  <w:num w:numId="41">
    <w:abstractNumId w:val="9"/>
  </w:num>
  <w:num w:numId="42">
    <w:abstractNumId w:val="44"/>
  </w:num>
  <w:num w:numId="43">
    <w:abstractNumId w:val="41"/>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9"/>
  </w:num>
  <w:num w:numId="47">
    <w:abstractNumId w:val="15"/>
  </w:num>
  <w:num w:numId="48">
    <w:abstractNumId w:val="31"/>
  </w:num>
  <w:num w:numId="49">
    <w:abstractNumId w:val="19"/>
  </w:num>
  <w:num w:numId="50">
    <w:abstractNumId w:val="1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num>
  <w:num w:numId="53">
    <w:abstractNumId w:val="13"/>
  </w:num>
  <w:num w:numId="54">
    <w:abstractNumId w:val="12"/>
    <w:lvlOverride w:ilvl="0">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QIiI7goml87p+JI6WgyVy9ZkMRl26iCre8qaqnxJ9vs=" w:saltValue="sKuFxQ+xUD6mMLn1sbq2qA==" w:algorithmName="SHA-256"/>
  <w:defaultTabStop w:val="34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jmana\Desktop\SAPN\AER - Preliminary decision SA Power Networks distribution determination - Attachment 6 - Capital expenditure - April 2015.DOCX"/>
  </w:docVars>
  <w:rsids>
    <w:rsidRoot w:val="00961A4A"/>
    <w:rsid w:val="0000780D"/>
    <w:rsid w:val="00007F4A"/>
    <w:rsid w:val="00012B2D"/>
    <w:rsid w:val="00014645"/>
    <w:rsid w:val="00021202"/>
    <w:rsid w:val="000244CC"/>
    <w:rsid w:val="0002517F"/>
    <w:rsid w:val="00027A98"/>
    <w:rsid w:val="0003578C"/>
    <w:rsid w:val="00043CB1"/>
    <w:rsid w:val="0004724D"/>
    <w:rsid w:val="00052664"/>
    <w:rsid w:val="00054917"/>
    <w:rsid w:val="00056052"/>
    <w:rsid w:val="00062C7B"/>
    <w:rsid w:val="00063247"/>
    <w:rsid w:val="00070F9F"/>
    <w:rsid w:val="0007137B"/>
    <w:rsid w:val="00074100"/>
    <w:rsid w:val="000800A4"/>
    <w:rsid w:val="000800D7"/>
    <w:rsid w:val="00083276"/>
    <w:rsid w:val="000833B9"/>
    <w:rsid w:val="00085663"/>
    <w:rsid w:val="00085EBF"/>
    <w:rsid w:val="00091968"/>
    <w:rsid w:val="00096D0A"/>
    <w:rsid w:val="000A069B"/>
    <w:rsid w:val="000A0A33"/>
    <w:rsid w:val="000A2E19"/>
    <w:rsid w:val="000A2E3C"/>
    <w:rsid w:val="000A3020"/>
    <w:rsid w:val="000A6C7B"/>
    <w:rsid w:val="000A6D7D"/>
    <w:rsid w:val="000B3172"/>
    <w:rsid w:val="000C1A15"/>
    <w:rsid w:val="000C33B3"/>
    <w:rsid w:val="000C3DB7"/>
    <w:rsid w:val="000C6950"/>
    <w:rsid w:val="000D0048"/>
    <w:rsid w:val="000D122C"/>
    <w:rsid w:val="000D1797"/>
    <w:rsid w:val="000D3300"/>
    <w:rsid w:val="000D3FFA"/>
    <w:rsid w:val="000D5606"/>
    <w:rsid w:val="000E1819"/>
    <w:rsid w:val="000E4821"/>
    <w:rsid w:val="000E6C72"/>
    <w:rsid w:val="000F192D"/>
    <w:rsid w:val="0010061D"/>
    <w:rsid w:val="00100F6D"/>
    <w:rsid w:val="00102858"/>
    <w:rsid w:val="001044D7"/>
    <w:rsid w:val="001057AD"/>
    <w:rsid w:val="001100E1"/>
    <w:rsid w:val="00111CFF"/>
    <w:rsid w:val="00116EB2"/>
    <w:rsid w:val="001179C0"/>
    <w:rsid w:val="00120266"/>
    <w:rsid w:val="00121BCD"/>
    <w:rsid w:val="00124609"/>
    <w:rsid w:val="00126A4C"/>
    <w:rsid w:val="00131931"/>
    <w:rsid w:val="001341CC"/>
    <w:rsid w:val="0014197E"/>
    <w:rsid w:val="00142BF0"/>
    <w:rsid w:val="001431AA"/>
    <w:rsid w:val="0014573B"/>
    <w:rsid w:val="00153717"/>
    <w:rsid w:val="001558AC"/>
    <w:rsid w:val="00156C0F"/>
    <w:rsid w:val="001573E4"/>
    <w:rsid w:val="00160756"/>
    <w:rsid w:val="00162D46"/>
    <w:rsid w:val="001671E2"/>
    <w:rsid w:val="00170F38"/>
    <w:rsid w:val="0017232E"/>
    <w:rsid w:val="00174102"/>
    <w:rsid w:val="00177F6D"/>
    <w:rsid w:val="00180157"/>
    <w:rsid w:val="001842E4"/>
    <w:rsid w:val="00185CB9"/>
    <w:rsid w:val="00186F77"/>
    <w:rsid w:val="00186F99"/>
    <w:rsid w:val="001926A4"/>
    <w:rsid w:val="00192AD5"/>
    <w:rsid w:val="00195B35"/>
    <w:rsid w:val="001A26A9"/>
    <w:rsid w:val="001A7F58"/>
    <w:rsid w:val="001B43AE"/>
    <w:rsid w:val="001B45A0"/>
    <w:rsid w:val="001C0147"/>
    <w:rsid w:val="001C0B41"/>
    <w:rsid w:val="001C3B99"/>
    <w:rsid w:val="001C3F7A"/>
    <w:rsid w:val="001D055E"/>
    <w:rsid w:val="001D5180"/>
    <w:rsid w:val="001E31BB"/>
    <w:rsid w:val="001F15E3"/>
    <w:rsid w:val="001F492E"/>
    <w:rsid w:val="001F6DA3"/>
    <w:rsid w:val="002010BC"/>
    <w:rsid w:val="002012B0"/>
    <w:rsid w:val="00202386"/>
    <w:rsid w:val="00202E03"/>
    <w:rsid w:val="0020492C"/>
    <w:rsid w:val="00217662"/>
    <w:rsid w:val="002208B0"/>
    <w:rsid w:val="002226F6"/>
    <w:rsid w:val="00224DB9"/>
    <w:rsid w:val="00230568"/>
    <w:rsid w:val="00233775"/>
    <w:rsid w:val="00247A0D"/>
    <w:rsid w:val="00251245"/>
    <w:rsid w:val="00251745"/>
    <w:rsid w:val="00252FBB"/>
    <w:rsid w:val="00256AED"/>
    <w:rsid w:val="00262176"/>
    <w:rsid w:val="00263AC0"/>
    <w:rsid w:val="00264264"/>
    <w:rsid w:val="00265101"/>
    <w:rsid w:val="0026772D"/>
    <w:rsid w:val="00270848"/>
    <w:rsid w:val="00271700"/>
    <w:rsid w:val="00283105"/>
    <w:rsid w:val="0028521F"/>
    <w:rsid w:val="00286874"/>
    <w:rsid w:val="00290078"/>
    <w:rsid w:val="00290C63"/>
    <w:rsid w:val="0029284F"/>
    <w:rsid w:val="00293ADE"/>
    <w:rsid w:val="00294831"/>
    <w:rsid w:val="00295236"/>
    <w:rsid w:val="00296B65"/>
    <w:rsid w:val="002A385D"/>
    <w:rsid w:val="002A3937"/>
    <w:rsid w:val="002A3D5B"/>
    <w:rsid w:val="002A7DEF"/>
    <w:rsid w:val="002B3BD0"/>
    <w:rsid w:val="002C3472"/>
    <w:rsid w:val="002C3691"/>
    <w:rsid w:val="002C6B0A"/>
    <w:rsid w:val="002D6FEE"/>
    <w:rsid w:val="002E0168"/>
    <w:rsid w:val="002E2CB4"/>
    <w:rsid w:val="002E7B22"/>
    <w:rsid w:val="002F3FC5"/>
    <w:rsid w:val="002F41C7"/>
    <w:rsid w:val="002F7986"/>
    <w:rsid w:val="00301B40"/>
    <w:rsid w:val="003029EE"/>
    <w:rsid w:val="00303B48"/>
    <w:rsid w:val="00305CC8"/>
    <w:rsid w:val="003064BC"/>
    <w:rsid w:val="00306668"/>
    <w:rsid w:val="00307F6D"/>
    <w:rsid w:val="0031329B"/>
    <w:rsid w:val="00316D97"/>
    <w:rsid w:val="003177A2"/>
    <w:rsid w:val="00322752"/>
    <w:rsid w:val="00325388"/>
    <w:rsid w:val="00326603"/>
    <w:rsid w:val="003271B5"/>
    <w:rsid w:val="00327A1E"/>
    <w:rsid w:val="00330D53"/>
    <w:rsid w:val="00331264"/>
    <w:rsid w:val="0033388A"/>
    <w:rsid w:val="00334C8D"/>
    <w:rsid w:val="0034245C"/>
    <w:rsid w:val="00343A18"/>
    <w:rsid w:val="00344882"/>
    <w:rsid w:val="00345DC6"/>
    <w:rsid w:val="003518B3"/>
    <w:rsid w:val="00366104"/>
    <w:rsid w:val="00366BC6"/>
    <w:rsid w:val="00367FF3"/>
    <w:rsid w:val="00372865"/>
    <w:rsid w:val="00377636"/>
    <w:rsid w:val="003846F1"/>
    <w:rsid w:val="00386BD2"/>
    <w:rsid w:val="00393A9E"/>
    <w:rsid w:val="00394579"/>
    <w:rsid w:val="003A5035"/>
    <w:rsid w:val="003B0F1B"/>
    <w:rsid w:val="003B16C2"/>
    <w:rsid w:val="003B484F"/>
    <w:rsid w:val="003B49C7"/>
    <w:rsid w:val="003C027B"/>
    <w:rsid w:val="003C0B1F"/>
    <w:rsid w:val="003C552E"/>
    <w:rsid w:val="003C7CEF"/>
    <w:rsid w:val="003D5CE6"/>
    <w:rsid w:val="003E4873"/>
    <w:rsid w:val="003F0967"/>
    <w:rsid w:val="003F174D"/>
    <w:rsid w:val="003F7CD1"/>
    <w:rsid w:val="00402998"/>
    <w:rsid w:val="00410E48"/>
    <w:rsid w:val="00411AE1"/>
    <w:rsid w:val="00422CBE"/>
    <w:rsid w:val="00425524"/>
    <w:rsid w:val="00431149"/>
    <w:rsid w:val="00434937"/>
    <w:rsid w:val="0045114B"/>
    <w:rsid w:val="0045318B"/>
    <w:rsid w:val="00455AC8"/>
    <w:rsid w:val="00457721"/>
    <w:rsid w:val="0045777E"/>
    <w:rsid w:val="00461C09"/>
    <w:rsid w:val="00463207"/>
    <w:rsid w:val="00465860"/>
    <w:rsid w:val="00470C43"/>
    <w:rsid w:val="00475BF2"/>
    <w:rsid w:val="00480B4B"/>
    <w:rsid w:val="00485DC4"/>
    <w:rsid w:val="00491D0C"/>
    <w:rsid w:val="00493E52"/>
    <w:rsid w:val="00497AA9"/>
    <w:rsid w:val="004A03A1"/>
    <w:rsid w:val="004A1822"/>
    <w:rsid w:val="004A43D1"/>
    <w:rsid w:val="004B02D7"/>
    <w:rsid w:val="004B1B37"/>
    <w:rsid w:val="004B3EA2"/>
    <w:rsid w:val="004B4412"/>
    <w:rsid w:val="004B575E"/>
    <w:rsid w:val="004B6209"/>
    <w:rsid w:val="004C17E7"/>
    <w:rsid w:val="004C348C"/>
    <w:rsid w:val="004C5DBD"/>
    <w:rsid w:val="004C7FB3"/>
    <w:rsid w:val="004D142A"/>
    <w:rsid w:val="004D3898"/>
    <w:rsid w:val="004D55BA"/>
    <w:rsid w:val="004E1943"/>
    <w:rsid w:val="004E22EC"/>
    <w:rsid w:val="004E7D81"/>
    <w:rsid w:val="004F65E7"/>
    <w:rsid w:val="00513BCA"/>
    <w:rsid w:val="0052189E"/>
    <w:rsid w:val="00525DDF"/>
    <w:rsid w:val="00530128"/>
    <w:rsid w:val="00532467"/>
    <w:rsid w:val="00537691"/>
    <w:rsid w:val="00537EAD"/>
    <w:rsid w:val="00543DEE"/>
    <w:rsid w:val="00546E4B"/>
    <w:rsid w:val="00547427"/>
    <w:rsid w:val="0055042A"/>
    <w:rsid w:val="00551978"/>
    <w:rsid w:val="005531F2"/>
    <w:rsid w:val="00555D79"/>
    <w:rsid w:val="00557194"/>
    <w:rsid w:val="00564A4D"/>
    <w:rsid w:val="00567BA5"/>
    <w:rsid w:val="00571B35"/>
    <w:rsid w:val="00571D57"/>
    <w:rsid w:val="0057632B"/>
    <w:rsid w:val="00577A09"/>
    <w:rsid w:val="00581CE7"/>
    <w:rsid w:val="005829C2"/>
    <w:rsid w:val="00584D8F"/>
    <w:rsid w:val="00594ED0"/>
    <w:rsid w:val="005A404D"/>
    <w:rsid w:val="005A5B6D"/>
    <w:rsid w:val="005B1E3C"/>
    <w:rsid w:val="005C19C8"/>
    <w:rsid w:val="005C26CC"/>
    <w:rsid w:val="005C4513"/>
    <w:rsid w:val="005D7BA2"/>
    <w:rsid w:val="005E18C6"/>
    <w:rsid w:val="005E2BE3"/>
    <w:rsid w:val="005E36C2"/>
    <w:rsid w:val="005F37B5"/>
    <w:rsid w:val="005F4461"/>
    <w:rsid w:val="006025C2"/>
    <w:rsid w:val="00604AA1"/>
    <w:rsid w:val="00607F21"/>
    <w:rsid w:val="00612495"/>
    <w:rsid w:val="00615C6B"/>
    <w:rsid w:val="00621DCE"/>
    <w:rsid w:val="00624A53"/>
    <w:rsid w:val="00627661"/>
    <w:rsid w:val="00632D6D"/>
    <w:rsid w:val="00633884"/>
    <w:rsid w:val="0063487B"/>
    <w:rsid w:val="00642C3E"/>
    <w:rsid w:val="00643DF7"/>
    <w:rsid w:val="0065162C"/>
    <w:rsid w:val="00652261"/>
    <w:rsid w:val="0066104A"/>
    <w:rsid w:val="00663B05"/>
    <w:rsid w:val="00663DAD"/>
    <w:rsid w:val="006649EB"/>
    <w:rsid w:val="006653FF"/>
    <w:rsid w:val="00667ACD"/>
    <w:rsid w:val="006749CA"/>
    <w:rsid w:val="00675E20"/>
    <w:rsid w:val="00676679"/>
    <w:rsid w:val="00676D36"/>
    <w:rsid w:val="006813C9"/>
    <w:rsid w:val="00683C89"/>
    <w:rsid w:val="0069650B"/>
    <w:rsid w:val="006A0BB0"/>
    <w:rsid w:val="006A17F7"/>
    <w:rsid w:val="006A6432"/>
    <w:rsid w:val="006A6CCA"/>
    <w:rsid w:val="006A75FD"/>
    <w:rsid w:val="006B2395"/>
    <w:rsid w:val="006B4CF9"/>
    <w:rsid w:val="006B7AC8"/>
    <w:rsid w:val="006B7CB6"/>
    <w:rsid w:val="006C0C3E"/>
    <w:rsid w:val="006C1D47"/>
    <w:rsid w:val="006C5512"/>
    <w:rsid w:val="006D550F"/>
    <w:rsid w:val="006F2BE3"/>
    <w:rsid w:val="00701CAB"/>
    <w:rsid w:val="00704ACF"/>
    <w:rsid w:val="00707563"/>
    <w:rsid w:val="00710428"/>
    <w:rsid w:val="0071295E"/>
    <w:rsid w:val="00722006"/>
    <w:rsid w:val="0072348C"/>
    <w:rsid w:val="00724A37"/>
    <w:rsid w:val="007303C3"/>
    <w:rsid w:val="007324E4"/>
    <w:rsid w:val="007360B5"/>
    <w:rsid w:val="007428F9"/>
    <w:rsid w:val="007429BE"/>
    <w:rsid w:val="00743223"/>
    <w:rsid w:val="0074366C"/>
    <w:rsid w:val="00744F2F"/>
    <w:rsid w:val="00746E01"/>
    <w:rsid w:val="00752D9E"/>
    <w:rsid w:val="007549B8"/>
    <w:rsid w:val="00757BDF"/>
    <w:rsid w:val="00761F54"/>
    <w:rsid w:val="00761FCF"/>
    <w:rsid w:val="00763E5D"/>
    <w:rsid w:val="00767740"/>
    <w:rsid w:val="00770D1B"/>
    <w:rsid w:val="007734D0"/>
    <w:rsid w:val="00777EE6"/>
    <w:rsid w:val="00782EEA"/>
    <w:rsid w:val="00787774"/>
    <w:rsid w:val="00790D11"/>
    <w:rsid w:val="00795E1B"/>
    <w:rsid w:val="007A0BB4"/>
    <w:rsid w:val="007A3CAA"/>
    <w:rsid w:val="007A5646"/>
    <w:rsid w:val="007A7D52"/>
    <w:rsid w:val="007B15B3"/>
    <w:rsid w:val="007B2C72"/>
    <w:rsid w:val="007B2C7E"/>
    <w:rsid w:val="007C1C53"/>
    <w:rsid w:val="007C2AE6"/>
    <w:rsid w:val="007C74BB"/>
    <w:rsid w:val="007D6825"/>
    <w:rsid w:val="007D792D"/>
    <w:rsid w:val="007E4904"/>
    <w:rsid w:val="007E4CB5"/>
    <w:rsid w:val="007E4FE1"/>
    <w:rsid w:val="007E7E3E"/>
    <w:rsid w:val="007E7E46"/>
    <w:rsid w:val="007F066B"/>
    <w:rsid w:val="007F21A7"/>
    <w:rsid w:val="007F2EEF"/>
    <w:rsid w:val="008033C4"/>
    <w:rsid w:val="00803774"/>
    <w:rsid w:val="0080582B"/>
    <w:rsid w:val="00806C88"/>
    <w:rsid w:val="0081034E"/>
    <w:rsid w:val="00820F7B"/>
    <w:rsid w:val="00823174"/>
    <w:rsid w:val="008342D7"/>
    <w:rsid w:val="008344F6"/>
    <w:rsid w:val="00834D39"/>
    <w:rsid w:val="00834E4D"/>
    <w:rsid w:val="0083510F"/>
    <w:rsid w:val="008403FB"/>
    <w:rsid w:val="00844E31"/>
    <w:rsid w:val="00851209"/>
    <w:rsid w:val="008717A8"/>
    <w:rsid w:val="00871A5C"/>
    <w:rsid w:val="00873255"/>
    <w:rsid w:val="008837AC"/>
    <w:rsid w:val="00884BE8"/>
    <w:rsid w:val="0089430D"/>
    <w:rsid w:val="008A587D"/>
    <w:rsid w:val="008B288E"/>
    <w:rsid w:val="008B35CD"/>
    <w:rsid w:val="008B5E3E"/>
    <w:rsid w:val="008B5FCC"/>
    <w:rsid w:val="008C0CBB"/>
    <w:rsid w:val="008C277D"/>
    <w:rsid w:val="008C40EE"/>
    <w:rsid w:val="008C4C13"/>
    <w:rsid w:val="008C5486"/>
    <w:rsid w:val="008D1463"/>
    <w:rsid w:val="008D1661"/>
    <w:rsid w:val="008E38F7"/>
    <w:rsid w:val="008E3D95"/>
    <w:rsid w:val="008E5A8D"/>
    <w:rsid w:val="008E6F80"/>
    <w:rsid w:val="008E7031"/>
    <w:rsid w:val="008E77DE"/>
    <w:rsid w:val="008F07A3"/>
    <w:rsid w:val="00900E1B"/>
    <w:rsid w:val="00902A20"/>
    <w:rsid w:val="0090651D"/>
    <w:rsid w:val="00906D03"/>
    <w:rsid w:val="00913B8E"/>
    <w:rsid w:val="009233EE"/>
    <w:rsid w:val="00924A46"/>
    <w:rsid w:val="00930E11"/>
    <w:rsid w:val="009316A3"/>
    <w:rsid w:val="00933321"/>
    <w:rsid w:val="0093471B"/>
    <w:rsid w:val="009460AA"/>
    <w:rsid w:val="00950C0C"/>
    <w:rsid w:val="00951978"/>
    <w:rsid w:val="009525F5"/>
    <w:rsid w:val="0095421A"/>
    <w:rsid w:val="009552B4"/>
    <w:rsid w:val="009558A5"/>
    <w:rsid w:val="00961A4A"/>
    <w:rsid w:val="00963F7F"/>
    <w:rsid w:val="009661DE"/>
    <w:rsid w:val="00966B03"/>
    <w:rsid w:val="00973489"/>
    <w:rsid w:val="00973A21"/>
    <w:rsid w:val="00976F0C"/>
    <w:rsid w:val="00983C25"/>
    <w:rsid w:val="009856B7"/>
    <w:rsid w:val="00985C86"/>
    <w:rsid w:val="00986CFE"/>
    <w:rsid w:val="00991DC0"/>
    <w:rsid w:val="009967EA"/>
    <w:rsid w:val="00997831"/>
    <w:rsid w:val="009A5FC3"/>
    <w:rsid w:val="009A7711"/>
    <w:rsid w:val="009B09A6"/>
    <w:rsid w:val="009B74B0"/>
    <w:rsid w:val="009C0EA2"/>
    <w:rsid w:val="009C3431"/>
    <w:rsid w:val="009C47E9"/>
    <w:rsid w:val="009C7DCE"/>
    <w:rsid w:val="009D4EB2"/>
    <w:rsid w:val="009D6B46"/>
    <w:rsid w:val="009E7CE4"/>
    <w:rsid w:val="009F4940"/>
    <w:rsid w:val="009F5BA1"/>
    <w:rsid w:val="009F62A0"/>
    <w:rsid w:val="00A02A88"/>
    <w:rsid w:val="00A0562E"/>
    <w:rsid w:val="00A0726D"/>
    <w:rsid w:val="00A248F7"/>
    <w:rsid w:val="00A25613"/>
    <w:rsid w:val="00A271A5"/>
    <w:rsid w:val="00A30896"/>
    <w:rsid w:val="00A313AA"/>
    <w:rsid w:val="00A32FBB"/>
    <w:rsid w:val="00A3556F"/>
    <w:rsid w:val="00A4181B"/>
    <w:rsid w:val="00A428EE"/>
    <w:rsid w:val="00A4478A"/>
    <w:rsid w:val="00A44852"/>
    <w:rsid w:val="00A452C0"/>
    <w:rsid w:val="00A46BE3"/>
    <w:rsid w:val="00A5118C"/>
    <w:rsid w:val="00A57D04"/>
    <w:rsid w:val="00A60A26"/>
    <w:rsid w:val="00A61598"/>
    <w:rsid w:val="00A61E83"/>
    <w:rsid w:val="00A64761"/>
    <w:rsid w:val="00A745DE"/>
    <w:rsid w:val="00A752A4"/>
    <w:rsid w:val="00A76603"/>
    <w:rsid w:val="00A802C8"/>
    <w:rsid w:val="00A82450"/>
    <w:rsid w:val="00A82ACD"/>
    <w:rsid w:val="00A84A99"/>
    <w:rsid w:val="00A84F46"/>
    <w:rsid w:val="00A871F4"/>
    <w:rsid w:val="00A906C4"/>
    <w:rsid w:val="00A918DE"/>
    <w:rsid w:val="00AA2312"/>
    <w:rsid w:val="00AB07AD"/>
    <w:rsid w:val="00AB74E4"/>
    <w:rsid w:val="00AC1B2C"/>
    <w:rsid w:val="00AC3264"/>
    <w:rsid w:val="00AC76B4"/>
    <w:rsid w:val="00AD0191"/>
    <w:rsid w:val="00AD0C20"/>
    <w:rsid w:val="00AD3E36"/>
    <w:rsid w:val="00AD4251"/>
    <w:rsid w:val="00AD47BD"/>
    <w:rsid w:val="00AD6B1F"/>
    <w:rsid w:val="00AE1BF1"/>
    <w:rsid w:val="00AE215A"/>
    <w:rsid w:val="00AE3984"/>
    <w:rsid w:val="00AE44E1"/>
    <w:rsid w:val="00AE4F9C"/>
    <w:rsid w:val="00AE632E"/>
    <w:rsid w:val="00AF028A"/>
    <w:rsid w:val="00AF0DD2"/>
    <w:rsid w:val="00AF5D5E"/>
    <w:rsid w:val="00B01E37"/>
    <w:rsid w:val="00B1200A"/>
    <w:rsid w:val="00B13048"/>
    <w:rsid w:val="00B138D3"/>
    <w:rsid w:val="00B1716D"/>
    <w:rsid w:val="00B17A1D"/>
    <w:rsid w:val="00B207A0"/>
    <w:rsid w:val="00B20F4D"/>
    <w:rsid w:val="00B221DB"/>
    <w:rsid w:val="00B232BE"/>
    <w:rsid w:val="00B34BC0"/>
    <w:rsid w:val="00B514DD"/>
    <w:rsid w:val="00B52933"/>
    <w:rsid w:val="00B52AF0"/>
    <w:rsid w:val="00B561BD"/>
    <w:rsid w:val="00B56E03"/>
    <w:rsid w:val="00B8080B"/>
    <w:rsid w:val="00B858E8"/>
    <w:rsid w:val="00B87BA5"/>
    <w:rsid w:val="00B87C39"/>
    <w:rsid w:val="00B95E3B"/>
    <w:rsid w:val="00BA280A"/>
    <w:rsid w:val="00BA4665"/>
    <w:rsid w:val="00BB2FB2"/>
    <w:rsid w:val="00BB3304"/>
    <w:rsid w:val="00BC24DB"/>
    <w:rsid w:val="00BD1925"/>
    <w:rsid w:val="00BD3446"/>
    <w:rsid w:val="00BD78F6"/>
    <w:rsid w:val="00BE1F1B"/>
    <w:rsid w:val="00BE47B5"/>
    <w:rsid w:val="00BF59DB"/>
    <w:rsid w:val="00C1345C"/>
    <w:rsid w:val="00C1473A"/>
    <w:rsid w:val="00C217FD"/>
    <w:rsid w:val="00C25FA6"/>
    <w:rsid w:val="00C34A56"/>
    <w:rsid w:val="00C3566C"/>
    <w:rsid w:val="00C35CCD"/>
    <w:rsid w:val="00C40599"/>
    <w:rsid w:val="00C4599A"/>
    <w:rsid w:val="00C521F1"/>
    <w:rsid w:val="00C538A9"/>
    <w:rsid w:val="00C53B5A"/>
    <w:rsid w:val="00C54F5A"/>
    <w:rsid w:val="00C569B4"/>
    <w:rsid w:val="00C60407"/>
    <w:rsid w:val="00C67A92"/>
    <w:rsid w:val="00C67C32"/>
    <w:rsid w:val="00C734A2"/>
    <w:rsid w:val="00C748FC"/>
    <w:rsid w:val="00C76FB7"/>
    <w:rsid w:val="00C86679"/>
    <w:rsid w:val="00C907D3"/>
    <w:rsid w:val="00CA489E"/>
    <w:rsid w:val="00CB0279"/>
    <w:rsid w:val="00CB18AB"/>
    <w:rsid w:val="00CB666B"/>
    <w:rsid w:val="00CC7CA9"/>
    <w:rsid w:val="00CC7F1D"/>
    <w:rsid w:val="00CD3889"/>
    <w:rsid w:val="00CD532A"/>
    <w:rsid w:val="00CE30B2"/>
    <w:rsid w:val="00CE721F"/>
    <w:rsid w:val="00CF1A7E"/>
    <w:rsid w:val="00D006AE"/>
    <w:rsid w:val="00D01CF0"/>
    <w:rsid w:val="00D02BDE"/>
    <w:rsid w:val="00D0442A"/>
    <w:rsid w:val="00D0477C"/>
    <w:rsid w:val="00D1558E"/>
    <w:rsid w:val="00D21CE2"/>
    <w:rsid w:val="00D22F1E"/>
    <w:rsid w:val="00D31932"/>
    <w:rsid w:val="00D41CE6"/>
    <w:rsid w:val="00D46DCC"/>
    <w:rsid w:val="00D509DA"/>
    <w:rsid w:val="00D53531"/>
    <w:rsid w:val="00D55583"/>
    <w:rsid w:val="00D55797"/>
    <w:rsid w:val="00D6016E"/>
    <w:rsid w:val="00D60875"/>
    <w:rsid w:val="00D61388"/>
    <w:rsid w:val="00D61A54"/>
    <w:rsid w:val="00D649DD"/>
    <w:rsid w:val="00D64C32"/>
    <w:rsid w:val="00D64DEA"/>
    <w:rsid w:val="00D6597F"/>
    <w:rsid w:val="00D7168E"/>
    <w:rsid w:val="00D717C4"/>
    <w:rsid w:val="00D719DE"/>
    <w:rsid w:val="00D71E57"/>
    <w:rsid w:val="00D72138"/>
    <w:rsid w:val="00D72E5B"/>
    <w:rsid w:val="00D77AF4"/>
    <w:rsid w:val="00D80893"/>
    <w:rsid w:val="00D81C34"/>
    <w:rsid w:val="00D82405"/>
    <w:rsid w:val="00D83AAA"/>
    <w:rsid w:val="00D84854"/>
    <w:rsid w:val="00D8769C"/>
    <w:rsid w:val="00D92CF1"/>
    <w:rsid w:val="00D92D38"/>
    <w:rsid w:val="00D950F5"/>
    <w:rsid w:val="00D951A4"/>
    <w:rsid w:val="00DA1782"/>
    <w:rsid w:val="00DA1D27"/>
    <w:rsid w:val="00DA3489"/>
    <w:rsid w:val="00DA4752"/>
    <w:rsid w:val="00DA61F3"/>
    <w:rsid w:val="00DB000F"/>
    <w:rsid w:val="00DB0F93"/>
    <w:rsid w:val="00DB185B"/>
    <w:rsid w:val="00DB1A67"/>
    <w:rsid w:val="00DB23C4"/>
    <w:rsid w:val="00DB5074"/>
    <w:rsid w:val="00DC3B98"/>
    <w:rsid w:val="00DC7247"/>
    <w:rsid w:val="00DC7981"/>
    <w:rsid w:val="00DD1B78"/>
    <w:rsid w:val="00DE1093"/>
    <w:rsid w:val="00DE4EFA"/>
    <w:rsid w:val="00DE5012"/>
    <w:rsid w:val="00DE5514"/>
    <w:rsid w:val="00DE5520"/>
    <w:rsid w:val="00DE563D"/>
    <w:rsid w:val="00DF3C53"/>
    <w:rsid w:val="00DF5AC8"/>
    <w:rsid w:val="00E00B97"/>
    <w:rsid w:val="00E016C4"/>
    <w:rsid w:val="00E02850"/>
    <w:rsid w:val="00E03EF5"/>
    <w:rsid w:val="00E04818"/>
    <w:rsid w:val="00E06442"/>
    <w:rsid w:val="00E130D6"/>
    <w:rsid w:val="00E13216"/>
    <w:rsid w:val="00E13F47"/>
    <w:rsid w:val="00E22115"/>
    <w:rsid w:val="00E2351D"/>
    <w:rsid w:val="00E23993"/>
    <w:rsid w:val="00E25B8C"/>
    <w:rsid w:val="00E36937"/>
    <w:rsid w:val="00E5311E"/>
    <w:rsid w:val="00E54278"/>
    <w:rsid w:val="00E562DE"/>
    <w:rsid w:val="00E61CD0"/>
    <w:rsid w:val="00E65C85"/>
    <w:rsid w:val="00E66199"/>
    <w:rsid w:val="00E72826"/>
    <w:rsid w:val="00E755EC"/>
    <w:rsid w:val="00E7624D"/>
    <w:rsid w:val="00E815DA"/>
    <w:rsid w:val="00E9328A"/>
    <w:rsid w:val="00EA0C72"/>
    <w:rsid w:val="00EA3D42"/>
    <w:rsid w:val="00EA60F8"/>
    <w:rsid w:val="00EA6590"/>
    <w:rsid w:val="00EA6B1B"/>
    <w:rsid w:val="00EB01DA"/>
    <w:rsid w:val="00EB0D20"/>
    <w:rsid w:val="00EB78CC"/>
    <w:rsid w:val="00EB7EE3"/>
    <w:rsid w:val="00EC4683"/>
    <w:rsid w:val="00EC598D"/>
    <w:rsid w:val="00ED3B3B"/>
    <w:rsid w:val="00ED7323"/>
    <w:rsid w:val="00EE28F3"/>
    <w:rsid w:val="00EE5092"/>
    <w:rsid w:val="00EF3CAB"/>
    <w:rsid w:val="00EF5110"/>
    <w:rsid w:val="00EF5B8F"/>
    <w:rsid w:val="00EF67EA"/>
    <w:rsid w:val="00F01E83"/>
    <w:rsid w:val="00F02131"/>
    <w:rsid w:val="00F10411"/>
    <w:rsid w:val="00F116B1"/>
    <w:rsid w:val="00F15882"/>
    <w:rsid w:val="00F171E0"/>
    <w:rsid w:val="00F20BD3"/>
    <w:rsid w:val="00F228CA"/>
    <w:rsid w:val="00F343BC"/>
    <w:rsid w:val="00F35D20"/>
    <w:rsid w:val="00F373A5"/>
    <w:rsid w:val="00F40C30"/>
    <w:rsid w:val="00F41EBB"/>
    <w:rsid w:val="00F42C43"/>
    <w:rsid w:val="00F456A9"/>
    <w:rsid w:val="00F45830"/>
    <w:rsid w:val="00F47559"/>
    <w:rsid w:val="00F52299"/>
    <w:rsid w:val="00F6393C"/>
    <w:rsid w:val="00F64C7B"/>
    <w:rsid w:val="00F676DD"/>
    <w:rsid w:val="00F72306"/>
    <w:rsid w:val="00F75A26"/>
    <w:rsid w:val="00F75D15"/>
    <w:rsid w:val="00F76706"/>
    <w:rsid w:val="00F8281E"/>
    <w:rsid w:val="00F83FAD"/>
    <w:rsid w:val="00F86CDC"/>
    <w:rsid w:val="00F91953"/>
    <w:rsid w:val="00F952A0"/>
    <w:rsid w:val="00FA169D"/>
    <w:rsid w:val="00FA3C7F"/>
    <w:rsid w:val="00FA3FC1"/>
    <w:rsid w:val="00FB1A58"/>
    <w:rsid w:val="00FB5863"/>
    <w:rsid w:val="00FB74E2"/>
    <w:rsid w:val="00FC08A5"/>
    <w:rsid w:val="00FC10C4"/>
    <w:rsid w:val="00FC41B8"/>
    <w:rsid w:val="00FD08BC"/>
    <w:rsid w:val="00FD5614"/>
    <w:rsid w:val="00FD5CFD"/>
    <w:rsid w:val="00FD6D4B"/>
    <w:rsid w:val="00FE0BE1"/>
    <w:rsid w:val="00FE1DE9"/>
    <w:rsid w:val="00FE287C"/>
    <w:rsid w:val="00FE36AF"/>
    <w:rsid w:val="00FE39C2"/>
    <w:rsid w:val="00FE3C32"/>
    <w:rsid w:val="00FE5250"/>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ind w:left="864"/>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EF3CAB"/>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Indent3">
    <w:name w:val="Body Text Indent 3"/>
    <w:basedOn w:val="Normal"/>
    <w:link w:val="BodyTextIndent3Char"/>
    <w:uiPriority w:val="99"/>
    <w:unhideWhenUsed/>
    <w:rsid w:val="00525DDF"/>
    <w:pPr>
      <w:spacing w:after="120"/>
      <w:ind w:left="283"/>
    </w:pPr>
    <w:rPr>
      <w:sz w:val="16"/>
      <w:szCs w:val="16"/>
    </w:rPr>
  </w:style>
  <w:style w:type="character" w:customStyle="1" w:styleId="BodyTextIndent3Char">
    <w:name w:val="Body Text Indent 3 Char"/>
    <w:basedOn w:val="DefaultParagraphFont"/>
    <w:link w:val="BodyTextIndent3"/>
    <w:uiPriority w:val="99"/>
    <w:rsid w:val="00525DDF"/>
    <w:rPr>
      <w:rFonts w:ascii="Arial" w:hAnsi="Arial"/>
      <w:sz w:val="16"/>
      <w:szCs w:val="16"/>
    </w:rPr>
  </w:style>
  <w:style w:type="paragraph" w:styleId="Index9">
    <w:name w:val="index 9"/>
    <w:basedOn w:val="Normal"/>
    <w:next w:val="Normal"/>
    <w:autoRedefine/>
    <w:uiPriority w:val="99"/>
    <w:unhideWhenUsed/>
    <w:rsid w:val="00083276"/>
    <w:pPr>
      <w:spacing w:before="0" w:line="240" w:lineRule="auto"/>
      <w:ind w:left="1980" w:hanging="220"/>
    </w:pPr>
  </w:style>
  <w:style w:type="paragraph" w:styleId="Index8">
    <w:name w:val="index 8"/>
    <w:basedOn w:val="Normal"/>
    <w:next w:val="Normal"/>
    <w:autoRedefine/>
    <w:uiPriority w:val="99"/>
    <w:unhideWhenUsed/>
    <w:rsid w:val="00083276"/>
    <w:pPr>
      <w:spacing w:before="0" w:line="240" w:lineRule="auto"/>
      <w:ind w:left="176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ind w:left="864"/>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EF3CAB"/>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Indent3">
    <w:name w:val="Body Text Indent 3"/>
    <w:basedOn w:val="Normal"/>
    <w:link w:val="BodyTextIndent3Char"/>
    <w:uiPriority w:val="99"/>
    <w:unhideWhenUsed/>
    <w:rsid w:val="00525DDF"/>
    <w:pPr>
      <w:spacing w:after="120"/>
      <w:ind w:left="283"/>
    </w:pPr>
    <w:rPr>
      <w:sz w:val="16"/>
      <w:szCs w:val="16"/>
    </w:rPr>
  </w:style>
  <w:style w:type="character" w:customStyle="1" w:styleId="BodyTextIndent3Char">
    <w:name w:val="Body Text Indent 3 Char"/>
    <w:basedOn w:val="DefaultParagraphFont"/>
    <w:link w:val="BodyTextIndent3"/>
    <w:uiPriority w:val="99"/>
    <w:rsid w:val="00525DDF"/>
    <w:rPr>
      <w:rFonts w:ascii="Arial" w:hAnsi="Arial"/>
      <w:sz w:val="16"/>
      <w:szCs w:val="16"/>
    </w:rPr>
  </w:style>
  <w:style w:type="paragraph" w:styleId="Index9">
    <w:name w:val="index 9"/>
    <w:basedOn w:val="Normal"/>
    <w:next w:val="Normal"/>
    <w:autoRedefine/>
    <w:uiPriority w:val="99"/>
    <w:unhideWhenUsed/>
    <w:rsid w:val="00083276"/>
    <w:pPr>
      <w:spacing w:before="0" w:line="240" w:lineRule="auto"/>
      <w:ind w:left="1980" w:hanging="220"/>
    </w:pPr>
  </w:style>
  <w:style w:type="paragraph" w:styleId="Index8">
    <w:name w:val="index 8"/>
    <w:basedOn w:val="Normal"/>
    <w:next w:val="Normal"/>
    <w:autoRedefine/>
    <w:uiPriority w:val="99"/>
    <w:unhideWhenUsed/>
    <w:rsid w:val="00083276"/>
    <w:pPr>
      <w:spacing w:before="0" w:line="240" w:lineRule="auto"/>
      <w:ind w:left="176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59177">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689330319">
      <w:bodyDiv w:val="1"/>
      <w:marLeft w:val="0"/>
      <w:marRight w:val="0"/>
      <w:marTop w:val="0"/>
      <w:marBottom w:val="0"/>
      <w:divBdr>
        <w:top w:val="none" w:sz="0" w:space="0" w:color="auto"/>
        <w:left w:val="none" w:sz="0" w:space="0" w:color="auto"/>
        <w:bottom w:val="none" w:sz="0" w:space="0" w:color="auto"/>
        <w:right w:val="none" w:sz="0" w:space="0" w:color="auto"/>
      </w:divBdr>
    </w:div>
    <w:div w:id="731926918">
      <w:bodyDiv w:val="1"/>
      <w:marLeft w:val="0"/>
      <w:marRight w:val="0"/>
      <w:marTop w:val="0"/>
      <w:marBottom w:val="0"/>
      <w:divBdr>
        <w:top w:val="none" w:sz="0" w:space="0" w:color="auto"/>
        <w:left w:val="none" w:sz="0" w:space="0" w:color="auto"/>
        <w:bottom w:val="none" w:sz="0" w:space="0" w:color="auto"/>
        <w:right w:val="none" w:sz="0" w:space="0" w:color="auto"/>
      </w:divBdr>
    </w:div>
    <w:div w:id="901601728">
      <w:bodyDiv w:val="1"/>
      <w:marLeft w:val="0"/>
      <w:marRight w:val="0"/>
      <w:marTop w:val="0"/>
      <w:marBottom w:val="0"/>
      <w:divBdr>
        <w:top w:val="none" w:sz="0" w:space="0" w:color="auto"/>
        <w:left w:val="none" w:sz="0" w:space="0" w:color="auto"/>
        <w:bottom w:val="none" w:sz="0" w:space="0" w:color="auto"/>
        <w:right w:val="none" w:sz="0" w:space="0" w:color="auto"/>
      </w:divBdr>
    </w:div>
    <w:div w:id="966280358">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607226519">
      <w:bodyDiv w:val="1"/>
      <w:marLeft w:val="0"/>
      <w:marRight w:val="0"/>
      <w:marTop w:val="0"/>
      <w:marBottom w:val="0"/>
      <w:divBdr>
        <w:top w:val="none" w:sz="0" w:space="0" w:color="auto"/>
        <w:left w:val="none" w:sz="0" w:space="0" w:color="auto"/>
        <w:bottom w:val="none" w:sz="0" w:space="0" w:color="auto"/>
        <w:right w:val="none" w:sz="0" w:space="0" w:color="auto"/>
      </w:divBdr>
    </w:div>
    <w:div w:id="1958441581">
      <w:bodyDiv w:val="1"/>
      <w:marLeft w:val="0"/>
      <w:marRight w:val="0"/>
      <w:marTop w:val="0"/>
      <w:marBottom w:val="0"/>
      <w:divBdr>
        <w:top w:val="none" w:sz="0" w:space="0" w:color="auto"/>
        <w:left w:val="none" w:sz="0" w:space="0" w:color="auto"/>
        <w:bottom w:val="none" w:sz="0" w:space="0" w:color="auto"/>
        <w:right w:val="none" w:sz="0" w:space="0" w:color="auto"/>
      </w:divBdr>
    </w:div>
    <w:div w:id="204960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image" Target="media/image15.emf"/><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4.emf"/><Relationship Id="rId37" Type="http://schemas.openxmlformats.org/officeDocument/2006/relationships/hyperlink" Target="http://www.aer.gov.au/sites/default/files/SAPN%20-%20RESET%20RIN%202015-20%20PUBLIC.xls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hyperlink" Target="mailto:AERInquiry@aer.gov.au" TargetMode="External"/><Relationship Id="rId19" Type="http://schemas.openxmlformats.org/officeDocument/2006/relationships/image" Target="media/image3.png"/><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emf"/></Relationships>
</file>

<file path=word/_rels/footnotes.xml.rels><?xml version="1.0" encoding="UTF-8" standalone="yes"?>
<Relationships xmlns="http://schemas.openxmlformats.org/package/2006/relationships"><Relationship Id="rId8" Type="http://schemas.openxmlformats.org/officeDocument/2006/relationships/hyperlink" Target="http://www.aer.gov.au/sites/default/files/SAPN%20-%2020.26%20PUBLIC%20-%20Strategic%20Fleet%20Plan%202015-2020.pdf" TargetMode="External"/><Relationship Id="rId13" Type="http://schemas.openxmlformats.org/officeDocument/2006/relationships/hyperlink" Target="http://www.aer.gov.au/sites/default/files/Energy%20Consumers%20Coalition%20of%20SA%20%28ECCSA%29%20-%20Submission%20on%20SAPN%27s%20regulatory%20proposal%202015-20%20-%2031%20January%202015.pdf" TargetMode="External"/><Relationship Id="rId18" Type="http://schemas.openxmlformats.org/officeDocument/2006/relationships/hyperlink" Target="http://www.aer.gov.au/sites/default/files/Energy%20Users%20Association%20of%20Australia%20-%20submission%20on%20SAPN%27s%20regulatory%20proposal%202015-20%20-%2030%20January%202015.pdf" TargetMode="External"/><Relationship Id="rId3" Type="http://schemas.openxmlformats.org/officeDocument/2006/relationships/hyperlink" Target="http://www.aer.gov.au/sites/default/files/SAPN%20-%2020.26%20PUBLIC%20-%20Strategic%20Fleet%20Plan%202015-2020.pdf" TargetMode="External"/><Relationship Id="rId7" Type="http://schemas.openxmlformats.org/officeDocument/2006/relationships/hyperlink" Target="http://www.aer.gov.au/sites/default/files/SAPN%20-%2020.26%20PUBLIC%20-%20Strategic%20Fleet%20Plan%202015-2020.pdf" TargetMode="External"/><Relationship Id="rId12" Type="http://schemas.openxmlformats.org/officeDocument/2006/relationships/hyperlink" Target="http://www.aer.gov.au/sites/default/files/SAPN%20-%2020.26%20PUBLIC%20-%20Strategic%20Fleet%20Plan%202015-2020.pdf" TargetMode="External"/><Relationship Id="rId17" Type="http://schemas.openxmlformats.org/officeDocument/2006/relationships/hyperlink" Target="http://www.aer.gov.au/sites/default/files/Business%20SA%20-%20Submission%20on%20SAPN%27s%20regulatory%20proposal%202015-20%20-%2030%20January%202015.pdf" TargetMode="External"/><Relationship Id="rId2" Type="http://schemas.openxmlformats.org/officeDocument/2006/relationships/hyperlink" Target="http://www.aer.gov.au/sites/default/files/SAPN%20-%2020.26%20PUBLIC%20-%20Strategic%20Fleet%20Plan%202015-2020.pdf" TargetMode="External"/><Relationship Id="rId16" Type="http://schemas.openxmlformats.org/officeDocument/2006/relationships/hyperlink" Target="http://www.aer.gov.au/sites/default/files/Energy%20Consumers%20Coalition%20of%20SA%20%28ECCSA%29%20-%20Submission%20on%20SAPN%27s%20regulatory%20proposal%202015-20%20-%2031%20January%202015.pdf" TargetMode="External"/><Relationship Id="rId1" Type="http://schemas.openxmlformats.org/officeDocument/2006/relationships/hyperlink" Target="http://www.rentocean.com/" TargetMode="External"/><Relationship Id="rId6" Type="http://schemas.openxmlformats.org/officeDocument/2006/relationships/hyperlink" Target="http://www.aer.gov.au/sites/default/files/SAPN%20-%2020.26%20PUBLIC%20-%20Strategic%20Fleet%20Plan%202015-2020.pdf" TargetMode="External"/><Relationship Id="rId11" Type="http://schemas.openxmlformats.org/officeDocument/2006/relationships/hyperlink" Target="http://www.aer.gov.au/sites/default/files/SAPN%20-%2020.26%20PUBLIC%20-%20Strategic%20Fleet%20Plan%202015-2020.pdf" TargetMode="External"/><Relationship Id="rId5" Type="http://schemas.openxmlformats.org/officeDocument/2006/relationships/hyperlink" Target="http://www.aer.gov.au/sites/default/files/SAPN%20-%2020.26%20PUBLIC%20-%20Strategic%20Fleet%20Plan%202015-2020.pdf" TargetMode="External"/><Relationship Id="rId15" Type="http://schemas.openxmlformats.org/officeDocument/2006/relationships/hyperlink" Target="http://www.aer.gov.au/sites/default/files/Business%20SA%20-%20Submission%20on%20SAPN%27s%20regulatory%20proposal%202015-20%20-%2030%20January%202015.pdf" TargetMode="External"/><Relationship Id="rId10" Type="http://schemas.openxmlformats.org/officeDocument/2006/relationships/hyperlink" Target="http://www.aer.gov.au/sites/default/files/SAPN%20-%20RESET%20RIN%202015-20%20PUBLIC.xlsm" TargetMode="External"/><Relationship Id="rId19" Type="http://schemas.openxmlformats.org/officeDocument/2006/relationships/hyperlink" Target="http://www.aer.gov.au/node/21843" TargetMode="External"/><Relationship Id="rId4" Type="http://schemas.openxmlformats.org/officeDocument/2006/relationships/hyperlink" Target="http://www.aer.gov.au/sites/default/files/SAPN%20-%2020.26%20PUBLIC%20-%20Strategic%20Fleet%20Plan%202015-2020.pdf" TargetMode="External"/><Relationship Id="rId9" Type="http://schemas.openxmlformats.org/officeDocument/2006/relationships/hyperlink" Target="http://www.aer.gov.au/sites/default/files/SAPN%20-%20RESET%20RIN%202015-20%20PUBLIC.xlsm" TargetMode="External"/><Relationship Id="rId14" Type="http://schemas.openxmlformats.org/officeDocument/2006/relationships/hyperlink" Target="http://www.aer.gov.au/sites/default/files/Energy%20Users%20Association%20of%20Australia%20-%20submission%20on%20SAPN%27s%20regulatory%20proposal%202015-20%20-%2030%20January%202015.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lutt\AppData\Local\Microsoft\Windows\Temporary%20Internet%20Files\Content.Outlook\4ZXFKKB4\D15%2014162(V2)%20%20SA%20Power%20Networks%20-%20DNSP%20performance%20report%20-%20FINAL%20charts%20and%20data%20February%20201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lutt\AppData\Local\Microsoft\Windows\Temporary%20Internet%20Files\Content.Outlook\4ZXFKKB4\D15%2014162(V2)%20%20SA%20Power%20Networks%20-%20DNSP%20performance%20report%20-%20FINAL%20charts%20and%20data%20February%20201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chnas-evs02\home$\traji\DOC\Personal\Web\stuff\2014%20resets\Electricity\QLD\demand%20draft\SAPN%20-%20Augex%20demand%20-graph%201.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306521600"/>
        <c:axId val="306523136"/>
      </c:lineChart>
      <c:catAx>
        <c:axId val="306521600"/>
        <c:scaling>
          <c:orientation val="minMax"/>
        </c:scaling>
        <c:delete val="0"/>
        <c:axPos val="b"/>
        <c:numFmt formatCode="General" sourceLinked="1"/>
        <c:majorTickMark val="out"/>
        <c:minorTickMark val="none"/>
        <c:tickLblPos val="nextTo"/>
        <c:crossAx val="306523136"/>
        <c:crosses val="autoZero"/>
        <c:auto val="1"/>
        <c:lblAlgn val="ctr"/>
        <c:lblOffset val="100"/>
        <c:noMultiLvlLbl val="0"/>
      </c:catAx>
      <c:valAx>
        <c:axId val="306523136"/>
        <c:scaling>
          <c:orientation val="minMax"/>
          <c:min val="0.60000000000000009"/>
        </c:scaling>
        <c:delete val="0"/>
        <c:axPos val="l"/>
        <c:majorGridlines/>
        <c:numFmt formatCode="#,##0.000" sourceLinked="0"/>
        <c:majorTickMark val="out"/>
        <c:minorTickMark val="none"/>
        <c:tickLblPos val="nextTo"/>
        <c:crossAx val="3065216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322821504"/>
        <c:axId val="322897408"/>
      </c:lineChart>
      <c:catAx>
        <c:axId val="322821504"/>
        <c:scaling>
          <c:orientation val="minMax"/>
        </c:scaling>
        <c:delete val="0"/>
        <c:axPos val="b"/>
        <c:numFmt formatCode="General" sourceLinked="1"/>
        <c:majorTickMark val="out"/>
        <c:minorTickMark val="none"/>
        <c:tickLblPos val="nextTo"/>
        <c:crossAx val="322897408"/>
        <c:crosses val="autoZero"/>
        <c:auto val="1"/>
        <c:lblAlgn val="ctr"/>
        <c:lblOffset val="100"/>
        <c:noMultiLvlLbl val="0"/>
      </c:catAx>
      <c:valAx>
        <c:axId val="322897408"/>
        <c:scaling>
          <c:orientation val="minMax"/>
          <c:min val="0.60000000000000009"/>
        </c:scaling>
        <c:delete val="0"/>
        <c:axPos val="l"/>
        <c:majorGridlines/>
        <c:numFmt formatCode="#,##0.000" sourceLinked="0"/>
        <c:majorTickMark val="out"/>
        <c:minorTickMark val="none"/>
        <c:tickLblPos val="nextTo"/>
        <c:crossAx val="3228215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6757039719066"/>
          <c:y val="7.0962474161716554E-2"/>
          <c:w val="0.85348293236198658"/>
          <c:h val="0.78749468006919532"/>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2585612067836102E-2"/>
                </c:manualLayout>
              </c:layout>
              <c:tx>
                <c:rich>
                  <a:bodyPr/>
                  <a:lstStyle/>
                  <a:p>
                    <a:r>
                      <a:rPr lang="en-US"/>
                      <a:t>CitiPower</a:t>
                    </a:r>
                  </a:p>
                </c:rich>
              </c:tx>
              <c:dLblPos val="r"/>
              <c:showLegendKey val="0"/>
              <c:showVal val="1"/>
              <c:showCatName val="0"/>
              <c:showSerName val="0"/>
              <c:showPercent val="0"/>
              <c:showBubbleSize val="0"/>
            </c:dLbl>
            <c:dLbl>
              <c:idx val="3"/>
              <c:layout>
                <c:manualLayout>
                  <c:x val="2.2160378673758917E-3"/>
                  <c:y val="-4.8829496920133421E-2"/>
                </c:manualLayout>
              </c:layout>
              <c:tx>
                <c:rich>
                  <a:bodyPr/>
                  <a:lstStyle/>
                  <a:p>
                    <a:r>
                      <a:rPr lang="en-US"/>
                      <a:t>Endeavour Energy</a:t>
                    </a:r>
                  </a:p>
                </c:rich>
              </c:tx>
              <c:dLblPos val="r"/>
              <c:showLegendKey val="0"/>
              <c:showVal val="1"/>
              <c:showCatName val="0"/>
              <c:showSerName val="0"/>
              <c:showPercent val="0"/>
              <c:showBubbleSize val="0"/>
            </c:dLbl>
            <c:dLbl>
              <c:idx val="4"/>
              <c:layout>
                <c:manualLayout>
                  <c:x val="1.9944340806383028E-2"/>
                  <c:y val="3.7561151477025737E-3"/>
                </c:manualLayout>
              </c:layout>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layout>
                <c:manualLayout>
                  <c:x val="0"/>
                  <c:y val="3.0048921181620589E-2"/>
                </c:manualLayout>
              </c:layout>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1.1080189336879459E-2"/>
                  <c:y val="5.2585612067836032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layout>
                <c:manualLayout>
                  <c:x val="0"/>
                  <c:y val="3.7561151477025739E-2"/>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2.739726224407739E-3"/>
                  <c:y val="-5.7823118927434261E-3"/>
                </c:manualLayout>
              </c:layout>
              <c:tx>
                <c:rich>
                  <a:bodyPr/>
                  <a:lstStyle/>
                  <a:p>
                    <a:r>
                      <a:rPr lang="en-US"/>
                      <a:t>Energex forecast</a:t>
                    </a:r>
                  </a:p>
                </c:rich>
              </c:tx>
              <c:dLblPos val="r"/>
              <c:showLegendKey val="0"/>
              <c:showVal val="1"/>
              <c:showCatName val="0"/>
              <c:showSerName val="0"/>
              <c:showPercent val="0"/>
              <c:showBubbleSize val="0"/>
            </c:dLbl>
            <c:dLbl>
              <c:idx val="14"/>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charts'!$C$2:$C$18</c:f>
              <c:numCache>
                <c:formatCode>#,##0.00</c:formatCode>
                <c:ptCount val="17"/>
                <c:pt idx="0">
                  <c:v>0.39845697914056288</c:v>
                </c:pt>
                <c:pt idx="1">
                  <c:v>0.89688447566256757</c:v>
                </c:pt>
                <c:pt idx="2">
                  <c:v>0.34930517751320123</c:v>
                </c:pt>
                <c:pt idx="3">
                  <c:v>0.63150641924507034</c:v>
                </c:pt>
                <c:pt idx="4">
                  <c:v>0.62301775477265264</c:v>
                </c:pt>
                <c:pt idx="5">
                  <c:v>0.92580882601829362</c:v>
                </c:pt>
                <c:pt idx="6">
                  <c:v>0.89992272276451535</c:v>
                </c:pt>
                <c:pt idx="7">
                  <c:v>0.32578892919771635</c:v>
                </c:pt>
                <c:pt idx="8">
                  <c:v>0.29600113667160377</c:v>
                </c:pt>
                <c:pt idx="9">
                  <c:v>0.29946064011178586</c:v>
                </c:pt>
                <c:pt idx="10">
                  <c:v>0.45840747733086867</c:v>
                </c:pt>
                <c:pt idx="11">
                  <c:v>0.44958325554911815</c:v>
                </c:pt>
                <c:pt idx="12">
                  <c:v>0.25473766266781123</c:v>
                </c:pt>
                <c:pt idx="13">
                  <c:v>0.45396887009768044</c:v>
                </c:pt>
                <c:pt idx="14">
                  <c:v>0.63496406927214999</c:v>
                </c:pt>
                <c:pt idx="15">
                  <c:v>0.54446327255851601</c:v>
                </c:pt>
              </c:numCache>
            </c:numRef>
          </c:yVal>
          <c:smooth val="0"/>
        </c:ser>
        <c:dLbls>
          <c:dLblPos val="r"/>
          <c:showLegendKey val="0"/>
          <c:showVal val="1"/>
          <c:showCatName val="0"/>
          <c:showSerName val="0"/>
          <c:showPercent val="0"/>
          <c:showBubbleSize val="0"/>
        </c:dLbls>
        <c:axId val="323785088"/>
        <c:axId val="323815296"/>
      </c:scatterChart>
      <c:valAx>
        <c:axId val="323785088"/>
        <c:scaling>
          <c:orientation val="minMax"/>
        </c:scaling>
        <c:delete val="0"/>
        <c:axPos val="b"/>
        <c:title>
          <c:tx>
            <c:rich>
              <a:bodyPr/>
              <a:lstStyle/>
              <a:p>
                <a:pPr>
                  <a:defRPr/>
                </a:pPr>
                <a:r>
                  <a:rPr lang="en-AU" sz="1200"/>
                  <a:t>Customer</a:t>
                </a:r>
                <a:r>
                  <a:rPr lang="en-AU" sz="1200" baseline="0"/>
                  <a:t> d</a:t>
                </a:r>
                <a:r>
                  <a:rPr lang="en-AU" sz="1200"/>
                  <a:t>ensity</a:t>
                </a:r>
              </a:p>
            </c:rich>
          </c:tx>
          <c:overlay val="0"/>
        </c:title>
        <c:numFmt formatCode="#,##0" sourceLinked="0"/>
        <c:majorTickMark val="out"/>
        <c:minorTickMark val="none"/>
        <c:tickLblPos val="nextTo"/>
        <c:crossAx val="323815296"/>
        <c:crosses val="autoZero"/>
        <c:crossBetween val="midCat"/>
        <c:majorUnit val="10"/>
      </c:valAx>
      <c:valAx>
        <c:axId val="323815296"/>
        <c:scaling>
          <c:orientation val="minMax"/>
        </c:scaling>
        <c:delete val="0"/>
        <c:axPos val="l"/>
        <c:title>
          <c:tx>
            <c:rich>
              <a:bodyPr rot="-5400000" vert="horz"/>
              <a:lstStyle/>
              <a:p>
                <a:pPr>
                  <a:defRPr/>
                </a:pPr>
                <a:r>
                  <a:rPr lang="en-AU" sz="1200"/>
                  <a:t>Capex per customer</a:t>
                </a:r>
              </a:p>
            </c:rich>
          </c:tx>
          <c:overlay val="0"/>
        </c:title>
        <c:numFmt formatCode="General" sourceLinked="0"/>
        <c:majorTickMark val="out"/>
        <c:minorTickMark val="none"/>
        <c:tickLblPos val="nextTo"/>
        <c:crossAx val="323785088"/>
        <c:crosses val="autoZero"/>
        <c:crossBetween val="midCat"/>
        <c:majorUnit val="5.000000000000001E-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5843435549086"/>
          <c:y val="6.1325287673810833E-2"/>
          <c:w val="0.84264308583058789"/>
          <c:h val="0.80364195140219419"/>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4128898381730628E-2"/>
                </c:manualLayout>
              </c:layout>
              <c:tx>
                <c:rich>
                  <a:bodyPr/>
                  <a:lstStyle/>
                  <a:p>
                    <a:r>
                      <a:rPr lang="en-US"/>
                      <a:t>CitiPower</a:t>
                    </a:r>
                  </a:p>
                </c:rich>
              </c:tx>
              <c:dLblPos val="r"/>
              <c:showLegendKey val="0"/>
              <c:showVal val="1"/>
              <c:showCatName val="0"/>
              <c:showSerName val="0"/>
              <c:showPercent val="0"/>
              <c:showBubbleSize val="0"/>
            </c:dLbl>
            <c:dLbl>
              <c:idx val="3"/>
              <c:tx>
                <c:rich>
                  <a:bodyPr/>
                  <a:lstStyle/>
                  <a:p>
                    <a:r>
                      <a:rPr lang="en-US"/>
                      <a:t>Endeavour Energy</a:t>
                    </a:r>
                  </a:p>
                </c:rich>
              </c:tx>
              <c:dLblPos val="r"/>
              <c:showLegendKey val="0"/>
              <c:showVal val="1"/>
              <c:showCatName val="0"/>
              <c:showSerName val="0"/>
              <c:showPercent val="0"/>
              <c:showBubbleSize val="0"/>
            </c:dLbl>
            <c:dLbl>
              <c:idx val="4"/>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0"/>
                  <c:y val="5.7737491607179336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tx>
                <c:rich>
                  <a:bodyPr/>
                  <a:lstStyle/>
                  <a:p>
                    <a:r>
                      <a:rPr lang="en-US"/>
                      <a:t>Energex forecast</a:t>
                    </a:r>
                  </a:p>
                </c:rich>
              </c:tx>
              <c:dLblPos val="r"/>
              <c:showLegendKey val="0"/>
              <c:showVal val="1"/>
              <c:showCatName val="0"/>
              <c:showSerName val="0"/>
              <c:showPercent val="0"/>
              <c:showBubbleSize val="0"/>
            </c:dLbl>
            <c:dLbl>
              <c:idx val="14"/>
              <c:layout>
                <c:manualLayout>
                  <c:x val="-9.4422475523110744E-3"/>
                  <c:y val="-3.2477339029038446E-2"/>
                </c:manualLayout>
              </c:layout>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charts'!$D$2:$D$18</c:f>
              <c:numCache>
                <c:formatCode>#,##0.00</c:formatCode>
                <c:ptCount val="17"/>
                <c:pt idx="0">
                  <c:v>103.54117779330828</c:v>
                </c:pt>
                <c:pt idx="1">
                  <c:v>231.39398531789911</c:v>
                </c:pt>
                <c:pt idx="2">
                  <c:v>77.587218707115355</c:v>
                </c:pt>
                <c:pt idx="3">
                  <c:v>146.70402946446652</c:v>
                </c:pt>
                <c:pt idx="4">
                  <c:v>167.15145454076742</c:v>
                </c:pt>
                <c:pt idx="5">
                  <c:v>202.80467434903284</c:v>
                </c:pt>
                <c:pt idx="6">
                  <c:v>293.96915668134346</c:v>
                </c:pt>
                <c:pt idx="7">
                  <c:v>104.00027258699326</c:v>
                </c:pt>
                <c:pt idx="8">
                  <c:v>89.705639301925856</c:v>
                </c:pt>
                <c:pt idx="9">
                  <c:v>82.929374162562979</c:v>
                </c:pt>
                <c:pt idx="10">
                  <c:v>161.40456629739541</c:v>
                </c:pt>
                <c:pt idx="11">
                  <c:v>114.26654659748576</c:v>
                </c:pt>
                <c:pt idx="12">
                  <c:v>81.684968985420966</c:v>
                </c:pt>
                <c:pt idx="13">
                  <c:v>131.37440432025619</c:v>
                </c:pt>
                <c:pt idx="14">
                  <c:v>118.81986102697628</c:v>
                </c:pt>
                <c:pt idx="15">
                  <c:v>178.31947678476186</c:v>
                </c:pt>
              </c:numCache>
            </c:numRef>
          </c:yVal>
          <c:smooth val="0"/>
        </c:ser>
        <c:dLbls>
          <c:dLblPos val="r"/>
          <c:showLegendKey val="0"/>
          <c:showVal val="1"/>
          <c:showCatName val="0"/>
          <c:showSerName val="0"/>
          <c:showPercent val="0"/>
          <c:showBubbleSize val="0"/>
        </c:dLbls>
        <c:axId val="324764416"/>
        <c:axId val="324786432"/>
      </c:scatterChart>
      <c:valAx>
        <c:axId val="324764416"/>
        <c:scaling>
          <c:orientation val="minMax"/>
        </c:scaling>
        <c:delete val="0"/>
        <c:axPos val="b"/>
        <c:title>
          <c:tx>
            <c:rich>
              <a:bodyPr/>
              <a:lstStyle/>
              <a:p>
                <a:pPr>
                  <a:defRPr/>
                </a:pPr>
                <a:r>
                  <a:rPr lang="en-AU" sz="1200"/>
                  <a:t>Customer  density</a:t>
                </a:r>
              </a:p>
            </c:rich>
          </c:tx>
          <c:overlay val="0"/>
        </c:title>
        <c:numFmt formatCode="#,##0" sourceLinked="0"/>
        <c:majorTickMark val="out"/>
        <c:minorTickMark val="none"/>
        <c:tickLblPos val="nextTo"/>
        <c:crossAx val="324786432"/>
        <c:crosses val="autoZero"/>
        <c:crossBetween val="midCat"/>
        <c:majorUnit val="10"/>
      </c:valAx>
      <c:valAx>
        <c:axId val="324786432"/>
        <c:scaling>
          <c:orientation val="minMax"/>
        </c:scaling>
        <c:delete val="0"/>
        <c:axPos val="l"/>
        <c:title>
          <c:tx>
            <c:rich>
              <a:bodyPr rot="-5400000" vert="horz"/>
              <a:lstStyle/>
              <a:p>
                <a:pPr>
                  <a:defRPr/>
                </a:pPr>
                <a:r>
                  <a:rPr lang="en-AU" sz="1200"/>
                  <a:t>Capex per Maximum demand</a:t>
                </a:r>
              </a:p>
            </c:rich>
          </c:tx>
          <c:overlay val="0"/>
        </c:title>
        <c:numFmt formatCode="&quot;$&quot;#,##0" sourceLinked="0"/>
        <c:majorTickMark val="out"/>
        <c:minorTickMark val="none"/>
        <c:tickLblPos val="nextTo"/>
        <c:crossAx val="324764416"/>
        <c:crosses val="autoZero"/>
        <c:crossBetween val="midCat"/>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00000"/>
            </a:solidFill>
            <a:ln>
              <a:solidFill>
                <a:schemeClr val="tx1"/>
              </a:solidFill>
            </a:ln>
          </c:spPr>
          <c:invertIfNegative val="0"/>
          <c:cat>
            <c:strRef>
              <c:f>('SA Power Networks'!$C$122,'SA Power Networks'!$C$127,'SA Power Networks'!$C$132,'SA Power Networks'!$C$137,'SA Power Networks'!$C$142,'SA Power Networks'!$C$147,'SA Power Networks'!$C$152,'SA Power Networks'!$C$153)</c:f>
              <c:strCache>
                <c:ptCount val="8"/>
                <c:pt idx="0">
                  <c:v>2006-07</c:v>
                </c:pt>
                <c:pt idx="1">
                  <c:v>2007-08</c:v>
                </c:pt>
                <c:pt idx="2">
                  <c:v>2008-09</c:v>
                </c:pt>
                <c:pt idx="3">
                  <c:v>2009-10</c:v>
                </c:pt>
                <c:pt idx="4">
                  <c:v>2010-11</c:v>
                </c:pt>
                <c:pt idx="5">
                  <c:v>2011-12</c:v>
                </c:pt>
                <c:pt idx="6">
                  <c:v>2012-13</c:v>
                </c:pt>
                <c:pt idx="7">
                  <c:v>2013-14</c:v>
                </c:pt>
              </c:strCache>
            </c:strRef>
          </c:cat>
          <c:val>
            <c:numRef>
              <c:f>('SA Power Networks'!$G$122,'SA Power Networks'!$G$127,'SA Power Networks'!$G$132,'SA Power Networks'!$G$137,'SA Power Networks'!$G$142,'SA Power Networks'!$G$147,'SA Power Networks'!$G$152,'SA Power Networks'!$G$153)</c:f>
              <c:numCache>
                <c:formatCode>#,##0.00</c:formatCode>
                <c:ptCount val="8"/>
                <c:pt idx="0">
                  <c:v>155.6</c:v>
                </c:pt>
                <c:pt idx="1">
                  <c:v>129.6</c:v>
                </c:pt>
                <c:pt idx="2">
                  <c:v>131.4</c:v>
                </c:pt>
                <c:pt idx="3">
                  <c:v>176</c:v>
                </c:pt>
                <c:pt idx="4">
                  <c:v>151.80000000000001</c:v>
                </c:pt>
                <c:pt idx="5">
                  <c:v>130.1</c:v>
                </c:pt>
                <c:pt idx="6">
                  <c:v>143.30000000000001</c:v>
                </c:pt>
                <c:pt idx="7" formatCode="General">
                  <c:v>167.6</c:v>
                </c:pt>
              </c:numCache>
            </c:numRef>
          </c:val>
        </c:ser>
        <c:dLbls>
          <c:showLegendKey val="0"/>
          <c:showVal val="0"/>
          <c:showCatName val="0"/>
          <c:showSerName val="0"/>
          <c:showPercent val="0"/>
          <c:showBubbleSize val="0"/>
        </c:dLbls>
        <c:gapWidth val="50"/>
        <c:axId val="325179264"/>
        <c:axId val="325180800"/>
      </c:barChart>
      <c:catAx>
        <c:axId val="325179264"/>
        <c:scaling>
          <c:orientation val="minMax"/>
        </c:scaling>
        <c:delete val="0"/>
        <c:axPos val="b"/>
        <c:majorTickMark val="out"/>
        <c:minorTickMark val="none"/>
        <c:tickLblPos val="nextTo"/>
        <c:txPr>
          <a:bodyPr/>
          <a:lstStyle/>
          <a:p>
            <a:pPr>
              <a:defRPr sz="700"/>
            </a:pPr>
            <a:endParaRPr lang="en-US"/>
          </a:p>
        </c:txPr>
        <c:crossAx val="325180800"/>
        <c:crosses val="autoZero"/>
        <c:auto val="1"/>
        <c:lblAlgn val="ctr"/>
        <c:lblOffset val="100"/>
        <c:noMultiLvlLbl val="0"/>
      </c:catAx>
      <c:valAx>
        <c:axId val="325180800"/>
        <c:scaling>
          <c:orientation val="minMax"/>
          <c:min val="0"/>
        </c:scaling>
        <c:delete val="0"/>
        <c:axPos val="l"/>
        <c:title>
          <c:tx>
            <c:rich>
              <a:bodyPr rot="0" vert="horz"/>
              <a:lstStyle/>
              <a:p>
                <a:pPr>
                  <a:defRPr/>
                </a:pPr>
                <a:r>
                  <a:rPr lang="en-US"/>
                  <a:t>Unplanned
sustained
minutes</a:t>
                </a:r>
              </a:p>
              <a:p>
                <a:pPr>
                  <a:defRPr/>
                </a:pPr>
                <a:r>
                  <a:rPr lang="en-US"/>
                  <a:t>off supply
(SAIDI)</a:t>
                </a:r>
              </a:p>
            </c:rich>
          </c:tx>
          <c:overlay val="0"/>
        </c:title>
        <c:numFmt formatCode="#,##0" sourceLinked="0"/>
        <c:majorTickMark val="out"/>
        <c:minorTickMark val="none"/>
        <c:tickLblPos val="nextTo"/>
        <c:crossAx val="325179264"/>
        <c:crosses val="autoZero"/>
        <c:crossBetween val="between"/>
        <c:majorUnit val="40"/>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00000"/>
            </a:solidFill>
            <a:ln>
              <a:solidFill>
                <a:schemeClr val="tx1"/>
              </a:solidFill>
            </a:ln>
          </c:spPr>
          <c:invertIfNegative val="0"/>
          <c:cat>
            <c:strRef>
              <c:f>('SA Power Networks'!$C$160,'SA Power Networks'!$C$165,'SA Power Networks'!$C$170,'SA Power Networks'!$C$175,'SA Power Networks'!$C$180,'SA Power Networks'!$C$185,'SA Power Networks'!$C$190,'SA Power Networks'!$C$191)</c:f>
              <c:strCache>
                <c:ptCount val="8"/>
                <c:pt idx="0">
                  <c:v>2006-07</c:v>
                </c:pt>
                <c:pt idx="1">
                  <c:v>2007-08</c:v>
                </c:pt>
                <c:pt idx="2">
                  <c:v>2008-09</c:v>
                </c:pt>
                <c:pt idx="3">
                  <c:v>2009-10</c:v>
                </c:pt>
                <c:pt idx="4">
                  <c:v>2010-11</c:v>
                </c:pt>
                <c:pt idx="5">
                  <c:v>2011-12</c:v>
                </c:pt>
                <c:pt idx="6">
                  <c:v>2012-13</c:v>
                </c:pt>
                <c:pt idx="7">
                  <c:v>2013-14</c:v>
                </c:pt>
              </c:strCache>
            </c:strRef>
          </c:cat>
          <c:val>
            <c:numRef>
              <c:f>('SA Power Networks'!$G$160,'SA Power Networks'!$G$165,'SA Power Networks'!$G$170,'SA Power Networks'!$G$175,'SA Power Networks'!$G$180,'SA Power Networks'!$G$185,'SA Power Networks'!$G$190,'SA Power Networks'!$G$191)</c:f>
              <c:numCache>
                <c:formatCode>#,##0.00</c:formatCode>
                <c:ptCount val="8"/>
                <c:pt idx="0">
                  <c:v>1.5860000000000001</c:v>
                </c:pt>
                <c:pt idx="1">
                  <c:v>1.353</c:v>
                </c:pt>
                <c:pt idx="2">
                  <c:v>1.345</c:v>
                </c:pt>
                <c:pt idx="3">
                  <c:v>1.61</c:v>
                </c:pt>
                <c:pt idx="4">
                  <c:v>1.4590000000000001</c:v>
                </c:pt>
                <c:pt idx="5">
                  <c:v>1.3080000000000001</c:v>
                </c:pt>
                <c:pt idx="6">
                  <c:v>1.3260000000000001</c:v>
                </c:pt>
                <c:pt idx="7" formatCode="General">
                  <c:v>1.446</c:v>
                </c:pt>
              </c:numCache>
            </c:numRef>
          </c:val>
        </c:ser>
        <c:dLbls>
          <c:showLegendKey val="0"/>
          <c:showVal val="0"/>
          <c:showCatName val="0"/>
          <c:showSerName val="0"/>
          <c:showPercent val="0"/>
          <c:showBubbleSize val="0"/>
        </c:dLbls>
        <c:gapWidth val="50"/>
        <c:axId val="325188992"/>
        <c:axId val="325194880"/>
      </c:barChart>
      <c:catAx>
        <c:axId val="325188992"/>
        <c:scaling>
          <c:orientation val="minMax"/>
        </c:scaling>
        <c:delete val="0"/>
        <c:axPos val="b"/>
        <c:majorTickMark val="out"/>
        <c:minorTickMark val="none"/>
        <c:tickLblPos val="nextTo"/>
        <c:txPr>
          <a:bodyPr/>
          <a:lstStyle/>
          <a:p>
            <a:pPr>
              <a:defRPr sz="700"/>
            </a:pPr>
            <a:endParaRPr lang="en-US"/>
          </a:p>
        </c:txPr>
        <c:crossAx val="325194880"/>
        <c:crosses val="autoZero"/>
        <c:auto val="1"/>
        <c:lblAlgn val="ctr"/>
        <c:lblOffset val="100"/>
        <c:noMultiLvlLbl val="0"/>
      </c:catAx>
      <c:valAx>
        <c:axId val="325194880"/>
        <c:scaling>
          <c:orientation val="minMax"/>
          <c:min val="0"/>
        </c:scaling>
        <c:delete val="0"/>
        <c:axPos val="l"/>
        <c:title>
          <c:tx>
            <c:rich>
              <a:bodyPr rot="0" vert="horz"/>
              <a:lstStyle/>
              <a:p>
                <a:pPr>
                  <a:defRPr/>
                </a:pPr>
                <a:r>
                  <a:rPr lang="en-US"/>
                  <a:t>Unplanned
sustained
interruptions
to supply
(SAIFI)</a:t>
                </a:r>
              </a:p>
            </c:rich>
          </c:tx>
          <c:overlay val="0"/>
        </c:title>
        <c:numFmt formatCode="#,##0.0" sourceLinked="0"/>
        <c:majorTickMark val="out"/>
        <c:minorTickMark val="none"/>
        <c:tickLblPos val="nextTo"/>
        <c:crossAx val="32518899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7312864704396"/>
          <c:y val="3.8739569656192567E-2"/>
          <c:w val="0.75026931415010889"/>
          <c:h val="0.81535032300375221"/>
        </c:manualLayout>
      </c:layout>
      <c:lineChart>
        <c:grouping val="standard"/>
        <c:varyColors val="0"/>
        <c:ser>
          <c:idx val="0"/>
          <c:order val="0"/>
          <c:tx>
            <c:strRef>
              <c:f>'Fig 1'!$B$4</c:f>
              <c:strCache>
                <c:ptCount val="1"/>
                <c:pt idx="0">
                  <c:v>Forecast - AEMO </c:v>
                </c:pt>
              </c:strCache>
            </c:strRef>
          </c:tx>
          <c:marker>
            <c:symbol val="none"/>
          </c:marker>
          <c:cat>
            <c:numRef>
              <c:f>'Fig 1'!$A$9:$A$19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'Fig 1'!$B$9:$B$19</c:f>
              <c:numCache>
                <c:formatCode>General</c:formatCode>
                <c:ptCount val="11"/>
                <c:pt idx="5">
                  <c:v>2726.796259846712</c:v>
                </c:pt>
                <c:pt idx="6">
                  <c:v>2695.4617913977504</c:v>
                </c:pt>
                <c:pt idx="7">
                  <c:v>2706.4488572431401</c:v>
                </c:pt>
                <c:pt idx="8">
                  <c:v>2697.3743271342669</c:v>
                </c:pt>
                <c:pt idx="9">
                  <c:v>2689.8825611806215</c:v>
                </c:pt>
                <c:pt idx="10">
                  <c:v>2690.7527974144218</c:v>
                </c:pt>
              </c:numCache>
            </c:numRef>
          </c:val>
          <c:smooth val="0"/>
        </c:ser>
        <c:ser>
          <c:idx val="1"/>
          <c:order val="1"/>
          <c:tx>
            <c:strRef>
              <c:f>'Fig 1'!$C$4</c:f>
              <c:strCache>
                <c:ptCount val="1"/>
                <c:pt idx="0">
                  <c:v>Actual -regulatory proposal</c:v>
                </c:pt>
              </c:strCache>
            </c:strRef>
          </c:tx>
          <c:marker>
            <c:symbol val="none"/>
          </c:marker>
          <c:cat>
            <c:numRef>
              <c:f>'Fig 1'!$A$9:$A$19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'Fig 1'!$C$9:$C$19</c:f>
              <c:numCache>
                <c:formatCode>General</c:formatCode>
                <c:ptCount val="11"/>
                <c:pt idx="0">
                  <c:v>2977.0298981909991</c:v>
                </c:pt>
                <c:pt idx="1">
                  <c:v>2969.2553832519998</c:v>
                </c:pt>
                <c:pt idx="2">
                  <c:v>2915.8921877799999</c:v>
                </c:pt>
                <c:pt idx="3">
                  <c:v>2948.8484248420009</c:v>
                </c:pt>
                <c:pt idx="4">
                  <c:v>2918.669181704</c:v>
                </c:pt>
              </c:numCache>
            </c:numRef>
          </c:val>
          <c:smooth val="0"/>
        </c:ser>
        <c:ser>
          <c:idx val="2"/>
          <c:order val="2"/>
          <c:tx>
            <c:strRef>
              <c:f>'Fig 1'!$D$4</c:f>
              <c:strCache>
                <c:ptCount val="1"/>
                <c:pt idx="0">
                  <c:v>Forecast - regulatory proposal</c:v>
                </c:pt>
              </c:strCache>
            </c:strRef>
          </c:tx>
          <c:marker>
            <c:symbol val="none"/>
          </c:marker>
          <c:cat>
            <c:numRef>
              <c:f>'Fig 1'!$A$9:$A$19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'Fig 1'!$D$9:$D$19</c:f>
              <c:numCache>
                <c:formatCode>General</c:formatCode>
                <c:ptCount val="11"/>
                <c:pt idx="5">
                  <c:v>2670.7000000000003</c:v>
                </c:pt>
                <c:pt idx="6">
                  <c:v>2632.7200000000007</c:v>
                </c:pt>
                <c:pt idx="7">
                  <c:v>2648.2400000000007</c:v>
                </c:pt>
                <c:pt idx="8">
                  <c:v>2634.54</c:v>
                </c:pt>
                <c:pt idx="9">
                  <c:v>2634.79</c:v>
                </c:pt>
                <c:pt idx="10">
                  <c:v>2635.1000000000004</c:v>
                </c:pt>
              </c:numCache>
            </c:numRef>
          </c:val>
          <c:smooth val="0"/>
        </c:ser>
        <c:dLbls>
          <c:showLegendKey val="0"/>
          <c:showVal val="0"/>
          <c:showCatName val="0"/>
          <c:showSerName val="0"/>
          <c:showPercent val="0"/>
          <c:showBubbleSize val="0"/>
        </c:dLbls>
        <c:marker val="1"/>
        <c:smooth val="0"/>
        <c:axId val="325209472"/>
        <c:axId val="325215360"/>
      </c:lineChart>
      <c:catAx>
        <c:axId val="325209472"/>
        <c:scaling>
          <c:orientation val="minMax"/>
        </c:scaling>
        <c:delete val="0"/>
        <c:axPos val="b"/>
        <c:numFmt formatCode="General" sourceLinked="1"/>
        <c:majorTickMark val="out"/>
        <c:minorTickMark val="none"/>
        <c:tickLblPos val="nextTo"/>
        <c:crossAx val="325215360"/>
        <c:crosses val="autoZero"/>
        <c:auto val="1"/>
        <c:lblAlgn val="ctr"/>
        <c:lblOffset val="100"/>
        <c:noMultiLvlLbl val="0"/>
      </c:catAx>
      <c:valAx>
        <c:axId val="325215360"/>
        <c:scaling>
          <c:orientation val="minMax"/>
          <c:min val="0"/>
        </c:scaling>
        <c:delete val="0"/>
        <c:axPos val="l"/>
        <c:majorGridlines/>
        <c:title>
          <c:tx>
            <c:rich>
              <a:bodyPr rot="0" vert="horz"/>
              <a:lstStyle/>
              <a:p>
                <a:pPr>
                  <a:defRPr/>
                </a:pPr>
                <a:r>
                  <a:rPr lang="en-AU"/>
                  <a:t>Demand </a:t>
                </a:r>
              </a:p>
              <a:p>
                <a:pPr>
                  <a:defRPr/>
                </a:pPr>
                <a:r>
                  <a:rPr lang="en-AU"/>
                  <a:t>(MW)</a:t>
                </a:r>
              </a:p>
            </c:rich>
          </c:tx>
          <c:overlay val="0"/>
        </c:title>
        <c:numFmt formatCode="General" sourceLinked="1"/>
        <c:majorTickMark val="out"/>
        <c:minorTickMark val="none"/>
        <c:tickLblPos val="nextTo"/>
        <c:crossAx val="325209472"/>
        <c:crosses val="autoZero"/>
        <c:crossBetween val="between"/>
        <c:majorUnit val="500"/>
        <c:minorUnit val="500"/>
      </c:valAx>
    </c:plotArea>
    <c:legend>
      <c:legendPos val="r"/>
      <c:layout>
        <c:manualLayout>
          <c:xMode val="edge"/>
          <c:yMode val="edge"/>
          <c:x val="0.19638848637883366"/>
          <c:y val="0.48517490667605195"/>
          <c:w val="0.45557538109582474"/>
          <c:h val="0.3393260674317211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ACC26C62</Template>
  <TotalTime>0</TotalTime>
  <Pages>171</Pages>
  <Words>56173</Words>
  <Characters>320192</Characters>
  <Application>Microsoft Office Word</Application>
  <DocSecurity>4</DocSecurity>
  <Lines>2668</Lines>
  <Paragraphs>751</Paragraphs>
  <ScaleCrop>false</ScaleCrop>
  <LinksUpToDate>false</LinksUpToDate>
  <CharactersWithSpaces>375614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2015-04-27T08:21:00Z</dcterms:created>
  <dcterms:modified xsi:type="dcterms:W3CDTF">2015-04-27T08:21:00Z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