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0BF3EC3" wp14:editId="23D7A784">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B97A37" w:rsidP="008F07A3">
          <w:pPr>
            <w:pStyle w:val="ReportSubtitle"/>
          </w:pPr>
          <w:r>
            <w:t>United Energy</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E257D6">
            <w:t>0</w:t>
          </w:r>
          <w:r w:rsidR="00DA4752">
            <w:t xml:space="preserve"> </w:t>
          </w:r>
          <w:r w:rsidR="00415F31">
            <w:rPr>
              <w:rFonts w:cs="Arial"/>
            </w:rPr>
            <w:t>–</w:t>
          </w:r>
          <w:r w:rsidR="00DA4752">
            <w:t xml:space="preserve"> </w:t>
          </w:r>
          <w:r w:rsidR="00E257D6">
            <w:t>Capital expenditure sharing scheme</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3522013"/>
      <w:r>
        <w:lastRenderedPageBreak/>
        <w:t>N</w:t>
      </w:r>
      <w:r w:rsidR="008F07A3">
        <w:t>ote</w:t>
      </w:r>
      <w:bookmarkEnd w:id="0"/>
      <w:bookmarkEnd w:id="1"/>
      <w:bookmarkEnd w:id="2"/>
      <w:bookmarkEnd w:id="3"/>
      <w:bookmarkEnd w:id="4"/>
    </w:p>
    <w:p w:rsidR="00BC2138" w:rsidRDefault="00BC2138" w:rsidP="00BC2138">
      <w:pPr>
        <w:numPr>
          <w:ilvl w:val="0"/>
          <w:numId w:val="24"/>
        </w:numPr>
        <w:spacing w:before="0" w:after="240" w:line="288" w:lineRule="auto"/>
        <w:jc w:val="both"/>
      </w:pPr>
    </w:p>
    <w:p w:rsidR="00415F31" w:rsidRDefault="008F07A3" w:rsidP="00BC2138">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B97A37">
        <w:t>United Energy</w:t>
      </w:r>
      <w:r w:rsidR="005C0A7F">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C62C46" w:rsidRDefault="0070011E" w:rsidP="00EE4891">
      <w:r>
        <w:t>Attach</w:t>
      </w:r>
      <w:r w:rsidR="009A5113">
        <w:t xml:space="preserve">ment 18 - </w:t>
      </w:r>
      <w:r w:rsidR="00C62C46">
        <w:t>f-</w:t>
      </w:r>
      <w:r w:rsidR="00C62C46" w:rsidRPr="001663B6">
        <w:t>factor scheme</w:t>
      </w:r>
    </w:p>
    <w:p w:rsidR="00DE563D" w:rsidRPr="00A72B34" w:rsidRDefault="00DE563D" w:rsidP="00DE772C">
      <w:pPr>
        <w:pStyle w:val="UnnumberedHeading"/>
        <w:numPr>
          <w:ilvl w:val="0"/>
          <w:numId w:val="23"/>
        </w:numPr>
      </w:pPr>
      <w:bookmarkStart w:id="5" w:name="_Toc403144133"/>
      <w:bookmarkStart w:id="6" w:name="_Toc433522014"/>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BC2138"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522013" w:history="1">
            <w:r w:rsidR="00BC2138" w:rsidRPr="004B7781">
              <w:rPr>
                <w:rStyle w:val="Hyperlink"/>
              </w:rPr>
              <w:t>Note</w:t>
            </w:r>
            <w:r w:rsidR="00BC2138">
              <w:rPr>
                <w:webHidden/>
              </w:rPr>
              <w:tab/>
            </w:r>
            <w:r w:rsidR="00BC2138">
              <w:rPr>
                <w:webHidden/>
              </w:rPr>
              <w:fldChar w:fldCharType="begin"/>
            </w:r>
            <w:r w:rsidR="00BC2138">
              <w:rPr>
                <w:webHidden/>
              </w:rPr>
              <w:instrText xml:space="preserve"> PAGEREF _Toc433522013 \h </w:instrText>
            </w:r>
            <w:r w:rsidR="00BC2138">
              <w:rPr>
                <w:webHidden/>
              </w:rPr>
            </w:r>
            <w:r w:rsidR="00BC2138">
              <w:rPr>
                <w:webHidden/>
              </w:rPr>
              <w:fldChar w:fldCharType="separate"/>
            </w:r>
            <w:r w:rsidR="00BC2138">
              <w:rPr>
                <w:webHidden/>
              </w:rPr>
              <w:t>10-2</w:t>
            </w:r>
            <w:r w:rsidR="00BC2138">
              <w:rPr>
                <w:webHidden/>
              </w:rPr>
              <w:fldChar w:fldCharType="end"/>
            </w:r>
          </w:hyperlink>
        </w:p>
        <w:p w:rsidR="00BC2138" w:rsidRDefault="00BC2138">
          <w:pPr>
            <w:pStyle w:val="TOC1"/>
            <w:rPr>
              <w:rFonts w:asciiTheme="minorHAnsi" w:eastAsiaTheme="minorEastAsia" w:hAnsiTheme="minorHAnsi"/>
              <w:b w:val="0"/>
              <w:color w:val="auto"/>
              <w:sz w:val="22"/>
              <w:lang w:val="en-AU" w:eastAsia="en-AU"/>
            </w:rPr>
          </w:pPr>
          <w:hyperlink w:anchor="_Toc433522014" w:history="1">
            <w:r w:rsidRPr="004B7781">
              <w:rPr>
                <w:rStyle w:val="Hyperlink"/>
              </w:rPr>
              <w:t>Contents</w:t>
            </w:r>
            <w:r>
              <w:rPr>
                <w:webHidden/>
              </w:rPr>
              <w:tab/>
            </w:r>
            <w:r>
              <w:rPr>
                <w:webHidden/>
              </w:rPr>
              <w:fldChar w:fldCharType="begin"/>
            </w:r>
            <w:r>
              <w:rPr>
                <w:webHidden/>
              </w:rPr>
              <w:instrText xml:space="preserve"> PAGEREF _Toc433522014 \h </w:instrText>
            </w:r>
            <w:r>
              <w:rPr>
                <w:webHidden/>
              </w:rPr>
            </w:r>
            <w:r>
              <w:rPr>
                <w:webHidden/>
              </w:rPr>
              <w:fldChar w:fldCharType="separate"/>
            </w:r>
            <w:r>
              <w:rPr>
                <w:webHidden/>
              </w:rPr>
              <w:t>10-3</w:t>
            </w:r>
            <w:r>
              <w:rPr>
                <w:webHidden/>
              </w:rPr>
              <w:fldChar w:fldCharType="end"/>
            </w:r>
          </w:hyperlink>
        </w:p>
        <w:p w:rsidR="00BC2138" w:rsidRDefault="00BC2138">
          <w:pPr>
            <w:pStyle w:val="TOC1"/>
            <w:rPr>
              <w:rFonts w:asciiTheme="minorHAnsi" w:eastAsiaTheme="minorEastAsia" w:hAnsiTheme="minorHAnsi"/>
              <w:b w:val="0"/>
              <w:color w:val="auto"/>
              <w:sz w:val="22"/>
              <w:lang w:val="en-AU" w:eastAsia="en-AU"/>
            </w:rPr>
          </w:pPr>
          <w:hyperlink w:anchor="_Toc433522015" w:history="1">
            <w:r w:rsidRPr="004B7781">
              <w:rPr>
                <w:rStyle w:val="Hyperlink"/>
              </w:rPr>
              <w:t>Shortened forms</w:t>
            </w:r>
            <w:r>
              <w:rPr>
                <w:webHidden/>
              </w:rPr>
              <w:tab/>
            </w:r>
            <w:r>
              <w:rPr>
                <w:webHidden/>
              </w:rPr>
              <w:fldChar w:fldCharType="begin"/>
            </w:r>
            <w:r>
              <w:rPr>
                <w:webHidden/>
              </w:rPr>
              <w:instrText xml:space="preserve"> PAGEREF _Toc433522015 \h </w:instrText>
            </w:r>
            <w:r>
              <w:rPr>
                <w:webHidden/>
              </w:rPr>
            </w:r>
            <w:r>
              <w:rPr>
                <w:webHidden/>
              </w:rPr>
              <w:fldChar w:fldCharType="separate"/>
            </w:r>
            <w:r>
              <w:rPr>
                <w:webHidden/>
              </w:rPr>
              <w:t>10-4</w:t>
            </w:r>
            <w:r>
              <w:rPr>
                <w:webHidden/>
              </w:rPr>
              <w:fldChar w:fldCharType="end"/>
            </w:r>
          </w:hyperlink>
        </w:p>
        <w:p w:rsidR="00BC2138" w:rsidRDefault="00BC2138">
          <w:pPr>
            <w:pStyle w:val="TOC1"/>
            <w:rPr>
              <w:rFonts w:asciiTheme="minorHAnsi" w:eastAsiaTheme="minorEastAsia" w:hAnsiTheme="minorHAnsi"/>
              <w:b w:val="0"/>
              <w:color w:val="auto"/>
              <w:sz w:val="22"/>
              <w:lang w:val="en-AU" w:eastAsia="en-AU"/>
            </w:rPr>
          </w:pPr>
          <w:hyperlink w:anchor="_Toc433522016" w:history="1">
            <w:r w:rsidRPr="004B7781">
              <w:rPr>
                <w:rStyle w:val="Hyperlink"/>
              </w:rPr>
              <w:t>10</w:t>
            </w:r>
            <w:r>
              <w:rPr>
                <w:rFonts w:asciiTheme="minorHAnsi" w:eastAsiaTheme="minorEastAsia" w:hAnsiTheme="minorHAnsi"/>
                <w:b w:val="0"/>
                <w:color w:val="auto"/>
                <w:sz w:val="22"/>
                <w:lang w:val="en-AU" w:eastAsia="en-AU"/>
              </w:rPr>
              <w:tab/>
            </w:r>
            <w:r w:rsidRPr="004B7781">
              <w:rPr>
                <w:rStyle w:val="Hyperlink"/>
              </w:rPr>
              <w:t>Capital expenditure sharing scheme</w:t>
            </w:r>
            <w:r>
              <w:rPr>
                <w:webHidden/>
              </w:rPr>
              <w:tab/>
            </w:r>
            <w:r>
              <w:rPr>
                <w:webHidden/>
              </w:rPr>
              <w:fldChar w:fldCharType="begin"/>
            </w:r>
            <w:r>
              <w:rPr>
                <w:webHidden/>
              </w:rPr>
              <w:instrText xml:space="preserve"> PAGEREF _Toc433522016 \h </w:instrText>
            </w:r>
            <w:r>
              <w:rPr>
                <w:webHidden/>
              </w:rPr>
            </w:r>
            <w:r>
              <w:rPr>
                <w:webHidden/>
              </w:rPr>
              <w:fldChar w:fldCharType="separate"/>
            </w:r>
            <w:r>
              <w:rPr>
                <w:webHidden/>
              </w:rPr>
              <w:t>10-6</w:t>
            </w:r>
            <w:r>
              <w:rPr>
                <w:webHidden/>
              </w:rPr>
              <w:fldChar w:fldCharType="end"/>
            </w:r>
          </w:hyperlink>
        </w:p>
        <w:p w:rsidR="00BC2138" w:rsidRDefault="00BC2138">
          <w:pPr>
            <w:pStyle w:val="TOC2"/>
            <w:tabs>
              <w:tab w:val="left" w:pos="1276"/>
            </w:tabs>
            <w:rPr>
              <w:rFonts w:asciiTheme="minorHAnsi" w:eastAsiaTheme="minorEastAsia" w:hAnsiTheme="minorHAnsi"/>
              <w:b w:val="0"/>
              <w:color w:val="auto"/>
              <w:sz w:val="22"/>
              <w:lang w:eastAsia="en-AU"/>
            </w:rPr>
          </w:pPr>
          <w:hyperlink w:anchor="_Toc433522017" w:history="1">
            <w:r w:rsidRPr="004B7781">
              <w:rPr>
                <w:rStyle w:val="Hyperlink"/>
              </w:rPr>
              <w:t>10.1</w:t>
            </w:r>
            <w:r>
              <w:rPr>
                <w:rFonts w:asciiTheme="minorHAnsi" w:eastAsiaTheme="minorEastAsia" w:hAnsiTheme="minorHAnsi"/>
                <w:b w:val="0"/>
                <w:color w:val="auto"/>
                <w:sz w:val="22"/>
                <w:lang w:eastAsia="en-AU"/>
              </w:rPr>
              <w:tab/>
            </w:r>
            <w:r w:rsidRPr="004B7781">
              <w:rPr>
                <w:rStyle w:val="Hyperlink"/>
              </w:rPr>
              <w:t>Preliminary decision</w:t>
            </w:r>
            <w:r>
              <w:rPr>
                <w:webHidden/>
              </w:rPr>
              <w:tab/>
            </w:r>
            <w:r>
              <w:rPr>
                <w:webHidden/>
              </w:rPr>
              <w:fldChar w:fldCharType="begin"/>
            </w:r>
            <w:r>
              <w:rPr>
                <w:webHidden/>
              </w:rPr>
              <w:instrText xml:space="preserve"> PAGEREF _Toc433522017 \h </w:instrText>
            </w:r>
            <w:r>
              <w:rPr>
                <w:webHidden/>
              </w:rPr>
            </w:r>
            <w:r>
              <w:rPr>
                <w:webHidden/>
              </w:rPr>
              <w:fldChar w:fldCharType="separate"/>
            </w:r>
            <w:r>
              <w:rPr>
                <w:webHidden/>
              </w:rPr>
              <w:t>10-6</w:t>
            </w:r>
            <w:r>
              <w:rPr>
                <w:webHidden/>
              </w:rPr>
              <w:fldChar w:fldCharType="end"/>
            </w:r>
          </w:hyperlink>
        </w:p>
        <w:p w:rsidR="00BC2138" w:rsidRDefault="00BC2138">
          <w:pPr>
            <w:pStyle w:val="TOC2"/>
            <w:tabs>
              <w:tab w:val="left" w:pos="1276"/>
            </w:tabs>
            <w:rPr>
              <w:rFonts w:asciiTheme="minorHAnsi" w:eastAsiaTheme="minorEastAsia" w:hAnsiTheme="minorHAnsi"/>
              <w:b w:val="0"/>
              <w:color w:val="auto"/>
              <w:sz w:val="22"/>
              <w:lang w:eastAsia="en-AU"/>
            </w:rPr>
          </w:pPr>
          <w:hyperlink w:anchor="_Toc433522018" w:history="1">
            <w:r w:rsidRPr="004B7781">
              <w:rPr>
                <w:rStyle w:val="Hyperlink"/>
              </w:rPr>
              <w:t>10.2</w:t>
            </w:r>
            <w:r>
              <w:rPr>
                <w:rFonts w:asciiTheme="minorHAnsi" w:eastAsiaTheme="minorEastAsia" w:hAnsiTheme="minorHAnsi"/>
                <w:b w:val="0"/>
                <w:color w:val="auto"/>
                <w:sz w:val="22"/>
                <w:lang w:eastAsia="en-AU"/>
              </w:rPr>
              <w:tab/>
            </w:r>
            <w:r w:rsidRPr="004B7781">
              <w:rPr>
                <w:rStyle w:val="Hyperlink"/>
              </w:rPr>
              <w:t>United Energy's proposal</w:t>
            </w:r>
            <w:r>
              <w:rPr>
                <w:webHidden/>
              </w:rPr>
              <w:tab/>
            </w:r>
            <w:r>
              <w:rPr>
                <w:webHidden/>
              </w:rPr>
              <w:fldChar w:fldCharType="begin"/>
            </w:r>
            <w:r>
              <w:rPr>
                <w:webHidden/>
              </w:rPr>
              <w:instrText xml:space="preserve"> PAGEREF _Toc433522018 \h </w:instrText>
            </w:r>
            <w:r>
              <w:rPr>
                <w:webHidden/>
              </w:rPr>
            </w:r>
            <w:r>
              <w:rPr>
                <w:webHidden/>
              </w:rPr>
              <w:fldChar w:fldCharType="separate"/>
            </w:r>
            <w:r>
              <w:rPr>
                <w:webHidden/>
              </w:rPr>
              <w:t>10-7</w:t>
            </w:r>
            <w:r>
              <w:rPr>
                <w:webHidden/>
              </w:rPr>
              <w:fldChar w:fldCharType="end"/>
            </w:r>
          </w:hyperlink>
        </w:p>
        <w:p w:rsidR="00BC2138" w:rsidRDefault="00BC2138">
          <w:pPr>
            <w:pStyle w:val="TOC2"/>
            <w:tabs>
              <w:tab w:val="left" w:pos="1276"/>
            </w:tabs>
            <w:rPr>
              <w:rFonts w:asciiTheme="minorHAnsi" w:eastAsiaTheme="minorEastAsia" w:hAnsiTheme="minorHAnsi"/>
              <w:b w:val="0"/>
              <w:color w:val="auto"/>
              <w:sz w:val="22"/>
              <w:lang w:eastAsia="en-AU"/>
            </w:rPr>
          </w:pPr>
          <w:hyperlink w:anchor="_Toc433522019" w:history="1">
            <w:r w:rsidRPr="004B7781">
              <w:rPr>
                <w:rStyle w:val="Hyperlink"/>
              </w:rPr>
              <w:t>10.3</w:t>
            </w:r>
            <w:r>
              <w:rPr>
                <w:rFonts w:asciiTheme="minorHAnsi" w:eastAsiaTheme="minorEastAsia" w:hAnsiTheme="minorHAnsi"/>
                <w:b w:val="0"/>
                <w:color w:val="auto"/>
                <w:sz w:val="22"/>
                <w:lang w:eastAsia="en-AU"/>
              </w:rPr>
              <w:tab/>
            </w:r>
            <w:r w:rsidRPr="004B7781">
              <w:rPr>
                <w:rStyle w:val="Hyperlink"/>
              </w:rPr>
              <w:t>AER’s assessment approach</w:t>
            </w:r>
            <w:r>
              <w:rPr>
                <w:webHidden/>
              </w:rPr>
              <w:tab/>
            </w:r>
            <w:r>
              <w:rPr>
                <w:webHidden/>
              </w:rPr>
              <w:fldChar w:fldCharType="begin"/>
            </w:r>
            <w:r>
              <w:rPr>
                <w:webHidden/>
              </w:rPr>
              <w:instrText xml:space="preserve"> PAGEREF _Toc433522019 \h </w:instrText>
            </w:r>
            <w:r>
              <w:rPr>
                <w:webHidden/>
              </w:rPr>
            </w:r>
            <w:r>
              <w:rPr>
                <w:webHidden/>
              </w:rPr>
              <w:fldChar w:fldCharType="separate"/>
            </w:r>
            <w:r>
              <w:rPr>
                <w:webHidden/>
              </w:rPr>
              <w:t>10-7</w:t>
            </w:r>
            <w:r>
              <w:rPr>
                <w:webHidden/>
              </w:rPr>
              <w:fldChar w:fldCharType="end"/>
            </w:r>
          </w:hyperlink>
        </w:p>
        <w:p w:rsidR="00BC2138" w:rsidRDefault="00BC2138">
          <w:pPr>
            <w:pStyle w:val="TOC3"/>
            <w:rPr>
              <w:rFonts w:asciiTheme="minorHAnsi" w:eastAsiaTheme="minorEastAsia" w:hAnsiTheme="minorHAnsi"/>
              <w:lang w:eastAsia="en-AU"/>
            </w:rPr>
          </w:pPr>
          <w:hyperlink w:anchor="_Toc433522020" w:history="1">
            <w:r w:rsidRPr="004B7781">
              <w:rPr>
                <w:rStyle w:val="Hyperlink"/>
              </w:rPr>
              <w:t>10.3.1</w:t>
            </w:r>
            <w:r>
              <w:rPr>
                <w:rFonts w:asciiTheme="minorHAnsi" w:eastAsiaTheme="minorEastAsia" w:hAnsiTheme="minorHAnsi"/>
                <w:lang w:eastAsia="en-AU"/>
              </w:rPr>
              <w:tab/>
            </w:r>
            <w:r w:rsidRPr="004B7781">
              <w:rPr>
                <w:rStyle w:val="Hyperlink"/>
              </w:rPr>
              <w:t>Interrelationships</w:t>
            </w:r>
            <w:r>
              <w:rPr>
                <w:webHidden/>
              </w:rPr>
              <w:tab/>
            </w:r>
            <w:r>
              <w:rPr>
                <w:webHidden/>
              </w:rPr>
              <w:fldChar w:fldCharType="begin"/>
            </w:r>
            <w:r>
              <w:rPr>
                <w:webHidden/>
              </w:rPr>
              <w:instrText xml:space="preserve"> PAGEREF _Toc433522020 \h </w:instrText>
            </w:r>
            <w:r>
              <w:rPr>
                <w:webHidden/>
              </w:rPr>
            </w:r>
            <w:r>
              <w:rPr>
                <w:webHidden/>
              </w:rPr>
              <w:fldChar w:fldCharType="separate"/>
            </w:r>
            <w:r>
              <w:rPr>
                <w:webHidden/>
              </w:rPr>
              <w:t>10-7</w:t>
            </w:r>
            <w:r>
              <w:rPr>
                <w:webHidden/>
              </w:rPr>
              <w:fldChar w:fldCharType="end"/>
            </w:r>
          </w:hyperlink>
        </w:p>
        <w:p w:rsidR="00BC2138" w:rsidRDefault="00BC2138">
          <w:pPr>
            <w:pStyle w:val="TOC2"/>
            <w:tabs>
              <w:tab w:val="left" w:pos="1276"/>
            </w:tabs>
            <w:rPr>
              <w:rFonts w:asciiTheme="minorHAnsi" w:eastAsiaTheme="minorEastAsia" w:hAnsiTheme="minorHAnsi"/>
              <w:b w:val="0"/>
              <w:color w:val="auto"/>
              <w:sz w:val="22"/>
              <w:lang w:eastAsia="en-AU"/>
            </w:rPr>
          </w:pPr>
          <w:hyperlink w:anchor="_Toc433522021" w:history="1">
            <w:r w:rsidRPr="004B7781">
              <w:rPr>
                <w:rStyle w:val="Hyperlink"/>
              </w:rPr>
              <w:t>10.4</w:t>
            </w:r>
            <w:r>
              <w:rPr>
                <w:rFonts w:asciiTheme="minorHAnsi" w:eastAsiaTheme="minorEastAsia" w:hAnsiTheme="minorHAnsi"/>
                <w:b w:val="0"/>
                <w:color w:val="auto"/>
                <w:sz w:val="22"/>
                <w:lang w:eastAsia="en-AU"/>
              </w:rPr>
              <w:tab/>
            </w:r>
            <w:r w:rsidRPr="004B7781">
              <w:rPr>
                <w:rStyle w:val="Hyperlink"/>
              </w:rPr>
              <w:t>Reasons for preliminary decision</w:t>
            </w:r>
            <w:r>
              <w:rPr>
                <w:webHidden/>
              </w:rPr>
              <w:tab/>
            </w:r>
            <w:r>
              <w:rPr>
                <w:webHidden/>
              </w:rPr>
              <w:fldChar w:fldCharType="begin"/>
            </w:r>
            <w:r>
              <w:rPr>
                <w:webHidden/>
              </w:rPr>
              <w:instrText xml:space="preserve"> PAGEREF _Toc433522021 \h </w:instrText>
            </w:r>
            <w:r>
              <w:rPr>
                <w:webHidden/>
              </w:rPr>
            </w:r>
            <w:r>
              <w:rPr>
                <w:webHidden/>
              </w:rPr>
              <w:fldChar w:fldCharType="separate"/>
            </w:r>
            <w:r>
              <w:rPr>
                <w:webHidden/>
              </w:rPr>
              <w:t>10-7</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bookmarkStart w:id="7" w:name="_GoBack"/>
      <w:bookmarkEnd w:id="7"/>
    </w:p>
    <w:p w:rsidR="00415F31" w:rsidRPr="00271F7C" w:rsidRDefault="00DE563D" w:rsidP="00DE772C">
      <w:pPr>
        <w:pStyle w:val="UnnumberedHeading"/>
        <w:numPr>
          <w:ilvl w:val="0"/>
          <w:numId w:val="23"/>
        </w:numPr>
      </w:pPr>
      <w:bookmarkStart w:id="8" w:name="_Toc404700925"/>
      <w:bookmarkStart w:id="9" w:name="_Toc433522015"/>
      <w:r>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EE4891"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EE4891" w:rsidRPr="005C4C9C" w:rsidRDefault="00EE4891" w:rsidP="005C4C9C">
            <w:pPr>
              <w:numPr>
                <w:ilvl w:val="0"/>
                <w:numId w:val="24"/>
              </w:numPr>
            </w:pPr>
            <w:r>
              <w:t>AMI</w:t>
            </w:r>
          </w:p>
        </w:tc>
        <w:tc>
          <w:tcPr>
            <w:tcW w:w="4344" w:type="dxa"/>
          </w:tcPr>
          <w:p w:rsidR="00EE4891" w:rsidRPr="005C4C9C" w:rsidRDefault="00EE4891" w:rsidP="005C4C9C">
            <w:pPr>
              <w:numPr>
                <w:ilvl w:val="0"/>
                <w:numId w:val="24"/>
              </w:numPr>
            </w:pPr>
            <w:r>
              <w:t>Advanced metering infrastructure</w:t>
            </w:r>
          </w:p>
        </w:tc>
      </w:tr>
      <w:tr w:rsidR="005C4C9C" w:rsidTr="005C4C9C">
        <w:tc>
          <w:tcPr>
            <w:tcW w:w="4349" w:type="dxa"/>
          </w:tcPr>
          <w:p w:rsidR="005C4C9C" w:rsidRPr="005C4C9C" w:rsidRDefault="005C4C9C" w:rsidP="005C4C9C">
            <w:pPr>
              <w:numPr>
                <w:ilvl w:val="0"/>
                <w:numId w:val="24"/>
              </w:numPr>
            </w:pPr>
            <w:proofErr w:type="spellStart"/>
            <w:r w:rsidRPr="005C4C9C">
              <w:t>augex</w:t>
            </w:r>
            <w:proofErr w:type="spellEnd"/>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repex</w:t>
            </w:r>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w:t>
            </w:r>
            <w:proofErr w:type="spellStart"/>
            <w:r w:rsidRPr="005C4C9C">
              <w:t>Lintner</w:t>
            </w:r>
            <w:proofErr w:type="spellEnd"/>
            <w:r w:rsidRPr="005C4C9C">
              <w:t xml:space="preserve">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E257D6" w:rsidP="00E257D6">
      <w:pPr>
        <w:pStyle w:val="Heading1"/>
      </w:pPr>
      <w:bookmarkStart w:id="10" w:name="_Toc433522016"/>
      <w:r>
        <w:t>Capital expenditure sharing</w:t>
      </w:r>
      <w:r w:rsidR="00ED0EC2">
        <w:t xml:space="preserve"> scheme</w:t>
      </w:r>
      <w:bookmarkEnd w:id="10"/>
    </w:p>
    <w:p w:rsidR="00EE2003" w:rsidRPr="00B20052" w:rsidRDefault="00EE2003" w:rsidP="00EE2003">
      <w:pPr>
        <w:numPr>
          <w:ilvl w:val="0"/>
          <w:numId w:val="24"/>
        </w:numPr>
      </w:pPr>
      <w:r w:rsidRPr="00B20052">
        <w:t xml:space="preserve">The capital expenditure sharing scheme (CESS) provides financial rewards for network service providers whose capex becomes more efficient and financial penalties for those that become less efficient. Consumers benefit from improved efficiency through lower regulated prices. This attachment sets out how we will apply the CESS to </w:t>
      </w:r>
      <w:r>
        <w:t>United Energy in the 2016–20</w:t>
      </w:r>
      <w:r w:rsidRPr="00B20052">
        <w:t xml:space="preserve"> regulatory control </w:t>
      </w:r>
      <w:proofErr w:type="gramStart"/>
      <w:r w:rsidRPr="00B20052">
        <w:t>period</w:t>
      </w:r>
      <w:proofErr w:type="gramEnd"/>
      <w:r w:rsidRPr="00B20052">
        <w:t xml:space="preserve">. </w:t>
      </w:r>
    </w:p>
    <w:p w:rsidR="00EE2003" w:rsidRPr="00B20052" w:rsidRDefault="00EE2003" w:rsidP="00EE2003">
      <w:pPr>
        <w:numPr>
          <w:ilvl w:val="0"/>
          <w:numId w:val="24"/>
        </w:numPr>
      </w:pPr>
      <w:r w:rsidRPr="00B20052">
        <w:t xml:space="preserve">As part of the Better Regulation program we consulted on and published version 1 of the capital expenditure incentive guideline (capex incentive guideline), which sets out the CESS. The CESS approximates efficiency gains and efficiency losses by calculating the difference between forecast and actual capex. It shares these gains or losses between service providers and consumers. </w:t>
      </w:r>
    </w:p>
    <w:p w:rsidR="00EE2003" w:rsidRPr="00B20052" w:rsidRDefault="00EE2003" w:rsidP="00EE2003">
      <w:pPr>
        <w:numPr>
          <w:ilvl w:val="0"/>
          <w:numId w:val="24"/>
        </w:numPr>
      </w:pPr>
      <w:r w:rsidRPr="00B20052">
        <w:t xml:space="preserve">The CESS works as follows: </w:t>
      </w:r>
    </w:p>
    <w:p w:rsidR="00EE2003" w:rsidRPr="001539AC" w:rsidRDefault="00EE2003" w:rsidP="00EE2003">
      <w:pPr>
        <w:pStyle w:val="AERbulletlistfirststyle"/>
      </w:pPr>
      <w:r w:rsidRPr="00B20052">
        <w:t xml:space="preserve">We calculate the cumulative underspend or overspend for the current regulatory control period in net present value terms. </w:t>
      </w:r>
    </w:p>
    <w:p w:rsidR="00EE2003" w:rsidRPr="001539AC" w:rsidRDefault="00EE2003" w:rsidP="00EE2003">
      <w:pPr>
        <w:pStyle w:val="AERbulletlistfirststyle"/>
      </w:pPr>
      <w:r w:rsidRPr="00B20052">
        <w:t xml:space="preserve">We apply the sharing ratio of 30 per cent to the cumulative underspend or overspend to work out what the service provider's share of </w:t>
      </w:r>
      <w:proofErr w:type="gramStart"/>
      <w:r w:rsidRPr="00B20052">
        <w:t>the underspend</w:t>
      </w:r>
      <w:proofErr w:type="gramEnd"/>
      <w:r w:rsidRPr="00B20052">
        <w:t xml:space="preserve"> or overspend should be.</w:t>
      </w:r>
    </w:p>
    <w:p w:rsidR="00EE2003" w:rsidRPr="001539AC" w:rsidRDefault="00EE2003" w:rsidP="00EE2003">
      <w:pPr>
        <w:pStyle w:val="AERbulletlistfirststyle"/>
      </w:pPr>
      <w:r w:rsidRPr="00B20052">
        <w:t xml:space="preserve">We calculate the CESS payments taking into account the financing benefit or cost to the service provider of </w:t>
      </w:r>
      <w:proofErr w:type="gramStart"/>
      <w:r w:rsidRPr="00B20052">
        <w:t>the underspends</w:t>
      </w:r>
      <w:proofErr w:type="gramEnd"/>
      <w:r w:rsidRPr="00B20052">
        <w:t xml:space="preserve"> or overspends. We can also make further adjustments to account for deferral of capex and ex post exclusions of capex from the RAB.  </w:t>
      </w:r>
    </w:p>
    <w:p w:rsidR="00EE2003" w:rsidRPr="001539AC" w:rsidRDefault="00EE2003" w:rsidP="00EE2003">
      <w:pPr>
        <w:pStyle w:val="AERbulletlistfirststyle"/>
      </w:pPr>
      <w:r w:rsidRPr="00B20052">
        <w:t>The CESS payments will be added or subtracted to the service provider's regulated revenue as a separate building block in the next regulatory control period.</w:t>
      </w:r>
    </w:p>
    <w:p w:rsidR="00EE2003" w:rsidRPr="00EE2003" w:rsidRDefault="00EE2003" w:rsidP="00EE2003">
      <w:pPr>
        <w:numPr>
          <w:ilvl w:val="0"/>
          <w:numId w:val="24"/>
        </w:numPr>
      </w:pPr>
      <w:r w:rsidRPr="00B20052">
        <w:t xml:space="preserve">Under the CESS a service provider retains 30 per cent of </w:t>
      </w:r>
      <w:proofErr w:type="gramStart"/>
      <w:r w:rsidRPr="00B20052">
        <w:t>an underspend</w:t>
      </w:r>
      <w:proofErr w:type="gramEnd"/>
      <w:r w:rsidRPr="00420BCE">
        <w:t xml:space="preserve"> or overspend, while consumers retain 70 per cent of the underspend o</w:t>
      </w:r>
      <w:r>
        <w:t>r</w:t>
      </w:r>
      <w:r w:rsidRPr="00420BCE">
        <w:t xml:space="preserve"> overspend. This means that for a one dollar saving in capex the service provider keeps 30 cents of the benefit while consumers keep 70 cents of the benefit.</w:t>
      </w:r>
    </w:p>
    <w:p w:rsidR="009A5113" w:rsidRDefault="005C0A7F" w:rsidP="009A5113">
      <w:pPr>
        <w:pStyle w:val="Heading2"/>
      </w:pPr>
      <w:bookmarkStart w:id="11" w:name="_Toc408404320"/>
      <w:bookmarkStart w:id="12" w:name="_Toc433522017"/>
      <w:r>
        <w:t>Preliminary</w:t>
      </w:r>
      <w:r w:rsidR="009A5113" w:rsidRPr="0074565D">
        <w:t xml:space="preserve"> decision</w:t>
      </w:r>
      <w:bookmarkEnd w:id="11"/>
      <w:bookmarkEnd w:id="12"/>
    </w:p>
    <w:p w:rsidR="00EE2003" w:rsidRDefault="00EE2003" w:rsidP="00EE2003">
      <w:pPr>
        <w:numPr>
          <w:ilvl w:val="0"/>
          <w:numId w:val="24"/>
        </w:numPr>
      </w:pPr>
      <w:r w:rsidRPr="00B20052">
        <w:t xml:space="preserve">We will apply the CESS as set out in version 1 of the capital expenditure incentives guideline to </w:t>
      </w:r>
      <w:r>
        <w:t>United Energy in the 2016–20</w:t>
      </w:r>
      <w:r w:rsidRPr="00B20052">
        <w:t xml:space="preserve"> regulatory control </w:t>
      </w:r>
      <w:proofErr w:type="gramStart"/>
      <w:r w:rsidRPr="00B20052">
        <w:t>period</w:t>
      </w:r>
      <w:proofErr w:type="gramEnd"/>
      <w:r w:rsidRPr="00B20052">
        <w:t>.</w:t>
      </w:r>
      <w:r w:rsidRPr="00B20052">
        <w:rPr>
          <w:rStyle w:val="FootnoteReference"/>
        </w:rPr>
        <w:footnoteReference w:id="1"/>
      </w:r>
      <w:r w:rsidRPr="00B20052">
        <w:t xml:space="preserve"> This is consistent with the proposed approach we set out in our framework and approach paper.</w:t>
      </w:r>
      <w:r w:rsidRPr="00B20052">
        <w:rPr>
          <w:rStyle w:val="FootnoteReference"/>
        </w:rPr>
        <w:footnoteReference w:id="2"/>
      </w:r>
      <w:r>
        <w:t xml:space="preserve"> </w:t>
      </w:r>
    </w:p>
    <w:p w:rsidR="00EE2003" w:rsidRPr="00EE2003" w:rsidRDefault="00EE2003" w:rsidP="00EE2003"/>
    <w:p w:rsidR="009A5113" w:rsidRDefault="00B97A37" w:rsidP="009A5113">
      <w:pPr>
        <w:pStyle w:val="Heading2"/>
      </w:pPr>
      <w:bookmarkStart w:id="13" w:name="_Toc433522018"/>
      <w:r>
        <w:t>United Energy</w:t>
      </w:r>
      <w:r w:rsidR="005C0A7F">
        <w:t>'s proposal</w:t>
      </w:r>
      <w:bookmarkEnd w:id="13"/>
    </w:p>
    <w:p w:rsidR="00EE2003" w:rsidRPr="00EE2003" w:rsidRDefault="00EE2003" w:rsidP="00EE2003">
      <w:pPr>
        <w:numPr>
          <w:ilvl w:val="0"/>
          <w:numId w:val="24"/>
        </w:numPr>
      </w:pPr>
      <w:r>
        <w:t>United Energy p</w:t>
      </w:r>
      <w:r w:rsidRPr="00907FB2">
        <w:t>roposed that</w:t>
      </w:r>
      <w:r w:rsidRPr="00B20052">
        <w:t xml:space="preserve"> we apply the CESS as set out in the capex incentives guideline.</w:t>
      </w:r>
      <w:r w:rsidRPr="00B20052">
        <w:rPr>
          <w:rStyle w:val="FootnoteReference"/>
        </w:rPr>
        <w:footnoteReference w:id="3"/>
      </w:r>
      <w:r w:rsidRPr="00B20052">
        <w:t xml:space="preserve"> </w:t>
      </w:r>
    </w:p>
    <w:p w:rsidR="009A5113" w:rsidRDefault="009A5113" w:rsidP="009A5113">
      <w:pPr>
        <w:pStyle w:val="Heading2"/>
      </w:pPr>
      <w:bookmarkStart w:id="14" w:name="_Toc408404322"/>
      <w:bookmarkStart w:id="15" w:name="_Toc433522019"/>
      <w:r w:rsidRPr="0074565D">
        <w:t>AER’s assessment approach</w:t>
      </w:r>
      <w:bookmarkEnd w:id="14"/>
      <w:bookmarkEnd w:id="15"/>
    </w:p>
    <w:p w:rsidR="00EE2003" w:rsidRDefault="00EE2003" w:rsidP="00EE2003">
      <w:pPr>
        <w:numPr>
          <w:ilvl w:val="0"/>
          <w:numId w:val="24"/>
        </w:numPr>
        <w:rPr>
          <w:rStyle w:val="AERbody"/>
        </w:rPr>
      </w:pPr>
      <w:r>
        <w:rPr>
          <w:rStyle w:val="AERbody"/>
        </w:rPr>
        <w:t>In deciding whether to apply a CESS to a network service provider, and the nature and details of any CESS to apply to a service provider,</w:t>
      </w:r>
      <w:r>
        <w:t xml:space="preserve"> we </w:t>
      </w:r>
      <w:r>
        <w:rPr>
          <w:rStyle w:val="AERbody"/>
        </w:rPr>
        <w:t>must:</w:t>
      </w:r>
      <w:r w:rsidRPr="00411022">
        <w:rPr>
          <w:rStyle w:val="FootnoteReference"/>
        </w:rPr>
        <w:footnoteReference w:id="4"/>
      </w:r>
    </w:p>
    <w:p w:rsidR="00EE2003" w:rsidRPr="001539AC" w:rsidRDefault="00EE2003" w:rsidP="00EE2003">
      <w:pPr>
        <w:pStyle w:val="AERbulletlistfirststyle"/>
      </w:pPr>
      <w:r>
        <w:rPr>
          <w:rStyle w:val="AERbody"/>
        </w:rPr>
        <w:t xml:space="preserve">make that decision in a manner </w:t>
      </w:r>
      <w:r w:rsidRPr="001539AC">
        <w:t>that contributes to the capex incentive objective</w:t>
      </w:r>
      <w:r w:rsidRPr="001539AC">
        <w:rPr>
          <w:rStyle w:val="FootnoteReference"/>
        </w:rPr>
        <w:footnoteReference w:id="5"/>
      </w:r>
    </w:p>
    <w:p w:rsidR="00EE2003" w:rsidRPr="001539AC" w:rsidRDefault="00EE2003" w:rsidP="00EE2003">
      <w:pPr>
        <w:pStyle w:val="AERbulletlistfirststyle"/>
      </w:pPr>
      <w:proofErr w:type="gramStart"/>
      <w:r>
        <w:t>take</w:t>
      </w:r>
      <w:proofErr w:type="gramEnd"/>
      <w:r>
        <w:t xml:space="preserve"> into account</w:t>
      </w:r>
      <w:r w:rsidRPr="001539AC">
        <w:t xml:space="preserve"> the CESS principles,</w:t>
      </w:r>
      <w:r w:rsidRPr="001539AC">
        <w:rPr>
          <w:rStyle w:val="FootnoteReference"/>
        </w:rPr>
        <w:footnoteReference w:id="6"/>
      </w:r>
      <w:r w:rsidRPr="001539AC">
        <w:t xml:space="preserve"> </w:t>
      </w:r>
      <w:r>
        <w:t xml:space="preserve">the interaction of the CESS with any other incentives that the service provider may have to undertake efficient opex or capex, </w:t>
      </w:r>
      <w:r w:rsidRPr="001539AC">
        <w:t xml:space="preserve">the </w:t>
      </w:r>
      <w:r w:rsidRPr="001539AC">
        <w:rPr>
          <w:rStyle w:val="AERbody"/>
        </w:rPr>
        <w:t>capex objectives,</w:t>
      </w:r>
      <w:r w:rsidRPr="001539AC">
        <w:rPr>
          <w:rStyle w:val="FootnoteReference"/>
        </w:rPr>
        <w:footnoteReference w:id="7"/>
      </w:r>
      <w:r w:rsidRPr="001539AC">
        <w:rPr>
          <w:rStyle w:val="AERtextitalic"/>
        </w:rPr>
        <w:t xml:space="preserve"> </w:t>
      </w:r>
      <w:r w:rsidRPr="001539AC">
        <w:t xml:space="preserve">and, </w:t>
      </w:r>
      <w:r>
        <w:t>if</w:t>
      </w:r>
      <w:r w:rsidRPr="001539AC">
        <w:t xml:space="preserve"> relevant</w:t>
      </w:r>
      <w:r>
        <w:t>,</w:t>
      </w:r>
      <w:r w:rsidRPr="001539AC">
        <w:t xml:space="preserve"> the</w:t>
      </w:r>
      <w:r w:rsidRPr="001539AC">
        <w:rPr>
          <w:rStyle w:val="AERtextitalic"/>
        </w:rPr>
        <w:t xml:space="preserve"> </w:t>
      </w:r>
      <w:r w:rsidRPr="001539AC">
        <w:rPr>
          <w:rStyle w:val="AERbody"/>
        </w:rPr>
        <w:t>opex objectives,</w:t>
      </w:r>
      <w:r w:rsidRPr="001539AC">
        <w:rPr>
          <w:rStyle w:val="AERtextitalic"/>
        </w:rPr>
        <w:t xml:space="preserve"> </w:t>
      </w:r>
      <w:r w:rsidRPr="001539AC">
        <w:t xml:space="preserve">as they apply to the particular service provider, </w:t>
      </w:r>
      <w:r>
        <w:t>as well as</w:t>
      </w:r>
      <w:r w:rsidRPr="001539AC">
        <w:t xml:space="preserve"> the circumstances of the service provider.</w:t>
      </w:r>
    </w:p>
    <w:p w:rsidR="00EE2003" w:rsidRPr="00EE2003" w:rsidRDefault="00EE2003" w:rsidP="00EE2003">
      <w:pPr>
        <w:numPr>
          <w:ilvl w:val="0"/>
          <w:numId w:val="24"/>
        </w:numPr>
      </w:pPr>
      <w:r>
        <w:t>Broadly, t</w:t>
      </w:r>
      <w:r w:rsidRPr="00387C87">
        <w:t xml:space="preserve">he </w:t>
      </w:r>
      <w:r>
        <w:t xml:space="preserve">capex </w:t>
      </w:r>
      <w:r w:rsidRPr="00387C87">
        <w:t>incentive objective is to ensure that</w:t>
      </w:r>
      <w:r>
        <w:t xml:space="preserve"> only capex that meets the </w:t>
      </w:r>
      <w:r w:rsidRPr="00D9069D">
        <w:t xml:space="preserve">capex criteria </w:t>
      </w:r>
      <w:r>
        <w:t>enters the RAB used to set prices.</w:t>
      </w:r>
      <w:r w:rsidRPr="00AB138A">
        <w:t xml:space="preserve"> </w:t>
      </w:r>
      <w:r>
        <w:t>Therefore, consumers only fund capex that is efficient and prudent.</w:t>
      </w:r>
    </w:p>
    <w:p w:rsidR="005C0A7F" w:rsidRDefault="005C0A7F" w:rsidP="005C0A7F">
      <w:pPr>
        <w:pStyle w:val="Heading3"/>
      </w:pPr>
      <w:bookmarkStart w:id="16" w:name="_Toc433522020"/>
      <w:r>
        <w:t>Interrelationships</w:t>
      </w:r>
      <w:bookmarkEnd w:id="16"/>
    </w:p>
    <w:p w:rsidR="00EE2003" w:rsidRPr="00EE2003" w:rsidRDefault="00EE2003" w:rsidP="00EE2003">
      <w:pPr>
        <w:numPr>
          <w:ilvl w:val="0"/>
          <w:numId w:val="24"/>
        </w:numPr>
      </w:pPr>
      <w:r>
        <w:t>The CESS relates to other incentives United Energy faces to incur efficient opex, conduct demand management, and maintain or improve service levels.</w:t>
      </w:r>
      <w:r>
        <w:rPr>
          <w:rStyle w:val="FootnoteReference"/>
        </w:rPr>
        <w:footnoteReference w:id="8"/>
      </w:r>
      <w:r>
        <w:t xml:space="preserve"> We aim to incentivise network service providers </w:t>
      </w:r>
      <w:r w:rsidRPr="00F9085C">
        <w:t>to make efficient decisions on when and what type of expenditure to incur, and to balance expenditure efficiencies with service quality.</w:t>
      </w:r>
      <w:r>
        <w:t xml:space="preserve"> We discuss these interrelationships where relevant as part of our reasons below and in our capex attachment. </w:t>
      </w:r>
    </w:p>
    <w:p w:rsidR="002D62BC" w:rsidRDefault="009A5113" w:rsidP="009A5113">
      <w:pPr>
        <w:pStyle w:val="Heading2"/>
      </w:pPr>
      <w:bookmarkStart w:id="17" w:name="_Toc408404324"/>
      <w:bookmarkStart w:id="18" w:name="_Toc433522021"/>
      <w:r w:rsidRPr="0074565D">
        <w:t xml:space="preserve">Reasons for </w:t>
      </w:r>
      <w:r w:rsidR="00615B70">
        <w:t>preliminary</w:t>
      </w:r>
      <w:r w:rsidR="00651CB2" w:rsidRPr="0074565D">
        <w:t xml:space="preserve"> </w:t>
      </w:r>
      <w:r w:rsidRPr="0074565D">
        <w:t>decision</w:t>
      </w:r>
      <w:bookmarkEnd w:id="17"/>
      <w:bookmarkEnd w:id="18"/>
      <w:r w:rsidRPr="0074565D">
        <w:t xml:space="preserve"> </w:t>
      </w:r>
    </w:p>
    <w:p w:rsidR="00EE2003" w:rsidRDefault="00EE2003" w:rsidP="00EE2003">
      <w:pPr>
        <w:numPr>
          <w:ilvl w:val="0"/>
          <w:numId w:val="24"/>
        </w:numPr>
      </w:pPr>
      <w:r>
        <w:t xml:space="preserve">We are satisfied </w:t>
      </w:r>
      <w:r w:rsidRPr="00B7722D">
        <w:t xml:space="preserve">with </w:t>
      </w:r>
      <w:r>
        <w:rPr>
          <w:rStyle w:val="AERbody"/>
        </w:rPr>
        <w:t>United Energy’s</w:t>
      </w:r>
      <w:r>
        <w:t xml:space="preserve"> proposal to apply the CESS as set out in the capex incentives guideline. </w:t>
      </w:r>
    </w:p>
    <w:p w:rsidR="00EE2003" w:rsidRDefault="00EE2003" w:rsidP="00EE2003">
      <w:pPr>
        <w:numPr>
          <w:ilvl w:val="0"/>
          <w:numId w:val="24"/>
        </w:numPr>
      </w:pPr>
      <w:r w:rsidRPr="00B37DA3">
        <w:t xml:space="preserve">For capex, the sharing of underspends and overspends happens at the end of each regulatory </w:t>
      </w:r>
      <w:r>
        <w:t xml:space="preserve">control period </w:t>
      </w:r>
      <w:r w:rsidRPr="00B37DA3">
        <w:t xml:space="preserve">when we update </w:t>
      </w:r>
      <w:r>
        <w:t>a network service provider's RAB</w:t>
      </w:r>
      <w:r w:rsidRPr="00B37DA3">
        <w:t xml:space="preserve"> to include new capex. If a </w:t>
      </w:r>
      <w:r>
        <w:t xml:space="preserve">network service provider </w:t>
      </w:r>
      <w:r w:rsidRPr="00B37DA3">
        <w:t>spen</w:t>
      </w:r>
      <w:r>
        <w:t>ds</w:t>
      </w:r>
      <w:r w:rsidRPr="00B37DA3">
        <w:t xml:space="preserve"> less than its approved forecast</w:t>
      </w:r>
      <w:r>
        <w:t xml:space="preserve"> during a period</w:t>
      </w:r>
      <w:r w:rsidRPr="00B37DA3">
        <w:t xml:space="preserve">, it will benefit </w:t>
      </w:r>
      <w:r>
        <w:t xml:space="preserve">within that </w:t>
      </w:r>
      <w:r w:rsidRPr="00B37DA3">
        <w:t xml:space="preserve">period. Consumers benefit at the end of </w:t>
      </w:r>
      <w:r>
        <w:t xml:space="preserve">that </w:t>
      </w:r>
      <w:r w:rsidRPr="00B37DA3">
        <w:t xml:space="preserve">period when the RAB is updated to include less capex compared to if the </w:t>
      </w:r>
      <w:r>
        <w:t>service provider</w:t>
      </w:r>
      <w:r w:rsidRPr="00B37DA3">
        <w:t xml:space="preserve"> had spent the full amount of the capex forecast. </w:t>
      </w:r>
    </w:p>
    <w:p w:rsidR="00EE2003" w:rsidRDefault="00EE2003" w:rsidP="00EE2003">
      <w:pPr>
        <w:numPr>
          <w:ilvl w:val="0"/>
          <w:numId w:val="24"/>
        </w:numPr>
      </w:pPr>
      <w:r>
        <w:t>Without a CESS</w:t>
      </w:r>
      <w:r w:rsidRPr="00B37DA3">
        <w:t xml:space="preserve"> the incentive for a </w:t>
      </w:r>
      <w:r>
        <w:t xml:space="preserve">service provider </w:t>
      </w:r>
      <w:r w:rsidRPr="00B37DA3">
        <w:t xml:space="preserve">to spend less than its </w:t>
      </w:r>
      <w:r>
        <w:t xml:space="preserve">forecast </w:t>
      </w:r>
      <w:r w:rsidRPr="00B37DA3">
        <w:t>capex declines throughout the period.</w:t>
      </w:r>
      <w:r>
        <w:t xml:space="preserve"> This is because a</w:t>
      </w:r>
      <w:r w:rsidRPr="004B044F">
        <w:t xml:space="preserve">s the end of the regulatory </w:t>
      </w:r>
      <w:r>
        <w:t xml:space="preserve">control </w:t>
      </w:r>
      <w:r w:rsidRPr="004B044F">
        <w:t xml:space="preserve">period approaches, the time available for the </w:t>
      </w:r>
      <w:r>
        <w:t xml:space="preserve">service provider </w:t>
      </w:r>
      <w:r w:rsidRPr="004B044F">
        <w:t>to retain any savings gets shorter. So t</w:t>
      </w:r>
      <w:r>
        <w:t xml:space="preserve">he earlier a service provider incurs a capex </w:t>
      </w:r>
      <w:r w:rsidRPr="004B044F">
        <w:t xml:space="preserve">underspend in the regulatory </w:t>
      </w:r>
      <w:r w:rsidR="00EE4891">
        <w:t xml:space="preserve">control </w:t>
      </w:r>
      <w:r w:rsidRPr="004B044F">
        <w:t xml:space="preserve">period, the greater its reward will be. As a result, the incentive for a </w:t>
      </w:r>
      <w:r>
        <w:t>service provider</w:t>
      </w:r>
      <w:r w:rsidRPr="004B044F">
        <w:t xml:space="preserve"> to spend less than its capex forecast declines throughout the period. </w:t>
      </w:r>
      <w:r w:rsidRPr="0037766C">
        <w:t>Because of this</w:t>
      </w:r>
      <w:r>
        <w:t>,</w:t>
      </w:r>
      <w:r w:rsidRPr="0037766C">
        <w:t xml:space="preserve"> a </w:t>
      </w:r>
      <w:r>
        <w:t>service provider</w:t>
      </w:r>
      <w:r w:rsidRPr="0037766C">
        <w:t xml:space="preserve"> may choose to spend capex earlier</w:t>
      </w:r>
      <w:r>
        <w:t xml:space="preserve"> than necessary</w:t>
      </w:r>
      <w:r w:rsidRPr="0037766C">
        <w:t xml:space="preserve">, </w:t>
      </w:r>
      <w:r>
        <w:t xml:space="preserve">spend </w:t>
      </w:r>
      <w:r w:rsidRPr="0037766C">
        <w:t xml:space="preserve">on capex when it may otherwise have spent on opex, </w:t>
      </w:r>
      <w:r>
        <w:t>or spend less on capex at the expense of service quality—</w:t>
      </w:r>
      <w:r w:rsidRPr="0037766C">
        <w:t>even if it may not be efficient to do so.</w:t>
      </w:r>
    </w:p>
    <w:p w:rsidR="00EE2003" w:rsidRPr="008526D5" w:rsidRDefault="00EE2003" w:rsidP="00EE2003">
      <w:pPr>
        <w:numPr>
          <w:ilvl w:val="0"/>
          <w:numId w:val="24"/>
        </w:numPr>
      </w:pPr>
      <w:r>
        <w:t xml:space="preserve">In developing the CESS we took </w:t>
      </w:r>
      <w:r w:rsidRPr="008526D5">
        <w:t xml:space="preserve">into account the capex incentive objective, capex criteria, capex objectives, and the CESS principles. With the CESS, </w:t>
      </w:r>
      <w:r>
        <w:t>United Energy</w:t>
      </w:r>
      <w:r w:rsidRPr="00DB0AD1">
        <w:t xml:space="preserve"> </w:t>
      </w:r>
      <w:r>
        <w:t>w</w:t>
      </w:r>
      <w:r w:rsidRPr="00907FB2">
        <w:t>ill face the same reward and penalty in each year of a regulatory control period for capex underspends or overspends. The CESS will provide</w:t>
      </w:r>
      <w:r>
        <w:t xml:space="preserve"> United Energy w</w:t>
      </w:r>
      <w:r w:rsidRPr="00907FB2">
        <w:t xml:space="preserve">ith an ex ante incentive to spend only efficient capex. </w:t>
      </w:r>
      <w:r>
        <w:t>United Energy</w:t>
      </w:r>
      <w:r w:rsidRPr="00DB0AD1">
        <w:t xml:space="preserve"> </w:t>
      </w:r>
      <w:r>
        <w:t>w</w:t>
      </w:r>
      <w:r w:rsidRPr="00907FB2">
        <w:t xml:space="preserve">ill be rewarded through the CESS for making capex efficiency gains. Conversely, </w:t>
      </w:r>
      <w:r>
        <w:t>United Energy</w:t>
      </w:r>
      <w:r w:rsidRPr="00DB0AD1">
        <w:t xml:space="preserve"> </w:t>
      </w:r>
      <w:r>
        <w:t>w</w:t>
      </w:r>
      <w:r w:rsidRPr="00907FB2">
        <w:t xml:space="preserve">ill be penalised through the CESS for making capex efficiency losses. In this way, </w:t>
      </w:r>
      <w:r>
        <w:t>United Energy</w:t>
      </w:r>
      <w:r w:rsidRPr="00DB0AD1">
        <w:t xml:space="preserve"> </w:t>
      </w:r>
      <w:r>
        <w:t>w</w:t>
      </w:r>
      <w:r w:rsidRPr="00907FB2">
        <w:t xml:space="preserve">ill be more likely to incur only efficient capex when subject to a CESS, so any capex included in the RAB is more likely to reflect the capex criteria. In particular, if </w:t>
      </w:r>
      <w:r>
        <w:t>United Energy</w:t>
      </w:r>
      <w:r w:rsidRPr="00DB0AD1">
        <w:t xml:space="preserve"> </w:t>
      </w:r>
      <w:r>
        <w:t>i</w:t>
      </w:r>
      <w:r w:rsidRPr="00907FB2">
        <w:t>s subject to the CESS</w:t>
      </w:r>
      <w:r w:rsidRPr="008526D5">
        <w:t>, its capex is more likely to be efficient and to reflect the costs of a prudent service provider.</w:t>
      </w:r>
    </w:p>
    <w:p w:rsidR="00474EC7" w:rsidRPr="00474EC7" w:rsidRDefault="00680FA8" w:rsidP="00474EC7">
      <w:pPr>
        <w:numPr>
          <w:ilvl w:val="0"/>
          <w:numId w:val="24"/>
        </w:numPr>
      </w:pPr>
      <w:r>
        <w:t xml:space="preserve">The </w:t>
      </w:r>
      <w:r w:rsidRPr="00FE034C">
        <w:rPr>
          <w:rFonts w:asciiTheme="minorHAnsi" w:hAnsiTheme="minorHAnsi" w:cstheme="minorHAnsi"/>
          <w:szCs w:val="20"/>
        </w:rPr>
        <w:t xml:space="preserve">Victorian Department of Economic Development, Jobs, Transport &amp; Resources raised concerns with the CESS </w:t>
      </w:r>
      <w:r>
        <w:rPr>
          <w:rFonts w:asciiTheme="minorHAnsi" w:hAnsiTheme="minorHAnsi" w:cstheme="minorHAnsi"/>
          <w:szCs w:val="20"/>
        </w:rPr>
        <w:t xml:space="preserve">potentially </w:t>
      </w:r>
      <w:r w:rsidRPr="00FE034C">
        <w:rPr>
          <w:rFonts w:asciiTheme="minorHAnsi" w:hAnsiTheme="minorHAnsi" w:cstheme="minorHAnsi"/>
          <w:szCs w:val="20"/>
        </w:rPr>
        <w:t>encouraging inefficient capex deferral and a pattern of underspending followed by overspending.</w:t>
      </w:r>
      <w:r>
        <w:rPr>
          <w:rStyle w:val="FootnoteReference"/>
        </w:rPr>
        <w:footnoteReference w:id="9"/>
      </w:r>
      <w:r>
        <w:t xml:space="preserve"> We addressed these issues in our explanatory statements to the capex incentive guideline.</w:t>
      </w:r>
      <w:r>
        <w:rPr>
          <w:rStyle w:val="FootnoteReference"/>
        </w:rPr>
        <w:footnoteReference w:id="10"/>
      </w:r>
      <w:r>
        <w:t xml:space="preserve"> As outlined above, </w:t>
      </w:r>
      <w:r w:rsidRPr="00B37DA3">
        <w:t xml:space="preserve">the sharing of </w:t>
      </w:r>
      <w:r>
        <w:t xml:space="preserve">capex </w:t>
      </w:r>
      <w:r w:rsidRPr="00B37DA3">
        <w:t xml:space="preserve">underspends and overspends </w:t>
      </w:r>
      <w:r>
        <w:t xml:space="preserve">between consumers and the distributor </w:t>
      </w:r>
      <w:r w:rsidRPr="00B37DA3">
        <w:t xml:space="preserve">happens at the end of each regulatory </w:t>
      </w:r>
      <w:r>
        <w:t xml:space="preserve">control period </w:t>
      </w:r>
      <w:r w:rsidRPr="00B37DA3">
        <w:t xml:space="preserve">when we update </w:t>
      </w:r>
      <w:r>
        <w:t>the RAB</w:t>
      </w:r>
      <w:r w:rsidRPr="00B37DA3">
        <w:t xml:space="preserve"> to include new capex. </w:t>
      </w:r>
      <w:r>
        <w:t xml:space="preserve">In the absence of the CESS the sharing ratio between consumers and the distributor will vary depending on the year in which </w:t>
      </w:r>
      <w:proofErr w:type="gramStart"/>
      <w:r>
        <w:t>the underspend</w:t>
      </w:r>
      <w:proofErr w:type="gramEnd"/>
      <w:r>
        <w:t xml:space="preserve"> or overspend occurs. Instead, under the CESS there will be a constant sharing ratio of 30:70. The CESS will also provide a continuous incentive for </w:t>
      </w:r>
      <w:r w:rsidR="00D770BB">
        <w:t>United Energy</w:t>
      </w:r>
      <w:r>
        <w:t xml:space="preserve"> to incur efficient capex over the regulatory control period, rather than the declining incentive that is present without the CESS. We consider this continuous rather than declining incentive promotes more efficient decisions on when to incur capex, rather than encouraging deferrals or underspending. Further, we are able to make adjustments to the CESS reward or penalty to account for deferrals in some cases.</w:t>
      </w:r>
      <w:r>
        <w:rPr>
          <w:rStyle w:val="FootnoteReference"/>
        </w:rPr>
        <w:footnoteReference w:id="11"/>
      </w:r>
    </w:p>
    <w:sectPr w:rsidR="00474EC7" w:rsidRPr="00474EC7"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DE77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DE772C" w:rsidRDefault="00DE772C">
    <w:pPr>
      <w:pStyle w:val="Footer"/>
    </w:pPr>
  </w:p>
  <w:p w:rsidR="00DE772C" w:rsidRDefault="00D17683">
    <w:pPr>
      <w:pStyle w:val="Footer"/>
    </w:pPr>
    <w:r>
      <w:fldChar w:fldCharType="begin"/>
    </w:r>
    <w:r>
      <w:instrText xml:space="preserve"> DOCPROPERTY DocumentID \* MERGEFORMAT </w:instrText>
    </w:r>
    <w:r>
      <w:fldChar w:fldCharType="separate"/>
    </w:r>
    <w:r w:rsidR="00D45694">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CA52A2" w:rsidRPr="00CA52A2" w:rsidRDefault="00CA52A2" w:rsidP="00CA52A2">
        <w:pPr>
          <w:pStyle w:val="Footer"/>
        </w:pPr>
        <w:r w:rsidRPr="00CA52A2">
          <w:fldChar w:fldCharType="begin"/>
        </w:r>
        <w:r>
          <w:instrText xml:space="preserve"> PAGE   \* MERGEFORMAT </w:instrText>
        </w:r>
        <w:r w:rsidRPr="00CA52A2">
          <w:fldChar w:fldCharType="separate"/>
        </w:r>
        <w:r w:rsidR="00682BAF">
          <w:rPr>
            <w:noProof/>
          </w:rPr>
          <w:t>10-3</w:t>
        </w:r>
        <w:r w:rsidRPr="00CA52A2">
          <w:fldChar w:fldCharType="end"/>
        </w:r>
        <w:r w:rsidRPr="00CA52A2">
          <w:t xml:space="preserve">          Attachment 1</w:t>
        </w:r>
        <w:r w:rsidR="00E257D6">
          <w:t>0</w:t>
        </w:r>
        <w:r w:rsidRPr="00CA52A2">
          <w:t xml:space="preserve"> – </w:t>
        </w:r>
        <w:r w:rsidR="00E257D6">
          <w:t xml:space="preserve">Capital expenditure sharing </w:t>
        </w:r>
        <w:r w:rsidR="00ED0EC2">
          <w:t>scheme</w:t>
        </w:r>
        <w:r w:rsidR="002D62BC">
          <w:t xml:space="preserve"> </w:t>
        </w:r>
        <w:r w:rsidRPr="00CA52A2">
          <w:t xml:space="preserve">| </w:t>
        </w:r>
        <w:r w:rsidR="00B97A37">
          <w:t>United Energy</w:t>
        </w:r>
        <w:r w:rsidRPr="00CA52A2">
          <w:t xml:space="preserve"> </w:t>
        </w:r>
        <w:r w:rsidR="001B7D00">
          <w:t>Preliminary decision 2016</w:t>
        </w:r>
        <w:r w:rsidRPr="00CA52A2">
          <w:t>–</w:t>
        </w:r>
        <w:r w:rsidR="001B7D00">
          <w:t>20</w:t>
        </w:r>
      </w:p>
    </w:sdtContent>
  </w:sdt>
  <w:p w:rsidR="00DE772C" w:rsidRDefault="00DE772C">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EE2003" w:rsidRDefault="00EE2003" w:rsidP="00EE2003">
      <w:pPr>
        <w:pStyle w:val="FootnoteText"/>
      </w:pPr>
      <w:r>
        <w:rPr>
          <w:rStyle w:val="FootnoteReference"/>
        </w:rPr>
        <w:footnoteRef/>
      </w:r>
      <w:r>
        <w:t xml:space="preserve"> </w:t>
      </w:r>
      <w:r>
        <w:tab/>
        <w:t xml:space="preserve">AER, </w:t>
      </w:r>
      <w:r w:rsidRPr="006B01B7">
        <w:rPr>
          <w:rStyle w:val="AERtextitalic"/>
        </w:rPr>
        <w:t>Capital Expenditure Incentive Guideline for Electricity Network Service Providers</w:t>
      </w:r>
      <w:r>
        <w:t>, November 2013, pp. 5</w:t>
      </w:r>
      <w:r>
        <w:rPr>
          <w:rFonts w:cs="Gautami"/>
        </w:rPr>
        <w:t>–</w:t>
      </w:r>
      <w:r>
        <w:t>9.</w:t>
      </w:r>
    </w:p>
  </w:footnote>
  <w:footnote w:id="2">
    <w:p w:rsidR="00EE2003" w:rsidRDefault="00EE2003" w:rsidP="00EE2003">
      <w:pPr>
        <w:pStyle w:val="FootnoteText"/>
      </w:pPr>
      <w:r>
        <w:rPr>
          <w:rStyle w:val="FootnoteReference"/>
        </w:rPr>
        <w:footnoteRef/>
      </w:r>
      <w:r>
        <w:t xml:space="preserve"> </w:t>
      </w:r>
      <w:r>
        <w:tab/>
        <w:t xml:space="preserve">AER, </w:t>
      </w:r>
      <w:r>
        <w:rPr>
          <w:rStyle w:val="AERtextitalic"/>
        </w:rPr>
        <w:t xml:space="preserve">Final Framework and approach for the Victorian Electricity Distributors, Regulatory control period commencing 1 January 2016, </w:t>
      </w:r>
      <w:r>
        <w:t>October 2014, p. 110.</w:t>
      </w:r>
    </w:p>
  </w:footnote>
  <w:footnote w:id="3">
    <w:p w:rsidR="00EE2003" w:rsidRDefault="00EE2003" w:rsidP="00EE2003">
      <w:pPr>
        <w:pStyle w:val="FootnoteText"/>
      </w:pPr>
      <w:r>
        <w:rPr>
          <w:rStyle w:val="FootnoteReference"/>
        </w:rPr>
        <w:footnoteRef/>
      </w:r>
      <w:r>
        <w:t xml:space="preserve"> </w:t>
      </w:r>
      <w:r>
        <w:tab/>
      </w:r>
      <w:proofErr w:type="gramStart"/>
      <w:r>
        <w:t xml:space="preserve">United Energy, </w:t>
      </w:r>
      <w:r>
        <w:rPr>
          <w:rStyle w:val="AERtextitalic"/>
        </w:rPr>
        <w:t>Regulatory Proposal, 2016 to 2020</w:t>
      </w:r>
      <w:r>
        <w:t>, April 2015, p. 135.</w:t>
      </w:r>
      <w:proofErr w:type="gramEnd"/>
    </w:p>
  </w:footnote>
  <w:footnote w:id="4">
    <w:p w:rsidR="00EE2003" w:rsidRDefault="00EE2003" w:rsidP="00EE2003">
      <w:pPr>
        <w:pStyle w:val="FootnoteText"/>
      </w:pPr>
      <w:r>
        <w:rPr>
          <w:rStyle w:val="FootnoteReference"/>
        </w:rPr>
        <w:footnoteRef/>
      </w:r>
      <w:r>
        <w:t xml:space="preserve"> </w:t>
      </w:r>
      <w:r>
        <w:tab/>
        <w:t xml:space="preserve">NER, cl. </w:t>
      </w:r>
      <w:proofErr w:type="gramStart"/>
      <w:r>
        <w:t>6.5.8A(</w:t>
      </w:r>
      <w:proofErr w:type="gramEnd"/>
      <w:r>
        <w:t>e).</w:t>
      </w:r>
    </w:p>
  </w:footnote>
  <w:footnote w:id="5">
    <w:p w:rsidR="00EE2003" w:rsidRDefault="00EE2003" w:rsidP="00EE2003">
      <w:pPr>
        <w:pStyle w:val="FootnoteText"/>
      </w:pPr>
      <w:r>
        <w:rPr>
          <w:rStyle w:val="FootnoteReference"/>
        </w:rPr>
        <w:footnoteRef/>
      </w:r>
      <w:r>
        <w:t xml:space="preserve"> </w:t>
      </w:r>
      <w:r>
        <w:tab/>
        <w:t xml:space="preserve">NER, cl. </w:t>
      </w:r>
      <w:proofErr w:type="gramStart"/>
      <w:r w:rsidRPr="00BD64DE">
        <w:t>6.4A(</w:t>
      </w:r>
      <w:proofErr w:type="gramEnd"/>
      <w:r w:rsidRPr="00BD64DE">
        <w:t>a)</w:t>
      </w:r>
      <w:r>
        <w:t xml:space="preserve">; the capex criteria are set out in cl. </w:t>
      </w:r>
      <w:r w:rsidRPr="00BD64DE">
        <w:t>6.5.7(c)</w:t>
      </w:r>
      <w:r>
        <w:t xml:space="preserve"> of the NER.</w:t>
      </w:r>
    </w:p>
  </w:footnote>
  <w:footnote w:id="6">
    <w:p w:rsidR="00EE2003" w:rsidRDefault="00EE2003" w:rsidP="00EE2003">
      <w:pPr>
        <w:pStyle w:val="FootnoteText"/>
      </w:pPr>
      <w:r>
        <w:rPr>
          <w:rStyle w:val="FootnoteReference"/>
        </w:rPr>
        <w:footnoteRef/>
      </w:r>
      <w:r>
        <w:t xml:space="preserve"> </w:t>
      </w:r>
      <w:r>
        <w:tab/>
      </w:r>
      <w:proofErr w:type="gramStart"/>
      <w:r>
        <w:t>NER, cl. 6.5.8A(c).</w:t>
      </w:r>
      <w:proofErr w:type="gramEnd"/>
    </w:p>
  </w:footnote>
  <w:footnote w:id="7">
    <w:p w:rsidR="00EE2003" w:rsidRDefault="00EE2003" w:rsidP="00EE2003">
      <w:pPr>
        <w:pStyle w:val="FootnoteText"/>
      </w:pPr>
      <w:r>
        <w:rPr>
          <w:rStyle w:val="FootnoteReference"/>
        </w:rPr>
        <w:footnoteRef/>
      </w:r>
      <w:r>
        <w:t xml:space="preserve"> </w:t>
      </w:r>
      <w:r>
        <w:tab/>
      </w:r>
      <w:proofErr w:type="gramStart"/>
      <w:r>
        <w:t>NER, cl. 6.5.7(a).</w:t>
      </w:r>
      <w:proofErr w:type="gramEnd"/>
    </w:p>
  </w:footnote>
  <w:footnote w:id="8">
    <w:p w:rsidR="00EE2003" w:rsidRDefault="00EE2003" w:rsidP="00EE2003">
      <w:pPr>
        <w:pStyle w:val="FootnoteText"/>
      </w:pPr>
      <w:r>
        <w:rPr>
          <w:rStyle w:val="FootnoteReference"/>
        </w:rPr>
        <w:footnoteRef/>
      </w:r>
      <w:r>
        <w:t xml:space="preserve"> </w:t>
      </w:r>
      <w:r>
        <w:tab/>
        <w:t xml:space="preserve">Related schemes are the efficiency benefit sharing scheme (EBSS) for opex, the demand management innovation allowance (DMIA), and the service target performance incentive scheme (STPIS) for service levels. </w:t>
      </w:r>
    </w:p>
  </w:footnote>
  <w:footnote w:id="9">
    <w:p w:rsidR="00680FA8" w:rsidRPr="003C0F17" w:rsidRDefault="00680FA8" w:rsidP="00680FA8">
      <w:pPr>
        <w:pStyle w:val="FootnoteText"/>
        <w:rPr>
          <w:rStyle w:val="AERtextitalic"/>
        </w:rPr>
      </w:pPr>
      <w:r>
        <w:rPr>
          <w:rStyle w:val="FootnoteReference"/>
        </w:rPr>
        <w:footnoteRef/>
      </w:r>
      <w:r>
        <w:t xml:space="preserve"> </w:t>
      </w:r>
      <w:r>
        <w:tab/>
        <w:t xml:space="preserve">The </w:t>
      </w:r>
      <w:r>
        <w:rPr>
          <w:rFonts w:asciiTheme="minorHAnsi" w:hAnsiTheme="minorHAnsi" w:cstheme="minorHAnsi"/>
        </w:rPr>
        <w:t>Victorian Department of Economic Development, Jobs, Transport &amp; Resources</w:t>
      </w:r>
      <w:r>
        <w:t xml:space="preserve">, </w:t>
      </w:r>
      <w:r w:rsidRPr="003C0F17">
        <w:rPr>
          <w:rStyle w:val="AERtextitalic"/>
        </w:rPr>
        <w:t>Submission to Victorian</w:t>
      </w:r>
    </w:p>
    <w:p w:rsidR="00680FA8" w:rsidRDefault="00680FA8" w:rsidP="00680FA8">
      <w:pPr>
        <w:pStyle w:val="FootnoteText"/>
      </w:pPr>
      <w:r>
        <w:rPr>
          <w:rStyle w:val="AERtextitalic"/>
        </w:rPr>
        <w:tab/>
      </w:r>
      <w:proofErr w:type="gramStart"/>
      <w:r w:rsidRPr="003C0F17">
        <w:rPr>
          <w:rStyle w:val="AERtextitalic"/>
        </w:rPr>
        <w:t>electricity</w:t>
      </w:r>
      <w:proofErr w:type="gramEnd"/>
      <w:r w:rsidRPr="003C0F17">
        <w:rPr>
          <w:rStyle w:val="AERtextitalic"/>
        </w:rPr>
        <w:t xml:space="preserve"> distribution</w:t>
      </w:r>
      <w:r>
        <w:rPr>
          <w:rStyle w:val="AERtextitalic"/>
        </w:rPr>
        <w:t xml:space="preserve"> </w:t>
      </w:r>
      <w:r w:rsidRPr="003C0F17">
        <w:rPr>
          <w:rStyle w:val="AERtextitalic"/>
        </w:rPr>
        <w:t>pricing review – 2016 to 2020</w:t>
      </w:r>
      <w:r w:rsidRPr="003C0F17">
        <w:t xml:space="preserve">, July 2015, </w:t>
      </w:r>
      <w:r w:rsidRPr="003C0F17">
        <w:rPr>
          <w:rFonts w:asciiTheme="minorHAnsi" w:hAnsiTheme="minorHAnsi" w:cstheme="minorHAnsi"/>
        </w:rPr>
        <w:t>pp</w:t>
      </w:r>
      <w:r>
        <w:rPr>
          <w:rFonts w:asciiTheme="minorHAnsi" w:hAnsiTheme="minorHAnsi" w:cstheme="minorHAnsi"/>
        </w:rPr>
        <w:t>. 12–13</w:t>
      </w:r>
      <w:r>
        <w:t>.</w:t>
      </w:r>
    </w:p>
  </w:footnote>
  <w:footnote w:id="10">
    <w:p w:rsidR="00680FA8" w:rsidRDefault="00680FA8" w:rsidP="00680FA8">
      <w:pPr>
        <w:pStyle w:val="FootnoteText"/>
      </w:pPr>
      <w:r>
        <w:rPr>
          <w:rStyle w:val="FootnoteReference"/>
        </w:rPr>
        <w:footnoteRef/>
      </w:r>
      <w:r>
        <w:t xml:space="preserve"> </w:t>
      </w:r>
      <w:r>
        <w:tab/>
        <w:t xml:space="preserve">AER, </w:t>
      </w:r>
      <w:r w:rsidRPr="006B01B7">
        <w:rPr>
          <w:rStyle w:val="AERtextitalic"/>
        </w:rPr>
        <w:t xml:space="preserve">Explanatory Statement, </w:t>
      </w:r>
      <w:r>
        <w:rPr>
          <w:rStyle w:val="AERtextitalic"/>
        </w:rPr>
        <w:t xml:space="preserve">Draft </w:t>
      </w:r>
      <w:r w:rsidRPr="006B01B7">
        <w:rPr>
          <w:rStyle w:val="AERtextitalic"/>
        </w:rPr>
        <w:t xml:space="preserve">Capital Expenditure Incentive Guideline for Electricity Network Service Providers, </w:t>
      </w:r>
      <w:r>
        <w:rPr>
          <w:rStyle w:val="AERtextitalic"/>
        </w:rPr>
        <w:t xml:space="preserve">August </w:t>
      </w:r>
      <w:r w:rsidRPr="006B01B7">
        <w:rPr>
          <w:rStyle w:val="AERtextitalic"/>
        </w:rPr>
        <w:t>2013</w:t>
      </w:r>
      <w:r>
        <w:t xml:space="preserve">; AER, </w:t>
      </w:r>
      <w:r w:rsidRPr="006B01B7">
        <w:rPr>
          <w:rStyle w:val="AERtextitalic"/>
        </w:rPr>
        <w:t>Explanatory Statement, Capital Expenditure Incentive Guideline for Electricity Network Service Providers, November 2013</w:t>
      </w:r>
      <w:r>
        <w:t>.</w:t>
      </w:r>
    </w:p>
  </w:footnote>
  <w:footnote w:id="11">
    <w:p w:rsidR="00680FA8" w:rsidRDefault="00680FA8" w:rsidP="00680FA8">
      <w:pPr>
        <w:pStyle w:val="FootnoteText"/>
      </w:pPr>
      <w:r>
        <w:rPr>
          <w:rStyle w:val="FootnoteReference"/>
        </w:rPr>
        <w:footnoteRef/>
      </w:r>
      <w:r>
        <w:t xml:space="preserve"> </w:t>
      </w:r>
      <w:r>
        <w:tab/>
        <w:t xml:space="preserve">AER, </w:t>
      </w:r>
      <w:r w:rsidRPr="006B01B7">
        <w:rPr>
          <w:rStyle w:val="AERtextitalic"/>
        </w:rPr>
        <w:t>Capital Expenditure Incentive Guideline for Electricity Network Service Providers</w:t>
      </w:r>
      <w:r>
        <w:t>, November 2013, p.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682BAF">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DE772C">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682BAF">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B77A6E5A"/>
    <w:lvl w:ilvl="0">
      <w:start w:val="1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eac16yRqHtF3G75m4K7vCYuXzZI53rGFTREj9bglhA=" w:saltValue="iVowDEDK32SXFMGrE2TxhA=="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11.docx"/>
  </w:docVars>
  <w:rsids>
    <w:rsidRoot w:val="00961A4A"/>
    <w:rsid w:val="00010286"/>
    <w:rsid w:val="00021202"/>
    <w:rsid w:val="00021C2B"/>
    <w:rsid w:val="0002517F"/>
    <w:rsid w:val="00026495"/>
    <w:rsid w:val="0003578C"/>
    <w:rsid w:val="000401AF"/>
    <w:rsid w:val="00063247"/>
    <w:rsid w:val="00070F9F"/>
    <w:rsid w:val="0007137B"/>
    <w:rsid w:val="00085663"/>
    <w:rsid w:val="00085EBF"/>
    <w:rsid w:val="00091B15"/>
    <w:rsid w:val="000A3020"/>
    <w:rsid w:val="000A6C7B"/>
    <w:rsid w:val="000C2B40"/>
    <w:rsid w:val="000D06C1"/>
    <w:rsid w:val="000D122C"/>
    <w:rsid w:val="000D3016"/>
    <w:rsid w:val="000E1819"/>
    <w:rsid w:val="000E4821"/>
    <w:rsid w:val="000E6C72"/>
    <w:rsid w:val="000F0B2B"/>
    <w:rsid w:val="000F3E72"/>
    <w:rsid w:val="000F48B1"/>
    <w:rsid w:val="0010006C"/>
    <w:rsid w:val="00116EB2"/>
    <w:rsid w:val="00124609"/>
    <w:rsid w:val="00126A4C"/>
    <w:rsid w:val="00142AB6"/>
    <w:rsid w:val="0014573B"/>
    <w:rsid w:val="001573E4"/>
    <w:rsid w:val="00160756"/>
    <w:rsid w:val="0017232E"/>
    <w:rsid w:val="00174102"/>
    <w:rsid w:val="001754EE"/>
    <w:rsid w:val="00180157"/>
    <w:rsid w:val="00185CB9"/>
    <w:rsid w:val="00186F77"/>
    <w:rsid w:val="001926A4"/>
    <w:rsid w:val="00192AD5"/>
    <w:rsid w:val="001B45A0"/>
    <w:rsid w:val="001B7D00"/>
    <w:rsid w:val="001D055E"/>
    <w:rsid w:val="001F05A4"/>
    <w:rsid w:val="001F492E"/>
    <w:rsid w:val="001F6DA3"/>
    <w:rsid w:val="002010BC"/>
    <w:rsid w:val="002016E7"/>
    <w:rsid w:val="00201F98"/>
    <w:rsid w:val="00202E03"/>
    <w:rsid w:val="0020478D"/>
    <w:rsid w:val="0020492C"/>
    <w:rsid w:val="00224DB9"/>
    <w:rsid w:val="00227DCE"/>
    <w:rsid w:val="0023276C"/>
    <w:rsid w:val="00233775"/>
    <w:rsid w:val="00251745"/>
    <w:rsid w:val="00263AC0"/>
    <w:rsid w:val="00264264"/>
    <w:rsid w:val="0026772D"/>
    <w:rsid w:val="00286874"/>
    <w:rsid w:val="00290C63"/>
    <w:rsid w:val="00296B65"/>
    <w:rsid w:val="002A7DEF"/>
    <w:rsid w:val="002B1003"/>
    <w:rsid w:val="002C233C"/>
    <w:rsid w:val="002D62BC"/>
    <w:rsid w:val="002D72E8"/>
    <w:rsid w:val="002E7B22"/>
    <w:rsid w:val="002F7986"/>
    <w:rsid w:val="00301B40"/>
    <w:rsid w:val="003029EE"/>
    <w:rsid w:val="0030370B"/>
    <w:rsid w:val="00305CC8"/>
    <w:rsid w:val="00307F6D"/>
    <w:rsid w:val="003177A2"/>
    <w:rsid w:val="003271B5"/>
    <w:rsid w:val="00327A1E"/>
    <w:rsid w:val="00331264"/>
    <w:rsid w:val="00334C8D"/>
    <w:rsid w:val="00343A18"/>
    <w:rsid w:val="00344473"/>
    <w:rsid w:val="003518B3"/>
    <w:rsid w:val="003846F1"/>
    <w:rsid w:val="003931A7"/>
    <w:rsid w:val="003B484F"/>
    <w:rsid w:val="003B7FBA"/>
    <w:rsid w:val="003F174D"/>
    <w:rsid w:val="003F7442"/>
    <w:rsid w:val="00415F31"/>
    <w:rsid w:val="00423A77"/>
    <w:rsid w:val="0045777E"/>
    <w:rsid w:val="00474EC7"/>
    <w:rsid w:val="00480B4B"/>
    <w:rsid w:val="00485DC4"/>
    <w:rsid w:val="004A43D1"/>
    <w:rsid w:val="004B4412"/>
    <w:rsid w:val="004C348C"/>
    <w:rsid w:val="004D55BA"/>
    <w:rsid w:val="004E22EC"/>
    <w:rsid w:val="004F6A0E"/>
    <w:rsid w:val="00530128"/>
    <w:rsid w:val="00532467"/>
    <w:rsid w:val="00537FD6"/>
    <w:rsid w:val="00564A4D"/>
    <w:rsid w:val="0056588A"/>
    <w:rsid w:val="00567BA5"/>
    <w:rsid w:val="00571B35"/>
    <w:rsid w:val="00571D57"/>
    <w:rsid w:val="00577A09"/>
    <w:rsid w:val="005829C2"/>
    <w:rsid w:val="00584D8F"/>
    <w:rsid w:val="00586819"/>
    <w:rsid w:val="0059704C"/>
    <w:rsid w:val="005A404D"/>
    <w:rsid w:val="005B1E3C"/>
    <w:rsid w:val="005B704A"/>
    <w:rsid w:val="005C0A7F"/>
    <w:rsid w:val="005C26CC"/>
    <w:rsid w:val="005C4C9C"/>
    <w:rsid w:val="005D7BA2"/>
    <w:rsid w:val="005E36C2"/>
    <w:rsid w:val="006007DE"/>
    <w:rsid w:val="00601638"/>
    <w:rsid w:val="00610EF9"/>
    <w:rsid w:val="00612F4F"/>
    <w:rsid w:val="00615B70"/>
    <w:rsid w:val="00615C6B"/>
    <w:rsid w:val="00621DCE"/>
    <w:rsid w:val="00632D6D"/>
    <w:rsid w:val="00642C3E"/>
    <w:rsid w:val="00651C3A"/>
    <w:rsid w:val="00651CB2"/>
    <w:rsid w:val="006560CA"/>
    <w:rsid w:val="0066104A"/>
    <w:rsid w:val="00663DAD"/>
    <w:rsid w:val="00665649"/>
    <w:rsid w:val="006672AA"/>
    <w:rsid w:val="00675E20"/>
    <w:rsid w:val="00676679"/>
    <w:rsid w:val="00680FA8"/>
    <w:rsid w:val="00682BAF"/>
    <w:rsid w:val="00683C89"/>
    <w:rsid w:val="00691D9A"/>
    <w:rsid w:val="006B2395"/>
    <w:rsid w:val="006B45A4"/>
    <w:rsid w:val="006B4CF9"/>
    <w:rsid w:val="006B785B"/>
    <w:rsid w:val="006B7AC8"/>
    <w:rsid w:val="006C1736"/>
    <w:rsid w:val="006C4798"/>
    <w:rsid w:val="006D550F"/>
    <w:rsid w:val="006F3AD1"/>
    <w:rsid w:val="006F3FC8"/>
    <w:rsid w:val="0070011E"/>
    <w:rsid w:val="00701CAB"/>
    <w:rsid w:val="00707563"/>
    <w:rsid w:val="0072214F"/>
    <w:rsid w:val="0072348C"/>
    <w:rsid w:val="00724A37"/>
    <w:rsid w:val="007303C3"/>
    <w:rsid w:val="00741E23"/>
    <w:rsid w:val="007429BE"/>
    <w:rsid w:val="00743223"/>
    <w:rsid w:val="00746E01"/>
    <w:rsid w:val="00747EEA"/>
    <w:rsid w:val="00757364"/>
    <w:rsid w:val="00757BDF"/>
    <w:rsid w:val="007609D0"/>
    <w:rsid w:val="00763E5D"/>
    <w:rsid w:val="00767740"/>
    <w:rsid w:val="00777EE6"/>
    <w:rsid w:val="00782EEA"/>
    <w:rsid w:val="007B186E"/>
    <w:rsid w:val="007B2C72"/>
    <w:rsid w:val="007C1C53"/>
    <w:rsid w:val="007C74BB"/>
    <w:rsid w:val="007D456E"/>
    <w:rsid w:val="007E4904"/>
    <w:rsid w:val="007E4CB5"/>
    <w:rsid w:val="007F066B"/>
    <w:rsid w:val="007F213A"/>
    <w:rsid w:val="007F75C4"/>
    <w:rsid w:val="00800AEB"/>
    <w:rsid w:val="008033C4"/>
    <w:rsid w:val="00806C88"/>
    <w:rsid w:val="0081034E"/>
    <w:rsid w:val="008221F2"/>
    <w:rsid w:val="00825985"/>
    <w:rsid w:val="008344F6"/>
    <w:rsid w:val="0083510F"/>
    <w:rsid w:val="008408C5"/>
    <w:rsid w:val="00851209"/>
    <w:rsid w:val="0085722A"/>
    <w:rsid w:val="00860CDC"/>
    <w:rsid w:val="008837AC"/>
    <w:rsid w:val="008A587D"/>
    <w:rsid w:val="008B35CD"/>
    <w:rsid w:val="008B5FCC"/>
    <w:rsid w:val="008B7544"/>
    <w:rsid w:val="008C3374"/>
    <w:rsid w:val="008C5486"/>
    <w:rsid w:val="008C708B"/>
    <w:rsid w:val="008D1661"/>
    <w:rsid w:val="008D6800"/>
    <w:rsid w:val="008E7031"/>
    <w:rsid w:val="008E77DE"/>
    <w:rsid w:val="008F07A3"/>
    <w:rsid w:val="008F34DD"/>
    <w:rsid w:val="009001B6"/>
    <w:rsid w:val="00900E1B"/>
    <w:rsid w:val="00901C3C"/>
    <w:rsid w:val="009233EE"/>
    <w:rsid w:val="009272AD"/>
    <w:rsid w:val="009277DC"/>
    <w:rsid w:val="009460AA"/>
    <w:rsid w:val="00951978"/>
    <w:rsid w:val="00961A4A"/>
    <w:rsid w:val="009661DE"/>
    <w:rsid w:val="00983C25"/>
    <w:rsid w:val="009856B7"/>
    <w:rsid w:val="00985C86"/>
    <w:rsid w:val="009A5113"/>
    <w:rsid w:val="009A5FC3"/>
    <w:rsid w:val="009B6F84"/>
    <w:rsid w:val="009B74B0"/>
    <w:rsid w:val="009D3906"/>
    <w:rsid w:val="009D6B46"/>
    <w:rsid w:val="009F4940"/>
    <w:rsid w:val="009F5BA1"/>
    <w:rsid w:val="00A02A88"/>
    <w:rsid w:val="00A0562E"/>
    <w:rsid w:val="00A0726D"/>
    <w:rsid w:val="00A32FBB"/>
    <w:rsid w:val="00A428EE"/>
    <w:rsid w:val="00A4478A"/>
    <w:rsid w:val="00A44852"/>
    <w:rsid w:val="00A4650A"/>
    <w:rsid w:val="00A50502"/>
    <w:rsid w:val="00A57D04"/>
    <w:rsid w:val="00A60A26"/>
    <w:rsid w:val="00A61598"/>
    <w:rsid w:val="00A84A99"/>
    <w:rsid w:val="00A84F46"/>
    <w:rsid w:val="00A871F4"/>
    <w:rsid w:val="00AC1B2C"/>
    <w:rsid w:val="00AC3264"/>
    <w:rsid w:val="00AC7CD2"/>
    <w:rsid w:val="00AE1BF1"/>
    <w:rsid w:val="00AF0DD2"/>
    <w:rsid w:val="00B0209D"/>
    <w:rsid w:val="00B07CEA"/>
    <w:rsid w:val="00B13048"/>
    <w:rsid w:val="00B1716D"/>
    <w:rsid w:val="00B17A1D"/>
    <w:rsid w:val="00B207A0"/>
    <w:rsid w:val="00B514DD"/>
    <w:rsid w:val="00B52AF0"/>
    <w:rsid w:val="00B561BD"/>
    <w:rsid w:val="00B56E03"/>
    <w:rsid w:val="00B757A6"/>
    <w:rsid w:val="00B8080B"/>
    <w:rsid w:val="00B82223"/>
    <w:rsid w:val="00B87BA5"/>
    <w:rsid w:val="00B87C39"/>
    <w:rsid w:val="00B9562D"/>
    <w:rsid w:val="00B97A37"/>
    <w:rsid w:val="00BA4665"/>
    <w:rsid w:val="00BB2FB2"/>
    <w:rsid w:val="00BB3304"/>
    <w:rsid w:val="00BB7528"/>
    <w:rsid w:val="00BC2138"/>
    <w:rsid w:val="00BD310B"/>
    <w:rsid w:val="00BD3446"/>
    <w:rsid w:val="00BE1F1B"/>
    <w:rsid w:val="00BE47B5"/>
    <w:rsid w:val="00C04223"/>
    <w:rsid w:val="00C25FA6"/>
    <w:rsid w:val="00C538A9"/>
    <w:rsid w:val="00C53B5A"/>
    <w:rsid w:val="00C54F5A"/>
    <w:rsid w:val="00C569B4"/>
    <w:rsid w:val="00C56A3E"/>
    <w:rsid w:val="00C62C46"/>
    <w:rsid w:val="00C67A92"/>
    <w:rsid w:val="00C7497E"/>
    <w:rsid w:val="00C84560"/>
    <w:rsid w:val="00C84F52"/>
    <w:rsid w:val="00C86679"/>
    <w:rsid w:val="00CA489E"/>
    <w:rsid w:val="00CA52A2"/>
    <w:rsid w:val="00CB0279"/>
    <w:rsid w:val="00CB666B"/>
    <w:rsid w:val="00CC7F1D"/>
    <w:rsid w:val="00CE484B"/>
    <w:rsid w:val="00CF0DEE"/>
    <w:rsid w:val="00D006AE"/>
    <w:rsid w:val="00D01CF0"/>
    <w:rsid w:val="00D01EFD"/>
    <w:rsid w:val="00D0442A"/>
    <w:rsid w:val="00D17683"/>
    <w:rsid w:val="00D45694"/>
    <w:rsid w:val="00D61388"/>
    <w:rsid w:val="00D61A54"/>
    <w:rsid w:val="00D64DEA"/>
    <w:rsid w:val="00D7168E"/>
    <w:rsid w:val="00D71E57"/>
    <w:rsid w:val="00D770BB"/>
    <w:rsid w:val="00D80893"/>
    <w:rsid w:val="00D84854"/>
    <w:rsid w:val="00D848B4"/>
    <w:rsid w:val="00D92CF1"/>
    <w:rsid w:val="00D92D38"/>
    <w:rsid w:val="00D950F5"/>
    <w:rsid w:val="00DA4752"/>
    <w:rsid w:val="00DA61F3"/>
    <w:rsid w:val="00DA6B93"/>
    <w:rsid w:val="00DB0F93"/>
    <w:rsid w:val="00DB1A67"/>
    <w:rsid w:val="00DB5074"/>
    <w:rsid w:val="00DB5B21"/>
    <w:rsid w:val="00DC7981"/>
    <w:rsid w:val="00DE1093"/>
    <w:rsid w:val="00DE4EFA"/>
    <w:rsid w:val="00DE5520"/>
    <w:rsid w:val="00DE563D"/>
    <w:rsid w:val="00DE5E2E"/>
    <w:rsid w:val="00DE772C"/>
    <w:rsid w:val="00DF312A"/>
    <w:rsid w:val="00E04818"/>
    <w:rsid w:val="00E06442"/>
    <w:rsid w:val="00E06BCF"/>
    <w:rsid w:val="00E1001C"/>
    <w:rsid w:val="00E23993"/>
    <w:rsid w:val="00E257D6"/>
    <w:rsid w:val="00E25B8C"/>
    <w:rsid w:val="00E51D65"/>
    <w:rsid w:val="00E6200B"/>
    <w:rsid w:val="00E65C85"/>
    <w:rsid w:val="00E66199"/>
    <w:rsid w:val="00E711C7"/>
    <w:rsid w:val="00E755EC"/>
    <w:rsid w:val="00E7624D"/>
    <w:rsid w:val="00EA3D42"/>
    <w:rsid w:val="00EA6B1B"/>
    <w:rsid w:val="00EB5BC8"/>
    <w:rsid w:val="00EB606C"/>
    <w:rsid w:val="00EC04F1"/>
    <w:rsid w:val="00ED0EC2"/>
    <w:rsid w:val="00ED7323"/>
    <w:rsid w:val="00EE2003"/>
    <w:rsid w:val="00EE28F3"/>
    <w:rsid w:val="00EE4891"/>
    <w:rsid w:val="00EE50D1"/>
    <w:rsid w:val="00EF5110"/>
    <w:rsid w:val="00F0334E"/>
    <w:rsid w:val="00F10411"/>
    <w:rsid w:val="00F15882"/>
    <w:rsid w:val="00F171E0"/>
    <w:rsid w:val="00F20BD3"/>
    <w:rsid w:val="00F2526A"/>
    <w:rsid w:val="00F373A5"/>
    <w:rsid w:val="00F47559"/>
    <w:rsid w:val="00F61176"/>
    <w:rsid w:val="00F64C7B"/>
    <w:rsid w:val="00F65B25"/>
    <w:rsid w:val="00F676DD"/>
    <w:rsid w:val="00F71667"/>
    <w:rsid w:val="00F75A26"/>
    <w:rsid w:val="00F76706"/>
    <w:rsid w:val="00F768C8"/>
    <w:rsid w:val="00F81B8D"/>
    <w:rsid w:val="00F83FAD"/>
    <w:rsid w:val="00F8653A"/>
    <w:rsid w:val="00F92349"/>
    <w:rsid w:val="00F952A0"/>
    <w:rsid w:val="00FA3C7F"/>
    <w:rsid w:val="00FB4402"/>
    <w:rsid w:val="00FB60FE"/>
    <w:rsid w:val="00FB74E2"/>
    <w:rsid w:val="00FC71DC"/>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77498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AABB69-87CE-49BF-AEBD-3003255F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22BBC065</Template>
  <TotalTime>0</TotalTime>
  <Pages>9</Pages>
  <Words>1738</Words>
  <Characters>9908</Characters>
  <Application>Microsoft Office Word</Application>
  <DocSecurity>0</DocSecurity>
  <Lines>82</Lines>
  <Paragraphs>23</Paragraphs>
  <ScaleCrop>false</ScaleCrop>
  <Company/>
  <LinksUpToDate>false</LinksUpToDate>
  <CharactersWithSpaces>11623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2015-10-24T20:38:00Z</dcterms:created>
  <dcterms:modified xsi:type="dcterms:W3CDTF">2015-10-24T20:38:00Z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8429792</vt:lpwstr>
  </property>
</Properties>
</file>