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sdt>
      <w:sdtPr>
        <w:rPr>
          <w:rFonts w:eastAsiaTheme="majorEastAsia" w:cstheme="majorBidi"/>
          <w:noProof/>
          <w:sz w:val="36"/>
          <w:szCs w:val="36"/>
          <w:lang w:eastAsia="en-AU"/>
        </w:rPr>
        <w:id w:val="1021519724"/>
        <w:docPartObj>
          <w:docPartGallery w:val="Cover Pages"/>
          <w:docPartUnique/>
        </w:docPartObj>
      </w:sdtPr>
      <w:sdtEndPr/>
      <w:sdtContent>
        <w:p w:rsidR="000A6C7B" w:rsidRPr="00290C63" w:rsidRDefault="000A6C7B" w:rsidP="00290C63">
          <w:r w:rsidRPr="00290C63">
            <w:rPr>
              <w:noProof/>
              <w:lang w:eastAsia="en-AU"/>
            </w:rPr>
            <w:drawing>
              <wp:anchor distT="0" distB="0" distL="114300" distR="114300" simplePos="0" relativeHeight="251659264" behindDoc="1" locked="0" layoutInCell="1" allowOverlap="1" wp14:anchorId="4A64DB00" wp14:editId="1A326DDD">
                <wp:simplePos x="0" y="0"/>
                <wp:positionH relativeFrom="column">
                  <wp:posOffset>-1104900</wp:posOffset>
                </wp:positionH>
                <wp:positionV relativeFrom="paragraph">
                  <wp:posOffset>-927735</wp:posOffset>
                </wp:positionV>
                <wp:extent cx="7591425" cy="10728960"/>
                <wp:effectExtent l="0" t="0" r="9525" b="0"/>
                <wp:wrapNone/>
                <wp:docPr id="2" name="Picture 2" descr="Australian Energy Regulator Report Cove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ER report front cover_D01"/>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7591425" cy="10728960"/>
                        </a:xfrm>
                        <a:prstGeom prst="rect">
                          <a:avLst/>
                        </a:prstGeom>
                        <a:noFill/>
                      </pic:spPr>
                    </pic:pic>
                  </a:graphicData>
                </a:graphic>
                <wp14:sizeRelH relativeFrom="page">
                  <wp14:pctWidth>0</wp14:pctWidth>
                </wp14:sizeRelH>
                <wp14:sizeRelV relativeFrom="page">
                  <wp14:pctHeight>0</wp14:pctHeight>
                </wp14:sizeRelV>
              </wp:anchor>
            </w:drawing>
          </w:r>
        </w:p>
        <w:p w:rsidR="00F171E0" w:rsidRDefault="00F171E0" w:rsidP="00F171E0"/>
        <w:p w:rsidR="00F171E0" w:rsidRDefault="00F171E0" w:rsidP="00F171E0"/>
        <w:p w:rsidR="00F171E0" w:rsidRDefault="00F171E0" w:rsidP="00F171E0"/>
        <w:p w:rsidR="00F171E0" w:rsidRDefault="00F171E0" w:rsidP="00F171E0"/>
        <w:p w:rsidR="00F171E0" w:rsidRDefault="00F171E0" w:rsidP="00F171E0"/>
        <w:p w:rsidR="00F171E0" w:rsidRDefault="00AF7EF8" w:rsidP="00F171E0">
          <w:r>
            <w:t xml:space="preserve"> </w:t>
          </w:r>
        </w:p>
        <w:p w:rsidR="00F171E0" w:rsidRDefault="00F171E0" w:rsidP="00F171E0"/>
        <w:p w:rsidR="00F171E0" w:rsidRDefault="00F171E0" w:rsidP="00F171E0"/>
        <w:p w:rsidR="00327A1E" w:rsidRDefault="001754EE" w:rsidP="001754EE">
          <w:pPr>
            <w:pStyle w:val="ReportSubtitle"/>
            <w:tabs>
              <w:tab w:val="left" w:pos="1122"/>
              <w:tab w:val="center" w:pos="4238"/>
            </w:tabs>
            <w:jc w:val="left"/>
          </w:pPr>
          <w:r>
            <w:tab/>
          </w:r>
          <w:r>
            <w:tab/>
          </w:r>
          <w:r w:rsidR="005C0A7F">
            <w:t>PRELIMINARY</w:t>
          </w:r>
          <w:r w:rsidR="00DA4752">
            <w:t xml:space="preserve"> DECISION</w:t>
          </w:r>
        </w:p>
        <w:p w:rsidR="00415F31" w:rsidRDefault="00E326C0" w:rsidP="008F07A3">
          <w:pPr>
            <w:pStyle w:val="ReportSubtitle"/>
          </w:pPr>
          <w:r>
            <w:t>United Energy</w:t>
          </w:r>
          <w:r w:rsidR="0070011E">
            <w:t xml:space="preserve"> distribution</w:t>
          </w:r>
          <w:r w:rsidR="00415F31">
            <w:t xml:space="preserve"> </w:t>
          </w:r>
          <w:r w:rsidR="00DA4752">
            <w:t>determination</w:t>
          </w:r>
        </w:p>
        <w:p w:rsidR="000A6C7B" w:rsidRDefault="005C0A7F" w:rsidP="008F07A3">
          <w:pPr>
            <w:pStyle w:val="ReportSubtitle"/>
          </w:pPr>
          <w:r>
            <w:t xml:space="preserve"> 20</w:t>
          </w:r>
          <w:r w:rsidR="00DA4752">
            <w:t xml:space="preserve">16 to </w:t>
          </w:r>
          <w:r>
            <w:t>2020</w:t>
          </w:r>
        </w:p>
        <w:p w:rsidR="008F07A3" w:rsidRPr="000A6C7B" w:rsidRDefault="008F07A3" w:rsidP="008F07A3">
          <w:pPr>
            <w:pStyle w:val="ReportSubtitle"/>
          </w:pPr>
        </w:p>
        <w:p w:rsidR="000A6C7B" w:rsidRPr="000A6C7B" w:rsidRDefault="0070011E" w:rsidP="008F07A3">
          <w:pPr>
            <w:pStyle w:val="ReportSubtitle"/>
          </w:pPr>
          <w:r>
            <w:t xml:space="preserve">Attachment </w:t>
          </w:r>
          <w:r w:rsidR="00EB606C">
            <w:t>1</w:t>
          </w:r>
          <w:r w:rsidR="006B45A4">
            <w:t>1</w:t>
          </w:r>
          <w:r w:rsidR="00DA4752">
            <w:t xml:space="preserve"> </w:t>
          </w:r>
          <w:r w:rsidR="00415F31">
            <w:rPr>
              <w:rFonts w:cs="Arial"/>
            </w:rPr>
            <w:t>–</w:t>
          </w:r>
          <w:r w:rsidR="00DA4752">
            <w:t xml:space="preserve"> </w:t>
          </w:r>
          <w:r w:rsidR="006B45A4">
            <w:t>Service target performance incentive scheme</w:t>
          </w:r>
        </w:p>
        <w:p w:rsidR="000A6C7B" w:rsidRPr="00327A1E" w:rsidRDefault="005C0A7F" w:rsidP="00327A1E">
          <w:pPr>
            <w:pStyle w:val="ReportDate"/>
          </w:pPr>
          <w:r>
            <w:t xml:space="preserve">October </w:t>
          </w:r>
          <w:r w:rsidR="00DA4752">
            <w:t>2015</w:t>
          </w:r>
        </w:p>
      </w:sdtContent>
    </w:sdt>
    <w:p w:rsidR="00327A1E" w:rsidRPr="00290C63" w:rsidRDefault="00327A1E" w:rsidP="00290C63">
      <w:r>
        <w:br w:type="page"/>
      </w:r>
    </w:p>
    <w:p w:rsidR="000A6C7B" w:rsidRDefault="008F07A3" w:rsidP="00961A4A">
      <w:pPr>
        <w:pStyle w:val="Copyright"/>
      </w:pPr>
      <w:r>
        <w:lastRenderedPageBreak/>
        <w:t>© Commonwealth of Australia 2015</w:t>
      </w:r>
    </w:p>
    <w:p w:rsidR="000A6C7B" w:rsidRDefault="000A6C7B" w:rsidP="000A6C7B">
      <w:pPr>
        <w:pStyle w:val="Copyright"/>
      </w:pPr>
      <w:r>
        <w:t>This work is copyright. In addition to any use permitted under the Copyright Act 1968, all material contained within this work is provided under a Creative Commons Attributions 3.0 Australia licence, with the exception of:</w:t>
      </w:r>
    </w:p>
    <w:p w:rsidR="000A6C7B" w:rsidRPr="00983C25" w:rsidRDefault="000A6C7B" w:rsidP="00983C25">
      <w:pPr>
        <w:pStyle w:val="AERbulletlistfirststyle"/>
        <w:rPr>
          <w:sz w:val="20"/>
          <w:szCs w:val="20"/>
        </w:rPr>
      </w:pPr>
      <w:r>
        <w:t xml:space="preserve">the </w:t>
      </w:r>
      <w:r w:rsidRPr="00983C25">
        <w:rPr>
          <w:sz w:val="20"/>
          <w:szCs w:val="20"/>
        </w:rPr>
        <w:t>Commonwealth Coat of Arms</w:t>
      </w:r>
    </w:p>
    <w:p w:rsidR="000A6C7B" w:rsidRPr="00983C25" w:rsidRDefault="000A6C7B" w:rsidP="00983C25">
      <w:pPr>
        <w:pStyle w:val="AERbulletlistfirststyle"/>
        <w:rPr>
          <w:sz w:val="20"/>
          <w:szCs w:val="20"/>
        </w:rPr>
      </w:pPr>
      <w:r w:rsidRPr="00983C25">
        <w:rPr>
          <w:sz w:val="20"/>
          <w:szCs w:val="20"/>
        </w:rPr>
        <w:t>the ACCC and AER logos</w:t>
      </w:r>
    </w:p>
    <w:p w:rsidR="000A6C7B" w:rsidRPr="00983C25" w:rsidRDefault="000A6C7B" w:rsidP="00983C25">
      <w:pPr>
        <w:pStyle w:val="AERbulletlistfirststyle"/>
        <w:rPr>
          <w:sz w:val="20"/>
        </w:rPr>
      </w:pPr>
      <w:r w:rsidRPr="00983C25">
        <w:rPr>
          <w:sz w:val="20"/>
        </w:rPr>
        <w:t>any illustration, diagram, photograph or graphic over which the Australian Competition and Consumer Commission does not hold copyright, but which may be part of or contained within this publication. The details of the relevant licence conditions are available on the Creative Commons website, as is the full legal code for the CC BY 3.0 AU licence.</w:t>
      </w:r>
    </w:p>
    <w:p w:rsidR="009D3906" w:rsidRDefault="000A6C7B" w:rsidP="000A6C7B">
      <w:pPr>
        <w:pStyle w:val="Copyright"/>
      </w:pPr>
      <w:r>
        <w:t>Requests and inquiries concerning reproduction and rights should be addressed to the</w:t>
      </w:r>
      <w:r w:rsidR="009D3906">
        <w:t>:</w:t>
      </w:r>
    </w:p>
    <w:p w:rsidR="009D3906" w:rsidRDefault="000A6C7B" w:rsidP="000A6C7B">
      <w:pPr>
        <w:pStyle w:val="Copyright"/>
      </w:pPr>
      <w:r>
        <w:t>Dir</w:t>
      </w:r>
      <w:r w:rsidR="009D3906">
        <w:t>ector, Corporate Communications</w:t>
      </w:r>
      <w:r w:rsidR="00983C25">
        <w:br/>
      </w:r>
      <w:r>
        <w:t>Australian Comp</w:t>
      </w:r>
      <w:r w:rsidR="009D3906">
        <w:t>etition and Consumer Commission</w:t>
      </w:r>
      <w:r>
        <w:t xml:space="preserve"> </w:t>
      </w:r>
      <w:r w:rsidR="00983C25">
        <w:br/>
      </w:r>
      <w:r>
        <w:t>GPO Box 4141, Canberra ACT 2601</w:t>
      </w:r>
    </w:p>
    <w:p w:rsidR="000A6C7B" w:rsidRDefault="000A6C7B" w:rsidP="000A6C7B">
      <w:pPr>
        <w:pStyle w:val="Copyright"/>
      </w:pPr>
      <w:proofErr w:type="gramStart"/>
      <w:r>
        <w:t>or</w:t>
      </w:r>
      <w:proofErr w:type="gramEnd"/>
      <w:r>
        <w:t xml:space="preserve"> publishing.unit@accc.gov.au.</w:t>
      </w:r>
    </w:p>
    <w:p w:rsidR="00951978" w:rsidRDefault="000A6C7B" w:rsidP="00961A4A">
      <w:pPr>
        <w:pStyle w:val="Copyright"/>
      </w:pPr>
      <w:r>
        <w:t>Inquiries about this publication should be addressed to:</w:t>
      </w:r>
    </w:p>
    <w:p w:rsidR="000A6C7B" w:rsidRDefault="000A6C7B" w:rsidP="000A6C7B">
      <w:pPr>
        <w:pStyle w:val="Copyright"/>
      </w:pPr>
      <w:r>
        <w:t xml:space="preserve">Australian Energy </w:t>
      </w:r>
      <w:r w:rsidRPr="00F171E0">
        <w:t>Regulator</w:t>
      </w:r>
      <w:r w:rsidR="00951978">
        <w:br/>
      </w:r>
      <w:r>
        <w:t>GPO Box 520</w:t>
      </w:r>
      <w:r w:rsidR="00951978">
        <w:br/>
      </w:r>
      <w:proofErr w:type="gramStart"/>
      <w:r>
        <w:t>Melbourne  Vic</w:t>
      </w:r>
      <w:proofErr w:type="gramEnd"/>
      <w:r>
        <w:t xml:space="preserve">  3001</w:t>
      </w:r>
    </w:p>
    <w:p w:rsidR="000A6C7B" w:rsidRDefault="000A6C7B" w:rsidP="00961A4A">
      <w:pPr>
        <w:pStyle w:val="Copyright"/>
      </w:pPr>
      <w:r>
        <w:t>Tel: (03) 9290 1444</w:t>
      </w:r>
      <w:r w:rsidR="00951978">
        <w:br/>
      </w:r>
      <w:r>
        <w:t>Fax: (03) 9290 1457</w:t>
      </w:r>
    </w:p>
    <w:p w:rsidR="00B9562D" w:rsidRDefault="000A6C7B" w:rsidP="00B9562D">
      <w:pPr>
        <w:pStyle w:val="Copyright"/>
      </w:pPr>
      <w:r>
        <w:t xml:space="preserve">Email: </w:t>
      </w:r>
      <w:hyperlink r:id="rId11" w:history="1">
        <w:r w:rsidRPr="00D64888">
          <w:rPr>
            <w:rStyle w:val="Hyperlink"/>
          </w:rPr>
          <w:t>AERInquiry@aer.gov.au</w:t>
        </w:r>
      </w:hyperlink>
      <w:r w:rsidR="00951978">
        <w:rPr>
          <w:rStyle w:val="Hyperlink"/>
        </w:rPr>
        <w:br/>
      </w:r>
    </w:p>
    <w:p w:rsidR="009001B6" w:rsidRDefault="009001B6">
      <w:pPr>
        <w:spacing w:line="240" w:lineRule="auto"/>
      </w:pPr>
      <w:bookmarkStart w:id="0" w:name="_Toc404354899"/>
      <w:bookmarkStart w:id="1" w:name="_Toc404353070"/>
      <w:bookmarkStart w:id="2" w:name="_Toc404684201"/>
      <w:bookmarkStart w:id="3" w:name="_Toc404700923"/>
      <w:r>
        <w:br w:type="page"/>
      </w:r>
    </w:p>
    <w:p w:rsidR="008F07A3" w:rsidRDefault="00DA61F3" w:rsidP="00DE772C">
      <w:pPr>
        <w:pStyle w:val="UnnumberedHeading"/>
        <w:numPr>
          <w:ilvl w:val="0"/>
          <w:numId w:val="23"/>
        </w:numPr>
      </w:pPr>
      <w:bookmarkStart w:id="4" w:name="_Toc433641258"/>
      <w:r>
        <w:lastRenderedPageBreak/>
        <w:t>N</w:t>
      </w:r>
      <w:r w:rsidR="008F07A3">
        <w:t>ote</w:t>
      </w:r>
      <w:bookmarkEnd w:id="0"/>
      <w:bookmarkEnd w:id="1"/>
      <w:bookmarkEnd w:id="2"/>
      <w:bookmarkEnd w:id="3"/>
      <w:bookmarkEnd w:id="4"/>
    </w:p>
    <w:p w:rsidR="00415F31" w:rsidRDefault="00415F31" w:rsidP="00DE772C">
      <w:pPr>
        <w:numPr>
          <w:ilvl w:val="0"/>
          <w:numId w:val="24"/>
        </w:numPr>
        <w:spacing w:before="0" w:after="240" w:line="288" w:lineRule="auto"/>
        <w:jc w:val="both"/>
      </w:pPr>
    </w:p>
    <w:p w:rsidR="00415F31" w:rsidRDefault="008F07A3" w:rsidP="00DE772C">
      <w:pPr>
        <w:numPr>
          <w:ilvl w:val="0"/>
          <w:numId w:val="24"/>
        </w:numPr>
        <w:spacing w:before="0" w:after="240" w:line="288" w:lineRule="auto"/>
        <w:jc w:val="both"/>
      </w:pPr>
      <w:r>
        <w:t xml:space="preserve">This </w:t>
      </w:r>
      <w:r w:rsidR="00415F31">
        <w:t xml:space="preserve">attachment forms part of the AER's </w:t>
      </w:r>
      <w:r w:rsidR="005C0A7F">
        <w:t>preliminary</w:t>
      </w:r>
      <w:r w:rsidR="00415F31">
        <w:t xml:space="preserve"> decision on </w:t>
      </w:r>
      <w:r w:rsidR="00E326C0">
        <w:t>United Energy</w:t>
      </w:r>
      <w:r w:rsidR="005C0A7F">
        <w:t>'s</w:t>
      </w:r>
      <w:r w:rsidR="00415F31">
        <w:t xml:space="preserve"> revenue proposal 201</w:t>
      </w:r>
      <w:r w:rsidR="005C0A7F">
        <w:t>6</w:t>
      </w:r>
      <w:r w:rsidR="00415F31" w:rsidRPr="00D904FA">
        <w:t>–</w:t>
      </w:r>
      <w:r w:rsidR="005C0A7F">
        <w:t>20</w:t>
      </w:r>
      <w:r w:rsidR="00415F31">
        <w:t xml:space="preserve">. It should be read with </w:t>
      </w:r>
      <w:r w:rsidR="005C0A7F">
        <w:t xml:space="preserve">all </w:t>
      </w:r>
      <w:r w:rsidR="00415F31">
        <w:t xml:space="preserve">other parts of the </w:t>
      </w:r>
      <w:r w:rsidR="005C0A7F">
        <w:t xml:space="preserve">preliminary </w:t>
      </w:r>
      <w:r w:rsidR="00415F31">
        <w:t>decision.</w:t>
      </w:r>
    </w:p>
    <w:p w:rsidR="00415F31" w:rsidRDefault="00415F31" w:rsidP="00DE772C">
      <w:pPr>
        <w:numPr>
          <w:ilvl w:val="0"/>
          <w:numId w:val="24"/>
        </w:numPr>
        <w:spacing w:before="0" w:after="240" w:line="288" w:lineRule="auto"/>
        <w:jc w:val="both"/>
      </w:pPr>
      <w:r>
        <w:t xml:space="preserve">The </w:t>
      </w:r>
      <w:r w:rsidR="005C0A7F">
        <w:t xml:space="preserve">preliminary </w:t>
      </w:r>
      <w:r>
        <w:t>decision includes the following documents:</w:t>
      </w:r>
    </w:p>
    <w:p w:rsidR="00415F31" w:rsidRDefault="00415F31" w:rsidP="00DE772C">
      <w:pPr>
        <w:numPr>
          <w:ilvl w:val="0"/>
          <w:numId w:val="24"/>
        </w:numPr>
        <w:spacing w:before="0" w:after="240" w:line="288" w:lineRule="auto"/>
        <w:jc w:val="both"/>
      </w:pPr>
      <w:r>
        <w:t>Overview</w:t>
      </w:r>
    </w:p>
    <w:p w:rsidR="0070011E" w:rsidRDefault="0070011E" w:rsidP="0070011E">
      <w:r>
        <w:t>Attachment 1 - Annual revenue requirement</w:t>
      </w:r>
    </w:p>
    <w:p w:rsidR="0070011E" w:rsidRDefault="0070011E" w:rsidP="0070011E">
      <w:r>
        <w:t>Attachment 2 - Regulatory asset base</w:t>
      </w:r>
    </w:p>
    <w:p w:rsidR="0070011E" w:rsidRDefault="0070011E" w:rsidP="0070011E">
      <w:r>
        <w:t>Attachment 3 - Rate of return</w:t>
      </w:r>
    </w:p>
    <w:p w:rsidR="0070011E" w:rsidRDefault="0070011E" w:rsidP="0070011E">
      <w:r>
        <w:t>Attachment 4 - Value of imputation credits</w:t>
      </w:r>
    </w:p>
    <w:p w:rsidR="0070011E" w:rsidRDefault="0070011E" w:rsidP="0070011E">
      <w:r>
        <w:t>Attachment 5 - Regulatory depreciation</w:t>
      </w:r>
    </w:p>
    <w:p w:rsidR="0070011E" w:rsidRDefault="0070011E" w:rsidP="0070011E">
      <w:r>
        <w:t xml:space="preserve">Attachment 6 - Capital expenditure </w:t>
      </w:r>
    </w:p>
    <w:p w:rsidR="0070011E" w:rsidRDefault="0070011E" w:rsidP="0070011E">
      <w:r>
        <w:t>Attachment 7 - Operating expenditure</w:t>
      </w:r>
    </w:p>
    <w:p w:rsidR="0070011E" w:rsidRDefault="0070011E" w:rsidP="0070011E">
      <w:r>
        <w:t>Attachment 8 - Corporate income tax</w:t>
      </w:r>
    </w:p>
    <w:p w:rsidR="0070011E" w:rsidRDefault="0070011E" w:rsidP="0070011E">
      <w:r>
        <w:t>Attachment 9 - Efficiency benefit sharing scheme</w:t>
      </w:r>
    </w:p>
    <w:p w:rsidR="0070011E" w:rsidRDefault="0070011E" w:rsidP="0070011E">
      <w:r>
        <w:t>Attachment 10 - Capital expenditure sharing scheme</w:t>
      </w:r>
    </w:p>
    <w:p w:rsidR="0070011E" w:rsidRDefault="0070011E" w:rsidP="0070011E">
      <w:r>
        <w:t>Attachment 11 - Service target performance incentive scheme</w:t>
      </w:r>
    </w:p>
    <w:p w:rsidR="0070011E" w:rsidRDefault="0070011E" w:rsidP="0070011E">
      <w:r>
        <w:t>Attachment 12 - Demand management incentive scheme</w:t>
      </w:r>
    </w:p>
    <w:p w:rsidR="0070011E" w:rsidRDefault="0070011E" w:rsidP="0070011E">
      <w:r>
        <w:t>Attachment 13 - Classification of services</w:t>
      </w:r>
    </w:p>
    <w:p w:rsidR="0070011E" w:rsidRDefault="0070011E" w:rsidP="0070011E">
      <w:r>
        <w:t>Attachment 14 - Control mechanism</w:t>
      </w:r>
    </w:p>
    <w:p w:rsidR="0070011E" w:rsidRDefault="0070011E" w:rsidP="0070011E">
      <w:r>
        <w:t>Attachment 15 - Pass through events</w:t>
      </w:r>
    </w:p>
    <w:p w:rsidR="0070011E" w:rsidRDefault="0070011E" w:rsidP="0070011E">
      <w:r>
        <w:t>Attachment 16 - Alternative control services</w:t>
      </w:r>
    </w:p>
    <w:p w:rsidR="0070011E" w:rsidRDefault="0070011E" w:rsidP="0070011E">
      <w:r>
        <w:t>Attachment 17 - Negotiated services framework and criteria</w:t>
      </w:r>
    </w:p>
    <w:p w:rsidR="00653759" w:rsidRDefault="0070011E" w:rsidP="0070011E">
      <w:r>
        <w:t>Attach</w:t>
      </w:r>
      <w:r w:rsidR="004E76CF">
        <w:t xml:space="preserve">ment 18 - </w:t>
      </w:r>
      <w:r w:rsidR="00653759">
        <w:t>f-</w:t>
      </w:r>
      <w:r w:rsidR="00653759" w:rsidRPr="001663B6">
        <w:t>factor scheme</w:t>
      </w:r>
    </w:p>
    <w:p w:rsidR="00DE563D" w:rsidRPr="00A72B34" w:rsidRDefault="00DE563D" w:rsidP="00DE772C">
      <w:pPr>
        <w:pStyle w:val="UnnumberedHeading"/>
        <w:numPr>
          <w:ilvl w:val="0"/>
          <w:numId w:val="23"/>
        </w:numPr>
      </w:pPr>
      <w:bookmarkStart w:id="5" w:name="_Toc403144133"/>
      <w:bookmarkStart w:id="6" w:name="_Toc433641259"/>
      <w:r>
        <w:lastRenderedPageBreak/>
        <w:t>Contents</w:t>
      </w:r>
      <w:bookmarkEnd w:id="5"/>
      <w:bookmarkEnd w:id="6"/>
    </w:p>
    <w:p w:rsidR="005D7BA2" w:rsidRDefault="005D7BA2">
      <w:pPr>
        <w:spacing w:line="240" w:lineRule="auto"/>
      </w:pPr>
    </w:p>
    <w:sdt>
      <w:sdtPr>
        <w:rPr>
          <w:b w:val="0"/>
          <w:noProof w:val="0"/>
          <w:color w:val="auto"/>
          <w:sz w:val="22"/>
          <w:lang w:val="en-AU" w:eastAsia="en-US"/>
        </w:rPr>
        <w:id w:val="1269200322"/>
        <w:docPartObj>
          <w:docPartGallery w:val="Table of Contents"/>
          <w:docPartUnique/>
        </w:docPartObj>
      </w:sdtPr>
      <w:sdtEndPr>
        <w:rPr>
          <w:b/>
          <w:noProof/>
          <w:color w:val="70635A" w:themeColor="text2"/>
          <w:sz w:val="24"/>
          <w:lang w:val="en-US" w:eastAsia="ja-JP"/>
        </w:rPr>
      </w:sdtEndPr>
      <w:sdtContent>
        <w:p w:rsidR="00A83E9D" w:rsidRDefault="00AB788D">
          <w:pPr>
            <w:pStyle w:val="TOC1"/>
            <w:rPr>
              <w:rFonts w:asciiTheme="minorHAnsi" w:eastAsiaTheme="minorEastAsia" w:hAnsiTheme="minorHAnsi"/>
              <w:b w:val="0"/>
              <w:color w:val="auto"/>
              <w:sz w:val="22"/>
              <w:lang w:val="en-AU" w:eastAsia="en-AU"/>
            </w:rPr>
          </w:pPr>
          <w:r>
            <w:rPr>
              <w:color w:val="auto"/>
              <w:sz w:val="22"/>
            </w:rPr>
            <w:fldChar w:fldCharType="begin"/>
          </w:r>
          <w:r>
            <w:rPr>
              <w:color w:val="auto"/>
              <w:sz w:val="22"/>
            </w:rPr>
            <w:instrText xml:space="preserve"> TOC \o "1-2" \h \z \t "Heading 3,3" </w:instrText>
          </w:r>
          <w:r>
            <w:rPr>
              <w:color w:val="auto"/>
              <w:sz w:val="22"/>
            </w:rPr>
            <w:fldChar w:fldCharType="separate"/>
          </w:r>
          <w:r w:rsidR="00A83E9D" w:rsidRPr="00B46A59">
            <w:rPr>
              <w:rStyle w:val="Hyperlink"/>
            </w:rPr>
            <w:fldChar w:fldCharType="begin"/>
          </w:r>
          <w:r w:rsidR="00A83E9D" w:rsidRPr="00B46A59">
            <w:rPr>
              <w:rStyle w:val="Hyperlink"/>
            </w:rPr>
            <w:instrText xml:space="preserve"> </w:instrText>
          </w:r>
          <w:r w:rsidR="00A83E9D">
            <w:instrText>HYPERLINK \l "_Toc433641258"</w:instrText>
          </w:r>
          <w:r w:rsidR="00A83E9D" w:rsidRPr="00B46A59">
            <w:rPr>
              <w:rStyle w:val="Hyperlink"/>
            </w:rPr>
            <w:instrText xml:space="preserve"> </w:instrText>
          </w:r>
          <w:r w:rsidR="00A83E9D" w:rsidRPr="00B46A59">
            <w:rPr>
              <w:rStyle w:val="Hyperlink"/>
            </w:rPr>
          </w:r>
          <w:r w:rsidR="00A83E9D" w:rsidRPr="00B46A59">
            <w:rPr>
              <w:rStyle w:val="Hyperlink"/>
            </w:rPr>
            <w:fldChar w:fldCharType="separate"/>
          </w:r>
          <w:r w:rsidR="00A83E9D" w:rsidRPr="00B46A59">
            <w:rPr>
              <w:rStyle w:val="Hyperlink"/>
            </w:rPr>
            <w:t>Note</w:t>
          </w:r>
          <w:r w:rsidR="00A83E9D">
            <w:rPr>
              <w:webHidden/>
            </w:rPr>
            <w:tab/>
          </w:r>
          <w:r w:rsidR="00A83E9D">
            <w:rPr>
              <w:webHidden/>
            </w:rPr>
            <w:fldChar w:fldCharType="begin"/>
          </w:r>
          <w:r w:rsidR="00A83E9D">
            <w:rPr>
              <w:webHidden/>
            </w:rPr>
            <w:instrText xml:space="preserve"> PAGEREF _Toc433641258 \h </w:instrText>
          </w:r>
          <w:r w:rsidR="00A83E9D">
            <w:rPr>
              <w:webHidden/>
            </w:rPr>
          </w:r>
          <w:r w:rsidR="00A83E9D">
            <w:rPr>
              <w:webHidden/>
            </w:rPr>
            <w:fldChar w:fldCharType="separate"/>
          </w:r>
          <w:r w:rsidR="00A83E9D">
            <w:rPr>
              <w:webHidden/>
            </w:rPr>
            <w:t>11-2</w:t>
          </w:r>
          <w:r w:rsidR="00A83E9D">
            <w:rPr>
              <w:webHidden/>
            </w:rPr>
            <w:fldChar w:fldCharType="end"/>
          </w:r>
          <w:r w:rsidR="00A83E9D" w:rsidRPr="00B46A59">
            <w:rPr>
              <w:rStyle w:val="Hyperlink"/>
            </w:rPr>
            <w:fldChar w:fldCharType="end"/>
          </w:r>
        </w:p>
        <w:p w:rsidR="00A83E9D" w:rsidRDefault="00A83E9D">
          <w:pPr>
            <w:pStyle w:val="TOC1"/>
            <w:rPr>
              <w:rFonts w:asciiTheme="minorHAnsi" w:eastAsiaTheme="minorEastAsia" w:hAnsiTheme="minorHAnsi"/>
              <w:b w:val="0"/>
              <w:color w:val="auto"/>
              <w:sz w:val="22"/>
              <w:lang w:val="en-AU" w:eastAsia="en-AU"/>
            </w:rPr>
          </w:pPr>
          <w:hyperlink w:anchor="_Toc433641259" w:history="1">
            <w:r w:rsidRPr="00B46A59">
              <w:rPr>
                <w:rStyle w:val="Hyperlink"/>
              </w:rPr>
              <w:t>Contents</w:t>
            </w:r>
            <w:r>
              <w:rPr>
                <w:webHidden/>
              </w:rPr>
              <w:tab/>
            </w:r>
            <w:r>
              <w:rPr>
                <w:webHidden/>
              </w:rPr>
              <w:fldChar w:fldCharType="begin"/>
            </w:r>
            <w:r>
              <w:rPr>
                <w:webHidden/>
              </w:rPr>
              <w:instrText xml:space="preserve"> PAGEREF _Toc433641259 \h </w:instrText>
            </w:r>
            <w:r>
              <w:rPr>
                <w:webHidden/>
              </w:rPr>
            </w:r>
            <w:r>
              <w:rPr>
                <w:webHidden/>
              </w:rPr>
              <w:fldChar w:fldCharType="separate"/>
            </w:r>
            <w:r>
              <w:rPr>
                <w:webHidden/>
              </w:rPr>
              <w:t>11-3</w:t>
            </w:r>
            <w:r>
              <w:rPr>
                <w:webHidden/>
              </w:rPr>
              <w:fldChar w:fldCharType="end"/>
            </w:r>
          </w:hyperlink>
        </w:p>
        <w:p w:rsidR="00A83E9D" w:rsidRDefault="00A83E9D">
          <w:pPr>
            <w:pStyle w:val="TOC1"/>
            <w:rPr>
              <w:rFonts w:asciiTheme="minorHAnsi" w:eastAsiaTheme="minorEastAsia" w:hAnsiTheme="minorHAnsi"/>
              <w:b w:val="0"/>
              <w:color w:val="auto"/>
              <w:sz w:val="22"/>
              <w:lang w:val="en-AU" w:eastAsia="en-AU"/>
            </w:rPr>
          </w:pPr>
          <w:hyperlink w:anchor="_Toc433641260" w:history="1">
            <w:r w:rsidRPr="00B46A59">
              <w:rPr>
                <w:rStyle w:val="Hyperlink"/>
              </w:rPr>
              <w:t>Shortened forms</w:t>
            </w:r>
            <w:r>
              <w:rPr>
                <w:webHidden/>
              </w:rPr>
              <w:tab/>
            </w:r>
            <w:r>
              <w:rPr>
                <w:webHidden/>
              </w:rPr>
              <w:fldChar w:fldCharType="begin"/>
            </w:r>
            <w:r>
              <w:rPr>
                <w:webHidden/>
              </w:rPr>
              <w:instrText xml:space="preserve"> PAGEREF _Toc433641260 \h </w:instrText>
            </w:r>
            <w:r>
              <w:rPr>
                <w:webHidden/>
              </w:rPr>
            </w:r>
            <w:r>
              <w:rPr>
                <w:webHidden/>
              </w:rPr>
              <w:fldChar w:fldCharType="separate"/>
            </w:r>
            <w:r>
              <w:rPr>
                <w:webHidden/>
              </w:rPr>
              <w:t>11-5</w:t>
            </w:r>
            <w:r>
              <w:rPr>
                <w:webHidden/>
              </w:rPr>
              <w:fldChar w:fldCharType="end"/>
            </w:r>
          </w:hyperlink>
        </w:p>
        <w:p w:rsidR="00A83E9D" w:rsidRDefault="00A83E9D">
          <w:pPr>
            <w:pStyle w:val="TOC1"/>
            <w:rPr>
              <w:rFonts w:asciiTheme="minorHAnsi" w:eastAsiaTheme="minorEastAsia" w:hAnsiTheme="minorHAnsi"/>
              <w:b w:val="0"/>
              <w:color w:val="auto"/>
              <w:sz w:val="22"/>
              <w:lang w:val="en-AU" w:eastAsia="en-AU"/>
            </w:rPr>
          </w:pPr>
          <w:hyperlink w:anchor="_Toc433641261" w:history="1">
            <w:r w:rsidRPr="00B46A59">
              <w:rPr>
                <w:rStyle w:val="Hyperlink"/>
              </w:rPr>
              <w:t>11</w:t>
            </w:r>
            <w:r>
              <w:rPr>
                <w:rFonts w:asciiTheme="minorHAnsi" w:eastAsiaTheme="minorEastAsia" w:hAnsiTheme="minorHAnsi"/>
                <w:b w:val="0"/>
                <w:color w:val="auto"/>
                <w:sz w:val="22"/>
                <w:lang w:val="en-AU" w:eastAsia="en-AU"/>
              </w:rPr>
              <w:tab/>
            </w:r>
            <w:r w:rsidRPr="00B46A59">
              <w:rPr>
                <w:rStyle w:val="Hyperlink"/>
              </w:rPr>
              <w:t>Service target performance incentive scheme</w:t>
            </w:r>
            <w:r>
              <w:rPr>
                <w:webHidden/>
              </w:rPr>
              <w:tab/>
            </w:r>
            <w:r>
              <w:rPr>
                <w:webHidden/>
              </w:rPr>
              <w:fldChar w:fldCharType="begin"/>
            </w:r>
            <w:r>
              <w:rPr>
                <w:webHidden/>
              </w:rPr>
              <w:instrText xml:space="preserve"> PAGEREF _Toc433641261 \h </w:instrText>
            </w:r>
            <w:r>
              <w:rPr>
                <w:webHidden/>
              </w:rPr>
            </w:r>
            <w:r>
              <w:rPr>
                <w:webHidden/>
              </w:rPr>
              <w:fldChar w:fldCharType="separate"/>
            </w:r>
            <w:r>
              <w:rPr>
                <w:webHidden/>
              </w:rPr>
              <w:t>11-7</w:t>
            </w:r>
            <w:r>
              <w:rPr>
                <w:webHidden/>
              </w:rPr>
              <w:fldChar w:fldCharType="end"/>
            </w:r>
          </w:hyperlink>
        </w:p>
        <w:p w:rsidR="00A83E9D" w:rsidRDefault="00A83E9D">
          <w:pPr>
            <w:pStyle w:val="TOC2"/>
            <w:tabs>
              <w:tab w:val="left" w:pos="1276"/>
            </w:tabs>
            <w:rPr>
              <w:rFonts w:asciiTheme="minorHAnsi" w:eastAsiaTheme="minorEastAsia" w:hAnsiTheme="minorHAnsi"/>
              <w:b w:val="0"/>
              <w:color w:val="auto"/>
              <w:sz w:val="22"/>
              <w:lang w:eastAsia="en-AU"/>
            </w:rPr>
          </w:pPr>
          <w:hyperlink w:anchor="_Toc433641262" w:history="1">
            <w:r w:rsidRPr="00B46A59">
              <w:rPr>
                <w:rStyle w:val="Hyperlink"/>
              </w:rPr>
              <w:t>11.1</w:t>
            </w:r>
            <w:r>
              <w:rPr>
                <w:rFonts w:asciiTheme="minorHAnsi" w:eastAsiaTheme="minorEastAsia" w:hAnsiTheme="minorHAnsi"/>
                <w:b w:val="0"/>
                <w:color w:val="auto"/>
                <w:sz w:val="22"/>
                <w:lang w:eastAsia="en-AU"/>
              </w:rPr>
              <w:tab/>
            </w:r>
            <w:r w:rsidRPr="00B46A59">
              <w:rPr>
                <w:rStyle w:val="Hyperlink"/>
              </w:rPr>
              <w:t>Preliminary decision</w:t>
            </w:r>
            <w:r>
              <w:rPr>
                <w:webHidden/>
              </w:rPr>
              <w:tab/>
            </w:r>
            <w:r>
              <w:rPr>
                <w:webHidden/>
              </w:rPr>
              <w:fldChar w:fldCharType="begin"/>
            </w:r>
            <w:r>
              <w:rPr>
                <w:webHidden/>
              </w:rPr>
              <w:instrText xml:space="preserve"> PAGEREF _Toc433641262 \h </w:instrText>
            </w:r>
            <w:r>
              <w:rPr>
                <w:webHidden/>
              </w:rPr>
            </w:r>
            <w:r>
              <w:rPr>
                <w:webHidden/>
              </w:rPr>
              <w:fldChar w:fldCharType="separate"/>
            </w:r>
            <w:r>
              <w:rPr>
                <w:webHidden/>
              </w:rPr>
              <w:t>11-7</w:t>
            </w:r>
            <w:r>
              <w:rPr>
                <w:webHidden/>
              </w:rPr>
              <w:fldChar w:fldCharType="end"/>
            </w:r>
          </w:hyperlink>
        </w:p>
        <w:p w:rsidR="00A83E9D" w:rsidRDefault="00A83E9D">
          <w:pPr>
            <w:pStyle w:val="TOC2"/>
            <w:tabs>
              <w:tab w:val="left" w:pos="1276"/>
            </w:tabs>
            <w:rPr>
              <w:rFonts w:asciiTheme="minorHAnsi" w:eastAsiaTheme="minorEastAsia" w:hAnsiTheme="minorHAnsi"/>
              <w:b w:val="0"/>
              <w:color w:val="auto"/>
              <w:sz w:val="22"/>
              <w:lang w:eastAsia="en-AU"/>
            </w:rPr>
          </w:pPr>
          <w:hyperlink w:anchor="_Toc433641263" w:history="1">
            <w:r w:rsidRPr="00B46A59">
              <w:rPr>
                <w:rStyle w:val="Hyperlink"/>
              </w:rPr>
              <w:t>11.2</w:t>
            </w:r>
            <w:r>
              <w:rPr>
                <w:rFonts w:asciiTheme="minorHAnsi" w:eastAsiaTheme="minorEastAsia" w:hAnsiTheme="minorHAnsi"/>
                <w:b w:val="0"/>
                <w:color w:val="auto"/>
                <w:sz w:val="22"/>
                <w:lang w:eastAsia="en-AU"/>
              </w:rPr>
              <w:tab/>
            </w:r>
            <w:r w:rsidRPr="00B46A59">
              <w:rPr>
                <w:rStyle w:val="Hyperlink"/>
              </w:rPr>
              <w:t>Our framework and approach paper</w:t>
            </w:r>
            <w:r>
              <w:rPr>
                <w:webHidden/>
              </w:rPr>
              <w:tab/>
            </w:r>
            <w:r>
              <w:rPr>
                <w:webHidden/>
              </w:rPr>
              <w:fldChar w:fldCharType="begin"/>
            </w:r>
            <w:r>
              <w:rPr>
                <w:webHidden/>
              </w:rPr>
              <w:instrText xml:space="preserve"> PAGEREF _Toc433641263 \h </w:instrText>
            </w:r>
            <w:r>
              <w:rPr>
                <w:webHidden/>
              </w:rPr>
            </w:r>
            <w:r>
              <w:rPr>
                <w:webHidden/>
              </w:rPr>
              <w:fldChar w:fldCharType="separate"/>
            </w:r>
            <w:r>
              <w:rPr>
                <w:webHidden/>
              </w:rPr>
              <w:t>11-9</w:t>
            </w:r>
            <w:r>
              <w:rPr>
                <w:webHidden/>
              </w:rPr>
              <w:fldChar w:fldCharType="end"/>
            </w:r>
          </w:hyperlink>
        </w:p>
        <w:p w:rsidR="00A83E9D" w:rsidRDefault="00A83E9D">
          <w:pPr>
            <w:pStyle w:val="TOC2"/>
            <w:tabs>
              <w:tab w:val="left" w:pos="1276"/>
            </w:tabs>
            <w:rPr>
              <w:rFonts w:asciiTheme="minorHAnsi" w:eastAsiaTheme="minorEastAsia" w:hAnsiTheme="minorHAnsi"/>
              <w:b w:val="0"/>
              <w:color w:val="auto"/>
              <w:sz w:val="22"/>
              <w:lang w:eastAsia="en-AU"/>
            </w:rPr>
          </w:pPr>
          <w:hyperlink w:anchor="_Toc433641264" w:history="1">
            <w:r w:rsidRPr="00B46A59">
              <w:rPr>
                <w:rStyle w:val="Hyperlink"/>
              </w:rPr>
              <w:t>11.3</w:t>
            </w:r>
            <w:r>
              <w:rPr>
                <w:rFonts w:asciiTheme="minorHAnsi" w:eastAsiaTheme="minorEastAsia" w:hAnsiTheme="minorHAnsi"/>
                <w:b w:val="0"/>
                <w:color w:val="auto"/>
                <w:sz w:val="22"/>
                <w:lang w:eastAsia="en-AU"/>
              </w:rPr>
              <w:tab/>
            </w:r>
            <w:r w:rsidRPr="00B46A59">
              <w:rPr>
                <w:rStyle w:val="Hyperlink"/>
              </w:rPr>
              <w:t>United Energy's regulatory proposal</w:t>
            </w:r>
            <w:r>
              <w:rPr>
                <w:webHidden/>
              </w:rPr>
              <w:tab/>
            </w:r>
            <w:r>
              <w:rPr>
                <w:webHidden/>
              </w:rPr>
              <w:fldChar w:fldCharType="begin"/>
            </w:r>
            <w:r>
              <w:rPr>
                <w:webHidden/>
              </w:rPr>
              <w:instrText xml:space="preserve"> PAGEREF _Toc433641264 \h </w:instrText>
            </w:r>
            <w:r>
              <w:rPr>
                <w:webHidden/>
              </w:rPr>
            </w:r>
            <w:r>
              <w:rPr>
                <w:webHidden/>
              </w:rPr>
              <w:fldChar w:fldCharType="separate"/>
            </w:r>
            <w:r>
              <w:rPr>
                <w:webHidden/>
              </w:rPr>
              <w:t>11-9</w:t>
            </w:r>
            <w:r>
              <w:rPr>
                <w:webHidden/>
              </w:rPr>
              <w:fldChar w:fldCharType="end"/>
            </w:r>
          </w:hyperlink>
        </w:p>
        <w:p w:rsidR="00A83E9D" w:rsidRDefault="00A83E9D">
          <w:pPr>
            <w:pStyle w:val="TOC2"/>
            <w:tabs>
              <w:tab w:val="left" w:pos="1276"/>
            </w:tabs>
            <w:rPr>
              <w:rFonts w:asciiTheme="minorHAnsi" w:eastAsiaTheme="minorEastAsia" w:hAnsiTheme="minorHAnsi"/>
              <w:b w:val="0"/>
              <w:color w:val="auto"/>
              <w:sz w:val="22"/>
              <w:lang w:eastAsia="en-AU"/>
            </w:rPr>
          </w:pPr>
          <w:hyperlink w:anchor="_Toc433641265" w:history="1">
            <w:r w:rsidRPr="00B46A59">
              <w:rPr>
                <w:rStyle w:val="Hyperlink"/>
              </w:rPr>
              <w:t>11.4</w:t>
            </w:r>
            <w:r>
              <w:rPr>
                <w:rFonts w:asciiTheme="minorHAnsi" w:eastAsiaTheme="minorEastAsia" w:hAnsiTheme="minorHAnsi"/>
                <w:b w:val="0"/>
                <w:color w:val="auto"/>
                <w:sz w:val="22"/>
                <w:lang w:eastAsia="en-AU"/>
              </w:rPr>
              <w:tab/>
            </w:r>
            <w:r w:rsidRPr="00B46A59">
              <w:rPr>
                <w:rStyle w:val="Hyperlink"/>
              </w:rPr>
              <w:t>AER’s assessment approach</w:t>
            </w:r>
            <w:r>
              <w:rPr>
                <w:webHidden/>
              </w:rPr>
              <w:tab/>
            </w:r>
            <w:r>
              <w:rPr>
                <w:webHidden/>
              </w:rPr>
              <w:fldChar w:fldCharType="begin"/>
            </w:r>
            <w:r>
              <w:rPr>
                <w:webHidden/>
              </w:rPr>
              <w:instrText xml:space="preserve"> PAGEREF _Toc433641265 \h </w:instrText>
            </w:r>
            <w:r>
              <w:rPr>
                <w:webHidden/>
              </w:rPr>
            </w:r>
            <w:r>
              <w:rPr>
                <w:webHidden/>
              </w:rPr>
              <w:fldChar w:fldCharType="separate"/>
            </w:r>
            <w:r>
              <w:rPr>
                <w:webHidden/>
              </w:rPr>
              <w:t>11-10</w:t>
            </w:r>
            <w:r>
              <w:rPr>
                <w:webHidden/>
              </w:rPr>
              <w:fldChar w:fldCharType="end"/>
            </w:r>
          </w:hyperlink>
        </w:p>
        <w:p w:rsidR="00A83E9D" w:rsidRDefault="00A83E9D">
          <w:pPr>
            <w:pStyle w:val="TOC3"/>
            <w:rPr>
              <w:rFonts w:asciiTheme="minorHAnsi" w:eastAsiaTheme="minorEastAsia" w:hAnsiTheme="minorHAnsi"/>
              <w:lang w:eastAsia="en-AU"/>
            </w:rPr>
          </w:pPr>
          <w:hyperlink w:anchor="_Toc433641266" w:history="1">
            <w:r w:rsidRPr="00B46A59">
              <w:rPr>
                <w:rStyle w:val="Hyperlink"/>
              </w:rPr>
              <w:t>11.4.1</w:t>
            </w:r>
            <w:r>
              <w:rPr>
                <w:rFonts w:asciiTheme="minorHAnsi" w:eastAsiaTheme="minorEastAsia" w:hAnsiTheme="minorHAnsi"/>
                <w:lang w:eastAsia="en-AU"/>
              </w:rPr>
              <w:tab/>
            </w:r>
            <w:r w:rsidRPr="00B46A59">
              <w:rPr>
                <w:rStyle w:val="Hyperlink"/>
              </w:rPr>
              <w:t>Interrelationships</w:t>
            </w:r>
            <w:r>
              <w:rPr>
                <w:webHidden/>
              </w:rPr>
              <w:tab/>
            </w:r>
            <w:r>
              <w:rPr>
                <w:webHidden/>
              </w:rPr>
              <w:fldChar w:fldCharType="begin"/>
            </w:r>
            <w:r>
              <w:rPr>
                <w:webHidden/>
              </w:rPr>
              <w:instrText xml:space="preserve"> PAGEREF _Toc433641266 \h </w:instrText>
            </w:r>
            <w:r>
              <w:rPr>
                <w:webHidden/>
              </w:rPr>
            </w:r>
            <w:r>
              <w:rPr>
                <w:webHidden/>
              </w:rPr>
              <w:fldChar w:fldCharType="separate"/>
            </w:r>
            <w:r>
              <w:rPr>
                <w:webHidden/>
              </w:rPr>
              <w:t>11-10</w:t>
            </w:r>
            <w:r>
              <w:rPr>
                <w:webHidden/>
              </w:rPr>
              <w:fldChar w:fldCharType="end"/>
            </w:r>
          </w:hyperlink>
        </w:p>
        <w:p w:rsidR="00A83E9D" w:rsidRDefault="00A83E9D">
          <w:pPr>
            <w:pStyle w:val="TOC2"/>
            <w:tabs>
              <w:tab w:val="left" w:pos="1276"/>
            </w:tabs>
            <w:rPr>
              <w:rFonts w:asciiTheme="minorHAnsi" w:eastAsiaTheme="minorEastAsia" w:hAnsiTheme="minorHAnsi"/>
              <w:b w:val="0"/>
              <w:color w:val="auto"/>
              <w:sz w:val="22"/>
              <w:lang w:eastAsia="en-AU"/>
            </w:rPr>
          </w:pPr>
          <w:hyperlink w:anchor="_Toc433641267" w:history="1">
            <w:r w:rsidRPr="00B46A59">
              <w:rPr>
                <w:rStyle w:val="Hyperlink"/>
              </w:rPr>
              <w:t>11.5</w:t>
            </w:r>
            <w:r>
              <w:rPr>
                <w:rFonts w:asciiTheme="minorHAnsi" w:eastAsiaTheme="minorEastAsia" w:hAnsiTheme="minorHAnsi"/>
                <w:b w:val="0"/>
                <w:color w:val="auto"/>
                <w:sz w:val="22"/>
                <w:lang w:eastAsia="en-AU"/>
              </w:rPr>
              <w:tab/>
            </w:r>
            <w:r w:rsidRPr="00B46A59">
              <w:rPr>
                <w:rStyle w:val="Hyperlink"/>
              </w:rPr>
              <w:t>Reasons for preliminary decision</w:t>
            </w:r>
            <w:r>
              <w:rPr>
                <w:webHidden/>
              </w:rPr>
              <w:tab/>
            </w:r>
            <w:r>
              <w:rPr>
                <w:webHidden/>
              </w:rPr>
              <w:fldChar w:fldCharType="begin"/>
            </w:r>
            <w:r>
              <w:rPr>
                <w:webHidden/>
              </w:rPr>
              <w:instrText xml:space="preserve"> PAGEREF _Toc433641267 \h </w:instrText>
            </w:r>
            <w:r>
              <w:rPr>
                <w:webHidden/>
              </w:rPr>
            </w:r>
            <w:r>
              <w:rPr>
                <w:webHidden/>
              </w:rPr>
              <w:fldChar w:fldCharType="separate"/>
            </w:r>
            <w:r>
              <w:rPr>
                <w:webHidden/>
              </w:rPr>
              <w:t>11-11</w:t>
            </w:r>
            <w:r>
              <w:rPr>
                <w:webHidden/>
              </w:rPr>
              <w:fldChar w:fldCharType="end"/>
            </w:r>
          </w:hyperlink>
        </w:p>
        <w:p w:rsidR="00A83E9D" w:rsidRDefault="00A83E9D">
          <w:pPr>
            <w:pStyle w:val="TOC2"/>
            <w:tabs>
              <w:tab w:val="left" w:pos="1276"/>
            </w:tabs>
            <w:rPr>
              <w:rFonts w:asciiTheme="minorHAnsi" w:eastAsiaTheme="minorEastAsia" w:hAnsiTheme="minorHAnsi"/>
              <w:b w:val="0"/>
              <w:color w:val="auto"/>
              <w:sz w:val="22"/>
              <w:lang w:eastAsia="en-AU"/>
            </w:rPr>
          </w:pPr>
          <w:hyperlink w:anchor="_Toc433641268" w:history="1">
            <w:r w:rsidRPr="00B46A59">
              <w:rPr>
                <w:rStyle w:val="Hyperlink"/>
              </w:rPr>
              <w:t>11.6</w:t>
            </w:r>
            <w:r>
              <w:rPr>
                <w:rFonts w:asciiTheme="minorHAnsi" w:eastAsiaTheme="minorEastAsia" w:hAnsiTheme="minorHAnsi"/>
                <w:b w:val="0"/>
                <w:color w:val="auto"/>
                <w:sz w:val="22"/>
                <w:lang w:eastAsia="en-AU"/>
              </w:rPr>
              <w:tab/>
            </w:r>
            <w:r w:rsidRPr="00B46A59">
              <w:rPr>
                <w:rStyle w:val="Hyperlink"/>
              </w:rPr>
              <w:t>Applying the STPIS</w:t>
            </w:r>
            <w:r>
              <w:rPr>
                <w:webHidden/>
              </w:rPr>
              <w:tab/>
            </w:r>
            <w:r>
              <w:rPr>
                <w:webHidden/>
              </w:rPr>
              <w:fldChar w:fldCharType="begin"/>
            </w:r>
            <w:r>
              <w:rPr>
                <w:webHidden/>
              </w:rPr>
              <w:instrText xml:space="preserve"> PAGEREF _Toc433641268 \h </w:instrText>
            </w:r>
            <w:r>
              <w:rPr>
                <w:webHidden/>
              </w:rPr>
            </w:r>
            <w:r>
              <w:rPr>
                <w:webHidden/>
              </w:rPr>
              <w:fldChar w:fldCharType="separate"/>
            </w:r>
            <w:r>
              <w:rPr>
                <w:webHidden/>
              </w:rPr>
              <w:t>11-11</w:t>
            </w:r>
            <w:r>
              <w:rPr>
                <w:webHidden/>
              </w:rPr>
              <w:fldChar w:fldCharType="end"/>
            </w:r>
          </w:hyperlink>
        </w:p>
        <w:p w:rsidR="00A83E9D" w:rsidRDefault="00A83E9D">
          <w:pPr>
            <w:pStyle w:val="TOC3"/>
            <w:rPr>
              <w:rFonts w:asciiTheme="minorHAnsi" w:eastAsiaTheme="minorEastAsia" w:hAnsiTheme="minorHAnsi"/>
              <w:lang w:eastAsia="en-AU"/>
            </w:rPr>
          </w:pPr>
          <w:hyperlink w:anchor="_Toc433641269" w:history="1">
            <w:r w:rsidRPr="00B46A59">
              <w:rPr>
                <w:rStyle w:val="Hyperlink"/>
              </w:rPr>
              <w:t>11.6.1</w:t>
            </w:r>
            <w:r>
              <w:rPr>
                <w:rFonts w:asciiTheme="minorHAnsi" w:eastAsiaTheme="minorEastAsia" w:hAnsiTheme="minorHAnsi"/>
                <w:lang w:eastAsia="en-AU"/>
              </w:rPr>
              <w:tab/>
            </w:r>
            <w:r w:rsidRPr="00B46A59">
              <w:rPr>
                <w:rStyle w:val="Hyperlink"/>
              </w:rPr>
              <w:t>Revenue at risk</w:t>
            </w:r>
            <w:r>
              <w:rPr>
                <w:webHidden/>
              </w:rPr>
              <w:tab/>
            </w:r>
            <w:r>
              <w:rPr>
                <w:webHidden/>
              </w:rPr>
              <w:fldChar w:fldCharType="begin"/>
            </w:r>
            <w:r>
              <w:rPr>
                <w:webHidden/>
              </w:rPr>
              <w:instrText xml:space="preserve"> PAGEREF _Toc433641269 \h </w:instrText>
            </w:r>
            <w:r>
              <w:rPr>
                <w:webHidden/>
              </w:rPr>
            </w:r>
            <w:r>
              <w:rPr>
                <w:webHidden/>
              </w:rPr>
              <w:fldChar w:fldCharType="separate"/>
            </w:r>
            <w:r>
              <w:rPr>
                <w:webHidden/>
              </w:rPr>
              <w:t>11-12</w:t>
            </w:r>
            <w:r>
              <w:rPr>
                <w:webHidden/>
              </w:rPr>
              <w:fldChar w:fldCharType="end"/>
            </w:r>
          </w:hyperlink>
        </w:p>
        <w:p w:rsidR="00A83E9D" w:rsidRDefault="00A83E9D">
          <w:pPr>
            <w:pStyle w:val="TOC3"/>
            <w:rPr>
              <w:rFonts w:asciiTheme="minorHAnsi" w:eastAsiaTheme="minorEastAsia" w:hAnsiTheme="minorHAnsi"/>
              <w:lang w:eastAsia="en-AU"/>
            </w:rPr>
          </w:pPr>
          <w:hyperlink w:anchor="_Toc433641270" w:history="1">
            <w:r w:rsidRPr="00B46A59">
              <w:rPr>
                <w:rStyle w:val="Hyperlink"/>
              </w:rPr>
              <w:t>11.6.2</w:t>
            </w:r>
            <w:r>
              <w:rPr>
                <w:rFonts w:asciiTheme="minorHAnsi" w:eastAsiaTheme="minorEastAsia" w:hAnsiTheme="minorHAnsi"/>
                <w:lang w:eastAsia="en-AU"/>
              </w:rPr>
              <w:tab/>
            </w:r>
            <w:r w:rsidRPr="00B46A59">
              <w:rPr>
                <w:rStyle w:val="Hyperlink"/>
              </w:rPr>
              <w:t>Reliability of supply component</w:t>
            </w:r>
            <w:r>
              <w:rPr>
                <w:webHidden/>
              </w:rPr>
              <w:tab/>
            </w:r>
            <w:r>
              <w:rPr>
                <w:webHidden/>
              </w:rPr>
              <w:fldChar w:fldCharType="begin"/>
            </w:r>
            <w:r>
              <w:rPr>
                <w:webHidden/>
              </w:rPr>
              <w:instrText xml:space="preserve"> PAGEREF _Toc433641270 \h </w:instrText>
            </w:r>
            <w:r>
              <w:rPr>
                <w:webHidden/>
              </w:rPr>
            </w:r>
            <w:r>
              <w:rPr>
                <w:webHidden/>
              </w:rPr>
              <w:fldChar w:fldCharType="separate"/>
            </w:r>
            <w:r>
              <w:rPr>
                <w:webHidden/>
              </w:rPr>
              <w:t>11-12</w:t>
            </w:r>
            <w:r>
              <w:rPr>
                <w:webHidden/>
              </w:rPr>
              <w:fldChar w:fldCharType="end"/>
            </w:r>
          </w:hyperlink>
        </w:p>
        <w:p w:rsidR="00A83E9D" w:rsidRDefault="00A83E9D">
          <w:pPr>
            <w:pStyle w:val="TOC3"/>
            <w:rPr>
              <w:rFonts w:asciiTheme="minorHAnsi" w:eastAsiaTheme="minorEastAsia" w:hAnsiTheme="minorHAnsi"/>
              <w:lang w:eastAsia="en-AU"/>
            </w:rPr>
          </w:pPr>
          <w:hyperlink w:anchor="_Toc433641271" w:history="1">
            <w:r w:rsidRPr="00B46A59">
              <w:rPr>
                <w:rStyle w:val="Hyperlink"/>
              </w:rPr>
              <w:t>11.6.3</w:t>
            </w:r>
            <w:r>
              <w:rPr>
                <w:rFonts w:asciiTheme="minorHAnsi" w:eastAsiaTheme="minorEastAsia" w:hAnsiTheme="minorHAnsi"/>
                <w:lang w:eastAsia="en-AU"/>
              </w:rPr>
              <w:tab/>
            </w:r>
            <w:r w:rsidRPr="00B46A59">
              <w:rPr>
                <w:rStyle w:val="Hyperlink"/>
              </w:rPr>
              <w:t>Customer service component</w:t>
            </w:r>
            <w:r>
              <w:rPr>
                <w:webHidden/>
              </w:rPr>
              <w:tab/>
            </w:r>
            <w:r>
              <w:rPr>
                <w:webHidden/>
              </w:rPr>
              <w:fldChar w:fldCharType="begin"/>
            </w:r>
            <w:r>
              <w:rPr>
                <w:webHidden/>
              </w:rPr>
              <w:instrText xml:space="preserve"> PAGEREF _Toc433641271 \h </w:instrText>
            </w:r>
            <w:r>
              <w:rPr>
                <w:webHidden/>
              </w:rPr>
            </w:r>
            <w:r>
              <w:rPr>
                <w:webHidden/>
              </w:rPr>
              <w:fldChar w:fldCharType="separate"/>
            </w:r>
            <w:r>
              <w:rPr>
                <w:webHidden/>
              </w:rPr>
              <w:t>11-13</w:t>
            </w:r>
            <w:r>
              <w:rPr>
                <w:webHidden/>
              </w:rPr>
              <w:fldChar w:fldCharType="end"/>
            </w:r>
          </w:hyperlink>
        </w:p>
        <w:p w:rsidR="00A83E9D" w:rsidRDefault="00A83E9D">
          <w:pPr>
            <w:pStyle w:val="TOC3"/>
            <w:rPr>
              <w:rFonts w:asciiTheme="minorHAnsi" w:eastAsiaTheme="minorEastAsia" w:hAnsiTheme="minorHAnsi"/>
              <w:lang w:eastAsia="en-AU"/>
            </w:rPr>
          </w:pPr>
          <w:hyperlink w:anchor="_Toc433641272" w:history="1">
            <w:r w:rsidRPr="00B46A59">
              <w:rPr>
                <w:rStyle w:val="Hyperlink"/>
              </w:rPr>
              <w:t>11.6.4</w:t>
            </w:r>
            <w:r>
              <w:rPr>
                <w:rFonts w:asciiTheme="minorHAnsi" w:eastAsiaTheme="minorEastAsia" w:hAnsiTheme="minorHAnsi"/>
                <w:lang w:eastAsia="en-AU"/>
              </w:rPr>
              <w:tab/>
            </w:r>
            <w:r w:rsidRPr="00B46A59">
              <w:rPr>
                <w:rStyle w:val="Hyperlink"/>
              </w:rPr>
              <w:t>Incentive rates</w:t>
            </w:r>
            <w:r>
              <w:rPr>
                <w:webHidden/>
              </w:rPr>
              <w:tab/>
            </w:r>
            <w:r>
              <w:rPr>
                <w:webHidden/>
              </w:rPr>
              <w:fldChar w:fldCharType="begin"/>
            </w:r>
            <w:r>
              <w:rPr>
                <w:webHidden/>
              </w:rPr>
              <w:instrText xml:space="preserve"> PAGEREF _Toc433641272 \h </w:instrText>
            </w:r>
            <w:r>
              <w:rPr>
                <w:webHidden/>
              </w:rPr>
            </w:r>
            <w:r>
              <w:rPr>
                <w:webHidden/>
              </w:rPr>
              <w:fldChar w:fldCharType="separate"/>
            </w:r>
            <w:r>
              <w:rPr>
                <w:webHidden/>
              </w:rPr>
              <w:t>11-13</w:t>
            </w:r>
            <w:r>
              <w:rPr>
                <w:webHidden/>
              </w:rPr>
              <w:fldChar w:fldCharType="end"/>
            </w:r>
          </w:hyperlink>
        </w:p>
        <w:p w:rsidR="00A83E9D" w:rsidRDefault="00A83E9D">
          <w:pPr>
            <w:pStyle w:val="TOC2"/>
            <w:tabs>
              <w:tab w:val="left" w:pos="1276"/>
            </w:tabs>
            <w:rPr>
              <w:rFonts w:asciiTheme="minorHAnsi" w:eastAsiaTheme="minorEastAsia" w:hAnsiTheme="minorHAnsi"/>
              <w:b w:val="0"/>
              <w:color w:val="auto"/>
              <w:sz w:val="22"/>
              <w:lang w:eastAsia="en-AU"/>
            </w:rPr>
          </w:pPr>
          <w:hyperlink w:anchor="_Toc433641273" w:history="1">
            <w:r w:rsidRPr="00B46A59">
              <w:rPr>
                <w:rStyle w:val="Hyperlink"/>
              </w:rPr>
              <w:t>11.7</w:t>
            </w:r>
            <w:r>
              <w:rPr>
                <w:rFonts w:asciiTheme="minorHAnsi" w:eastAsiaTheme="minorEastAsia" w:hAnsiTheme="minorHAnsi"/>
                <w:b w:val="0"/>
                <w:color w:val="auto"/>
                <w:sz w:val="22"/>
                <w:lang w:eastAsia="en-AU"/>
              </w:rPr>
              <w:tab/>
            </w:r>
            <w:r w:rsidRPr="00B46A59">
              <w:rPr>
                <w:rStyle w:val="Hyperlink"/>
              </w:rPr>
              <w:t>Reasons for not departing from our F&amp;A</w:t>
            </w:r>
            <w:r>
              <w:rPr>
                <w:webHidden/>
              </w:rPr>
              <w:tab/>
            </w:r>
            <w:r>
              <w:rPr>
                <w:webHidden/>
              </w:rPr>
              <w:fldChar w:fldCharType="begin"/>
            </w:r>
            <w:r>
              <w:rPr>
                <w:webHidden/>
              </w:rPr>
              <w:instrText xml:space="preserve"> PAGEREF _Toc433641273 \h </w:instrText>
            </w:r>
            <w:r>
              <w:rPr>
                <w:webHidden/>
              </w:rPr>
            </w:r>
            <w:r>
              <w:rPr>
                <w:webHidden/>
              </w:rPr>
              <w:fldChar w:fldCharType="separate"/>
            </w:r>
            <w:r>
              <w:rPr>
                <w:webHidden/>
              </w:rPr>
              <w:t>11-14</w:t>
            </w:r>
            <w:r>
              <w:rPr>
                <w:webHidden/>
              </w:rPr>
              <w:fldChar w:fldCharType="end"/>
            </w:r>
          </w:hyperlink>
        </w:p>
        <w:p w:rsidR="00A83E9D" w:rsidRDefault="00A83E9D">
          <w:pPr>
            <w:pStyle w:val="TOC3"/>
            <w:rPr>
              <w:rFonts w:asciiTheme="minorHAnsi" w:eastAsiaTheme="minorEastAsia" w:hAnsiTheme="minorHAnsi"/>
              <w:lang w:eastAsia="en-AU"/>
            </w:rPr>
          </w:pPr>
          <w:hyperlink w:anchor="_Toc433641274" w:history="1">
            <w:r w:rsidRPr="00B46A59">
              <w:rPr>
                <w:rStyle w:val="Hyperlink"/>
              </w:rPr>
              <w:t>11.7.1</w:t>
            </w:r>
            <w:r>
              <w:rPr>
                <w:rFonts w:asciiTheme="minorHAnsi" w:eastAsiaTheme="minorEastAsia" w:hAnsiTheme="minorHAnsi"/>
                <w:lang w:eastAsia="en-AU"/>
              </w:rPr>
              <w:tab/>
            </w:r>
            <w:r w:rsidRPr="00B46A59">
              <w:rPr>
                <w:rStyle w:val="Hyperlink"/>
              </w:rPr>
              <w:t>Value of customer reliability</w:t>
            </w:r>
            <w:r>
              <w:rPr>
                <w:webHidden/>
              </w:rPr>
              <w:tab/>
            </w:r>
            <w:r>
              <w:rPr>
                <w:webHidden/>
              </w:rPr>
              <w:fldChar w:fldCharType="begin"/>
            </w:r>
            <w:r>
              <w:rPr>
                <w:webHidden/>
              </w:rPr>
              <w:instrText xml:space="preserve"> PAGEREF _Toc433641274 \h </w:instrText>
            </w:r>
            <w:r>
              <w:rPr>
                <w:webHidden/>
              </w:rPr>
            </w:r>
            <w:r>
              <w:rPr>
                <w:webHidden/>
              </w:rPr>
              <w:fldChar w:fldCharType="separate"/>
            </w:r>
            <w:r>
              <w:rPr>
                <w:webHidden/>
              </w:rPr>
              <w:t>11-14</w:t>
            </w:r>
            <w:r>
              <w:rPr>
                <w:webHidden/>
              </w:rPr>
              <w:fldChar w:fldCharType="end"/>
            </w:r>
          </w:hyperlink>
        </w:p>
        <w:p w:rsidR="00A83E9D" w:rsidRDefault="00A83E9D">
          <w:pPr>
            <w:pStyle w:val="TOC3"/>
            <w:rPr>
              <w:rFonts w:asciiTheme="minorHAnsi" w:eastAsiaTheme="minorEastAsia" w:hAnsiTheme="minorHAnsi"/>
              <w:lang w:eastAsia="en-AU"/>
            </w:rPr>
          </w:pPr>
          <w:hyperlink w:anchor="_Toc433641275" w:history="1">
            <w:r w:rsidRPr="00B46A59">
              <w:rPr>
                <w:rStyle w:val="Hyperlink"/>
              </w:rPr>
              <w:t>11.7.2</w:t>
            </w:r>
            <w:r>
              <w:rPr>
                <w:rFonts w:asciiTheme="minorHAnsi" w:eastAsiaTheme="minorEastAsia" w:hAnsiTheme="minorHAnsi"/>
                <w:lang w:eastAsia="en-AU"/>
              </w:rPr>
              <w:tab/>
            </w:r>
            <w:r w:rsidRPr="00B46A59">
              <w:rPr>
                <w:rStyle w:val="Hyperlink"/>
              </w:rPr>
              <w:t>Departing from our F&amp;A due to VCR</w:t>
            </w:r>
            <w:r>
              <w:rPr>
                <w:webHidden/>
              </w:rPr>
              <w:tab/>
            </w:r>
            <w:r>
              <w:rPr>
                <w:webHidden/>
              </w:rPr>
              <w:fldChar w:fldCharType="begin"/>
            </w:r>
            <w:r>
              <w:rPr>
                <w:webHidden/>
              </w:rPr>
              <w:instrText xml:space="preserve"> PAGEREF _Toc433641275 \h </w:instrText>
            </w:r>
            <w:r>
              <w:rPr>
                <w:webHidden/>
              </w:rPr>
            </w:r>
            <w:r>
              <w:rPr>
                <w:webHidden/>
              </w:rPr>
              <w:fldChar w:fldCharType="separate"/>
            </w:r>
            <w:r>
              <w:rPr>
                <w:webHidden/>
              </w:rPr>
              <w:t>11-15</w:t>
            </w:r>
            <w:r>
              <w:rPr>
                <w:webHidden/>
              </w:rPr>
              <w:fldChar w:fldCharType="end"/>
            </w:r>
          </w:hyperlink>
        </w:p>
        <w:p w:rsidR="00A83E9D" w:rsidRDefault="00A83E9D">
          <w:pPr>
            <w:pStyle w:val="TOC2"/>
            <w:tabs>
              <w:tab w:val="left" w:pos="1276"/>
            </w:tabs>
            <w:rPr>
              <w:rFonts w:asciiTheme="minorHAnsi" w:eastAsiaTheme="minorEastAsia" w:hAnsiTheme="minorHAnsi"/>
              <w:b w:val="0"/>
              <w:color w:val="auto"/>
              <w:sz w:val="22"/>
              <w:lang w:eastAsia="en-AU"/>
            </w:rPr>
          </w:pPr>
          <w:hyperlink w:anchor="_Toc433641276" w:history="1">
            <w:r w:rsidRPr="00B46A59">
              <w:rPr>
                <w:rStyle w:val="Hyperlink"/>
              </w:rPr>
              <w:t>11.8</w:t>
            </w:r>
            <w:r>
              <w:rPr>
                <w:rFonts w:asciiTheme="minorHAnsi" w:eastAsiaTheme="minorEastAsia" w:hAnsiTheme="minorHAnsi"/>
                <w:b w:val="0"/>
                <w:color w:val="auto"/>
                <w:sz w:val="22"/>
                <w:lang w:eastAsia="en-AU"/>
              </w:rPr>
              <w:tab/>
            </w:r>
            <w:r w:rsidRPr="00B46A59">
              <w:rPr>
                <w:rStyle w:val="Hyperlink"/>
              </w:rPr>
              <w:t>Other considerations in applying the STPIS</w:t>
            </w:r>
            <w:r>
              <w:rPr>
                <w:webHidden/>
              </w:rPr>
              <w:tab/>
            </w:r>
            <w:r>
              <w:rPr>
                <w:webHidden/>
              </w:rPr>
              <w:fldChar w:fldCharType="begin"/>
            </w:r>
            <w:r>
              <w:rPr>
                <w:webHidden/>
              </w:rPr>
              <w:instrText xml:space="preserve"> PAGEREF _Toc433641276 \h </w:instrText>
            </w:r>
            <w:r>
              <w:rPr>
                <w:webHidden/>
              </w:rPr>
            </w:r>
            <w:r>
              <w:rPr>
                <w:webHidden/>
              </w:rPr>
              <w:fldChar w:fldCharType="separate"/>
            </w:r>
            <w:r>
              <w:rPr>
                <w:webHidden/>
              </w:rPr>
              <w:t>11-20</w:t>
            </w:r>
            <w:r>
              <w:rPr>
                <w:webHidden/>
              </w:rPr>
              <w:fldChar w:fldCharType="end"/>
            </w:r>
          </w:hyperlink>
        </w:p>
        <w:p w:rsidR="00A83E9D" w:rsidRDefault="00A83E9D">
          <w:pPr>
            <w:pStyle w:val="TOC3"/>
            <w:rPr>
              <w:rFonts w:asciiTheme="minorHAnsi" w:eastAsiaTheme="minorEastAsia" w:hAnsiTheme="minorHAnsi"/>
              <w:lang w:eastAsia="en-AU"/>
            </w:rPr>
          </w:pPr>
          <w:hyperlink w:anchor="_Toc433641277" w:history="1">
            <w:r w:rsidRPr="00B46A59">
              <w:rPr>
                <w:rStyle w:val="Hyperlink"/>
              </w:rPr>
              <w:t>11.8.1</w:t>
            </w:r>
            <w:r>
              <w:rPr>
                <w:rFonts w:asciiTheme="minorHAnsi" w:eastAsiaTheme="minorEastAsia" w:hAnsiTheme="minorHAnsi"/>
                <w:lang w:eastAsia="en-AU"/>
              </w:rPr>
              <w:tab/>
            </w:r>
            <w:r w:rsidRPr="00B46A59">
              <w:rPr>
                <w:rStyle w:val="Hyperlink"/>
              </w:rPr>
              <w:t>Definitional changes to the STPIS</w:t>
            </w:r>
            <w:r>
              <w:rPr>
                <w:webHidden/>
              </w:rPr>
              <w:tab/>
            </w:r>
            <w:r>
              <w:rPr>
                <w:webHidden/>
              </w:rPr>
              <w:fldChar w:fldCharType="begin"/>
            </w:r>
            <w:r>
              <w:rPr>
                <w:webHidden/>
              </w:rPr>
              <w:instrText xml:space="preserve"> PAGEREF _Toc433641277 \h </w:instrText>
            </w:r>
            <w:r>
              <w:rPr>
                <w:webHidden/>
              </w:rPr>
            </w:r>
            <w:r>
              <w:rPr>
                <w:webHidden/>
              </w:rPr>
              <w:fldChar w:fldCharType="separate"/>
            </w:r>
            <w:r>
              <w:rPr>
                <w:webHidden/>
              </w:rPr>
              <w:t>11-20</w:t>
            </w:r>
            <w:r>
              <w:rPr>
                <w:webHidden/>
              </w:rPr>
              <w:fldChar w:fldCharType="end"/>
            </w:r>
          </w:hyperlink>
        </w:p>
        <w:p w:rsidR="00A83E9D" w:rsidRDefault="00A83E9D">
          <w:pPr>
            <w:pStyle w:val="TOC3"/>
            <w:rPr>
              <w:rFonts w:asciiTheme="minorHAnsi" w:eastAsiaTheme="minorEastAsia" w:hAnsiTheme="minorHAnsi"/>
              <w:lang w:eastAsia="en-AU"/>
            </w:rPr>
          </w:pPr>
          <w:hyperlink w:anchor="_Toc433641278" w:history="1">
            <w:r w:rsidRPr="00B46A59">
              <w:rPr>
                <w:rStyle w:val="Hyperlink"/>
              </w:rPr>
              <w:t>11.8.2</w:t>
            </w:r>
            <w:r>
              <w:rPr>
                <w:rFonts w:asciiTheme="minorHAnsi" w:eastAsiaTheme="minorEastAsia" w:hAnsiTheme="minorHAnsi"/>
                <w:lang w:eastAsia="en-AU"/>
              </w:rPr>
              <w:tab/>
            </w:r>
            <w:r w:rsidRPr="00B46A59">
              <w:rPr>
                <w:rStyle w:val="Hyperlink"/>
              </w:rPr>
              <w:t>Using Momentary Average Interruption Frequency Index event (MAIFIe)</w:t>
            </w:r>
            <w:r>
              <w:rPr>
                <w:webHidden/>
              </w:rPr>
              <w:tab/>
            </w:r>
            <w:r>
              <w:rPr>
                <w:webHidden/>
              </w:rPr>
              <w:fldChar w:fldCharType="begin"/>
            </w:r>
            <w:r>
              <w:rPr>
                <w:webHidden/>
              </w:rPr>
              <w:instrText xml:space="preserve"> PAGEREF _Toc433641278 \h </w:instrText>
            </w:r>
            <w:r>
              <w:rPr>
                <w:webHidden/>
              </w:rPr>
            </w:r>
            <w:r>
              <w:rPr>
                <w:webHidden/>
              </w:rPr>
              <w:fldChar w:fldCharType="separate"/>
            </w:r>
            <w:r>
              <w:rPr>
                <w:webHidden/>
              </w:rPr>
              <w:t>11-23</w:t>
            </w:r>
            <w:r>
              <w:rPr>
                <w:webHidden/>
              </w:rPr>
              <w:fldChar w:fldCharType="end"/>
            </w:r>
          </w:hyperlink>
        </w:p>
        <w:p w:rsidR="00A83E9D" w:rsidRDefault="00A83E9D">
          <w:pPr>
            <w:pStyle w:val="TOC3"/>
            <w:rPr>
              <w:rFonts w:asciiTheme="minorHAnsi" w:eastAsiaTheme="minorEastAsia" w:hAnsiTheme="minorHAnsi"/>
              <w:lang w:eastAsia="en-AU"/>
            </w:rPr>
          </w:pPr>
          <w:hyperlink w:anchor="_Toc433641279" w:history="1">
            <w:r w:rsidRPr="00B46A59">
              <w:rPr>
                <w:rStyle w:val="Hyperlink"/>
              </w:rPr>
              <w:t>11.8.3</w:t>
            </w:r>
            <w:r>
              <w:rPr>
                <w:rFonts w:asciiTheme="minorHAnsi" w:eastAsiaTheme="minorEastAsia" w:hAnsiTheme="minorHAnsi"/>
                <w:lang w:eastAsia="en-AU"/>
              </w:rPr>
              <w:tab/>
            </w:r>
            <w:r w:rsidRPr="00B46A59">
              <w:rPr>
                <w:rStyle w:val="Hyperlink"/>
              </w:rPr>
              <w:t>Adjusting STPIS targets for potential bushfire related expenditure</w:t>
            </w:r>
            <w:r>
              <w:rPr>
                <w:webHidden/>
              </w:rPr>
              <w:tab/>
            </w:r>
            <w:r>
              <w:rPr>
                <w:webHidden/>
              </w:rPr>
              <w:fldChar w:fldCharType="begin"/>
            </w:r>
            <w:r>
              <w:rPr>
                <w:webHidden/>
              </w:rPr>
              <w:instrText xml:space="preserve"> PAGEREF _Toc433641279 \h </w:instrText>
            </w:r>
            <w:r>
              <w:rPr>
                <w:webHidden/>
              </w:rPr>
            </w:r>
            <w:r>
              <w:rPr>
                <w:webHidden/>
              </w:rPr>
              <w:fldChar w:fldCharType="separate"/>
            </w:r>
            <w:r>
              <w:rPr>
                <w:webHidden/>
              </w:rPr>
              <w:t>11-23</w:t>
            </w:r>
            <w:r>
              <w:rPr>
                <w:webHidden/>
              </w:rPr>
              <w:fldChar w:fldCharType="end"/>
            </w:r>
          </w:hyperlink>
        </w:p>
        <w:p w:rsidR="00A83E9D" w:rsidRDefault="00A83E9D">
          <w:pPr>
            <w:pStyle w:val="TOC3"/>
            <w:rPr>
              <w:rFonts w:asciiTheme="minorHAnsi" w:eastAsiaTheme="minorEastAsia" w:hAnsiTheme="minorHAnsi"/>
              <w:lang w:eastAsia="en-AU"/>
            </w:rPr>
          </w:pPr>
          <w:hyperlink w:anchor="_Toc433641280" w:history="1">
            <w:r w:rsidRPr="00B46A59">
              <w:rPr>
                <w:rStyle w:val="Hyperlink"/>
              </w:rPr>
              <w:t>11.8.4</w:t>
            </w:r>
            <w:r>
              <w:rPr>
                <w:rFonts w:asciiTheme="minorHAnsi" w:eastAsiaTheme="minorEastAsia" w:hAnsiTheme="minorHAnsi"/>
                <w:lang w:eastAsia="en-AU"/>
              </w:rPr>
              <w:tab/>
            </w:r>
            <w:r w:rsidRPr="00B46A59">
              <w:rPr>
                <w:rStyle w:val="Hyperlink"/>
              </w:rPr>
              <w:t>Value of customer reliability to calculate the incentive rates</w:t>
            </w:r>
            <w:r>
              <w:rPr>
                <w:webHidden/>
              </w:rPr>
              <w:tab/>
            </w:r>
            <w:r>
              <w:rPr>
                <w:webHidden/>
              </w:rPr>
              <w:fldChar w:fldCharType="begin"/>
            </w:r>
            <w:r>
              <w:rPr>
                <w:webHidden/>
              </w:rPr>
              <w:instrText xml:space="preserve"> PAGEREF _Toc433641280 \h </w:instrText>
            </w:r>
            <w:r>
              <w:rPr>
                <w:webHidden/>
              </w:rPr>
            </w:r>
            <w:r>
              <w:rPr>
                <w:webHidden/>
              </w:rPr>
              <w:fldChar w:fldCharType="separate"/>
            </w:r>
            <w:r>
              <w:rPr>
                <w:webHidden/>
              </w:rPr>
              <w:t>11-24</w:t>
            </w:r>
            <w:r>
              <w:rPr>
                <w:webHidden/>
              </w:rPr>
              <w:fldChar w:fldCharType="end"/>
            </w:r>
          </w:hyperlink>
        </w:p>
        <w:p w:rsidR="00A83E9D" w:rsidRDefault="00A83E9D">
          <w:pPr>
            <w:pStyle w:val="TOC2"/>
            <w:tabs>
              <w:tab w:val="left" w:pos="1276"/>
            </w:tabs>
            <w:rPr>
              <w:rFonts w:asciiTheme="minorHAnsi" w:eastAsiaTheme="minorEastAsia" w:hAnsiTheme="minorHAnsi"/>
              <w:b w:val="0"/>
              <w:color w:val="auto"/>
              <w:sz w:val="22"/>
              <w:lang w:eastAsia="en-AU"/>
            </w:rPr>
          </w:pPr>
          <w:hyperlink w:anchor="_Toc433641281" w:history="1">
            <w:r w:rsidRPr="00B46A59">
              <w:rPr>
                <w:rStyle w:val="Hyperlink"/>
              </w:rPr>
              <w:t>11.9</w:t>
            </w:r>
            <w:r>
              <w:rPr>
                <w:rFonts w:asciiTheme="minorHAnsi" w:eastAsiaTheme="minorEastAsia" w:hAnsiTheme="minorHAnsi"/>
                <w:b w:val="0"/>
                <w:color w:val="auto"/>
                <w:sz w:val="22"/>
                <w:lang w:eastAsia="en-AU"/>
              </w:rPr>
              <w:tab/>
            </w:r>
            <w:r w:rsidRPr="00B46A59">
              <w:rPr>
                <w:rStyle w:val="Hyperlink"/>
              </w:rPr>
              <w:t>Transitional arrangements for the STPIS</w:t>
            </w:r>
            <w:r>
              <w:rPr>
                <w:webHidden/>
              </w:rPr>
              <w:tab/>
            </w:r>
            <w:r>
              <w:rPr>
                <w:webHidden/>
              </w:rPr>
              <w:fldChar w:fldCharType="begin"/>
            </w:r>
            <w:r>
              <w:rPr>
                <w:webHidden/>
              </w:rPr>
              <w:instrText xml:space="preserve"> PAGEREF _Toc433641281 \h </w:instrText>
            </w:r>
            <w:r>
              <w:rPr>
                <w:webHidden/>
              </w:rPr>
            </w:r>
            <w:r>
              <w:rPr>
                <w:webHidden/>
              </w:rPr>
              <w:fldChar w:fldCharType="separate"/>
            </w:r>
            <w:r>
              <w:rPr>
                <w:webHidden/>
              </w:rPr>
              <w:t>11-24</w:t>
            </w:r>
            <w:r>
              <w:rPr>
                <w:webHidden/>
              </w:rPr>
              <w:fldChar w:fldCharType="end"/>
            </w:r>
          </w:hyperlink>
        </w:p>
        <w:p w:rsidR="00A83E9D" w:rsidRDefault="00A83E9D">
          <w:pPr>
            <w:pStyle w:val="TOC3"/>
            <w:rPr>
              <w:rFonts w:asciiTheme="minorHAnsi" w:eastAsiaTheme="minorEastAsia" w:hAnsiTheme="minorHAnsi"/>
              <w:lang w:eastAsia="en-AU"/>
            </w:rPr>
          </w:pPr>
          <w:hyperlink w:anchor="_Toc433641282" w:history="1">
            <w:r w:rsidRPr="00B46A59">
              <w:rPr>
                <w:rStyle w:val="Hyperlink"/>
              </w:rPr>
              <w:t>11.9.1</w:t>
            </w:r>
            <w:r>
              <w:rPr>
                <w:rFonts w:asciiTheme="minorHAnsi" w:eastAsiaTheme="minorEastAsia" w:hAnsiTheme="minorHAnsi"/>
                <w:lang w:eastAsia="en-AU"/>
              </w:rPr>
              <w:tab/>
            </w:r>
            <w:r w:rsidRPr="00B46A59">
              <w:rPr>
                <w:rStyle w:val="Hyperlink"/>
              </w:rPr>
              <w:t>Adjusting the S-factor between regulatory control periods</w:t>
            </w:r>
            <w:r>
              <w:rPr>
                <w:webHidden/>
              </w:rPr>
              <w:tab/>
            </w:r>
            <w:r>
              <w:rPr>
                <w:webHidden/>
              </w:rPr>
              <w:fldChar w:fldCharType="begin"/>
            </w:r>
            <w:r>
              <w:rPr>
                <w:webHidden/>
              </w:rPr>
              <w:instrText xml:space="preserve"> PAGEREF _Toc433641282 \h </w:instrText>
            </w:r>
            <w:r>
              <w:rPr>
                <w:webHidden/>
              </w:rPr>
            </w:r>
            <w:r>
              <w:rPr>
                <w:webHidden/>
              </w:rPr>
              <w:fldChar w:fldCharType="separate"/>
            </w:r>
            <w:r>
              <w:rPr>
                <w:webHidden/>
              </w:rPr>
              <w:t>11-25</w:t>
            </w:r>
            <w:r>
              <w:rPr>
                <w:webHidden/>
              </w:rPr>
              <w:fldChar w:fldCharType="end"/>
            </w:r>
          </w:hyperlink>
        </w:p>
        <w:p w:rsidR="00A83E9D" w:rsidRDefault="00A83E9D">
          <w:pPr>
            <w:pStyle w:val="TOC3"/>
            <w:rPr>
              <w:rFonts w:asciiTheme="minorHAnsi" w:eastAsiaTheme="minorEastAsia" w:hAnsiTheme="minorHAnsi"/>
              <w:lang w:eastAsia="en-AU"/>
            </w:rPr>
          </w:pPr>
          <w:hyperlink w:anchor="_Toc433641283" w:history="1">
            <w:r w:rsidRPr="00B46A59">
              <w:rPr>
                <w:rStyle w:val="Hyperlink"/>
              </w:rPr>
              <w:t>11.9.2</w:t>
            </w:r>
            <w:r>
              <w:rPr>
                <w:rFonts w:asciiTheme="minorHAnsi" w:eastAsiaTheme="minorEastAsia" w:hAnsiTheme="minorHAnsi"/>
                <w:lang w:eastAsia="en-AU"/>
              </w:rPr>
              <w:tab/>
            </w:r>
            <w:r w:rsidRPr="00B46A59">
              <w:rPr>
                <w:rStyle w:val="Hyperlink"/>
              </w:rPr>
              <w:t>Accounting for revenue increments decrements between regulatory control periods</w:t>
            </w:r>
            <w:r>
              <w:rPr>
                <w:webHidden/>
              </w:rPr>
              <w:tab/>
            </w:r>
            <w:r>
              <w:rPr>
                <w:webHidden/>
              </w:rPr>
              <w:fldChar w:fldCharType="begin"/>
            </w:r>
            <w:r>
              <w:rPr>
                <w:webHidden/>
              </w:rPr>
              <w:instrText xml:space="preserve"> PAGEREF _Toc433641283 \h </w:instrText>
            </w:r>
            <w:r>
              <w:rPr>
                <w:webHidden/>
              </w:rPr>
            </w:r>
            <w:r>
              <w:rPr>
                <w:webHidden/>
              </w:rPr>
              <w:fldChar w:fldCharType="separate"/>
            </w:r>
            <w:r>
              <w:rPr>
                <w:webHidden/>
              </w:rPr>
              <w:t>11-25</w:t>
            </w:r>
            <w:r>
              <w:rPr>
                <w:webHidden/>
              </w:rPr>
              <w:fldChar w:fldCharType="end"/>
            </w:r>
          </w:hyperlink>
        </w:p>
        <w:p w:rsidR="00A83E9D" w:rsidRDefault="00A83E9D">
          <w:pPr>
            <w:pStyle w:val="TOC3"/>
            <w:rPr>
              <w:rFonts w:asciiTheme="minorHAnsi" w:eastAsiaTheme="minorEastAsia" w:hAnsiTheme="minorHAnsi"/>
              <w:lang w:eastAsia="en-AU"/>
            </w:rPr>
          </w:pPr>
          <w:hyperlink w:anchor="_Toc433641284" w:history="1">
            <w:r w:rsidRPr="00B46A59">
              <w:rPr>
                <w:rStyle w:val="Hyperlink"/>
              </w:rPr>
              <w:t>11.9.3</w:t>
            </w:r>
            <w:r>
              <w:rPr>
                <w:rFonts w:asciiTheme="minorHAnsi" w:eastAsiaTheme="minorEastAsia" w:hAnsiTheme="minorHAnsi"/>
                <w:lang w:eastAsia="en-AU"/>
              </w:rPr>
              <w:tab/>
            </w:r>
            <w:r w:rsidRPr="00B46A59">
              <w:rPr>
                <w:rStyle w:val="Hyperlink"/>
              </w:rPr>
              <w:t>Closing out of the ESCV’s service performance scheme</w:t>
            </w:r>
            <w:r>
              <w:rPr>
                <w:webHidden/>
              </w:rPr>
              <w:tab/>
            </w:r>
            <w:r>
              <w:rPr>
                <w:webHidden/>
              </w:rPr>
              <w:fldChar w:fldCharType="begin"/>
            </w:r>
            <w:r>
              <w:rPr>
                <w:webHidden/>
              </w:rPr>
              <w:instrText xml:space="preserve"> PAGEREF _Toc433641284 \h </w:instrText>
            </w:r>
            <w:r>
              <w:rPr>
                <w:webHidden/>
              </w:rPr>
            </w:r>
            <w:r>
              <w:rPr>
                <w:webHidden/>
              </w:rPr>
              <w:fldChar w:fldCharType="separate"/>
            </w:r>
            <w:r>
              <w:rPr>
                <w:webHidden/>
              </w:rPr>
              <w:t>11-26</w:t>
            </w:r>
            <w:r>
              <w:rPr>
                <w:webHidden/>
              </w:rPr>
              <w:fldChar w:fldCharType="end"/>
            </w:r>
          </w:hyperlink>
        </w:p>
        <w:p w:rsidR="00DE563D" w:rsidRDefault="00AB788D" w:rsidP="00AB788D">
          <w:pPr>
            <w:pStyle w:val="TOC1"/>
          </w:pPr>
          <w:r>
            <w:rPr>
              <w:color w:val="auto"/>
              <w:sz w:val="22"/>
            </w:rPr>
            <w:fldChar w:fldCharType="end"/>
          </w:r>
        </w:p>
      </w:sdtContent>
    </w:sdt>
    <w:p w:rsidR="001F1C04" w:rsidRDefault="00C84560">
      <w:pPr>
        <w:spacing w:line="240" w:lineRule="auto"/>
      </w:pPr>
      <w:r>
        <w:t xml:space="preserve"> </w:t>
      </w:r>
    </w:p>
    <w:p w:rsidR="001F1C04" w:rsidRPr="001F1C04" w:rsidRDefault="001F1C04" w:rsidP="001F1C04"/>
    <w:p w:rsidR="001F1C04" w:rsidRDefault="001F1C04" w:rsidP="001F1C04"/>
    <w:p w:rsidR="00DE563D" w:rsidRPr="001F1C04" w:rsidRDefault="00DE563D" w:rsidP="001F1C04">
      <w:pPr>
        <w:jc w:val="center"/>
      </w:pPr>
    </w:p>
    <w:p w:rsidR="00415F31" w:rsidRPr="00271F7C" w:rsidRDefault="00DE563D" w:rsidP="00DE772C">
      <w:pPr>
        <w:pStyle w:val="UnnumberedHeading"/>
        <w:numPr>
          <w:ilvl w:val="0"/>
          <w:numId w:val="23"/>
        </w:numPr>
      </w:pPr>
      <w:bookmarkStart w:id="7" w:name="_Toc404700925"/>
      <w:bookmarkStart w:id="8" w:name="_Toc433641260"/>
      <w:r>
        <w:lastRenderedPageBreak/>
        <w:t>Shortened forms</w:t>
      </w:r>
      <w:bookmarkEnd w:id="7"/>
      <w:bookmarkEnd w:id="8"/>
    </w:p>
    <w:tbl>
      <w:tblPr>
        <w:tblStyle w:val="AERtable-text0"/>
        <w:tblW w:w="0" w:type="auto"/>
        <w:tblLook w:val="04A0" w:firstRow="1" w:lastRow="0" w:firstColumn="1" w:lastColumn="0" w:noHBand="0" w:noVBand="1"/>
      </w:tblPr>
      <w:tblGrid>
        <w:gridCol w:w="4349"/>
        <w:gridCol w:w="4344"/>
      </w:tblGrid>
      <w:tr w:rsidR="001F05A4" w:rsidTr="000D3016">
        <w:trPr>
          <w:cnfStyle w:val="100000000000" w:firstRow="1" w:lastRow="0" w:firstColumn="0" w:lastColumn="0" w:oddVBand="0" w:evenVBand="0" w:oddHBand="0" w:evenHBand="0" w:firstRowFirstColumn="0" w:firstRowLastColumn="0" w:lastRowFirstColumn="0" w:lastRowLastColumn="0"/>
          <w:tblHeader/>
        </w:trPr>
        <w:tc>
          <w:tcPr>
            <w:tcW w:w="4349" w:type="dxa"/>
          </w:tcPr>
          <w:p w:rsidR="001F05A4" w:rsidRDefault="001F05A4" w:rsidP="00DE772C">
            <w:pPr>
              <w:numPr>
                <w:ilvl w:val="0"/>
                <w:numId w:val="24"/>
              </w:numPr>
            </w:pPr>
            <w:r>
              <w:t>Shortened form</w:t>
            </w:r>
          </w:p>
        </w:tc>
        <w:tc>
          <w:tcPr>
            <w:tcW w:w="4344" w:type="dxa"/>
          </w:tcPr>
          <w:p w:rsidR="001F05A4" w:rsidRDefault="001F05A4" w:rsidP="00DE772C">
            <w:pPr>
              <w:numPr>
                <w:ilvl w:val="0"/>
                <w:numId w:val="24"/>
              </w:numPr>
            </w:pPr>
            <w:r>
              <w:t>Extended form</w:t>
            </w:r>
          </w:p>
        </w:tc>
      </w:tr>
      <w:tr w:rsidR="005C4C9C" w:rsidTr="005C4C9C">
        <w:tc>
          <w:tcPr>
            <w:tcW w:w="4349" w:type="dxa"/>
          </w:tcPr>
          <w:p w:rsidR="005C4C9C" w:rsidRPr="005C4C9C" w:rsidRDefault="005C4C9C" w:rsidP="005C4C9C">
            <w:pPr>
              <w:numPr>
                <w:ilvl w:val="0"/>
                <w:numId w:val="24"/>
              </w:numPr>
            </w:pPr>
            <w:r w:rsidRPr="005C4C9C">
              <w:t>AEMC</w:t>
            </w:r>
          </w:p>
        </w:tc>
        <w:tc>
          <w:tcPr>
            <w:tcW w:w="4344" w:type="dxa"/>
          </w:tcPr>
          <w:p w:rsidR="005C4C9C" w:rsidRPr="005C4C9C" w:rsidRDefault="005C4C9C" w:rsidP="005C4C9C">
            <w:pPr>
              <w:numPr>
                <w:ilvl w:val="0"/>
                <w:numId w:val="24"/>
              </w:numPr>
            </w:pPr>
            <w:r w:rsidRPr="005C4C9C">
              <w:t>Australian Energy Market Commission</w:t>
            </w:r>
          </w:p>
        </w:tc>
      </w:tr>
      <w:tr w:rsidR="005C4C9C"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5C4C9C" w:rsidRPr="005C4C9C" w:rsidRDefault="005C4C9C" w:rsidP="005C4C9C">
            <w:pPr>
              <w:numPr>
                <w:ilvl w:val="0"/>
                <w:numId w:val="24"/>
              </w:numPr>
            </w:pPr>
            <w:r w:rsidRPr="005C4C9C">
              <w:t>AEMO</w:t>
            </w:r>
          </w:p>
        </w:tc>
        <w:tc>
          <w:tcPr>
            <w:tcW w:w="4344" w:type="dxa"/>
          </w:tcPr>
          <w:p w:rsidR="005C4C9C" w:rsidRPr="005C4C9C" w:rsidRDefault="005C4C9C" w:rsidP="005C4C9C">
            <w:pPr>
              <w:numPr>
                <w:ilvl w:val="0"/>
                <w:numId w:val="24"/>
              </w:numPr>
            </w:pPr>
            <w:r w:rsidRPr="005C4C9C">
              <w:t>Australian Energy Market Operator</w:t>
            </w:r>
          </w:p>
        </w:tc>
      </w:tr>
      <w:tr w:rsidR="005C4C9C" w:rsidTr="005C4C9C">
        <w:tc>
          <w:tcPr>
            <w:tcW w:w="4349" w:type="dxa"/>
          </w:tcPr>
          <w:p w:rsidR="005C4C9C" w:rsidRPr="005C4C9C" w:rsidRDefault="005C4C9C" w:rsidP="005C4C9C">
            <w:pPr>
              <w:numPr>
                <w:ilvl w:val="0"/>
                <w:numId w:val="24"/>
              </w:numPr>
            </w:pPr>
            <w:r w:rsidRPr="005C4C9C">
              <w:t>AER</w:t>
            </w:r>
          </w:p>
        </w:tc>
        <w:tc>
          <w:tcPr>
            <w:tcW w:w="4344" w:type="dxa"/>
          </w:tcPr>
          <w:p w:rsidR="005C4C9C" w:rsidRPr="005C4C9C" w:rsidRDefault="005C4C9C" w:rsidP="005C4C9C">
            <w:pPr>
              <w:numPr>
                <w:ilvl w:val="0"/>
                <w:numId w:val="24"/>
              </w:numPr>
            </w:pPr>
            <w:r w:rsidRPr="005C4C9C">
              <w:t>Australian Energy Regulator</w:t>
            </w:r>
          </w:p>
        </w:tc>
      </w:tr>
      <w:tr w:rsidR="00DB3175" w:rsidTr="00DB3175">
        <w:trPr>
          <w:cnfStyle w:val="000000010000" w:firstRow="0" w:lastRow="0" w:firstColumn="0" w:lastColumn="0" w:oddVBand="0" w:evenVBand="0" w:oddHBand="0" w:evenHBand="1" w:firstRowFirstColumn="0" w:firstRowLastColumn="0" w:lastRowFirstColumn="0" w:lastRowLastColumn="0"/>
        </w:trPr>
        <w:tc>
          <w:tcPr>
            <w:tcW w:w="4349" w:type="dxa"/>
          </w:tcPr>
          <w:p w:rsidR="00DB3175" w:rsidRPr="005C4C9C" w:rsidRDefault="00DB3175" w:rsidP="00DB3175">
            <w:pPr>
              <w:numPr>
                <w:ilvl w:val="0"/>
                <w:numId w:val="24"/>
              </w:numPr>
            </w:pPr>
            <w:r>
              <w:t>AMI</w:t>
            </w:r>
          </w:p>
        </w:tc>
        <w:tc>
          <w:tcPr>
            <w:tcW w:w="4344" w:type="dxa"/>
          </w:tcPr>
          <w:p w:rsidR="00DB3175" w:rsidRPr="005C4C9C" w:rsidRDefault="00DB3175" w:rsidP="00DB3175">
            <w:pPr>
              <w:numPr>
                <w:ilvl w:val="0"/>
                <w:numId w:val="24"/>
              </w:numPr>
            </w:pPr>
            <w:r>
              <w:t>Advanced metering infrastructure</w:t>
            </w:r>
          </w:p>
        </w:tc>
      </w:tr>
      <w:tr w:rsidR="005C4C9C" w:rsidTr="005C4C9C">
        <w:tc>
          <w:tcPr>
            <w:tcW w:w="4349" w:type="dxa"/>
          </w:tcPr>
          <w:p w:rsidR="005C4C9C" w:rsidRPr="005C4C9C" w:rsidRDefault="005C4C9C" w:rsidP="005C4C9C">
            <w:pPr>
              <w:numPr>
                <w:ilvl w:val="0"/>
                <w:numId w:val="24"/>
              </w:numPr>
            </w:pPr>
            <w:r w:rsidRPr="005C4C9C">
              <w:t>augex</w:t>
            </w:r>
          </w:p>
        </w:tc>
        <w:tc>
          <w:tcPr>
            <w:tcW w:w="4344" w:type="dxa"/>
          </w:tcPr>
          <w:p w:rsidR="005C4C9C" w:rsidRPr="005C4C9C" w:rsidRDefault="005C4C9C" w:rsidP="005C4C9C">
            <w:pPr>
              <w:numPr>
                <w:ilvl w:val="0"/>
                <w:numId w:val="24"/>
              </w:numPr>
            </w:pPr>
            <w:r w:rsidRPr="005C4C9C">
              <w:t>augmentation expenditure</w:t>
            </w:r>
          </w:p>
        </w:tc>
      </w:tr>
      <w:tr w:rsidR="005C4C9C"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5C4C9C" w:rsidRPr="005C4C9C" w:rsidRDefault="005C4C9C" w:rsidP="005C4C9C">
            <w:pPr>
              <w:numPr>
                <w:ilvl w:val="0"/>
                <w:numId w:val="24"/>
              </w:numPr>
            </w:pPr>
            <w:r w:rsidRPr="005C4C9C">
              <w:t>capex</w:t>
            </w:r>
          </w:p>
        </w:tc>
        <w:tc>
          <w:tcPr>
            <w:tcW w:w="4344" w:type="dxa"/>
          </w:tcPr>
          <w:p w:rsidR="005C4C9C" w:rsidRPr="005C4C9C" w:rsidRDefault="005C4C9C" w:rsidP="005C4C9C">
            <w:pPr>
              <w:numPr>
                <w:ilvl w:val="0"/>
                <w:numId w:val="24"/>
              </w:numPr>
            </w:pPr>
            <w:r w:rsidRPr="005C4C9C">
              <w:t>capital expenditure</w:t>
            </w:r>
          </w:p>
        </w:tc>
      </w:tr>
      <w:tr w:rsidR="005C4C9C" w:rsidTr="005C4C9C">
        <w:tc>
          <w:tcPr>
            <w:tcW w:w="4349" w:type="dxa"/>
          </w:tcPr>
          <w:p w:rsidR="005C4C9C" w:rsidRPr="005C4C9C" w:rsidRDefault="005C4C9C" w:rsidP="005C4C9C">
            <w:pPr>
              <w:numPr>
                <w:ilvl w:val="0"/>
                <w:numId w:val="24"/>
              </w:numPr>
            </w:pPr>
            <w:r w:rsidRPr="005C4C9C">
              <w:t>CCP</w:t>
            </w:r>
          </w:p>
        </w:tc>
        <w:tc>
          <w:tcPr>
            <w:tcW w:w="4344" w:type="dxa"/>
          </w:tcPr>
          <w:p w:rsidR="005C4C9C" w:rsidRPr="005C4C9C" w:rsidRDefault="005C4C9C" w:rsidP="005C4C9C">
            <w:pPr>
              <w:numPr>
                <w:ilvl w:val="0"/>
                <w:numId w:val="24"/>
              </w:numPr>
            </w:pPr>
            <w:r w:rsidRPr="005C4C9C">
              <w:t>Consumer Challenge Panel</w:t>
            </w:r>
          </w:p>
        </w:tc>
      </w:tr>
      <w:tr w:rsidR="005C4C9C"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5C4C9C" w:rsidRPr="005C4C9C" w:rsidRDefault="005C4C9C" w:rsidP="005C4C9C">
            <w:pPr>
              <w:numPr>
                <w:ilvl w:val="0"/>
                <w:numId w:val="24"/>
              </w:numPr>
            </w:pPr>
            <w:r w:rsidRPr="005C4C9C">
              <w:t>CESS</w:t>
            </w:r>
          </w:p>
        </w:tc>
        <w:tc>
          <w:tcPr>
            <w:tcW w:w="4344" w:type="dxa"/>
          </w:tcPr>
          <w:p w:rsidR="005C4C9C" w:rsidRPr="005C4C9C" w:rsidRDefault="005C4C9C" w:rsidP="005C4C9C">
            <w:pPr>
              <w:numPr>
                <w:ilvl w:val="0"/>
                <w:numId w:val="24"/>
              </w:numPr>
            </w:pPr>
            <w:r w:rsidRPr="005C4C9C">
              <w:t>capital expenditure sharing scheme</w:t>
            </w:r>
          </w:p>
        </w:tc>
      </w:tr>
      <w:tr w:rsidR="005C4C9C" w:rsidTr="005C4C9C">
        <w:tc>
          <w:tcPr>
            <w:tcW w:w="4349" w:type="dxa"/>
          </w:tcPr>
          <w:p w:rsidR="005C4C9C" w:rsidRPr="005C4C9C" w:rsidRDefault="005C4C9C" w:rsidP="005C4C9C">
            <w:pPr>
              <w:numPr>
                <w:ilvl w:val="0"/>
                <w:numId w:val="24"/>
              </w:numPr>
            </w:pPr>
            <w:r w:rsidRPr="005C4C9C">
              <w:t>CPI</w:t>
            </w:r>
          </w:p>
        </w:tc>
        <w:tc>
          <w:tcPr>
            <w:tcW w:w="4344" w:type="dxa"/>
          </w:tcPr>
          <w:p w:rsidR="005C4C9C" w:rsidRPr="005C4C9C" w:rsidRDefault="005C4C9C" w:rsidP="005C4C9C">
            <w:pPr>
              <w:numPr>
                <w:ilvl w:val="0"/>
                <w:numId w:val="24"/>
              </w:numPr>
            </w:pPr>
            <w:r w:rsidRPr="005C4C9C">
              <w:t>consumer price index</w:t>
            </w:r>
          </w:p>
        </w:tc>
      </w:tr>
      <w:tr w:rsidR="005C4C9C"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5C4C9C" w:rsidRPr="005C4C9C" w:rsidRDefault="005C4C9C" w:rsidP="005C4C9C">
            <w:pPr>
              <w:numPr>
                <w:ilvl w:val="0"/>
                <w:numId w:val="24"/>
              </w:numPr>
            </w:pPr>
            <w:r w:rsidRPr="005C4C9C">
              <w:t>DRP</w:t>
            </w:r>
          </w:p>
        </w:tc>
        <w:tc>
          <w:tcPr>
            <w:tcW w:w="4344" w:type="dxa"/>
          </w:tcPr>
          <w:p w:rsidR="005C4C9C" w:rsidRPr="005C4C9C" w:rsidRDefault="005C4C9C" w:rsidP="005C4C9C">
            <w:pPr>
              <w:numPr>
                <w:ilvl w:val="0"/>
                <w:numId w:val="24"/>
              </w:numPr>
            </w:pPr>
            <w:r w:rsidRPr="005C4C9C">
              <w:t>debt risk premium</w:t>
            </w:r>
          </w:p>
        </w:tc>
      </w:tr>
      <w:tr w:rsidR="005C4C9C" w:rsidTr="005C4C9C">
        <w:tc>
          <w:tcPr>
            <w:tcW w:w="4349" w:type="dxa"/>
          </w:tcPr>
          <w:p w:rsidR="005C4C9C" w:rsidRPr="005C4C9C" w:rsidRDefault="005C4C9C" w:rsidP="005C4C9C">
            <w:pPr>
              <w:numPr>
                <w:ilvl w:val="0"/>
                <w:numId w:val="24"/>
              </w:numPr>
            </w:pPr>
            <w:r w:rsidRPr="005C4C9C">
              <w:t>DMIA</w:t>
            </w:r>
          </w:p>
        </w:tc>
        <w:tc>
          <w:tcPr>
            <w:tcW w:w="4344" w:type="dxa"/>
          </w:tcPr>
          <w:p w:rsidR="005C4C9C" w:rsidRPr="005C4C9C" w:rsidRDefault="005C4C9C" w:rsidP="005C4C9C">
            <w:pPr>
              <w:numPr>
                <w:ilvl w:val="0"/>
                <w:numId w:val="24"/>
              </w:numPr>
            </w:pPr>
            <w:r w:rsidRPr="005C4C9C">
              <w:t>demand management innovation allowance</w:t>
            </w:r>
          </w:p>
        </w:tc>
      </w:tr>
      <w:tr w:rsidR="005C4C9C"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5C4C9C" w:rsidRPr="005C4C9C" w:rsidRDefault="005C4C9C" w:rsidP="005C4C9C">
            <w:pPr>
              <w:numPr>
                <w:ilvl w:val="0"/>
                <w:numId w:val="24"/>
              </w:numPr>
            </w:pPr>
            <w:r w:rsidRPr="005C4C9C">
              <w:t>DMIS</w:t>
            </w:r>
          </w:p>
        </w:tc>
        <w:tc>
          <w:tcPr>
            <w:tcW w:w="4344" w:type="dxa"/>
          </w:tcPr>
          <w:p w:rsidR="005C4C9C" w:rsidRPr="005C4C9C" w:rsidRDefault="005C4C9C" w:rsidP="005C4C9C">
            <w:pPr>
              <w:numPr>
                <w:ilvl w:val="0"/>
                <w:numId w:val="24"/>
              </w:numPr>
            </w:pPr>
            <w:r w:rsidRPr="005C4C9C">
              <w:t>demand management incentive scheme</w:t>
            </w:r>
          </w:p>
        </w:tc>
      </w:tr>
      <w:tr w:rsidR="005C4C9C" w:rsidTr="005C4C9C">
        <w:tc>
          <w:tcPr>
            <w:tcW w:w="4349" w:type="dxa"/>
          </w:tcPr>
          <w:p w:rsidR="005C4C9C" w:rsidRPr="005C4C9C" w:rsidRDefault="005C4C9C" w:rsidP="005C4C9C">
            <w:pPr>
              <w:numPr>
                <w:ilvl w:val="0"/>
                <w:numId w:val="24"/>
              </w:numPr>
            </w:pPr>
            <w:r w:rsidRPr="005C4C9C">
              <w:t>distributor</w:t>
            </w:r>
          </w:p>
        </w:tc>
        <w:tc>
          <w:tcPr>
            <w:tcW w:w="4344" w:type="dxa"/>
          </w:tcPr>
          <w:p w:rsidR="005C4C9C" w:rsidRPr="005C4C9C" w:rsidRDefault="005C4C9C" w:rsidP="005C4C9C">
            <w:pPr>
              <w:numPr>
                <w:ilvl w:val="0"/>
                <w:numId w:val="24"/>
              </w:numPr>
            </w:pPr>
            <w:r w:rsidRPr="005C4C9C">
              <w:t>distribution network service provider</w:t>
            </w:r>
          </w:p>
        </w:tc>
      </w:tr>
      <w:tr w:rsidR="005C4C9C"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5C4C9C" w:rsidRPr="005C4C9C" w:rsidRDefault="005C4C9C" w:rsidP="005C4C9C">
            <w:pPr>
              <w:numPr>
                <w:ilvl w:val="0"/>
                <w:numId w:val="24"/>
              </w:numPr>
            </w:pPr>
            <w:r w:rsidRPr="005C4C9C">
              <w:t>DUoS</w:t>
            </w:r>
          </w:p>
        </w:tc>
        <w:tc>
          <w:tcPr>
            <w:tcW w:w="4344" w:type="dxa"/>
          </w:tcPr>
          <w:p w:rsidR="005C4C9C" w:rsidRPr="005C4C9C" w:rsidRDefault="005C4C9C" w:rsidP="005C4C9C">
            <w:pPr>
              <w:numPr>
                <w:ilvl w:val="0"/>
                <w:numId w:val="24"/>
              </w:numPr>
            </w:pPr>
            <w:r w:rsidRPr="005C4C9C">
              <w:t>distribution use of system</w:t>
            </w:r>
          </w:p>
        </w:tc>
      </w:tr>
      <w:tr w:rsidR="005C4C9C" w:rsidTr="005C4C9C">
        <w:tc>
          <w:tcPr>
            <w:tcW w:w="4349" w:type="dxa"/>
          </w:tcPr>
          <w:p w:rsidR="005C4C9C" w:rsidRPr="005C4C9C" w:rsidRDefault="005C4C9C" w:rsidP="005C4C9C">
            <w:pPr>
              <w:numPr>
                <w:ilvl w:val="0"/>
                <w:numId w:val="24"/>
              </w:numPr>
            </w:pPr>
            <w:r w:rsidRPr="005C4C9C">
              <w:t>EBSS</w:t>
            </w:r>
          </w:p>
        </w:tc>
        <w:tc>
          <w:tcPr>
            <w:tcW w:w="4344" w:type="dxa"/>
          </w:tcPr>
          <w:p w:rsidR="005C4C9C" w:rsidRPr="005C4C9C" w:rsidRDefault="005C4C9C" w:rsidP="005C4C9C">
            <w:pPr>
              <w:numPr>
                <w:ilvl w:val="0"/>
                <w:numId w:val="24"/>
              </w:numPr>
            </w:pPr>
            <w:r w:rsidRPr="005C4C9C">
              <w:t>efficiency benefit sharing scheme</w:t>
            </w:r>
          </w:p>
        </w:tc>
      </w:tr>
      <w:tr w:rsidR="005C4C9C"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5C4C9C" w:rsidRPr="005C4C9C" w:rsidRDefault="005C4C9C" w:rsidP="005C4C9C">
            <w:pPr>
              <w:numPr>
                <w:ilvl w:val="0"/>
                <w:numId w:val="24"/>
              </w:numPr>
            </w:pPr>
            <w:r w:rsidRPr="005C4C9C">
              <w:t>ERP</w:t>
            </w:r>
          </w:p>
        </w:tc>
        <w:tc>
          <w:tcPr>
            <w:tcW w:w="4344" w:type="dxa"/>
          </w:tcPr>
          <w:p w:rsidR="005C4C9C" w:rsidRPr="005C4C9C" w:rsidRDefault="005C4C9C" w:rsidP="005C4C9C">
            <w:pPr>
              <w:numPr>
                <w:ilvl w:val="0"/>
                <w:numId w:val="24"/>
              </w:numPr>
            </w:pPr>
            <w:r w:rsidRPr="005C4C9C">
              <w:t>equity risk premium</w:t>
            </w:r>
          </w:p>
        </w:tc>
      </w:tr>
      <w:tr w:rsidR="005C4C9C" w:rsidTr="005C4C9C">
        <w:tc>
          <w:tcPr>
            <w:tcW w:w="4349" w:type="dxa"/>
          </w:tcPr>
          <w:p w:rsidR="005C4C9C" w:rsidRPr="005C4C9C" w:rsidRDefault="005C4C9C" w:rsidP="005C4C9C">
            <w:pPr>
              <w:numPr>
                <w:ilvl w:val="0"/>
                <w:numId w:val="24"/>
              </w:numPr>
            </w:pPr>
            <w:r w:rsidRPr="005C4C9C">
              <w:t>Expenditure Assessment Guideline</w:t>
            </w:r>
          </w:p>
        </w:tc>
        <w:tc>
          <w:tcPr>
            <w:tcW w:w="4344" w:type="dxa"/>
          </w:tcPr>
          <w:p w:rsidR="005C4C9C" w:rsidRPr="005C4C9C" w:rsidRDefault="005C0A7F" w:rsidP="005C4C9C">
            <w:pPr>
              <w:numPr>
                <w:ilvl w:val="0"/>
                <w:numId w:val="24"/>
              </w:numPr>
            </w:pPr>
            <w:r>
              <w:t>Expenditure Forecast A</w:t>
            </w:r>
            <w:r w:rsidR="005C4C9C" w:rsidRPr="005C4C9C">
              <w:t>ssessment Guideline for electricity distribution</w:t>
            </w:r>
          </w:p>
        </w:tc>
      </w:tr>
      <w:tr w:rsidR="005C4C9C"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5C4C9C" w:rsidRPr="005C4C9C" w:rsidRDefault="005C4C9C" w:rsidP="005C4C9C">
            <w:pPr>
              <w:numPr>
                <w:ilvl w:val="0"/>
                <w:numId w:val="24"/>
              </w:numPr>
            </w:pPr>
            <w:r w:rsidRPr="005C4C9C">
              <w:t>F&amp;A</w:t>
            </w:r>
          </w:p>
        </w:tc>
        <w:tc>
          <w:tcPr>
            <w:tcW w:w="4344" w:type="dxa"/>
          </w:tcPr>
          <w:p w:rsidR="005C4C9C" w:rsidRPr="005C4C9C" w:rsidRDefault="005C4C9C" w:rsidP="005C4C9C">
            <w:pPr>
              <w:numPr>
                <w:ilvl w:val="0"/>
                <w:numId w:val="24"/>
              </w:numPr>
            </w:pPr>
            <w:r w:rsidRPr="005C4C9C">
              <w:t>framework and approach</w:t>
            </w:r>
          </w:p>
        </w:tc>
      </w:tr>
      <w:tr w:rsidR="005C4C9C" w:rsidTr="005C4C9C">
        <w:tc>
          <w:tcPr>
            <w:tcW w:w="4349" w:type="dxa"/>
          </w:tcPr>
          <w:p w:rsidR="005C4C9C" w:rsidRPr="005C4C9C" w:rsidRDefault="005C4C9C" w:rsidP="005C4C9C">
            <w:pPr>
              <w:numPr>
                <w:ilvl w:val="0"/>
                <w:numId w:val="24"/>
              </w:numPr>
            </w:pPr>
            <w:r w:rsidRPr="005C4C9C">
              <w:t>MRP</w:t>
            </w:r>
          </w:p>
        </w:tc>
        <w:tc>
          <w:tcPr>
            <w:tcW w:w="4344" w:type="dxa"/>
          </w:tcPr>
          <w:p w:rsidR="005C4C9C" w:rsidRPr="005C4C9C" w:rsidRDefault="005C4C9C" w:rsidP="005C4C9C">
            <w:pPr>
              <w:numPr>
                <w:ilvl w:val="0"/>
                <w:numId w:val="24"/>
              </w:numPr>
            </w:pPr>
            <w:r w:rsidRPr="005C4C9C">
              <w:t>market risk premium</w:t>
            </w:r>
          </w:p>
        </w:tc>
      </w:tr>
      <w:tr w:rsidR="005C4C9C"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5C4C9C" w:rsidRPr="005C4C9C" w:rsidRDefault="005C4C9C" w:rsidP="005C4C9C">
            <w:pPr>
              <w:numPr>
                <w:ilvl w:val="0"/>
                <w:numId w:val="24"/>
              </w:numPr>
            </w:pPr>
            <w:r w:rsidRPr="005C4C9C">
              <w:t>NEL</w:t>
            </w:r>
          </w:p>
        </w:tc>
        <w:tc>
          <w:tcPr>
            <w:tcW w:w="4344" w:type="dxa"/>
          </w:tcPr>
          <w:p w:rsidR="005C4C9C" w:rsidRPr="005C4C9C" w:rsidRDefault="005C4C9C" w:rsidP="005C4C9C">
            <w:pPr>
              <w:numPr>
                <w:ilvl w:val="0"/>
                <w:numId w:val="24"/>
              </w:numPr>
            </w:pPr>
            <w:r w:rsidRPr="005C4C9C">
              <w:t>national electricity law</w:t>
            </w:r>
          </w:p>
        </w:tc>
      </w:tr>
      <w:tr w:rsidR="005C4C9C" w:rsidTr="005C4C9C">
        <w:tc>
          <w:tcPr>
            <w:tcW w:w="4349" w:type="dxa"/>
          </w:tcPr>
          <w:p w:rsidR="005C4C9C" w:rsidRPr="005C4C9C" w:rsidRDefault="005C4C9C" w:rsidP="005C4C9C">
            <w:pPr>
              <w:numPr>
                <w:ilvl w:val="0"/>
                <w:numId w:val="24"/>
              </w:numPr>
            </w:pPr>
            <w:r w:rsidRPr="005C4C9C">
              <w:t>NEM</w:t>
            </w:r>
          </w:p>
        </w:tc>
        <w:tc>
          <w:tcPr>
            <w:tcW w:w="4344" w:type="dxa"/>
          </w:tcPr>
          <w:p w:rsidR="005C4C9C" w:rsidRPr="005C4C9C" w:rsidRDefault="005C4C9C" w:rsidP="005C4C9C">
            <w:pPr>
              <w:numPr>
                <w:ilvl w:val="0"/>
                <w:numId w:val="24"/>
              </w:numPr>
            </w:pPr>
            <w:r w:rsidRPr="005C4C9C">
              <w:t>national electricity market</w:t>
            </w:r>
          </w:p>
        </w:tc>
      </w:tr>
      <w:tr w:rsidR="005C4C9C"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5C4C9C" w:rsidRPr="005C4C9C" w:rsidRDefault="005C4C9C" w:rsidP="005C4C9C">
            <w:pPr>
              <w:numPr>
                <w:ilvl w:val="0"/>
                <w:numId w:val="24"/>
              </w:numPr>
            </w:pPr>
            <w:r w:rsidRPr="005C4C9C">
              <w:t>NEO</w:t>
            </w:r>
          </w:p>
        </w:tc>
        <w:tc>
          <w:tcPr>
            <w:tcW w:w="4344" w:type="dxa"/>
          </w:tcPr>
          <w:p w:rsidR="005C4C9C" w:rsidRPr="005C4C9C" w:rsidRDefault="005C4C9C" w:rsidP="005C4C9C">
            <w:pPr>
              <w:numPr>
                <w:ilvl w:val="0"/>
                <w:numId w:val="24"/>
              </w:numPr>
            </w:pPr>
            <w:r w:rsidRPr="005C4C9C">
              <w:t>national electricity objective</w:t>
            </w:r>
          </w:p>
        </w:tc>
      </w:tr>
      <w:tr w:rsidR="005C4C9C" w:rsidTr="005C4C9C">
        <w:tc>
          <w:tcPr>
            <w:tcW w:w="4349" w:type="dxa"/>
          </w:tcPr>
          <w:p w:rsidR="005C4C9C" w:rsidRPr="005C4C9C" w:rsidRDefault="005C4C9C" w:rsidP="005C4C9C">
            <w:pPr>
              <w:numPr>
                <w:ilvl w:val="0"/>
                <w:numId w:val="24"/>
              </w:numPr>
            </w:pPr>
            <w:r w:rsidRPr="005C4C9C">
              <w:t>NER</w:t>
            </w:r>
          </w:p>
        </w:tc>
        <w:tc>
          <w:tcPr>
            <w:tcW w:w="4344" w:type="dxa"/>
          </w:tcPr>
          <w:p w:rsidR="005C4C9C" w:rsidRPr="005C4C9C" w:rsidRDefault="005C4C9C" w:rsidP="005C4C9C">
            <w:pPr>
              <w:numPr>
                <w:ilvl w:val="0"/>
                <w:numId w:val="24"/>
              </w:numPr>
            </w:pPr>
            <w:r w:rsidRPr="005C4C9C">
              <w:t>national electricity rules</w:t>
            </w:r>
          </w:p>
        </w:tc>
      </w:tr>
      <w:tr w:rsidR="005C4C9C"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5C4C9C" w:rsidRPr="005C4C9C" w:rsidRDefault="005C4C9C" w:rsidP="005C4C9C">
            <w:pPr>
              <w:numPr>
                <w:ilvl w:val="0"/>
                <w:numId w:val="24"/>
              </w:numPr>
            </w:pPr>
            <w:r w:rsidRPr="005C4C9C">
              <w:t>NSP</w:t>
            </w:r>
          </w:p>
        </w:tc>
        <w:tc>
          <w:tcPr>
            <w:tcW w:w="4344" w:type="dxa"/>
          </w:tcPr>
          <w:p w:rsidR="005C4C9C" w:rsidRPr="005C4C9C" w:rsidRDefault="005C4C9C" w:rsidP="005C4C9C">
            <w:pPr>
              <w:numPr>
                <w:ilvl w:val="0"/>
                <w:numId w:val="24"/>
              </w:numPr>
            </w:pPr>
            <w:r w:rsidRPr="005C4C9C">
              <w:t>network service provider</w:t>
            </w:r>
          </w:p>
        </w:tc>
      </w:tr>
      <w:tr w:rsidR="005C4C9C" w:rsidTr="005C4C9C">
        <w:tc>
          <w:tcPr>
            <w:tcW w:w="4349" w:type="dxa"/>
          </w:tcPr>
          <w:p w:rsidR="005C4C9C" w:rsidRPr="005C4C9C" w:rsidRDefault="005C4C9C" w:rsidP="005C4C9C">
            <w:pPr>
              <w:numPr>
                <w:ilvl w:val="0"/>
                <w:numId w:val="24"/>
              </w:numPr>
            </w:pPr>
            <w:r w:rsidRPr="005C4C9C">
              <w:t>opex</w:t>
            </w:r>
          </w:p>
        </w:tc>
        <w:tc>
          <w:tcPr>
            <w:tcW w:w="4344" w:type="dxa"/>
          </w:tcPr>
          <w:p w:rsidR="005C4C9C" w:rsidRPr="005C4C9C" w:rsidRDefault="005C4C9C" w:rsidP="005C4C9C">
            <w:pPr>
              <w:numPr>
                <w:ilvl w:val="0"/>
                <w:numId w:val="24"/>
              </w:numPr>
            </w:pPr>
            <w:r w:rsidRPr="005C4C9C">
              <w:t>operating expenditure</w:t>
            </w:r>
          </w:p>
        </w:tc>
      </w:tr>
      <w:tr w:rsidR="005C4C9C"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5C4C9C" w:rsidRPr="005C4C9C" w:rsidRDefault="005C4C9C" w:rsidP="005C4C9C">
            <w:pPr>
              <w:numPr>
                <w:ilvl w:val="0"/>
                <w:numId w:val="24"/>
              </w:numPr>
            </w:pPr>
            <w:r w:rsidRPr="005C4C9C">
              <w:t>PPI</w:t>
            </w:r>
          </w:p>
        </w:tc>
        <w:tc>
          <w:tcPr>
            <w:tcW w:w="4344" w:type="dxa"/>
          </w:tcPr>
          <w:p w:rsidR="005C4C9C" w:rsidRPr="005C4C9C" w:rsidRDefault="005C4C9C" w:rsidP="005C4C9C">
            <w:pPr>
              <w:numPr>
                <w:ilvl w:val="0"/>
                <w:numId w:val="24"/>
              </w:numPr>
            </w:pPr>
            <w:r w:rsidRPr="005C4C9C">
              <w:t>partial performance indicators</w:t>
            </w:r>
          </w:p>
        </w:tc>
      </w:tr>
      <w:tr w:rsidR="005C4C9C" w:rsidTr="005C4C9C">
        <w:tc>
          <w:tcPr>
            <w:tcW w:w="4349" w:type="dxa"/>
          </w:tcPr>
          <w:p w:rsidR="005C4C9C" w:rsidRPr="005C4C9C" w:rsidRDefault="005C4C9C" w:rsidP="005C4C9C">
            <w:pPr>
              <w:numPr>
                <w:ilvl w:val="0"/>
                <w:numId w:val="24"/>
              </w:numPr>
            </w:pPr>
            <w:r w:rsidRPr="005C4C9C">
              <w:t>PTRM</w:t>
            </w:r>
          </w:p>
        </w:tc>
        <w:tc>
          <w:tcPr>
            <w:tcW w:w="4344" w:type="dxa"/>
          </w:tcPr>
          <w:p w:rsidR="005C4C9C" w:rsidRPr="005C4C9C" w:rsidRDefault="005C4C9C" w:rsidP="005C4C9C">
            <w:pPr>
              <w:numPr>
                <w:ilvl w:val="0"/>
                <w:numId w:val="24"/>
              </w:numPr>
            </w:pPr>
            <w:r w:rsidRPr="005C4C9C">
              <w:t>post-tax revenue model</w:t>
            </w:r>
          </w:p>
        </w:tc>
      </w:tr>
      <w:tr w:rsidR="005C4C9C"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5C4C9C" w:rsidRPr="005C4C9C" w:rsidRDefault="005C4C9C" w:rsidP="005C4C9C">
            <w:pPr>
              <w:numPr>
                <w:ilvl w:val="0"/>
                <w:numId w:val="24"/>
              </w:numPr>
            </w:pPr>
            <w:r w:rsidRPr="005C4C9C">
              <w:t>RAB</w:t>
            </w:r>
          </w:p>
        </w:tc>
        <w:tc>
          <w:tcPr>
            <w:tcW w:w="4344" w:type="dxa"/>
          </w:tcPr>
          <w:p w:rsidR="005C4C9C" w:rsidRPr="005C4C9C" w:rsidRDefault="005C4C9C" w:rsidP="005C4C9C">
            <w:pPr>
              <w:numPr>
                <w:ilvl w:val="0"/>
                <w:numId w:val="24"/>
              </w:numPr>
            </w:pPr>
            <w:r w:rsidRPr="005C4C9C">
              <w:t>regulatory asset base</w:t>
            </w:r>
          </w:p>
        </w:tc>
      </w:tr>
      <w:tr w:rsidR="005C4C9C" w:rsidTr="005C4C9C">
        <w:tc>
          <w:tcPr>
            <w:tcW w:w="4349" w:type="dxa"/>
          </w:tcPr>
          <w:p w:rsidR="005C4C9C" w:rsidRPr="005C4C9C" w:rsidRDefault="005C4C9C" w:rsidP="005C4C9C">
            <w:pPr>
              <w:numPr>
                <w:ilvl w:val="0"/>
                <w:numId w:val="24"/>
              </w:numPr>
            </w:pPr>
            <w:r w:rsidRPr="005C4C9C">
              <w:t>RBA</w:t>
            </w:r>
          </w:p>
        </w:tc>
        <w:tc>
          <w:tcPr>
            <w:tcW w:w="4344" w:type="dxa"/>
          </w:tcPr>
          <w:p w:rsidR="005C4C9C" w:rsidRPr="005C4C9C" w:rsidRDefault="005C4C9C" w:rsidP="005C4C9C">
            <w:pPr>
              <w:numPr>
                <w:ilvl w:val="0"/>
                <w:numId w:val="24"/>
              </w:numPr>
            </w:pPr>
            <w:r w:rsidRPr="005C4C9C">
              <w:t>Reserve Bank of Australia</w:t>
            </w:r>
          </w:p>
        </w:tc>
      </w:tr>
      <w:tr w:rsidR="005C4C9C"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5C4C9C" w:rsidRPr="005C4C9C" w:rsidRDefault="005C4C9C" w:rsidP="005C4C9C">
            <w:pPr>
              <w:numPr>
                <w:ilvl w:val="0"/>
                <w:numId w:val="24"/>
              </w:numPr>
            </w:pPr>
            <w:r w:rsidRPr="005C4C9C">
              <w:t>repex</w:t>
            </w:r>
          </w:p>
        </w:tc>
        <w:tc>
          <w:tcPr>
            <w:tcW w:w="4344" w:type="dxa"/>
          </w:tcPr>
          <w:p w:rsidR="005C4C9C" w:rsidRPr="005C4C9C" w:rsidRDefault="005C4C9C" w:rsidP="005C4C9C">
            <w:pPr>
              <w:numPr>
                <w:ilvl w:val="0"/>
                <w:numId w:val="24"/>
              </w:numPr>
            </w:pPr>
            <w:r w:rsidRPr="005C4C9C">
              <w:t>replacement expenditure</w:t>
            </w:r>
          </w:p>
        </w:tc>
      </w:tr>
      <w:tr w:rsidR="005C4C9C" w:rsidTr="005C4C9C">
        <w:tc>
          <w:tcPr>
            <w:tcW w:w="4349" w:type="dxa"/>
          </w:tcPr>
          <w:p w:rsidR="005C4C9C" w:rsidRPr="005C4C9C" w:rsidRDefault="005C4C9C" w:rsidP="005C4C9C">
            <w:pPr>
              <w:numPr>
                <w:ilvl w:val="0"/>
                <w:numId w:val="24"/>
              </w:numPr>
            </w:pPr>
            <w:r w:rsidRPr="005C4C9C">
              <w:lastRenderedPageBreak/>
              <w:t>RFM</w:t>
            </w:r>
          </w:p>
        </w:tc>
        <w:tc>
          <w:tcPr>
            <w:tcW w:w="4344" w:type="dxa"/>
          </w:tcPr>
          <w:p w:rsidR="005C4C9C" w:rsidRPr="005C4C9C" w:rsidRDefault="005C4C9C" w:rsidP="005C4C9C">
            <w:pPr>
              <w:numPr>
                <w:ilvl w:val="0"/>
                <w:numId w:val="24"/>
              </w:numPr>
            </w:pPr>
            <w:r w:rsidRPr="005C4C9C">
              <w:t>roll forward model</w:t>
            </w:r>
          </w:p>
        </w:tc>
      </w:tr>
      <w:tr w:rsidR="005C4C9C"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5C4C9C" w:rsidRPr="005C4C9C" w:rsidRDefault="005C4C9C" w:rsidP="005C4C9C">
            <w:pPr>
              <w:numPr>
                <w:ilvl w:val="0"/>
                <w:numId w:val="24"/>
              </w:numPr>
            </w:pPr>
            <w:r w:rsidRPr="005C4C9C">
              <w:t>RIN</w:t>
            </w:r>
          </w:p>
        </w:tc>
        <w:tc>
          <w:tcPr>
            <w:tcW w:w="4344" w:type="dxa"/>
          </w:tcPr>
          <w:p w:rsidR="005C4C9C" w:rsidRPr="005C4C9C" w:rsidRDefault="005C4C9C" w:rsidP="005C4C9C">
            <w:pPr>
              <w:numPr>
                <w:ilvl w:val="0"/>
                <w:numId w:val="24"/>
              </w:numPr>
            </w:pPr>
            <w:r w:rsidRPr="005C4C9C">
              <w:t>regulatory information notice</w:t>
            </w:r>
          </w:p>
        </w:tc>
      </w:tr>
      <w:tr w:rsidR="005C4C9C" w:rsidTr="005C4C9C">
        <w:tc>
          <w:tcPr>
            <w:tcW w:w="4349" w:type="dxa"/>
          </w:tcPr>
          <w:p w:rsidR="005C4C9C" w:rsidRPr="005C4C9C" w:rsidRDefault="005C4C9C" w:rsidP="005C4C9C">
            <w:pPr>
              <w:numPr>
                <w:ilvl w:val="0"/>
                <w:numId w:val="24"/>
              </w:numPr>
            </w:pPr>
            <w:r w:rsidRPr="005C4C9C">
              <w:t>RPP</w:t>
            </w:r>
          </w:p>
        </w:tc>
        <w:tc>
          <w:tcPr>
            <w:tcW w:w="4344" w:type="dxa"/>
          </w:tcPr>
          <w:p w:rsidR="005C4C9C" w:rsidRPr="005C4C9C" w:rsidRDefault="005C4C9C" w:rsidP="005C4C9C">
            <w:pPr>
              <w:numPr>
                <w:ilvl w:val="0"/>
                <w:numId w:val="24"/>
              </w:numPr>
            </w:pPr>
            <w:r w:rsidRPr="005C4C9C">
              <w:t>revenue and pricing principles</w:t>
            </w:r>
          </w:p>
        </w:tc>
      </w:tr>
      <w:tr w:rsidR="005C4C9C"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5C4C9C" w:rsidRPr="005C4C9C" w:rsidRDefault="005C4C9C" w:rsidP="005C4C9C">
            <w:pPr>
              <w:numPr>
                <w:ilvl w:val="0"/>
                <w:numId w:val="24"/>
              </w:numPr>
            </w:pPr>
            <w:r w:rsidRPr="005C4C9C">
              <w:t>SAIDI</w:t>
            </w:r>
          </w:p>
        </w:tc>
        <w:tc>
          <w:tcPr>
            <w:tcW w:w="4344" w:type="dxa"/>
          </w:tcPr>
          <w:p w:rsidR="005C4C9C" w:rsidRPr="005C4C9C" w:rsidRDefault="005C4C9C" w:rsidP="005C4C9C">
            <w:pPr>
              <w:numPr>
                <w:ilvl w:val="0"/>
                <w:numId w:val="24"/>
              </w:numPr>
            </w:pPr>
            <w:r w:rsidRPr="005C4C9C">
              <w:t>system average interruption duration index</w:t>
            </w:r>
          </w:p>
        </w:tc>
      </w:tr>
      <w:tr w:rsidR="005C4C9C" w:rsidTr="005C4C9C">
        <w:tc>
          <w:tcPr>
            <w:tcW w:w="4349" w:type="dxa"/>
          </w:tcPr>
          <w:p w:rsidR="005C4C9C" w:rsidRPr="005C4C9C" w:rsidRDefault="005C4C9C" w:rsidP="005C4C9C">
            <w:pPr>
              <w:numPr>
                <w:ilvl w:val="0"/>
                <w:numId w:val="24"/>
              </w:numPr>
            </w:pPr>
            <w:r w:rsidRPr="005C4C9C">
              <w:t>SAIFI</w:t>
            </w:r>
          </w:p>
        </w:tc>
        <w:tc>
          <w:tcPr>
            <w:tcW w:w="4344" w:type="dxa"/>
          </w:tcPr>
          <w:p w:rsidR="005C4C9C" w:rsidRPr="005C4C9C" w:rsidRDefault="005C4C9C" w:rsidP="005C4C9C">
            <w:pPr>
              <w:numPr>
                <w:ilvl w:val="0"/>
                <w:numId w:val="24"/>
              </w:numPr>
            </w:pPr>
            <w:r w:rsidRPr="005C4C9C">
              <w:t>system average interruption frequency index</w:t>
            </w:r>
          </w:p>
        </w:tc>
      </w:tr>
      <w:tr w:rsidR="005C4C9C"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5C4C9C" w:rsidRPr="005C4C9C" w:rsidRDefault="005C4C9C" w:rsidP="005C4C9C">
            <w:pPr>
              <w:numPr>
                <w:ilvl w:val="0"/>
                <w:numId w:val="24"/>
              </w:numPr>
            </w:pPr>
            <w:r w:rsidRPr="005C4C9C">
              <w:t>SLCAPM</w:t>
            </w:r>
          </w:p>
        </w:tc>
        <w:tc>
          <w:tcPr>
            <w:tcW w:w="4344" w:type="dxa"/>
          </w:tcPr>
          <w:p w:rsidR="005C4C9C" w:rsidRPr="005C4C9C" w:rsidRDefault="005C4C9C" w:rsidP="005C4C9C">
            <w:pPr>
              <w:numPr>
                <w:ilvl w:val="0"/>
                <w:numId w:val="24"/>
              </w:numPr>
            </w:pPr>
            <w:r w:rsidRPr="005C4C9C">
              <w:t>Sharpe-Lintner capital asset pricing model</w:t>
            </w:r>
          </w:p>
        </w:tc>
      </w:tr>
      <w:tr w:rsidR="005C4C9C" w:rsidTr="005C4C9C">
        <w:tc>
          <w:tcPr>
            <w:tcW w:w="4349" w:type="dxa"/>
          </w:tcPr>
          <w:p w:rsidR="005C4C9C" w:rsidRPr="005C4C9C" w:rsidRDefault="005C4C9C" w:rsidP="005C4C9C">
            <w:pPr>
              <w:numPr>
                <w:ilvl w:val="0"/>
                <w:numId w:val="24"/>
              </w:numPr>
            </w:pPr>
            <w:r w:rsidRPr="005C4C9C">
              <w:t>STPIS</w:t>
            </w:r>
          </w:p>
        </w:tc>
        <w:tc>
          <w:tcPr>
            <w:tcW w:w="4344" w:type="dxa"/>
          </w:tcPr>
          <w:p w:rsidR="005C4C9C" w:rsidRPr="005C4C9C" w:rsidRDefault="005C4C9C" w:rsidP="005C4C9C">
            <w:pPr>
              <w:numPr>
                <w:ilvl w:val="0"/>
                <w:numId w:val="24"/>
              </w:numPr>
            </w:pPr>
            <w:r w:rsidRPr="005C4C9C">
              <w:t>service target performance incentive scheme</w:t>
            </w:r>
          </w:p>
        </w:tc>
      </w:tr>
      <w:tr w:rsidR="005C4C9C" w:rsidTr="005C4C9C">
        <w:trPr>
          <w:cnfStyle w:val="000000010000" w:firstRow="0" w:lastRow="0" w:firstColumn="0" w:lastColumn="0" w:oddVBand="0" w:evenVBand="0" w:oddHBand="0" w:evenHBand="1" w:firstRowFirstColumn="0" w:firstRowLastColumn="0" w:lastRowFirstColumn="0" w:lastRowLastColumn="0"/>
        </w:trPr>
        <w:tc>
          <w:tcPr>
            <w:tcW w:w="4349" w:type="dxa"/>
          </w:tcPr>
          <w:p w:rsidR="005C4C9C" w:rsidRPr="005C4C9C" w:rsidRDefault="005C4C9C" w:rsidP="005C4C9C">
            <w:pPr>
              <w:numPr>
                <w:ilvl w:val="0"/>
                <w:numId w:val="24"/>
              </w:numPr>
            </w:pPr>
            <w:r w:rsidRPr="005C4C9C">
              <w:t>WACC</w:t>
            </w:r>
          </w:p>
        </w:tc>
        <w:tc>
          <w:tcPr>
            <w:tcW w:w="4344" w:type="dxa"/>
          </w:tcPr>
          <w:p w:rsidR="005C4C9C" w:rsidRPr="005C4C9C" w:rsidRDefault="005C4C9C" w:rsidP="005C4C9C">
            <w:pPr>
              <w:numPr>
                <w:ilvl w:val="0"/>
                <w:numId w:val="24"/>
              </w:numPr>
            </w:pPr>
            <w:r w:rsidRPr="005C4C9C">
              <w:t>weighted average cost of capital</w:t>
            </w:r>
          </w:p>
        </w:tc>
      </w:tr>
    </w:tbl>
    <w:p w:rsidR="00DE563D" w:rsidRDefault="00DE563D" w:rsidP="006E67E3"/>
    <w:p w:rsidR="006E67E3" w:rsidRDefault="006E67E3" w:rsidP="006E67E3"/>
    <w:p w:rsidR="006E67E3" w:rsidRDefault="006E67E3" w:rsidP="006E67E3"/>
    <w:p w:rsidR="006E67E3" w:rsidRDefault="006E67E3" w:rsidP="006E67E3"/>
    <w:p w:rsidR="006E67E3" w:rsidRDefault="006E67E3" w:rsidP="006E67E3"/>
    <w:p w:rsidR="006E67E3" w:rsidRDefault="006E67E3" w:rsidP="006E67E3"/>
    <w:p w:rsidR="006E67E3" w:rsidRDefault="006E67E3" w:rsidP="006E67E3"/>
    <w:p w:rsidR="006E67E3" w:rsidRDefault="006E67E3" w:rsidP="006E67E3"/>
    <w:p w:rsidR="006E67E3" w:rsidRDefault="006E67E3" w:rsidP="006E67E3"/>
    <w:p w:rsidR="006E67E3" w:rsidRDefault="006E67E3" w:rsidP="006E67E3"/>
    <w:p w:rsidR="006E67E3" w:rsidRDefault="006E67E3" w:rsidP="006E67E3"/>
    <w:p w:rsidR="006E67E3" w:rsidRDefault="006E67E3" w:rsidP="006E67E3"/>
    <w:p w:rsidR="006E67E3" w:rsidRDefault="006E67E3" w:rsidP="006E67E3"/>
    <w:p w:rsidR="006E67E3" w:rsidRDefault="006E67E3" w:rsidP="006E67E3"/>
    <w:p w:rsidR="006E67E3" w:rsidRDefault="006E67E3" w:rsidP="006E67E3"/>
    <w:p w:rsidR="006E67E3" w:rsidRDefault="006E67E3" w:rsidP="006E67E3"/>
    <w:p w:rsidR="006E67E3" w:rsidRDefault="006E67E3" w:rsidP="006E67E3"/>
    <w:p w:rsidR="006E67E3" w:rsidRDefault="006E67E3" w:rsidP="006E67E3"/>
    <w:p w:rsidR="006E67E3" w:rsidRDefault="006E67E3" w:rsidP="006E67E3"/>
    <w:p w:rsidR="006E67E3" w:rsidRDefault="006E67E3" w:rsidP="006E67E3"/>
    <w:p w:rsidR="00CA747E" w:rsidRDefault="00CA747E" w:rsidP="00CA747E">
      <w:pPr>
        <w:pStyle w:val="Heading1"/>
      </w:pPr>
      <w:bookmarkStart w:id="9" w:name="_Toc428969713"/>
      <w:bookmarkStart w:id="10" w:name="_Toc403144136"/>
      <w:bookmarkStart w:id="11" w:name="_Ref428452254"/>
      <w:bookmarkStart w:id="12" w:name="_Toc433641261"/>
      <w:r>
        <w:lastRenderedPageBreak/>
        <w:t>Service target performance incentive scheme</w:t>
      </w:r>
      <w:bookmarkEnd w:id="9"/>
      <w:bookmarkEnd w:id="12"/>
    </w:p>
    <w:p w:rsidR="00CA747E" w:rsidRDefault="00CA747E" w:rsidP="00CA747E">
      <w:r>
        <w:t xml:space="preserve">Under clause 6.3.2 of the </w:t>
      </w:r>
      <w:r w:rsidR="008C3A77">
        <w:t>NER</w:t>
      </w:r>
      <w:r>
        <w:t xml:space="preserve"> our regulatory determination must </w:t>
      </w:r>
      <w:r w:rsidRPr="00277932">
        <w:t xml:space="preserve">specify how any applicable </w:t>
      </w:r>
      <w:r>
        <w:t>service target performance incentive</w:t>
      </w:r>
      <w:r w:rsidR="005A4358">
        <w:t xml:space="preserve"> scheme</w:t>
      </w:r>
      <w:r>
        <w:t xml:space="preserve"> (</w:t>
      </w:r>
      <w:r w:rsidRPr="00277932">
        <w:t>STPIS</w:t>
      </w:r>
      <w:r>
        <w:t>)</w:t>
      </w:r>
      <w:r w:rsidRPr="00277932">
        <w:t xml:space="preserve"> is to apply in the next regulatory control period.</w:t>
      </w:r>
      <w:r>
        <w:t xml:space="preserve"> </w:t>
      </w:r>
    </w:p>
    <w:p w:rsidR="00CA747E" w:rsidRDefault="00CA747E" w:rsidP="00CA747E">
      <w:r>
        <w:t xml:space="preserve">This attachment sets out how we will apply the STPIS to United Energy for the </w:t>
      </w:r>
      <w:r>
        <w:br/>
        <w:t xml:space="preserve">2016–20 regulatory control </w:t>
      </w:r>
      <w:proofErr w:type="gramStart"/>
      <w:r>
        <w:t>period</w:t>
      </w:r>
      <w:proofErr w:type="gramEnd"/>
      <w:r>
        <w:t>.</w:t>
      </w:r>
    </w:p>
    <w:p w:rsidR="00CA747E" w:rsidRDefault="00CA747E" w:rsidP="00A70764">
      <w:pPr>
        <w:pStyle w:val="HeadingBoldBlue"/>
      </w:pPr>
      <w:r>
        <w:t>AER’s service target performance incentive scheme</w:t>
      </w:r>
    </w:p>
    <w:p w:rsidR="00CA747E" w:rsidRDefault="00CA747E" w:rsidP="00CA747E">
      <w:r>
        <w:t>We published</w:t>
      </w:r>
      <w:r w:rsidRPr="00E73EFA">
        <w:t xml:space="preserve"> </w:t>
      </w:r>
      <w:r>
        <w:t xml:space="preserve">the current version of our national </w:t>
      </w:r>
      <w:r w:rsidR="008C3A77">
        <w:t>STPIS</w:t>
      </w:r>
      <w:r w:rsidRPr="00E73EFA">
        <w:t xml:space="preserve"> </w:t>
      </w:r>
      <w:r>
        <w:t>in November 2009.</w:t>
      </w:r>
      <w:r>
        <w:rPr>
          <w:rStyle w:val="FootnoteReference"/>
        </w:rPr>
        <w:footnoteReference w:id="1"/>
      </w:r>
      <w:r>
        <w:t xml:space="preserve"> The </w:t>
      </w:r>
      <w:r w:rsidRPr="00401F71">
        <w:t xml:space="preserve">STPIS is intended to balance incentives to reduce expenditure with the need to maintain or improve service quality. It achieves this by providing financial incentives to </w:t>
      </w:r>
      <w:r>
        <w:t>distributors</w:t>
      </w:r>
      <w:r w:rsidRPr="00401F71">
        <w:t xml:space="preserve"> to maintain and improve service performance where customers are willing to pay for these improvements.</w:t>
      </w:r>
      <w:r>
        <w:t xml:space="preserve"> </w:t>
      </w:r>
    </w:p>
    <w:p w:rsidR="00CA747E" w:rsidRPr="00B34302" w:rsidRDefault="00CA747E" w:rsidP="00CA747E">
      <w:pPr>
        <w:pStyle w:val="Heading2"/>
      </w:pPr>
      <w:bookmarkStart w:id="13" w:name="_Toc417479823"/>
      <w:bookmarkStart w:id="14" w:name="_Ref428433564"/>
      <w:bookmarkStart w:id="15" w:name="_Ref428433570"/>
      <w:bookmarkStart w:id="16" w:name="_Toc428969714"/>
      <w:bookmarkStart w:id="17" w:name="_Toc433641262"/>
      <w:r w:rsidRPr="00B34302">
        <w:t>Preliminary decision</w:t>
      </w:r>
      <w:bookmarkEnd w:id="10"/>
      <w:bookmarkEnd w:id="13"/>
      <w:bookmarkEnd w:id="14"/>
      <w:bookmarkEnd w:id="15"/>
      <w:bookmarkEnd w:id="16"/>
      <w:bookmarkEnd w:id="17"/>
    </w:p>
    <w:p w:rsidR="00CA747E" w:rsidRDefault="00CA747E" w:rsidP="00CA747E">
      <w:r>
        <w:t xml:space="preserve">Consistent with our framework and approach </w:t>
      </w:r>
      <w:r w:rsidR="008C3A77">
        <w:t xml:space="preserve">(F&amp;A) </w:t>
      </w:r>
      <w:r>
        <w:t xml:space="preserve">paper position on STPIS, our preliminary decision is to </w:t>
      </w:r>
      <w:r w:rsidRPr="0035295E">
        <w:t xml:space="preserve">apply the STPIS to </w:t>
      </w:r>
      <w:r>
        <w:t>United Energy for the 2016–20</w:t>
      </w:r>
      <w:r w:rsidR="008C3A77">
        <w:t xml:space="preserve"> regulatory control </w:t>
      </w:r>
      <w:proofErr w:type="gramStart"/>
      <w:r w:rsidR="008C3A77">
        <w:t>period</w:t>
      </w:r>
      <w:proofErr w:type="gramEnd"/>
      <w:r w:rsidR="008C3A77">
        <w:t xml:space="preserve"> </w:t>
      </w:r>
      <w:r>
        <w:t>in the following manner:</w:t>
      </w:r>
    </w:p>
    <w:p w:rsidR="00CA747E" w:rsidRPr="00D6741A" w:rsidRDefault="00CA747E" w:rsidP="00CA747E">
      <w:pPr>
        <w:pStyle w:val="AERbulletlistfirststyle"/>
        <w:rPr>
          <w:rStyle w:val="AERbody"/>
        </w:rPr>
      </w:pPr>
      <w:r w:rsidRPr="00441E9B">
        <w:rPr>
          <w:rStyle w:val="AERbody"/>
        </w:rPr>
        <w:t xml:space="preserve">set revenue at risk for </w:t>
      </w:r>
      <w:r>
        <w:rPr>
          <w:rStyle w:val="AERbody"/>
        </w:rPr>
        <w:t xml:space="preserve">United Energy at the </w:t>
      </w:r>
      <w:r w:rsidRPr="00441E9B">
        <w:rPr>
          <w:rStyle w:val="AERbody"/>
        </w:rPr>
        <w:t xml:space="preserve">range </w:t>
      </w:r>
      <w:r w:rsidRPr="009000AE">
        <w:rPr>
          <w:rStyle w:val="AERbody"/>
        </w:rPr>
        <w:t>±</w:t>
      </w:r>
      <w:r>
        <w:rPr>
          <w:rStyle w:val="AERbody"/>
        </w:rPr>
        <w:t xml:space="preserve"> 5</w:t>
      </w:r>
      <w:r w:rsidR="00BD1987">
        <w:rPr>
          <w:rStyle w:val="AERbody"/>
        </w:rPr>
        <w:t>.0</w:t>
      </w:r>
      <w:r w:rsidRPr="00D6741A">
        <w:rPr>
          <w:rStyle w:val="AERbody"/>
        </w:rPr>
        <w:t xml:space="preserve"> per cent</w:t>
      </w:r>
    </w:p>
    <w:p w:rsidR="00CA747E" w:rsidRPr="00D6741A" w:rsidRDefault="00CA747E" w:rsidP="00CA747E">
      <w:pPr>
        <w:pStyle w:val="AERbulletlistfirststyle"/>
      </w:pPr>
      <w:r w:rsidRPr="00C16C7B">
        <w:t xml:space="preserve">segment </w:t>
      </w:r>
      <w:r w:rsidR="00E57B34">
        <w:t>United Energy’s</w:t>
      </w:r>
      <w:r>
        <w:t xml:space="preserve"> </w:t>
      </w:r>
      <w:r w:rsidRPr="00C16C7B">
        <w:t xml:space="preserve">network according to feeder categories </w:t>
      </w:r>
      <w:r>
        <w:t>u</w:t>
      </w:r>
      <w:r w:rsidRPr="00C16C7B">
        <w:t>rban</w:t>
      </w:r>
      <w:r>
        <w:t xml:space="preserve"> and</w:t>
      </w:r>
      <w:r w:rsidRPr="00D6741A">
        <w:t xml:space="preserve"> </w:t>
      </w:r>
      <w:r>
        <w:t xml:space="preserve">short </w:t>
      </w:r>
      <w:r w:rsidRPr="00D6741A">
        <w:t xml:space="preserve">rural </w:t>
      </w:r>
    </w:p>
    <w:p w:rsidR="00CA747E" w:rsidRDefault="00CA747E" w:rsidP="00CA747E">
      <w:pPr>
        <w:pStyle w:val="AERbulletlistfirststyle"/>
      </w:pPr>
      <w:r>
        <w:t xml:space="preserve">apply </w:t>
      </w:r>
      <w:r w:rsidRPr="00C16C7B">
        <w:t>reliability of supply</w:t>
      </w:r>
      <w:r>
        <w:t xml:space="preserve"> parameters of:</w:t>
      </w:r>
    </w:p>
    <w:p w:rsidR="00CA747E" w:rsidRDefault="00CA747E" w:rsidP="00CA747E">
      <w:pPr>
        <w:pStyle w:val="AERbulletlistsecondstyle"/>
      </w:pPr>
      <w:r w:rsidRPr="00D6741A">
        <w:t>system average interruption duration index or SAIDI</w:t>
      </w:r>
      <w:r>
        <w:t>,</w:t>
      </w:r>
      <w:r w:rsidRPr="00D6741A">
        <w:t xml:space="preserve"> </w:t>
      </w:r>
    </w:p>
    <w:p w:rsidR="00CA747E" w:rsidRDefault="00CA747E" w:rsidP="00CA747E">
      <w:pPr>
        <w:pStyle w:val="AERbulletlistsecondstyle"/>
      </w:pPr>
      <w:r w:rsidRPr="00D6741A">
        <w:t>system average interruption frequency index or SAIFI</w:t>
      </w:r>
      <w:r>
        <w:t xml:space="preserve"> </w:t>
      </w:r>
    </w:p>
    <w:p w:rsidR="00CA747E" w:rsidRDefault="00CA747E" w:rsidP="00CA747E">
      <w:pPr>
        <w:pStyle w:val="AERbulletlistsecondstyle"/>
      </w:pPr>
      <w:r>
        <w:t>momentary</w:t>
      </w:r>
      <w:r w:rsidR="004E76CF">
        <w:t xml:space="preserve"> average</w:t>
      </w:r>
      <w:r>
        <w:t xml:space="preserve"> interruption frequency index event or MAIFI</w:t>
      </w:r>
      <w:r w:rsidR="00AF7EF8">
        <w:t>e</w:t>
      </w:r>
    </w:p>
    <w:p w:rsidR="00CA747E" w:rsidRDefault="00CA747E" w:rsidP="00CA747E">
      <w:pPr>
        <w:pStyle w:val="AERbulletlistsecondstyle"/>
        <w:rPr>
          <w:rStyle w:val="AERbody"/>
        </w:rPr>
      </w:pPr>
      <w:proofErr w:type="gramStart"/>
      <w:r w:rsidRPr="00D6741A">
        <w:rPr>
          <w:rStyle w:val="AERbody"/>
        </w:rPr>
        <w:t>customer</w:t>
      </w:r>
      <w:proofErr w:type="gramEnd"/>
      <w:r w:rsidRPr="00D6741A">
        <w:rPr>
          <w:rStyle w:val="AERbody"/>
        </w:rPr>
        <w:t xml:space="preserve"> service (telephone answering)</w:t>
      </w:r>
      <w:r>
        <w:rPr>
          <w:rStyle w:val="AERbody"/>
        </w:rPr>
        <w:t>.</w:t>
      </w:r>
    </w:p>
    <w:p w:rsidR="00CA747E" w:rsidRPr="00D6741A" w:rsidRDefault="00CA747E" w:rsidP="00CA747E">
      <w:pPr>
        <w:pStyle w:val="AERbulletlistfirststyle"/>
      </w:pPr>
      <w:r w:rsidRPr="00D6741A">
        <w:t xml:space="preserve">set performance targets based </w:t>
      </w:r>
      <w:bookmarkStart w:id="18" w:name="_GoBack"/>
      <w:bookmarkEnd w:id="18"/>
      <w:r w:rsidRPr="00D6741A">
        <w:t xml:space="preserve">on the </w:t>
      </w:r>
      <w:r>
        <w:t>United Energy’s</w:t>
      </w:r>
      <w:r w:rsidRPr="00D6741A">
        <w:t xml:space="preserve"> average performance over the past five regulatory years </w:t>
      </w:r>
    </w:p>
    <w:p w:rsidR="00CA747E" w:rsidRPr="00D6741A" w:rsidRDefault="00CA747E" w:rsidP="00CA747E">
      <w:pPr>
        <w:pStyle w:val="AERbulletlistfirststyle"/>
      </w:pPr>
      <w:r w:rsidRPr="00D6741A">
        <w:t xml:space="preserve">apply the methodology indicated in the national STPIS for excluding specific events from the calculation of annual performance targets </w:t>
      </w:r>
    </w:p>
    <w:p w:rsidR="00CA747E" w:rsidRDefault="00CA747E" w:rsidP="00CA747E">
      <w:pPr>
        <w:pStyle w:val="AERbulletlistfirststyle"/>
      </w:pPr>
      <w:proofErr w:type="gramStart"/>
      <w:r w:rsidRPr="00D6741A">
        <w:t>apply</w:t>
      </w:r>
      <w:proofErr w:type="gramEnd"/>
      <w:r w:rsidRPr="00D6741A">
        <w:t xml:space="preserve"> the methodology and value of customer reliability (VCR) values to the calculation of incentive rates</w:t>
      </w:r>
      <w:r>
        <w:t xml:space="preserve"> using the latest VCR for Victoria</w:t>
      </w:r>
      <w:r w:rsidRPr="00D6741A">
        <w:t>.</w:t>
      </w:r>
    </w:p>
    <w:p w:rsidR="00673185" w:rsidRDefault="00CA747E" w:rsidP="00BD1987">
      <w:r>
        <w:lastRenderedPageBreak/>
        <w:t xml:space="preserve">In making our preliminary decision on the STPIS, we have taken into </w:t>
      </w:r>
      <w:r w:rsidR="009D7088">
        <w:t xml:space="preserve">account </w:t>
      </w:r>
      <w:r>
        <w:t xml:space="preserve">our </w:t>
      </w:r>
      <w:r w:rsidR="008C3A77">
        <w:t>F&amp;A</w:t>
      </w:r>
      <w:r>
        <w:t>, United Energy’s regulatory proposal, our information requests to United Energy and submissions raised by stakeholders. Our response to the matters raised by United Energy and stakeholders about the application of the STPIS are discussed in this preliminary decision.</w:t>
      </w:r>
      <w:r>
        <w:rPr>
          <w:rStyle w:val="FootnoteReference"/>
        </w:rPr>
        <w:footnoteReference w:id="2"/>
      </w:r>
      <w:bookmarkStart w:id="19" w:name="_Toc404362391"/>
    </w:p>
    <w:p w:rsidR="00BD1987" w:rsidRPr="00E51231" w:rsidRDefault="00673185" w:rsidP="00BD1987">
      <w:r>
        <w:t>Tables 11.1 and 11.</w:t>
      </w:r>
      <w:r w:rsidR="008C3A77">
        <w:t>2</w:t>
      </w:r>
      <w:r w:rsidR="00CA747E">
        <w:t xml:space="preserve"> </w:t>
      </w:r>
      <w:r w:rsidR="00CA747E" w:rsidRPr="000B05E8">
        <w:t xml:space="preserve">present </w:t>
      </w:r>
      <w:r w:rsidR="00CA747E">
        <w:t xml:space="preserve">our preliminary decision on the applicable incentives rates and performance targets that will be applied to United Energy’s STPIS for the 2016–20 regulatory </w:t>
      </w:r>
      <w:r w:rsidR="00A70764">
        <w:t xml:space="preserve">control </w:t>
      </w:r>
      <w:proofErr w:type="gramStart"/>
      <w:r w:rsidR="00CA747E">
        <w:t>period</w:t>
      </w:r>
      <w:proofErr w:type="gramEnd"/>
      <w:r w:rsidR="00CA747E">
        <w:t>.</w:t>
      </w:r>
      <w:r w:rsidR="00BD1987">
        <w:t xml:space="preserve"> </w:t>
      </w:r>
      <w:r w:rsidR="00BD1987" w:rsidRPr="002A3A62">
        <w:t xml:space="preserve">The incentive rate for the </w:t>
      </w:r>
      <w:r w:rsidR="00BD1987">
        <w:t xml:space="preserve">customer service component </w:t>
      </w:r>
      <w:r w:rsidR="00BD1987" w:rsidRPr="002A3A62">
        <w:t xml:space="preserve">will be </w:t>
      </w:r>
      <w:r w:rsidR="008C3A77">
        <w:rPr>
          <w:rFonts w:cs="Arial"/>
        </w:rPr>
        <w:t>─</w:t>
      </w:r>
      <w:r w:rsidR="00BD1987">
        <w:t>0.040</w:t>
      </w:r>
      <w:r w:rsidR="00BD1987" w:rsidRPr="002A3A62">
        <w:t xml:space="preserve"> per cent per unit of the telephone answering parameter.</w:t>
      </w:r>
      <w:r w:rsidR="00BD1987">
        <w:rPr>
          <w:rStyle w:val="FootnoteReference"/>
        </w:rPr>
        <w:footnoteReference w:id="3"/>
      </w:r>
      <w:r w:rsidR="00BD1987">
        <w:t xml:space="preserve"> </w:t>
      </w:r>
    </w:p>
    <w:p w:rsidR="00CA747E" w:rsidRPr="00A946AA" w:rsidRDefault="00CA747E" w:rsidP="00CA747E">
      <w:pPr>
        <w:pStyle w:val="Caption"/>
      </w:pPr>
      <w:bookmarkStart w:id="20" w:name="_Ref417394508"/>
      <w:r>
        <w:t xml:space="preserve">Table </w:t>
      </w:r>
      <w:fldSimple w:instr=" STYLEREF 1 \s ">
        <w:r w:rsidR="00673185">
          <w:rPr>
            <w:noProof/>
          </w:rPr>
          <w:t>11</w:t>
        </w:r>
      </w:fldSimple>
      <w:r w:rsidR="00673185">
        <w:t>.</w:t>
      </w:r>
      <w:fldSimple w:instr=" SEQ Table \* ARABIC \s 1 ">
        <w:r w:rsidR="00673185">
          <w:rPr>
            <w:noProof/>
          </w:rPr>
          <w:t>1</w:t>
        </w:r>
      </w:fldSimple>
      <w:bookmarkStart w:id="21" w:name="_Ref417394504"/>
      <w:bookmarkEnd w:id="20"/>
      <w:r w:rsidR="007A30CA">
        <w:rPr>
          <w:noProof/>
        </w:rPr>
        <w:tab/>
      </w:r>
      <w:r w:rsidR="008C3A77">
        <w:t xml:space="preserve">AER preliminary decision on </w:t>
      </w:r>
      <w:r>
        <w:t>STPIS i</w:t>
      </w:r>
      <w:r w:rsidRPr="00A946AA">
        <w:t>ncentive rates</w:t>
      </w:r>
      <w:r>
        <w:t xml:space="preserve"> for United Energy</w:t>
      </w:r>
      <w:r w:rsidRPr="00A946AA">
        <w:t xml:space="preserve"> </w:t>
      </w:r>
      <w:r w:rsidR="004706C9">
        <w:t xml:space="preserve">for </w:t>
      </w:r>
      <w:r>
        <w:t>the 2016–20</w:t>
      </w:r>
      <w:bookmarkEnd w:id="21"/>
      <w:r>
        <w:t xml:space="preserve"> regulatory </w:t>
      </w:r>
      <w:r w:rsidR="00A70764">
        <w:t xml:space="preserve">control </w:t>
      </w:r>
      <w:r>
        <w:t>period</w:t>
      </w:r>
    </w:p>
    <w:tbl>
      <w:tblPr>
        <w:tblStyle w:val="AERtable-numbers"/>
        <w:tblW w:w="5000" w:type="pct"/>
        <w:tblLook w:val="04A0" w:firstRow="1" w:lastRow="0" w:firstColumn="1" w:lastColumn="0" w:noHBand="0" w:noVBand="1"/>
      </w:tblPr>
      <w:tblGrid>
        <w:gridCol w:w="2157"/>
        <w:gridCol w:w="3269"/>
        <w:gridCol w:w="3267"/>
      </w:tblGrid>
      <w:tr w:rsidR="00CA747E" w:rsidRPr="00A946AA" w:rsidTr="00CA747E">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41" w:type="pct"/>
            <w:hideMark/>
          </w:tcPr>
          <w:p w:rsidR="00CA747E" w:rsidRPr="009000AE" w:rsidRDefault="00CA747E" w:rsidP="00CA747E">
            <w:pPr>
              <w:pStyle w:val="Tabletext-centred"/>
            </w:pPr>
            <w:r w:rsidRPr="00A946AA">
              <w:t> </w:t>
            </w:r>
          </w:p>
        </w:tc>
        <w:tc>
          <w:tcPr>
            <w:tcW w:w="1880" w:type="pct"/>
            <w:hideMark/>
          </w:tcPr>
          <w:p w:rsidR="00CA747E" w:rsidRPr="009000AE" w:rsidRDefault="00CA747E" w:rsidP="00CA747E">
            <w:pPr>
              <w:pStyle w:val="AERtabletextright"/>
              <w:cnfStyle w:val="100000000000" w:firstRow="1" w:lastRow="0" w:firstColumn="0" w:lastColumn="0" w:oddVBand="0" w:evenVBand="0" w:oddHBand="0" w:evenHBand="0" w:firstRowFirstColumn="0" w:firstRowLastColumn="0" w:lastRowFirstColumn="0" w:lastRowLastColumn="0"/>
            </w:pPr>
            <w:r>
              <w:t>Urban</w:t>
            </w:r>
          </w:p>
        </w:tc>
        <w:tc>
          <w:tcPr>
            <w:tcW w:w="1879" w:type="pct"/>
          </w:tcPr>
          <w:p w:rsidR="00CA747E" w:rsidRDefault="00CA747E" w:rsidP="00CA747E">
            <w:pPr>
              <w:pStyle w:val="AERtabletextright"/>
              <w:cnfStyle w:val="100000000000" w:firstRow="1" w:lastRow="0" w:firstColumn="0" w:lastColumn="0" w:oddVBand="0" w:evenVBand="0" w:oddHBand="0" w:evenHBand="0" w:firstRowFirstColumn="0" w:firstRowLastColumn="0" w:lastRowFirstColumn="0" w:lastRowLastColumn="0"/>
            </w:pPr>
            <w:r>
              <w:t>Short rural</w:t>
            </w:r>
          </w:p>
        </w:tc>
      </w:tr>
      <w:tr w:rsidR="00793354" w:rsidRPr="00A946AA" w:rsidTr="00793354">
        <w:trPr>
          <w:trHeight w:val="465"/>
        </w:trPr>
        <w:tc>
          <w:tcPr>
            <w:cnfStyle w:val="001000000000" w:firstRow="0" w:lastRow="0" w:firstColumn="1" w:lastColumn="0" w:oddVBand="0" w:evenVBand="0" w:oddHBand="0" w:evenHBand="0" w:firstRowFirstColumn="0" w:firstRowLastColumn="0" w:lastRowFirstColumn="0" w:lastRowLastColumn="0"/>
            <w:tcW w:w="1241" w:type="pct"/>
            <w:hideMark/>
          </w:tcPr>
          <w:p w:rsidR="00793354" w:rsidRPr="009000AE" w:rsidRDefault="00793354" w:rsidP="00CA747E">
            <w:pPr>
              <w:pStyle w:val="AERtabletextleft"/>
            </w:pPr>
            <w:r w:rsidRPr="00FC12A8">
              <w:t>SAIDI</w:t>
            </w:r>
          </w:p>
        </w:tc>
        <w:tc>
          <w:tcPr>
            <w:tcW w:w="1880" w:type="pct"/>
          </w:tcPr>
          <w:p w:rsidR="00793354" w:rsidRDefault="00793354" w:rsidP="00793354">
            <w:pPr>
              <w:pStyle w:val="AERtabletextleft"/>
              <w:cnfStyle w:val="000000000000" w:firstRow="0" w:lastRow="0" w:firstColumn="0" w:lastColumn="0" w:oddVBand="0" w:evenVBand="0" w:oddHBand="0" w:evenHBand="0" w:firstRowFirstColumn="0" w:firstRowLastColumn="0" w:lastRowFirstColumn="0" w:lastRowLastColumn="0"/>
            </w:pPr>
            <w:r>
              <w:t>0.40317</w:t>
            </w:r>
          </w:p>
        </w:tc>
        <w:tc>
          <w:tcPr>
            <w:tcW w:w="1879" w:type="pct"/>
          </w:tcPr>
          <w:p w:rsidR="00793354" w:rsidRDefault="00793354" w:rsidP="00793354">
            <w:pPr>
              <w:pStyle w:val="AERtabletextleft"/>
              <w:cnfStyle w:val="000000000000" w:firstRow="0" w:lastRow="0" w:firstColumn="0" w:lastColumn="0" w:oddVBand="0" w:evenVBand="0" w:oddHBand="0" w:evenHBand="0" w:firstRowFirstColumn="0" w:firstRowLastColumn="0" w:lastRowFirstColumn="0" w:lastRowLastColumn="0"/>
            </w:pPr>
            <w:r>
              <w:t>0.01843</w:t>
            </w:r>
          </w:p>
        </w:tc>
      </w:tr>
      <w:tr w:rsidR="00793354" w:rsidRPr="00A946AA" w:rsidTr="00793354">
        <w:trPr>
          <w:cnfStyle w:val="000000010000" w:firstRow="0" w:lastRow="0" w:firstColumn="0" w:lastColumn="0" w:oddVBand="0" w:evenVBand="0" w:oddHBand="0" w:evenHBand="1" w:firstRowFirstColumn="0" w:firstRowLastColumn="0" w:lastRowFirstColumn="0" w:lastRowLastColumn="0"/>
          <w:trHeight w:val="465"/>
        </w:trPr>
        <w:tc>
          <w:tcPr>
            <w:cnfStyle w:val="001000000000" w:firstRow="0" w:lastRow="0" w:firstColumn="1" w:lastColumn="0" w:oddVBand="0" w:evenVBand="0" w:oddHBand="0" w:evenHBand="0" w:firstRowFirstColumn="0" w:firstRowLastColumn="0" w:lastRowFirstColumn="0" w:lastRowLastColumn="0"/>
            <w:tcW w:w="1241" w:type="pct"/>
          </w:tcPr>
          <w:p w:rsidR="00793354" w:rsidRPr="009000AE" w:rsidRDefault="00793354" w:rsidP="00CA747E">
            <w:pPr>
              <w:pStyle w:val="AERtabletextleft"/>
            </w:pPr>
            <w:r w:rsidRPr="00FC12A8">
              <w:t>SAIFI</w:t>
            </w:r>
          </w:p>
        </w:tc>
        <w:tc>
          <w:tcPr>
            <w:tcW w:w="1880" w:type="pct"/>
          </w:tcPr>
          <w:p w:rsidR="00793354" w:rsidRDefault="00793354" w:rsidP="00793354">
            <w:pPr>
              <w:pStyle w:val="AERtabletextleft"/>
              <w:cnfStyle w:val="000000010000" w:firstRow="0" w:lastRow="0" w:firstColumn="0" w:lastColumn="0" w:oddVBand="0" w:evenVBand="0" w:oddHBand="0" w:evenHBand="1" w:firstRowFirstColumn="0" w:firstRowLastColumn="0" w:lastRowFirstColumn="0" w:lastRowLastColumn="0"/>
            </w:pPr>
            <w:r>
              <w:t>28.38134</w:t>
            </w:r>
          </w:p>
        </w:tc>
        <w:tc>
          <w:tcPr>
            <w:tcW w:w="1879" w:type="pct"/>
          </w:tcPr>
          <w:p w:rsidR="00793354" w:rsidRDefault="00793354" w:rsidP="00793354">
            <w:pPr>
              <w:pStyle w:val="AERtabletextleft"/>
              <w:cnfStyle w:val="000000010000" w:firstRow="0" w:lastRow="0" w:firstColumn="0" w:lastColumn="0" w:oddVBand="0" w:evenVBand="0" w:oddHBand="0" w:evenHBand="1" w:firstRowFirstColumn="0" w:firstRowLastColumn="0" w:lastRowFirstColumn="0" w:lastRowLastColumn="0"/>
            </w:pPr>
            <w:r>
              <w:t>1.50462</w:t>
            </w:r>
          </w:p>
        </w:tc>
      </w:tr>
      <w:tr w:rsidR="00793354" w:rsidRPr="00A946AA" w:rsidTr="00793354">
        <w:trPr>
          <w:trHeight w:val="465"/>
        </w:trPr>
        <w:tc>
          <w:tcPr>
            <w:cnfStyle w:val="001000000000" w:firstRow="0" w:lastRow="0" w:firstColumn="1" w:lastColumn="0" w:oddVBand="0" w:evenVBand="0" w:oddHBand="0" w:evenHBand="0" w:firstRowFirstColumn="0" w:firstRowLastColumn="0" w:lastRowFirstColumn="0" w:lastRowLastColumn="0"/>
            <w:tcW w:w="1241" w:type="pct"/>
          </w:tcPr>
          <w:p w:rsidR="00793354" w:rsidRPr="009000AE" w:rsidRDefault="00793354" w:rsidP="00CA747E">
            <w:pPr>
              <w:pStyle w:val="AERtabletextleft"/>
            </w:pPr>
            <w:r>
              <w:t>MAIFIe</w:t>
            </w:r>
          </w:p>
        </w:tc>
        <w:tc>
          <w:tcPr>
            <w:tcW w:w="1880" w:type="pct"/>
          </w:tcPr>
          <w:p w:rsidR="00793354" w:rsidRDefault="00793354" w:rsidP="00793354">
            <w:pPr>
              <w:pStyle w:val="AERtabletextleft"/>
              <w:cnfStyle w:val="000000000000" w:firstRow="0" w:lastRow="0" w:firstColumn="0" w:lastColumn="0" w:oddVBand="0" w:evenVBand="0" w:oddHBand="0" w:evenHBand="0" w:firstRowFirstColumn="0" w:firstRowLastColumn="0" w:lastRowFirstColumn="0" w:lastRowLastColumn="0"/>
            </w:pPr>
            <w:r>
              <w:t>2.27051</w:t>
            </w:r>
          </w:p>
        </w:tc>
        <w:tc>
          <w:tcPr>
            <w:tcW w:w="1879" w:type="pct"/>
          </w:tcPr>
          <w:p w:rsidR="00793354" w:rsidRDefault="00793354" w:rsidP="00793354">
            <w:pPr>
              <w:pStyle w:val="AERtabletextleft"/>
              <w:cnfStyle w:val="000000000000" w:firstRow="0" w:lastRow="0" w:firstColumn="0" w:lastColumn="0" w:oddVBand="0" w:evenVBand="0" w:oddHBand="0" w:evenHBand="0" w:firstRowFirstColumn="0" w:firstRowLastColumn="0" w:lastRowFirstColumn="0" w:lastRowLastColumn="0"/>
            </w:pPr>
            <w:r>
              <w:t>0.12037</w:t>
            </w:r>
          </w:p>
        </w:tc>
      </w:tr>
    </w:tbl>
    <w:p w:rsidR="00CA747E" w:rsidRDefault="00CA747E" w:rsidP="00CA747E">
      <w:pPr>
        <w:pStyle w:val="AERtablesource"/>
      </w:pPr>
      <w:r>
        <w:t>Source:</w:t>
      </w:r>
      <w:r>
        <w:tab/>
      </w:r>
      <w:r w:rsidRPr="00C24FC4">
        <w:rPr>
          <w:rStyle w:val="EndnoteReference"/>
          <w:vertAlign w:val="baseline"/>
        </w:rPr>
        <w:t>AER Analysi</w:t>
      </w:r>
      <w:r w:rsidRPr="00C24FC4">
        <w:t>s.</w:t>
      </w:r>
    </w:p>
    <w:p w:rsidR="00793354" w:rsidRDefault="00793354">
      <w:pPr>
        <w:spacing w:line="240" w:lineRule="auto"/>
      </w:pPr>
      <w:r>
        <w:br w:type="page"/>
      </w:r>
    </w:p>
    <w:p w:rsidR="00CA747E" w:rsidRDefault="00CA747E" w:rsidP="00CA747E">
      <w:pPr>
        <w:pStyle w:val="Caption"/>
      </w:pPr>
      <w:bookmarkStart w:id="22" w:name="_Ref429039568"/>
      <w:r>
        <w:lastRenderedPageBreak/>
        <w:t xml:space="preserve">Table </w:t>
      </w:r>
      <w:fldSimple w:instr=" STYLEREF 1 \s ">
        <w:r w:rsidR="00673185">
          <w:rPr>
            <w:noProof/>
          </w:rPr>
          <w:t>11</w:t>
        </w:r>
      </w:fldSimple>
      <w:r w:rsidR="00673185">
        <w:t>.</w:t>
      </w:r>
      <w:fldSimple w:instr=" SEQ Table \* ARABIC \s 1 ">
        <w:r w:rsidR="00673185">
          <w:rPr>
            <w:noProof/>
          </w:rPr>
          <w:t>2</w:t>
        </w:r>
      </w:fldSimple>
      <w:bookmarkEnd w:id="22"/>
      <w:r w:rsidR="007A30CA">
        <w:rPr>
          <w:noProof/>
        </w:rPr>
        <w:tab/>
      </w:r>
      <w:r w:rsidR="008C3A77">
        <w:t xml:space="preserve">AER preliminary decision on </w:t>
      </w:r>
      <w:r>
        <w:t xml:space="preserve">STPIS reliability targets for United Energy </w:t>
      </w:r>
      <w:r w:rsidR="004706C9">
        <w:t xml:space="preserve">for </w:t>
      </w:r>
      <w:r>
        <w:t xml:space="preserve">the 2016–20 </w:t>
      </w:r>
      <w:r w:rsidR="00A70764">
        <w:t>regulatory control period</w:t>
      </w:r>
    </w:p>
    <w:tbl>
      <w:tblPr>
        <w:tblStyle w:val="AERtable-numbers"/>
        <w:tblW w:w="5000" w:type="pct"/>
        <w:tblLook w:val="04A0" w:firstRow="1" w:lastRow="0" w:firstColumn="1" w:lastColumn="0" w:noHBand="0" w:noVBand="1"/>
      </w:tblPr>
      <w:tblGrid>
        <w:gridCol w:w="3769"/>
        <w:gridCol w:w="4924"/>
      </w:tblGrid>
      <w:tr w:rsidR="00CA747E" w:rsidRPr="00670E6D" w:rsidTr="00CA747E">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168" w:type="pct"/>
            <w:hideMark/>
          </w:tcPr>
          <w:p w:rsidR="00CA747E" w:rsidRPr="00670E6D" w:rsidRDefault="00CA747E" w:rsidP="00CA747E">
            <w:pPr>
              <w:pStyle w:val="Tabletext-centred"/>
            </w:pPr>
          </w:p>
        </w:tc>
        <w:tc>
          <w:tcPr>
            <w:tcW w:w="2832" w:type="pct"/>
          </w:tcPr>
          <w:p w:rsidR="00CA747E" w:rsidRPr="009000AE" w:rsidRDefault="008C3A77" w:rsidP="00CA747E">
            <w:pPr>
              <w:pStyle w:val="AERtabletextright"/>
              <w:cnfStyle w:val="100000000000" w:firstRow="1" w:lastRow="0" w:firstColumn="0" w:lastColumn="0" w:oddVBand="0" w:evenVBand="0" w:oddHBand="0" w:evenHBand="0" w:firstRowFirstColumn="0" w:firstRowLastColumn="0" w:lastRowFirstColumn="0" w:lastRowLastColumn="0"/>
            </w:pPr>
            <w:r>
              <w:t>V</w:t>
            </w:r>
            <w:r w:rsidR="00CA747E" w:rsidRPr="009000AE">
              <w:t>alue</w:t>
            </w:r>
          </w:p>
        </w:tc>
      </w:tr>
      <w:tr w:rsidR="00CA747E" w:rsidRPr="00670E6D" w:rsidTr="00CA747E">
        <w:trPr>
          <w:trHeight w:val="465"/>
        </w:trPr>
        <w:tc>
          <w:tcPr>
            <w:cnfStyle w:val="001000000000" w:firstRow="0" w:lastRow="0" w:firstColumn="1" w:lastColumn="0" w:oddVBand="0" w:evenVBand="0" w:oddHBand="0" w:evenHBand="0" w:firstRowFirstColumn="0" w:firstRowLastColumn="0" w:lastRowFirstColumn="0" w:lastRowLastColumn="0"/>
            <w:tcW w:w="2168" w:type="pct"/>
          </w:tcPr>
          <w:p w:rsidR="00CA747E" w:rsidRPr="008C3A77" w:rsidRDefault="00CA747E" w:rsidP="008C3A77">
            <w:pPr>
              <w:rPr>
                <w:rStyle w:val="Strong"/>
              </w:rPr>
            </w:pPr>
            <w:r w:rsidRPr="008C3A77">
              <w:rPr>
                <w:rStyle w:val="Strong"/>
              </w:rPr>
              <w:t>Urban</w:t>
            </w:r>
          </w:p>
        </w:tc>
        <w:tc>
          <w:tcPr>
            <w:tcW w:w="2832" w:type="pct"/>
          </w:tcPr>
          <w:p w:rsidR="00CA747E" w:rsidRPr="009000AE" w:rsidRDefault="00CA747E" w:rsidP="008C3A77">
            <w:pPr>
              <w:cnfStyle w:val="000000000000" w:firstRow="0" w:lastRow="0" w:firstColumn="0" w:lastColumn="0" w:oddVBand="0" w:evenVBand="0" w:oddHBand="0" w:evenHBand="0" w:firstRowFirstColumn="0" w:firstRowLastColumn="0" w:lastRowFirstColumn="0" w:lastRowLastColumn="0"/>
            </w:pPr>
          </w:p>
        </w:tc>
      </w:tr>
      <w:tr w:rsidR="00793354" w:rsidRPr="00670E6D" w:rsidTr="00CA747E">
        <w:trPr>
          <w:cnfStyle w:val="000000010000" w:firstRow="0" w:lastRow="0" w:firstColumn="0" w:lastColumn="0" w:oddVBand="0" w:evenVBand="0" w:oddHBand="0" w:evenHBand="1" w:firstRowFirstColumn="0" w:firstRowLastColumn="0" w:lastRowFirstColumn="0" w:lastRowLastColumn="0"/>
          <w:trHeight w:val="465"/>
        </w:trPr>
        <w:tc>
          <w:tcPr>
            <w:cnfStyle w:val="001000000000" w:firstRow="0" w:lastRow="0" w:firstColumn="1" w:lastColumn="0" w:oddVBand="0" w:evenVBand="0" w:oddHBand="0" w:evenHBand="0" w:firstRowFirstColumn="0" w:firstRowLastColumn="0" w:lastRowFirstColumn="0" w:lastRowLastColumn="0"/>
            <w:tcW w:w="2168" w:type="pct"/>
          </w:tcPr>
          <w:p w:rsidR="00793354" w:rsidRPr="009000AE" w:rsidRDefault="00793354" w:rsidP="008C3A77">
            <w:r w:rsidRPr="009000AE">
              <w:t>SAIDI</w:t>
            </w:r>
          </w:p>
        </w:tc>
        <w:tc>
          <w:tcPr>
            <w:tcW w:w="2832" w:type="pct"/>
          </w:tcPr>
          <w:p w:rsidR="00793354" w:rsidRDefault="00793354" w:rsidP="008C3A77">
            <w:pPr>
              <w:cnfStyle w:val="000000010000" w:firstRow="0" w:lastRow="0" w:firstColumn="0" w:lastColumn="0" w:oddVBand="0" w:evenVBand="0" w:oddHBand="0" w:evenHBand="1" w:firstRowFirstColumn="0" w:firstRowLastColumn="0" w:lastRowFirstColumn="0" w:lastRowLastColumn="0"/>
            </w:pPr>
            <w:r>
              <w:t>61.188</w:t>
            </w:r>
          </w:p>
        </w:tc>
      </w:tr>
      <w:tr w:rsidR="00793354" w:rsidRPr="00670E6D" w:rsidTr="00CA747E">
        <w:trPr>
          <w:trHeight w:val="465"/>
        </w:trPr>
        <w:tc>
          <w:tcPr>
            <w:cnfStyle w:val="001000000000" w:firstRow="0" w:lastRow="0" w:firstColumn="1" w:lastColumn="0" w:oddVBand="0" w:evenVBand="0" w:oddHBand="0" w:evenHBand="0" w:firstRowFirstColumn="0" w:firstRowLastColumn="0" w:lastRowFirstColumn="0" w:lastRowLastColumn="0"/>
            <w:tcW w:w="2168" w:type="pct"/>
          </w:tcPr>
          <w:p w:rsidR="00793354" w:rsidRPr="009000AE" w:rsidRDefault="00793354" w:rsidP="008C3A77">
            <w:r w:rsidRPr="009000AE">
              <w:t>SAIFI</w:t>
            </w:r>
          </w:p>
        </w:tc>
        <w:tc>
          <w:tcPr>
            <w:tcW w:w="2832" w:type="pct"/>
          </w:tcPr>
          <w:p w:rsidR="00793354" w:rsidRDefault="00793354" w:rsidP="008C3A77">
            <w:pPr>
              <w:cnfStyle w:val="000000000000" w:firstRow="0" w:lastRow="0" w:firstColumn="0" w:lastColumn="0" w:oddVBand="0" w:evenVBand="0" w:oddHBand="0" w:evenHBand="0" w:firstRowFirstColumn="0" w:firstRowLastColumn="0" w:lastRowFirstColumn="0" w:lastRowLastColumn="0"/>
            </w:pPr>
            <w:r>
              <w:t>0.896</w:t>
            </w:r>
          </w:p>
        </w:tc>
      </w:tr>
      <w:tr w:rsidR="00793354" w:rsidRPr="00670E6D" w:rsidTr="00CA747E">
        <w:trPr>
          <w:cnfStyle w:val="000000010000" w:firstRow="0" w:lastRow="0" w:firstColumn="0" w:lastColumn="0" w:oddVBand="0" w:evenVBand="0" w:oddHBand="0" w:evenHBand="1" w:firstRowFirstColumn="0" w:firstRowLastColumn="0" w:lastRowFirstColumn="0" w:lastRowLastColumn="0"/>
          <w:trHeight w:val="465"/>
        </w:trPr>
        <w:tc>
          <w:tcPr>
            <w:cnfStyle w:val="001000000000" w:firstRow="0" w:lastRow="0" w:firstColumn="1" w:lastColumn="0" w:oddVBand="0" w:evenVBand="0" w:oddHBand="0" w:evenHBand="0" w:firstRowFirstColumn="0" w:firstRowLastColumn="0" w:lastRowFirstColumn="0" w:lastRowLastColumn="0"/>
            <w:tcW w:w="2168" w:type="pct"/>
          </w:tcPr>
          <w:p w:rsidR="00793354" w:rsidRPr="009000AE" w:rsidRDefault="00793354" w:rsidP="008C3A77">
            <w:r w:rsidRPr="009000AE">
              <w:t>MAIFI</w:t>
            </w:r>
            <w:r>
              <w:t>e</w:t>
            </w:r>
          </w:p>
        </w:tc>
        <w:tc>
          <w:tcPr>
            <w:tcW w:w="2832" w:type="pct"/>
          </w:tcPr>
          <w:p w:rsidR="00793354" w:rsidRDefault="00793354" w:rsidP="008C3A77">
            <w:pPr>
              <w:cnfStyle w:val="000000010000" w:firstRow="0" w:lastRow="0" w:firstColumn="0" w:lastColumn="0" w:oddVBand="0" w:evenVBand="0" w:oddHBand="0" w:evenHBand="1" w:firstRowFirstColumn="0" w:firstRowLastColumn="0" w:lastRowFirstColumn="0" w:lastRowLastColumn="0"/>
            </w:pPr>
            <w:r>
              <w:t>0.918</w:t>
            </w:r>
          </w:p>
        </w:tc>
      </w:tr>
      <w:tr w:rsidR="00793354" w:rsidRPr="008C3A77" w:rsidTr="00CA747E">
        <w:trPr>
          <w:trHeight w:val="465"/>
        </w:trPr>
        <w:tc>
          <w:tcPr>
            <w:cnfStyle w:val="001000000000" w:firstRow="0" w:lastRow="0" w:firstColumn="1" w:lastColumn="0" w:oddVBand="0" w:evenVBand="0" w:oddHBand="0" w:evenHBand="0" w:firstRowFirstColumn="0" w:firstRowLastColumn="0" w:lastRowFirstColumn="0" w:lastRowLastColumn="0"/>
            <w:tcW w:w="2168" w:type="pct"/>
          </w:tcPr>
          <w:p w:rsidR="00793354" w:rsidRPr="008C3A77" w:rsidRDefault="00793354" w:rsidP="008C3A77">
            <w:pPr>
              <w:rPr>
                <w:rStyle w:val="Strong"/>
              </w:rPr>
            </w:pPr>
            <w:r w:rsidRPr="008C3A77">
              <w:rPr>
                <w:rStyle w:val="Strong"/>
              </w:rPr>
              <w:t>Short rural</w:t>
            </w:r>
          </w:p>
        </w:tc>
        <w:tc>
          <w:tcPr>
            <w:tcW w:w="2832" w:type="pct"/>
          </w:tcPr>
          <w:p w:rsidR="00793354" w:rsidRPr="008C3A77" w:rsidRDefault="00793354" w:rsidP="008C3A77">
            <w:pPr>
              <w:cnfStyle w:val="000000000000" w:firstRow="0" w:lastRow="0" w:firstColumn="0" w:lastColumn="0" w:oddVBand="0" w:evenVBand="0" w:oddHBand="0" w:evenHBand="0" w:firstRowFirstColumn="0" w:firstRowLastColumn="0" w:lastRowFirstColumn="0" w:lastRowLastColumn="0"/>
              <w:rPr>
                <w:rStyle w:val="Strong"/>
              </w:rPr>
            </w:pPr>
          </w:p>
        </w:tc>
      </w:tr>
      <w:tr w:rsidR="00793354" w:rsidRPr="00670E6D" w:rsidTr="00CA747E">
        <w:trPr>
          <w:cnfStyle w:val="000000010000" w:firstRow="0" w:lastRow="0" w:firstColumn="0" w:lastColumn="0" w:oddVBand="0" w:evenVBand="0" w:oddHBand="0" w:evenHBand="1" w:firstRowFirstColumn="0" w:firstRowLastColumn="0" w:lastRowFirstColumn="0" w:lastRowLastColumn="0"/>
          <w:trHeight w:val="465"/>
        </w:trPr>
        <w:tc>
          <w:tcPr>
            <w:cnfStyle w:val="001000000000" w:firstRow="0" w:lastRow="0" w:firstColumn="1" w:lastColumn="0" w:oddVBand="0" w:evenVBand="0" w:oddHBand="0" w:evenHBand="0" w:firstRowFirstColumn="0" w:firstRowLastColumn="0" w:lastRowFirstColumn="0" w:lastRowLastColumn="0"/>
            <w:tcW w:w="2168" w:type="pct"/>
          </w:tcPr>
          <w:p w:rsidR="00793354" w:rsidRPr="009000AE" w:rsidRDefault="00793354" w:rsidP="008C3A77">
            <w:r w:rsidRPr="009000AE">
              <w:t>SAIDI</w:t>
            </w:r>
          </w:p>
        </w:tc>
        <w:tc>
          <w:tcPr>
            <w:tcW w:w="2832" w:type="pct"/>
          </w:tcPr>
          <w:p w:rsidR="00793354" w:rsidRDefault="00793354" w:rsidP="008C3A77">
            <w:pPr>
              <w:cnfStyle w:val="000000010000" w:firstRow="0" w:lastRow="0" w:firstColumn="0" w:lastColumn="0" w:oddVBand="0" w:evenVBand="0" w:oddHBand="0" w:evenHBand="1" w:firstRowFirstColumn="0" w:firstRowLastColumn="0" w:lastRowFirstColumn="0" w:lastRowLastColumn="0"/>
            </w:pPr>
            <w:r>
              <w:t>151.602</w:t>
            </w:r>
          </w:p>
        </w:tc>
      </w:tr>
      <w:tr w:rsidR="00793354" w:rsidRPr="00670E6D" w:rsidTr="00CA747E">
        <w:trPr>
          <w:trHeight w:val="465"/>
        </w:trPr>
        <w:tc>
          <w:tcPr>
            <w:cnfStyle w:val="001000000000" w:firstRow="0" w:lastRow="0" w:firstColumn="1" w:lastColumn="0" w:oddVBand="0" w:evenVBand="0" w:oddHBand="0" w:evenHBand="0" w:firstRowFirstColumn="0" w:firstRowLastColumn="0" w:lastRowFirstColumn="0" w:lastRowLastColumn="0"/>
            <w:tcW w:w="2168" w:type="pct"/>
          </w:tcPr>
          <w:p w:rsidR="00793354" w:rsidRPr="009000AE" w:rsidRDefault="00793354" w:rsidP="008C3A77">
            <w:r w:rsidRPr="009000AE">
              <w:t>SAIFI</w:t>
            </w:r>
          </w:p>
        </w:tc>
        <w:tc>
          <w:tcPr>
            <w:tcW w:w="2832" w:type="pct"/>
          </w:tcPr>
          <w:p w:rsidR="00793354" w:rsidRDefault="00793354" w:rsidP="008C3A77">
            <w:pPr>
              <w:cnfStyle w:val="000000000000" w:firstRow="0" w:lastRow="0" w:firstColumn="0" w:lastColumn="0" w:oddVBand="0" w:evenVBand="0" w:oddHBand="0" w:evenHBand="0" w:firstRowFirstColumn="0" w:firstRowLastColumn="0" w:lastRowFirstColumn="0" w:lastRowLastColumn="0"/>
            </w:pPr>
            <w:r>
              <w:t>2.018</w:t>
            </w:r>
          </w:p>
        </w:tc>
      </w:tr>
      <w:tr w:rsidR="00793354" w:rsidRPr="00670E6D" w:rsidTr="00CA747E">
        <w:trPr>
          <w:cnfStyle w:val="000000010000" w:firstRow="0" w:lastRow="0" w:firstColumn="0" w:lastColumn="0" w:oddVBand="0" w:evenVBand="0" w:oddHBand="0" w:evenHBand="1" w:firstRowFirstColumn="0" w:firstRowLastColumn="0" w:lastRowFirstColumn="0" w:lastRowLastColumn="0"/>
          <w:trHeight w:val="465"/>
        </w:trPr>
        <w:tc>
          <w:tcPr>
            <w:cnfStyle w:val="001000000000" w:firstRow="0" w:lastRow="0" w:firstColumn="1" w:lastColumn="0" w:oddVBand="0" w:evenVBand="0" w:oddHBand="0" w:evenHBand="0" w:firstRowFirstColumn="0" w:firstRowLastColumn="0" w:lastRowFirstColumn="0" w:lastRowLastColumn="0"/>
            <w:tcW w:w="2168" w:type="pct"/>
          </w:tcPr>
          <w:p w:rsidR="00793354" w:rsidRPr="009000AE" w:rsidRDefault="00793354" w:rsidP="008C3A77">
            <w:r w:rsidRPr="009000AE">
              <w:t>MAIFI</w:t>
            </w:r>
            <w:r>
              <w:t>e</w:t>
            </w:r>
          </w:p>
        </w:tc>
        <w:tc>
          <w:tcPr>
            <w:tcW w:w="2832" w:type="pct"/>
          </w:tcPr>
          <w:p w:rsidR="00793354" w:rsidRDefault="00793354" w:rsidP="008C3A77">
            <w:pPr>
              <w:cnfStyle w:val="000000010000" w:firstRow="0" w:lastRow="0" w:firstColumn="0" w:lastColumn="0" w:oddVBand="0" w:evenVBand="0" w:oddHBand="0" w:evenHBand="1" w:firstRowFirstColumn="0" w:firstRowLastColumn="0" w:lastRowFirstColumn="0" w:lastRowLastColumn="0"/>
            </w:pPr>
            <w:r>
              <w:t>2.980</w:t>
            </w:r>
          </w:p>
        </w:tc>
      </w:tr>
      <w:tr w:rsidR="00793354" w:rsidRPr="008C3A77" w:rsidTr="00CA747E">
        <w:trPr>
          <w:trHeight w:val="465"/>
        </w:trPr>
        <w:tc>
          <w:tcPr>
            <w:cnfStyle w:val="001000000000" w:firstRow="0" w:lastRow="0" w:firstColumn="1" w:lastColumn="0" w:oddVBand="0" w:evenVBand="0" w:oddHBand="0" w:evenHBand="0" w:firstRowFirstColumn="0" w:firstRowLastColumn="0" w:lastRowFirstColumn="0" w:lastRowLastColumn="0"/>
            <w:tcW w:w="2168" w:type="pct"/>
          </w:tcPr>
          <w:p w:rsidR="00793354" w:rsidRPr="008C3A77" w:rsidRDefault="00793354" w:rsidP="008C3A77">
            <w:pPr>
              <w:rPr>
                <w:rStyle w:val="Strong"/>
              </w:rPr>
            </w:pPr>
            <w:r w:rsidRPr="008C3A77">
              <w:rPr>
                <w:rStyle w:val="Strong"/>
              </w:rPr>
              <w:t>Telephone answering</w:t>
            </w:r>
          </w:p>
        </w:tc>
        <w:tc>
          <w:tcPr>
            <w:tcW w:w="2832" w:type="pct"/>
          </w:tcPr>
          <w:p w:rsidR="00793354" w:rsidRPr="008C3A77" w:rsidRDefault="00793354" w:rsidP="008C3A77">
            <w:pPr>
              <w:cnfStyle w:val="000000000000" w:firstRow="0" w:lastRow="0" w:firstColumn="0" w:lastColumn="0" w:oddVBand="0" w:evenVBand="0" w:oddHBand="0" w:evenHBand="0" w:firstRowFirstColumn="0" w:firstRowLastColumn="0" w:lastRowFirstColumn="0" w:lastRowLastColumn="0"/>
              <w:rPr>
                <w:rStyle w:val="Strong"/>
              </w:rPr>
            </w:pPr>
          </w:p>
        </w:tc>
      </w:tr>
      <w:tr w:rsidR="00793354" w:rsidRPr="00670E6D" w:rsidTr="00CA747E">
        <w:trPr>
          <w:cnfStyle w:val="000000010000" w:firstRow="0" w:lastRow="0" w:firstColumn="0" w:lastColumn="0" w:oddVBand="0" w:evenVBand="0" w:oddHBand="0" w:evenHBand="1" w:firstRowFirstColumn="0" w:firstRowLastColumn="0" w:lastRowFirstColumn="0" w:lastRowLastColumn="0"/>
          <w:trHeight w:val="465"/>
        </w:trPr>
        <w:tc>
          <w:tcPr>
            <w:cnfStyle w:val="001000000000" w:firstRow="0" w:lastRow="0" w:firstColumn="1" w:lastColumn="0" w:oddVBand="0" w:evenVBand="0" w:oddHBand="0" w:evenHBand="0" w:firstRowFirstColumn="0" w:firstRowLastColumn="0" w:lastRowFirstColumn="0" w:lastRowLastColumn="0"/>
            <w:tcW w:w="2168" w:type="pct"/>
          </w:tcPr>
          <w:p w:rsidR="00793354" w:rsidRPr="009000AE" w:rsidRDefault="00793354" w:rsidP="008C3A77">
            <w:r w:rsidRPr="009000AE">
              <w:t>Percentage of calls will be answered within 30 seconds</w:t>
            </w:r>
          </w:p>
        </w:tc>
        <w:tc>
          <w:tcPr>
            <w:tcW w:w="2832" w:type="pct"/>
          </w:tcPr>
          <w:p w:rsidR="00793354" w:rsidRDefault="00793354" w:rsidP="008C3A77">
            <w:pPr>
              <w:cnfStyle w:val="000000010000" w:firstRow="0" w:lastRow="0" w:firstColumn="0" w:lastColumn="0" w:oddVBand="0" w:evenVBand="0" w:oddHBand="0" w:evenHBand="1" w:firstRowFirstColumn="0" w:firstRowLastColumn="0" w:lastRowFirstColumn="0" w:lastRowLastColumn="0"/>
            </w:pPr>
            <w:r>
              <w:t>64.78</w:t>
            </w:r>
          </w:p>
        </w:tc>
      </w:tr>
    </w:tbl>
    <w:p w:rsidR="00CA747E" w:rsidRDefault="00CA747E" w:rsidP="00CA747E">
      <w:pPr>
        <w:pStyle w:val="AERtablesource"/>
      </w:pPr>
      <w:r>
        <w:t xml:space="preserve">Source: </w:t>
      </w:r>
      <w:r>
        <w:tab/>
        <w:t>AER analysis.</w:t>
      </w:r>
    </w:p>
    <w:p w:rsidR="00CA747E" w:rsidRDefault="00CA747E" w:rsidP="00CA747E">
      <w:pPr>
        <w:pStyle w:val="Heading2"/>
      </w:pPr>
      <w:bookmarkStart w:id="23" w:name="_Toc428969715"/>
      <w:bookmarkStart w:id="24" w:name="_Toc403144137"/>
      <w:bookmarkStart w:id="25" w:name="_Toc417479827"/>
      <w:bookmarkStart w:id="26" w:name="_Ref427827994"/>
      <w:bookmarkStart w:id="27" w:name="_Toc433641263"/>
      <w:bookmarkEnd w:id="19"/>
      <w:r>
        <w:t>Our framework and approach paper</w:t>
      </w:r>
      <w:bookmarkEnd w:id="23"/>
      <w:bookmarkEnd w:id="27"/>
    </w:p>
    <w:p w:rsidR="00CA747E" w:rsidRDefault="00CA747E" w:rsidP="00CA747E">
      <w:pPr>
        <w:rPr>
          <w:rStyle w:val="AERbody"/>
        </w:rPr>
      </w:pPr>
      <w:r w:rsidRPr="00C75F23">
        <w:t xml:space="preserve">We are required to set out our likely approach on how </w:t>
      </w:r>
      <w:r>
        <w:t xml:space="preserve">to apply our </w:t>
      </w:r>
      <w:r w:rsidRPr="00C75F23">
        <w:t xml:space="preserve">STPIS in </w:t>
      </w:r>
      <w:r w:rsidR="005A4358">
        <w:t>the</w:t>
      </w:r>
      <w:r w:rsidR="005A4358" w:rsidRPr="00C75F23">
        <w:t xml:space="preserve"> </w:t>
      </w:r>
      <w:r w:rsidRPr="00C75F23">
        <w:t>F&amp;A paper</w:t>
      </w:r>
      <w:r w:rsidRPr="00545D68">
        <w:t>.</w:t>
      </w:r>
      <w:r>
        <w:rPr>
          <w:rStyle w:val="FootnoteReference"/>
        </w:rPr>
        <w:footnoteReference w:id="4"/>
      </w:r>
      <w:r>
        <w:t xml:space="preserve"> </w:t>
      </w:r>
      <w:r w:rsidRPr="00C75F23">
        <w:t>Our final F&amp;A for Victorian electricity distributors proposed to apply our national STPIS to the Victorian businesses but n</w:t>
      </w:r>
      <w:r>
        <w:t>ot apply the guarantee service level (GSL) component.</w:t>
      </w:r>
      <w:r>
        <w:rPr>
          <w:rStyle w:val="FootnoteReference"/>
        </w:rPr>
        <w:footnoteReference w:id="5"/>
      </w:r>
      <w:r>
        <w:t xml:space="preserve"> It also proposed to apply the revised values for VCR through the distribution determination.</w:t>
      </w:r>
      <w:r>
        <w:rPr>
          <w:rStyle w:val="FootnoteReference"/>
        </w:rPr>
        <w:footnoteReference w:id="6"/>
      </w:r>
    </w:p>
    <w:p w:rsidR="00CA747E" w:rsidRDefault="00CA747E" w:rsidP="00CA747E">
      <w:bookmarkStart w:id="28" w:name="_Toc428969716"/>
      <w:r>
        <w:t xml:space="preserve">Our F&amp;A did not specify the application method for the </w:t>
      </w:r>
      <w:r w:rsidRPr="00545D68">
        <w:t>Momentary Average Interruption Frequency Index (MAIFI)</w:t>
      </w:r>
      <w:r>
        <w:t xml:space="preserve"> component of STPIS</w:t>
      </w:r>
      <w:r w:rsidRPr="00545D68">
        <w:t xml:space="preserve">. </w:t>
      </w:r>
      <w:r>
        <w:t xml:space="preserve"> </w:t>
      </w:r>
    </w:p>
    <w:p w:rsidR="00CA747E" w:rsidRPr="00B34302" w:rsidRDefault="00CF36F5" w:rsidP="00CA747E">
      <w:pPr>
        <w:pStyle w:val="Heading2"/>
      </w:pPr>
      <w:bookmarkStart w:id="29" w:name="_Toc433641264"/>
      <w:r>
        <w:t>United Energy</w:t>
      </w:r>
      <w:r w:rsidR="00CA747E" w:rsidRPr="00B34302">
        <w:t>'</w:t>
      </w:r>
      <w:r>
        <w:t>s</w:t>
      </w:r>
      <w:r w:rsidR="00CA747E" w:rsidRPr="00B34302">
        <w:t xml:space="preserve"> </w:t>
      </w:r>
      <w:r>
        <w:t xml:space="preserve">regulatory </w:t>
      </w:r>
      <w:r w:rsidR="00CA747E" w:rsidRPr="00B34302">
        <w:t>proposal</w:t>
      </w:r>
      <w:bookmarkEnd w:id="24"/>
      <w:bookmarkEnd w:id="25"/>
      <w:bookmarkEnd w:id="26"/>
      <w:bookmarkEnd w:id="28"/>
      <w:bookmarkEnd w:id="29"/>
    </w:p>
    <w:p w:rsidR="00CA747E" w:rsidRDefault="00CF36F5" w:rsidP="00CA747E">
      <w:r>
        <w:rPr>
          <w:rStyle w:val="AERbody"/>
        </w:rPr>
        <w:t>United Energy’s</w:t>
      </w:r>
      <w:r w:rsidR="00CA747E" w:rsidRPr="00C75F23">
        <w:rPr>
          <w:rStyle w:val="AERbody"/>
        </w:rPr>
        <w:t xml:space="preserve"> regulatory proposal </w:t>
      </w:r>
      <w:r w:rsidR="00CA747E">
        <w:rPr>
          <w:rStyle w:val="AERbody"/>
        </w:rPr>
        <w:t xml:space="preserve">submitted that we should depart from our F&amp;A position in setting its STPIS for the </w:t>
      </w:r>
      <w:r w:rsidR="008C3A77">
        <w:rPr>
          <w:rStyle w:val="AERbody"/>
        </w:rPr>
        <w:t>2016</w:t>
      </w:r>
      <w:r w:rsidR="008C3A77">
        <w:rPr>
          <w:rStyle w:val="AERbody"/>
          <w:rFonts w:cs="Arial"/>
        </w:rPr>
        <w:t>─</w:t>
      </w:r>
      <w:r w:rsidR="008C3A77">
        <w:rPr>
          <w:rStyle w:val="AERbody"/>
        </w:rPr>
        <w:t>20</w:t>
      </w:r>
      <w:r w:rsidR="00CA747E">
        <w:rPr>
          <w:rStyle w:val="AERbody"/>
        </w:rPr>
        <w:t xml:space="preserve"> regulatory control period. It </w:t>
      </w:r>
      <w:r w:rsidR="00CA747E" w:rsidRPr="00C75F23">
        <w:rPr>
          <w:rStyle w:val="AERbody"/>
        </w:rPr>
        <w:t>raised a number of interrelated issues</w:t>
      </w:r>
      <w:r w:rsidR="00CA747E">
        <w:rPr>
          <w:rStyle w:val="AERbody"/>
        </w:rPr>
        <w:t xml:space="preserve"> for our consideration. Primarily, </w:t>
      </w:r>
      <w:r>
        <w:rPr>
          <w:rStyle w:val="AERbody"/>
        </w:rPr>
        <w:t xml:space="preserve">United Energy </w:t>
      </w:r>
      <w:r w:rsidR="00CA747E">
        <w:rPr>
          <w:rStyle w:val="AERbody"/>
        </w:rPr>
        <w:t>stated that a</w:t>
      </w:r>
      <w:r w:rsidR="00CA747E">
        <w:t xml:space="preserve">pplying a lower VCR to capex has implications on reliability and as such the </w:t>
      </w:r>
      <w:r w:rsidR="00CA747E">
        <w:lastRenderedPageBreak/>
        <w:t>STPIS should be modified to reflect this change. Hence, the STPIS targets should be adjusted accordingly.</w:t>
      </w:r>
      <w:r w:rsidR="00CA747E">
        <w:rPr>
          <w:rStyle w:val="FootnoteReference"/>
        </w:rPr>
        <w:footnoteReference w:id="7"/>
      </w:r>
    </w:p>
    <w:p w:rsidR="00CA747E" w:rsidRDefault="00CF36F5" w:rsidP="00CA747E">
      <w:r>
        <w:t>United Energy’s</w:t>
      </w:r>
      <w:r w:rsidR="00CA747E">
        <w:t xml:space="preserve"> regulatory proposal also submitted that we should</w:t>
      </w:r>
      <w:r w:rsidR="00377029">
        <w:t xml:space="preserve"> </w:t>
      </w:r>
      <w:r w:rsidR="00AF7EF8">
        <w:t xml:space="preserve">apply </w:t>
      </w:r>
      <w:r w:rsidR="00AF7EF8" w:rsidRPr="00AF7EF8">
        <w:t>Momentary Average Interruption Frequency Index even</w:t>
      </w:r>
      <w:r w:rsidR="0019714C">
        <w:t>t</w:t>
      </w:r>
      <w:r w:rsidR="00377029">
        <w:t xml:space="preserve"> </w:t>
      </w:r>
      <w:r w:rsidR="00AF7EF8">
        <w:t>(</w:t>
      </w:r>
      <w:r w:rsidR="00377029">
        <w:t>MAIFI</w:t>
      </w:r>
      <w:r w:rsidR="00462186">
        <w:t>e</w:t>
      </w:r>
      <w:r w:rsidR="00AF7EF8">
        <w:t>)</w:t>
      </w:r>
      <w:r>
        <w:t xml:space="preserve"> as </w:t>
      </w:r>
      <w:r w:rsidR="00AF7EF8">
        <w:t>the measurement method for momentary supply interruptions,</w:t>
      </w:r>
      <w:r w:rsidR="00AF7EF8">
        <w:rPr>
          <w:rStyle w:val="FootnoteReference"/>
        </w:rPr>
        <w:footnoteReference w:id="8"/>
      </w:r>
      <w:r w:rsidR="00AF7EF8">
        <w:t xml:space="preserve"> as well as </w:t>
      </w:r>
      <w:r>
        <w:t>submitt</w:t>
      </w:r>
      <w:r w:rsidR="00AF7EF8">
        <w:t>ing</w:t>
      </w:r>
      <w:r>
        <w:t xml:space="preserve"> several definitional changes to the STPIS for consideration</w:t>
      </w:r>
      <w:r w:rsidR="00CA747E">
        <w:t>.</w:t>
      </w:r>
      <w:r w:rsidR="00CA747E">
        <w:rPr>
          <w:rStyle w:val="FootnoteReference"/>
        </w:rPr>
        <w:footnoteReference w:id="9"/>
      </w:r>
    </w:p>
    <w:p w:rsidR="00CA747E" w:rsidRDefault="00CA747E" w:rsidP="00CA747E">
      <w:r>
        <w:t xml:space="preserve">Section </w:t>
      </w:r>
      <w:r>
        <w:fldChar w:fldCharType="begin"/>
      </w:r>
      <w:r>
        <w:instrText xml:space="preserve"> REF _Ref428435842 \r \h </w:instrText>
      </w:r>
      <w:r>
        <w:fldChar w:fldCharType="separate"/>
      </w:r>
      <w:r w:rsidR="00064AD3">
        <w:t>11.5</w:t>
      </w:r>
      <w:r>
        <w:fldChar w:fldCharType="end"/>
      </w:r>
      <w:r>
        <w:t xml:space="preserve"> </w:t>
      </w:r>
      <w:r w:rsidRPr="007354B7">
        <w:t>below</w:t>
      </w:r>
      <w:r>
        <w:t xml:space="preserve"> sets out our considerations on </w:t>
      </w:r>
      <w:r w:rsidR="008C3A77">
        <w:t>these matters</w:t>
      </w:r>
      <w:r w:rsidRPr="007354B7">
        <w:t>.</w:t>
      </w:r>
      <w:r>
        <w:t xml:space="preserve"> </w:t>
      </w:r>
    </w:p>
    <w:p w:rsidR="00CA747E" w:rsidRPr="00B34302" w:rsidRDefault="00CA747E" w:rsidP="00CA747E">
      <w:pPr>
        <w:pStyle w:val="Heading2"/>
      </w:pPr>
      <w:bookmarkStart w:id="30" w:name="_Toc403144138"/>
      <w:bookmarkStart w:id="31" w:name="_Toc417479828"/>
      <w:bookmarkStart w:id="32" w:name="_Toc428969717"/>
      <w:bookmarkStart w:id="33" w:name="_Toc433641265"/>
      <w:r w:rsidRPr="00B34302">
        <w:t>AER’s assessment approach</w:t>
      </w:r>
      <w:bookmarkEnd w:id="30"/>
      <w:bookmarkEnd w:id="31"/>
      <w:bookmarkEnd w:id="32"/>
      <w:bookmarkEnd w:id="33"/>
    </w:p>
    <w:p w:rsidR="00CA747E" w:rsidRPr="00543215" w:rsidRDefault="00CA747E" w:rsidP="00CA747E">
      <w:r>
        <w:t>We are required to make a decision on how the STPIS is to apply to</w:t>
      </w:r>
      <w:r w:rsidR="00CF36F5">
        <w:t xml:space="preserve"> United Energy</w:t>
      </w:r>
      <w:r>
        <w:t>.</w:t>
      </w:r>
      <w:r>
        <w:rPr>
          <w:rStyle w:val="FootnoteReference"/>
        </w:rPr>
        <w:footnoteReference w:id="10"/>
      </w:r>
      <w:r>
        <w:t xml:space="preserve"> When making a distribution determination, the STPIS requires us to </w:t>
      </w:r>
      <w:r w:rsidRPr="00543215">
        <w:t xml:space="preserve">determine all performance targets, incentive rates, revenue at risk and other parameters </w:t>
      </w:r>
      <w:r>
        <w:t>under</w:t>
      </w:r>
      <w:r w:rsidRPr="00543215">
        <w:t xml:space="preserve"> the scheme</w:t>
      </w:r>
      <w:r>
        <w:t>.</w:t>
      </w:r>
      <w:r>
        <w:rPr>
          <w:rStyle w:val="FootnoteReference"/>
        </w:rPr>
        <w:footnoteReference w:id="11"/>
      </w:r>
    </w:p>
    <w:p w:rsidR="00CA747E" w:rsidRDefault="00CA747E" w:rsidP="00CA747E">
      <w:r>
        <w:t>We</w:t>
      </w:r>
      <w:r w:rsidRPr="00543215">
        <w:t xml:space="preserve"> outlined </w:t>
      </w:r>
      <w:r>
        <w:t xml:space="preserve">our proposed </w:t>
      </w:r>
      <w:r w:rsidRPr="00543215">
        <w:t xml:space="preserve">approach </w:t>
      </w:r>
      <w:r>
        <w:t xml:space="preserve">to, and justification for, </w:t>
      </w:r>
      <w:r w:rsidRPr="00543215">
        <w:t xml:space="preserve">the application of the STPIS in </w:t>
      </w:r>
      <w:r>
        <w:t>our</w:t>
      </w:r>
      <w:r w:rsidRPr="00543215">
        <w:t xml:space="preserve"> </w:t>
      </w:r>
      <w:r w:rsidR="00E536C9">
        <w:t>framework and approach</w:t>
      </w:r>
      <w:r>
        <w:t xml:space="preserve"> </w:t>
      </w:r>
      <w:r w:rsidRPr="00543215">
        <w:t xml:space="preserve">paper for </w:t>
      </w:r>
      <w:r>
        <w:t>Victorian electricity distributors</w:t>
      </w:r>
      <w:r w:rsidRPr="00543215">
        <w:t xml:space="preserve">. </w:t>
      </w:r>
      <w:r>
        <w:t xml:space="preserve">Our preliminary decision </w:t>
      </w:r>
      <w:r w:rsidRPr="00543215">
        <w:t xml:space="preserve">has adopted the position in the </w:t>
      </w:r>
      <w:r>
        <w:t>F&amp;A</w:t>
      </w:r>
      <w:r w:rsidRPr="00543215">
        <w:t xml:space="preserve"> paper, unless new information has become available or new arguments have been </w:t>
      </w:r>
      <w:r>
        <w:t xml:space="preserve">put </w:t>
      </w:r>
      <w:r w:rsidRPr="00543215">
        <w:t>forward which warrant</w:t>
      </w:r>
      <w:r w:rsidR="00327E94">
        <w:t>s</w:t>
      </w:r>
      <w:r w:rsidRPr="00543215">
        <w:t xml:space="preserve"> a reconsideration of this position. </w:t>
      </w:r>
      <w:r>
        <w:t>We have considered material</w:t>
      </w:r>
      <w:r w:rsidR="00327E94">
        <w:t>s</w:t>
      </w:r>
      <w:r>
        <w:t xml:space="preserve"> submitted to us by </w:t>
      </w:r>
      <w:r w:rsidR="00CF36F5">
        <w:t>United Energy</w:t>
      </w:r>
      <w:r>
        <w:t xml:space="preserve"> and by stakeholders</w:t>
      </w:r>
      <w:r w:rsidR="006D4129">
        <w:t>.</w:t>
      </w:r>
      <w:r w:rsidR="006D4129">
        <w:rPr>
          <w:rStyle w:val="FootnoteReference"/>
        </w:rPr>
        <w:footnoteReference w:id="12"/>
      </w:r>
      <w:r w:rsidRPr="00543215">
        <w:t xml:space="preserve"> </w:t>
      </w:r>
    </w:p>
    <w:p w:rsidR="00CA747E" w:rsidRDefault="00CA747E" w:rsidP="00CA747E">
      <w:pPr>
        <w:pStyle w:val="Heading3"/>
      </w:pPr>
      <w:bookmarkStart w:id="34" w:name="_Toc415040783"/>
      <w:bookmarkStart w:id="35" w:name="_Toc417479829"/>
      <w:bookmarkStart w:id="36" w:name="_Toc428969718"/>
      <w:bookmarkStart w:id="37" w:name="_Toc433641266"/>
      <w:r>
        <w:t>Interrelationship</w:t>
      </w:r>
      <w:bookmarkEnd w:id="34"/>
      <w:bookmarkEnd w:id="35"/>
      <w:bookmarkEnd w:id="36"/>
      <w:r w:rsidR="008C3A77">
        <w:t>s</w:t>
      </w:r>
      <w:bookmarkEnd w:id="37"/>
    </w:p>
    <w:p w:rsidR="00CA747E" w:rsidRPr="003861C2" w:rsidRDefault="00CA747E" w:rsidP="00CA747E">
      <w:r w:rsidRPr="003861C2">
        <w:t>In applying the STPIS we must consider any other incentives available to the distributor under the NER or relevant distribution determination</w:t>
      </w:r>
      <w:r w:rsidRPr="002204A1">
        <w:rPr>
          <w:rStyle w:val="AERbody"/>
        </w:rPr>
        <w:t>.</w:t>
      </w:r>
      <w:r>
        <w:rPr>
          <w:rStyle w:val="FootnoteReference"/>
        </w:rPr>
        <w:footnoteReference w:id="13"/>
      </w:r>
      <w:r w:rsidRPr="002204A1">
        <w:rPr>
          <w:rStyle w:val="AERbody"/>
        </w:rPr>
        <w:t xml:space="preserve"> </w:t>
      </w:r>
      <w:r w:rsidRPr="003861C2">
        <w:t>One of the objectives of the STPIS is to ensure that the incentives are sufficient to offset any financial incentives the distributor may have to reduce costs at the expense of service levels.</w:t>
      </w:r>
      <w:r>
        <w:rPr>
          <w:rStyle w:val="FootnoteReference"/>
        </w:rPr>
        <w:footnoteReference w:id="14"/>
      </w:r>
      <w:r w:rsidRPr="003861C2">
        <w:t xml:space="preserve"> For the 201</w:t>
      </w:r>
      <w:r>
        <w:t>6</w:t>
      </w:r>
      <w:r w:rsidRPr="003861C2">
        <w:t>–20 regulatory control period, the STPIS will interact with the Capital Expenditure Sharing Scheme (CESS) and the opex Expenditure Benefit Sharing Scheme (EBSS).</w:t>
      </w:r>
    </w:p>
    <w:p w:rsidR="00CA747E" w:rsidRPr="002204A1" w:rsidRDefault="00CA747E" w:rsidP="00CA747E">
      <w:pPr>
        <w:rPr>
          <w:rStyle w:val="AERbody"/>
        </w:rPr>
      </w:pPr>
      <w:r w:rsidRPr="002204A1">
        <w:rPr>
          <w:rStyle w:val="AERbody"/>
        </w:rPr>
        <w:t>The rewards and penalties amounts under STPIS</w:t>
      </w:r>
      <w:r w:rsidR="00121985">
        <w:rPr>
          <w:rStyle w:val="AERbody"/>
        </w:rPr>
        <w:t xml:space="preserve"> (the incentives rates)</w:t>
      </w:r>
      <w:r w:rsidRPr="002204A1">
        <w:rPr>
          <w:rStyle w:val="AERbody"/>
        </w:rPr>
        <w:t xml:space="preserve"> are determined based on the average customer value </w:t>
      </w:r>
      <w:r>
        <w:rPr>
          <w:rStyle w:val="AERbody"/>
        </w:rPr>
        <w:t>for</w:t>
      </w:r>
      <w:r w:rsidRPr="002204A1">
        <w:rPr>
          <w:rStyle w:val="AERbody"/>
        </w:rPr>
        <w:t xml:space="preserve"> the improvement, or otherwise, to supply </w:t>
      </w:r>
      <w:r w:rsidRPr="002204A1">
        <w:rPr>
          <w:rStyle w:val="AERbody"/>
        </w:rPr>
        <w:lastRenderedPageBreak/>
        <w:t>reliability</w:t>
      </w:r>
      <w:r w:rsidR="00370AEA">
        <w:rPr>
          <w:rStyle w:val="AERbody"/>
        </w:rPr>
        <w:t xml:space="preserve"> </w:t>
      </w:r>
      <w:r w:rsidRPr="002204A1">
        <w:rPr>
          <w:rStyle w:val="AERbody"/>
        </w:rPr>
        <w:t xml:space="preserve">(the VCR). This </w:t>
      </w:r>
      <w:r>
        <w:rPr>
          <w:rStyle w:val="AERbody"/>
        </w:rPr>
        <w:t>is aimed at</w:t>
      </w:r>
      <w:r w:rsidRPr="002204A1">
        <w:rPr>
          <w:rStyle w:val="AERbody"/>
        </w:rPr>
        <w:t xml:space="preserve"> ensur</w:t>
      </w:r>
      <w:r>
        <w:rPr>
          <w:rStyle w:val="AERbody"/>
        </w:rPr>
        <w:t>ing</w:t>
      </w:r>
      <w:r w:rsidRPr="002204A1">
        <w:rPr>
          <w:rStyle w:val="AERbody"/>
        </w:rPr>
        <w:t xml:space="preserve"> that the distributor’s operational and investment strategies are consistent with customers’ value </w:t>
      </w:r>
      <w:r>
        <w:rPr>
          <w:rStyle w:val="AERbody"/>
        </w:rPr>
        <w:t>for</w:t>
      </w:r>
      <w:r w:rsidRPr="002204A1">
        <w:rPr>
          <w:rStyle w:val="AERbody"/>
        </w:rPr>
        <w:t xml:space="preserve"> the service</w:t>
      </w:r>
      <w:r>
        <w:rPr>
          <w:rStyle w:val="AERbody"/>
        </w:rPr>
        <w:t>s that are offered</w:t>
      </w:r>
      <w:r w:rsidRPr="002204A1">
        <w:rPr>
          <w:rStyle w:val="AERbody"/>
        </w:rPr>
        <w:t xml:space="preserve"> </w:t>
      </w:r>
      <w:r>
        <w:rPr>
          <w:rStyle w:val="AERbody"/>
        </w:rPr>
        <w:t>to them.</w:t>
      </w:r>
    </w:p>
    <w:p w:rsidR="00CA747E" w:rsidRDefault="00CA747E" w:rsidP="00CA747E">
      <w:pPr>
        <w:rPr>
          <w:rStyle w:val="AERbody"/>
        </w:rPr>
      </w:pPr>
      <w:r>
        <w:rPr>
          <w:rStyle w:val="AERbody"/>
        </w:rPr>
        <w:t>Our</w:t>
      </w:r>
      <w:r w:rsidRPr="002204A1">
        <w:rPr>
          <w:rStyle w:val="AERbody"/>
        </w:rPr>
        <w:t xml:space="preserve"> capex and opex allowances are</w:t>
      </w:r>
      <w:r>
        <w:rPr>
          <w:rStyle w:val="AERbody"/>
        </w:rPr>
        <w:t xml:space="preserve"> </w:t>
      </w:r>
      <w:r>
        <w:t xml:space="preserve">set to reasonably </w:t>
      </w:r>
      <w:r w:rsidRPr="00E47342">
        <w:t>reflect the expenditures required by a</w:t>
      </w:r>
      <w:r>
        <w:t xml:space="preserve"> prudent</w:t>
      </w:r>
      <w:r w:rsidRPr="00E47342">
        <w:t xml:space="preserve"> </w:t>
      </w:r>
      <w:r>
        <w:t xml:space="preserve">and </w:t>
      </w:r>
      <w:r w:rsidRPr="00E47342">
        <w:t xml:space="preserve">efficient business to </w:t>
      </w:r>
      <w:r>
        <w:t xml:space="preserve">achieve the capex and opex objectives. These include complying with all applicable regulatory </w:t>
      </w:r>
      <w:r w:rsidRPr="00E47342">
        <w:t>obligations</w:t>
      </w:r>
      <w:r>
        <w:t xml:space="preserve"> and requirements and, in the absence of such obligations, </w:t>
      </w:r>
      <w:r w:rsidRPr="00E47342">
        <w:t xml:space="preserve">maintaining </w:t>
      </w:r>
      <w:r>
        <w:t xml:space="preserve">quality, </w:t>
      </w:r>
      <w:r w:rsidRPr="00E47342">
        <w:t>reliability, and security outcomes</w:t>
      </w:r>
      <w:r>
        <w:t>.</w:t>
      </w:r>
      <w:r w:rsidRPr="002204A1">
        <w:rPr>
          <w:rStyle w:val="AERbody"/>
        </w:rPr>
        <w:t xml:space="preserve"> </w:t>
      </w:r>
    </w:p>
    <w:p w:rsidR="00CA747E" w:rsidRPr="002204A1" w:rsidRDefault="00CA747E" w:rsidP="00CA747E">
      <w:pPr>
        <w:rPr>
          <w:rStyle w:val="AERbody"/>
        </w:rPr>
      </w:pPr>
      <w:r>
        <w:rPr>
          <w:rStyle w:val="AERbody"/>
        </w:rPr>
        <w:t>T</w:t>
      </w:r>
      <w:r w:rsidRPr="002204A1">
        <w:rPr>
          <w:rStyle w:val="AERbody"/>
        </w:rPr>
        <w:t xml:space="preserve">he STPIS </w:t>
      </w:r>
      <w:r>
        <w:rPr>
          <w:rStyle w:val="AERbody"/>
        </w:rPr>
        <w:t xml:space="preserve">on the other hand provides an incentive for distributors to invest in further reliability improvements (via additional </w:t>
      </w:r>
      <w:r w:rsidR="009D7088">
        <w:rPr>
          <w:rStyle w:val="AERbody"/>
        </w:rPr>
        <w:t>STIPIS rewards</w:t>
      </w:r>
      <w:r>
        <w:rPr>
          <w:rStyle w:val="AERbody"/>
        </w:rPr>
        <w:t xml:space="preserve">) where customers are willing to pay for it. Conversely, the STPIS penalises distributors where they let reliability deteriorate. </w:t>
      </w:r>
      <w:r w:rsidRPr="002204A1">
        <w:rPr>
          <w:rStyle w:val="AERbody"/>
        </w:rPr>
        <w:t>Importantly, the distributor will only receive a financial reward</w:t>
      </w:r>
      <w:r>
        <w:rPr>
          <w:rStyle w:val="AERbody"/>
        </w:rPr>
        <w:t xml:space="preserve"> </w:t>
      </w:r>
      <w:r w:rsidRPr="002204A1">
        <w:rPr>
          <w:rStyle w:val="AERbody"/>
        </w:rPr>
        <w:t xml:space="preserve">after actual improvements are delivered to the customers. </w:t>
      </w:r>
    </w:p>
    <w:p w:rsidR="00CA747E" w:rsidRPr="002204A1" w:rsidRDefault="00CA747E" w:rsidP="00CA747E">
      <w:pPr>
        <w:rPr>
          <w:rStyle w:val="AERbody"/>
        </w:rPr>
      </w:pPr>
      <w:r w:rsidRPr="002204A1">
        <w:rPr>
          <w:rStyle w:val="AERbody"/>
        </w:rPr>
        <w:t xml:space="preserve">In conjunction with CESS and EBSS, the </w:t>
      </w:r>
      <w:r>
        <w:rPr>
          <w:rStyle w:val="AERbody"/>
        </w:rPr>
        <w:t>STPIS</w:t>
      </w:r>
      <w:r w:rsidRPr="002204A1">
        <w:rPr>
          <w:rStyle w:val="AERbody"/>
        </w:rPr>
        <w:t xml:space="preserve"> will ensure that:</w:t>
      </w:r>
    </w:p>
    <w:p w:rsidR="00CA747E" w:rsidRPr="003861C2" w:rsidRDefault="00CA747E" w:rsidP="00CA747E">
      <w:pPr>
        <w:pStyle w:val="AERbulletlistfirststyle"/>
        <w:rPr>
          <w:rStyle w:val="AERbody"/>
        </w:rPr>
      </w:pPr>
      <w:r w:rsidRPr="002204A1">
        <w:rPr>
          <w:rStyle w:val="AERbody"/>
        </w:rPr>
        <w:tab/>
      </w:r>
      <w:r w:rsidRPr="003861C2">
        <w:rPr>
          <w:rStyle w:val="AERbody"/>
        </w:rPr>
        <w:t>any additional investments to improve reliability are based on prudent economic decisions</w:t>
      </w:r>
    </w:p>
    <w:p w:rsidR="00CA747E" w:rsidRDefault="00CA747E" w:rsidP="00CA747E">
      <w:pPr>
        <w:pStyle w:val="AERbulletlistfirststyle"/>
        <w:rPr>
          <w:rStyle w:val="AERbody"/>
        </w:rPr>
      </w:pPr>
      <w:r w:rsidRPr="003861C2">
        <w:rPr>
          <w:rStyle w:val="AERbody"/>
        </w:rPr>
        <w:tab/>
        <w:t>reductions in capex  and opex are achieved efficiently, rather than at the expense of service levels to customers.</w:t>
      </w:r>
    </w:p>
    <w:p w:rsidR="00CA747E" w:rsidRPr="00B34302" w:rsidRDefault="00CA747E" w:rsidP="00CA747E">
      <w:pPr>
        <w:pStyle w:val="Heading2"/>
      </w:pPr>
      <w:bookmarkStart w:id="38" w:name="_Toc403144140"/>
      <w:bookmarkStart w:id="39" w:name="_Toc417479830"/>
      <w:bookmarkStart w:id="40" w:name="_Ref428435842"/>
      <w:bookmarkStart w:id="41" w:name="_Toc428969719"/>
      <w:bookmarkStart w:id="42" w:name="_Toc433641267"/>
      <w:r w:rsidRPr="00B34302">
        <w:t>Reasons for preliminary decision</w:t>
      </w:r>
      <w:bookmarkEnd w:id="38"/>
      <w:bookmarkEnd w:id="39"/>
      <w:bookmarkEnd w:id="40"/>
      <w:bookmarkEnd w:id="41"/>
      <w:bookmarkEnd w:id="42"/>
      <w:r w:rsidRPr="00B34302">
        <w:t xml:space="preserve"> </w:t>
      </w:r>
    </w:p>
    <w:p w:rsidR="00CA747E" w:rsidRDefault="00CA747E" w:rsidP="00CA747E">
      <w:r w:rsidRPr="009C0D52">
        <w:t xml:space="preserve">The following section sets out our </w:t>
      </w:r>
      <w:r>
        <w:t>detailed consideration o</w:t>
      </w:r>
      <w:r w:rsidRPr="009C0D52">
        <w:t>n</w:t>
      </w:r>
      <w:r>
        <w:t>:</w:t>
      </w:r>
    </w:p>
    <w:p w:rsidR="00CA747E" w:rsidRDefault="00CA747E" w:rsidP="00CA747E">
      <w:pPr>
        <w:pStyle w:val="AERbulletlistfirststyle"/>
      </w:pPr>
      <w:r w:rsidRPr="009C0D52">
        <w:t xml:space="preserve">applying the STPIS to </w:t>
      </w:r>
      <w:r w:rsidR="00CF36F5">
        <w:t>United Energy</w:t>
      </w:r>
      <w:r w:rsidRPr="009C0D52">
        <w:t xml:space="preserve"> for the 201</w:t>
      </w:r>
      <w:r>
        <w:t>6</w:t>
      </w:r>
      <w:r w:rsidRPr="009C0D52">
        <w:t>–</w:t>
      </w:r>
      <w:r>
        <w:t>20 regulatory control period</w:t>
      </w:r>
    </w:p>
    <w:p w:rsidR="00CA747E" w:rsidRDefault="00CA747E" w:rsidP="00CA747E">
      <w:pPr>
        <w:pStyle w:val="AERbulletlistfirststyle"/>
      </w:pPr>
      <w:r>
        <w:t xml:space="preserve">transitional matters in the applying the STPIS between regulatory control periods </w:t>
      </w:r>
    </w:p>
    <w:p w:rsidR="00CF36F5" w:rsidRDefault="00CF36F5" w:rsidP="00CA747E">
      <w:pPr>
        <w:pStyle w:val="AERbulletlistfirststyle"/>
      </w:pPr>
      <w:r>
        <w:t>whether MAIFIe should be applied as a parameter in the performance targets</w:t>
      </w:r>
    </w:p>
    <w:p w:rsidR="00CA747E" w:rsidRDefault="00CA747E" w:rsidP="00CA747E">
      <w:pPr>
        <w:pStyle w:val="AERbulletlistfirststyle"/>
      </w:pPr>
      <w:r>
        <w:t>whether we should adjust the STPIS performance targets for potential bush fire related expenditure</w:t>
      </w:r>
    </w:p>
    <w:p w:rsidR="00CA747E" w:rsidRDefault="00CA747E" w:rsidP="00CA747E">
      <w:pPr>
        <w:pStyle w:val="AERbulletlistfirststyle"/>
      </w:pPr>
      <w:r>
        <w:t xml:space="preserve">how we will apply the STPIS to </w:t>
      </w:r>
      <w:r w:rsidR="00CF36F5">
        <w:t>United Energy</w:t>
      </w:r>
      <w:r>
        <w:t>.</w:t>
      </w:r>
    </w:p>
    <w:p w:rsidR="00121985" w:rsidRDefault="00121985" w:rsidP="00121985">
      <w:pPr>
        <w:pStyle w:val="Heading2"/>
      </w:pPr>
      <w:bookmarkStart w:id="43" w:name="_Toc433641268"/>
      <w:r>
        <w:t xml:space="preserve">Applying the </w:t>
      </w:r>
      <w:r w:rsidRPr="00BA36D5">
        <w:t>STPIS</w:t>
      </w:r>
      <w:bookmarkEnd w:id="43"/>
    </w:p>
    <w:p w:rsidR="00121985" w:rsidRDefault="00A1268F" w:rsidP="00121985">
      <w:r>
        <w:t>W</w:t>
      </w:r>
      <w:r w:rsidR="00121985">
        <w:t>e will apply the STPIS in accordance with our framework and approach paper to United Energy.</w:t>
      </w:r>
      <w:r w:rsidR="00121985">
        <w:rPr>
          <w:rStyle w:val="FootnoteReference"/>
        </w:rPr>
        <w:footnoteReference w:id="15"/>
      </w:r>
      <w:r>
        <w:t xml:space="preserve"> For the reasons outlined in section </w:t>
      </w:r>
      <w:r>
        <w:fldChar w:fldCharType="begin"/>
      </w:r>
      <w:r>
        <w:instrText xml:space="preserve"> REF _Ref429398071 \r \h </w:instrText>
      </w:r>
      <w:r>
        <w:fldChar w:fldCharType="separate"/>
      </w:r>
      <w:r w:rsidR="00064AD3">
        <w:t>11.7.1</w:t>
      </w:r>
      <w:r>
        <w:fldChar w:fldCharType="end"/>
      </w:r>
      <w:r w:rsidR="001037FA">
        <w:t>,</w:t>
      </w:r>
      <w:r>
        <w:t xml:space="preserve"> we have not accepted United Energy’s proposal to depart from our F&amp;A in applying the STPIS because of a lower VCR.</w:t>
      </w:r>
      <w:r>
        <w:rPr>
          <w:rStyle w:val="FootnoteReference"/>
        </w:rPr>
        <w:footnoteReference w:id="16"/>
      </w:r>
    </w:p>
    <w:p w:rsidR="00793354" w:rsidRDefault="00793354" w:rsidP="00121985"/>
    <w:p w:rsidR="00121985" w:rsidRPr="009C0D52" w:rsidRDefault="00121985" w:rsidP="00121985">
      <w:pPr>
        <w:pStyle w:val="Heading3"/>
      </w:pPr>
      <w:bookmarkStart w:id="44" w:name="_Toc433641269"/>
      <w:r w:rsidRPr="009C0D52">
        <w:lastRenderedPageBreak/>
        <w:t>Revenue at risk</w:t>
      </w:r>
      <w:bookmarkEnd w:id="44"/>
    </w:p>
    <w:p w:rsidR="009F772E" w:rsidRDefault="00121985" w:rsidP="00121985">
      <w:pPr>
        <w:rPr>
          <w:rStyle w:val="AERbody"/>
          <w:b/>
        </w:rPr>
      </w:pPr>
      <w:r w:rsidRPr="005473F3">
        <w:rPr>
          <w:rStyle w:val="AERbody"/>
        </w:rPr>
        <w:t>United Energy's revenue at risk for each regulatory year of the 201</w:t>
      </w:r>
      <w:r>
        <w:rPr>
          <w:rStyle w:val="AERbody"/>
        </w:rPr>
        <w:t>6</w:t>
      </w:r>
      <w:r w:rsidRPr="005473F3">
        <w:rPr>
          <w:rStyle w:val="AERbody"/>
        </w:rPr>
        <w:t xml:space="preserve">–20 regulatory control period will be capped at </w:t>
      </w:r>
      <w:r>
        <w:rPr>
          <w:rStyle w:val="AERbody"/>
          <w:rFonts w:cs="Arial"/>
        </w:rPr>
        <w:t>±</w:t>
      </w:r>
      <w:r>
        <w:rPr>
          <w:rStyle w:val="AERbody"/>
        </w:rPr>
        <w:t xml:space="preserve"> </w:t>
      </w:r>
      <w:r w:rsidRPr="005473F3">
        <w:rPr>
          <w:rStyle w:val="AERbody"/>
        </w:rPr>
        <w:t>5.0 per cent</w:t>
      </w:r>
      <w:r>
        <w:rPr>
          <w:rStyle w:val="AERbody"/>
        </w:rPr>
        <w:t xml:space="preserve"> of </w:t>
      </w:r>
      <w:r w:rsidR="001A273A">
        <w:rPr>
          <w:rStyle w:val="AERbody"/>
        </w:rPr>
        <w:t xml:space="preserve">the annual </w:t>
      </w:r>
      <w:r w:rsidR="00793354">
        <w:rPr>
          <w:rStyle w:val="AERbody"/>
        </w:rPr>
        <w:t xml:space="preserve">allowable </w:t>
      </w:r>
      <w:r w:rsidR="001A273A">
        <w:rPr>
          <w:rStyle w:val="AERbody"/>
        </w:rPr>
        <w:t xml:space="preserve">revenue </w:t>
      </w:r>
      <w:r>
        <w:rPr>
          <w:rStyle w:val="AERbody"/>
        </w:rPr>
        <w:t>as per the scheme standard</w:t>
      </w:r>
      <w:r w:rsidRPr="00994125">
        <w:rPr>
          <w:rStyle w:val="AERbody"/>
          <w:b/>
        </w:rPr>
        <w:t>.</w:t>
      </w:r>
      <w:r w:rsidR="009F772E">
        <w:rPr>
          <w:rStyle w:val="AERbody"/>
          <w:b/>
        </w:rPr>
        <w:t xml:space="preserve"> </w:t>
      </w:r>
      <w:r w:rsidR="009F772E">
        <w:rPr>
          <w:rStyle w:val="AERbody"/>
        </w:rPr>
        <w:t>T</w:t>
      </w:r>
      <w:r w:rsidR="009F772E" w:rsidRPr="00190F80">
        <w:rPr>
          <w:rStyle w:val="AERbody"/>
        </w:rPr>
        <w:t xml:space="preserve">here is </w:t>
      </w:r>
      <w:r w:rsidR="009F772E">
        <w:rPr>
          <w:rStyle w:val="AERbody"/>
        </w:rPr>
        <w:t xml:space="preserve">also </w:t>
      </w:r>
      <w:r w:rsidR="009F772E" w:rsidRPr="00190F80">
        <w:rPr>
          <w:rStyle w:val="AERbody"/>
        </w:rPr>
        <w:t xml:space="preserve">a cap on the revenue at risk of </w:t>
      </w:r>
      <w:r w:rsidR="009F772E" w:rsidRPr="003952F2">
        <w:rPr>
          <w:rStyle w:val="AERbody"/>
        </w:rPr>
        <w:t>±</w:t>
      </w:r>
      <w:r w:rsidR="009F772E">
        <w:rPr>
          <w:rStyle w:val="AERbody"/>
        </w:rPr>
        <w:t xml:space="preserve"> </w:t>
      </w:r>
      <w:r w:rsidR="009F772E" w:rsidRPr="00190F80">
        <w:rPr>
          <w:rStyle w:val="AERbody"/>
        </w:rPr>
        <w:t>0.5</w:t>
      </w:r>
      <w:r w:rsidR="009F772E">
        <w:rPr>
          <w:rStyle w:val="AERbody"/>
        </w:rPr>
        <w:t xml:space="preserve"> per cent</w:t>
      </w:r>
      <w:r w:rsidR="009F772E" w:rsidRPr="00190F80">
        <w:rPr>
          <w:rStyle w:val="AERbody"/>
        </w:rPr>
        <w:t xml:space="preserve"> for the telephone answering parameter.</w:t>
      </w:r>
    </w:p>
    <w:p w:rsidR="00121985" w:rsidRPr="00121985" w:rsidRDefault="00121985" w:rsidP="00121985">
      <w:pPr>
        <w:rPr>
          <w:rStyle w:val="AERbody"/>
        </w:rPr>
      </w:pPr>
      <w:r>
        <w:rPr>
          <w:rStyle w:val="AERbody"/>
        </w:rPr>
        <w:t xml:space="preserve">For the reasons outlined in section </w:t>
      </w:r>
      <w:r>
        <w:rPr>
          <w:rStyle w:val="AERbody"/>
        </w:rPr>
        <w:fldChar w:fldCharType="begin"/>
      </w:r>
      <w:r>
        <w:rPr>
          <w:rStyle w:val="AERbody"/>
        </w:rPr>
        <w:instrText xml:space="preserve"> REF _Ref429397526 \r \h </w:instrText>
      </w:r>
      <w:r>
        <w:rPr>
          <w:rStyle w:val="AERbody"/>
        </w:rPr>
      </w:r>
      <w:r>
        <w:rPr>
          <w:rStyle w:val="AERbody"/>
        </w:rPr>
        <w:fldChar w:fldCharType="separate"/>
      </w:r>
      <w:r w:rsidR="00064AD3">
        <w:rPr>
          <w:rStyle w:val="AERbody"/>
        </w:rPr>
        <w:t>11.7.1</w:t>
      </w:r>
      <w:r>
        <w:rPr>
          <w:rStyle w:val="AERbody"/>
        </w:rPr>
        <w:fldChar w:fldCharType="end"/>
      </w:r>
      <w:r>
        <w:rPr>
          <w:rStyle w:val="AERbody"/>
        </w:rPr>
        <w:t xml:space="preserve">, we have not accepted United Energy’s proposal to depart from our F&amp;A position on the STPIS by modifying </w:t>
      </w:r>
      <w:r w:rsidR="001037FA">
        <w:rPr>
          <w:rStyle w:val="AERbody"/>
        </w:rPr>
        <w:t>the</w:t>
      </w:r>
      <w:r>
        <w:rPr>
          <w:rStyle w:val="AERbody"/>
        </w:rPr>
        <w:t xml:space="preserve"> revenue at risk due to a lower VCR.</w:t>
      </w:r>
      <w:r w:rsidR="001037FA">
        <w:rPr>
          <w:rStyle w:val="FootnoteReference"/>
        </w:rPr>
        <w:footnoteReference w:id="17"/>
      </w:r>
    </w:p>
    <w:p w:rsidR="00121985" w:rsidRDefault="00121985" w:rsidP="00121985">
      <w:pPr>
        <w:rPr>
          <w:rStyle w:val="AERbody"/>
        </w:rPr>
      </w:pPr>
      <w:r w:rsidRPr="005473F3">
        <w:rPr>
          <w:rStyle w:val="AERbody"/>
        </w:rPr>
        <w:t xml:space="preserve">Revenue at risk caps the potential rewards and penalties for United Energy under the STPIS. We consider an incentive of </w:t>
      </w:r>
      <w:r>
        <w:rPr>
          <w:rStyle w:val="AERbody"/>
          <w:rFonts w:cs="Arial"/>
        </w:rPr>
        <w:t>±</w:t>
      </w:r>
      <w:r>
        <w:rPr>
          <w:rStyle w:val="AERbody"/>
        </w:rPr>
        <w:t xml:space="preserve"> 5</w:t>
      </w:r>
      <w:r w:rsidR="00BD1987">
        <w:rPr>
          <w:rStyle w:val="AERbody"/>
        </w:rPr>
        <w:t>.0</w:t>
      </w:r>
      <w:r>
        <w:rPr>
          <w:rStyle w:val="AERbody"/>
        </w:rPr>
        <w:t xml:space="preserve"> </w:t>
      </w:r>
      <w:r w:rsidRPr="005473F3">
        <w:rPr>
          <w:rStyle w:val="AERbody"/>
        </w:rPr>
        <w:t xml:space="preserve">per cent of </w:t>
      </w:r>
      <w:r w:rsidR="001A273A">
        <w:rPr>
          <w:rStyle w:val="AERbody"/>
        </w:rPr>
        <w:t xml:space="preserve">the annual </w:t>
      </w:r>
      <w:r w:rsidR="00793354">
        <w:rPr>
          <w:rStyle w:val="AERbody"/>
        </w:rPr>
        <w:t xml:space="preserve">allowable </w:t>
      </w:r>
      <w:r w:rsidR="001A273A">
        <w:rPr>
          <w:rStyle w:val="AERbody"/>
        </w:rPr>
        <w:t>revenue</w:t>
      </w:r>
      <w:r w:rsidR="00793354">
        <w:rPr>
          <w:rStyle w:val="AERbody"/>
        </w:rPr>
        <w:t xml:space="preserve"> should </w:t>
      </w:r>
      <w:r w:rsidRPr="005473F3">
        <w:rPr>
          <w:rStyle w:val="AERbody"/>
        </w:rPr>
        <w:t xml:space="preserve">balance the risk to both consumers and United Energy and thus better meet the objectives of the STPIS. </w:t>
      </w:r>
    </w:p>
    <w:p w:rsidR="00121985" w:rsidRPr="00B82706" w:rsidRDefault="00121985" w:rsidP="00121985">
      <w:pPr>
        <w:pStyle w:val="Heading3"/>
      </w:pPr>
      <w:bookmarkStart w:id="45" w:name="_Toc433641270"/>
      <w:r w:rsidRPr="00B82706">
        <w:t>Reliability of supply component</w:t>
      </w:r>
      <w:bookmarkEnd w:id="45"/>
    </w:p>
    <w:p w:rsidR="00121985" w:rsidRPr="00DF06C5" w:rsidRDefault="00121985" w:rsidP="008C3A77">
      <w:pPr>
        <w:pStyle w:val="HeadingBoldBlue"/>
      </w:pPr>
      <w:r w:rsidRPr="00DF06C5">
        <w:t>Applica</w:t>
      </w:r>
      <w:r>
        <w:t>ble</w:t>
      </w:r>
      <w:r w:rsidRPr="00DF06C5">
        <w:t xml:space="preserve"> components and parameters </w:t>
      </w:r>
    </w:p>
    <w:p w:rsidR="00121985" w:rsidRDefault="00121985" w:rsidP="00121985">
      <w:r w:rsidRPr="00B82706">
        <w:t>We will apply unplanned SAIDI</w:t>
      </w:r>
      <w:r>
        <w:t>,</w:t>
      </w:r>
      <w:r w:rsidRPr="00B82706">
        <w:t xml:space="preserve"> unplanned SAIFI</w:t>
      </w:r>
      <w:r>
        <w:t xml:space="preserve"> and MAIFIe</w:t>
      </w:r>
      <w:r w:rsidRPr="00B82706">
        <w:t xml:space="preserve"> parameters under the reliability of supply component to </w:t>
      </w:r>
      <w:r>
        <w:t xml:space="preserve">United Energy's urban and short rural feeders </w:t>
      </w:r>
      <w:r w:rsidRPr="00B82706">
        <w:t>for the 201</w:t>
      </w:r>
      <w:r>
        <w:t>6</w:t>
      </w:r>
      <w:r w:rsidRPr="00B82706">
        <w:t>–</w:t>
      </w:r>
      <w:r>
        <w:t>20</w:t>
      </w:r>
      <w:r w:rsidR="008C3A77">
        <w:t xml:space="preserve"> regulatory control period</w:t>
      </w:r>
      <w:r w:rsidRPr="00B82706">
        <w:t>. Unplanned SAIDI measures the sum of the duration of each unplanned sustained customer interruption (in minutes) divided by the total number of distribution customers. Unplanned SAIFI measures the total number of unplanned sustained customer interruptions divided by the total number of distribution customers.</w:t>
      </w:r>
      <w:r>
        <w:t xml:space="preserve"> </w:t>
      </w:r>
      <w:r w:rsidR="005A4746">
        <w:t xml:space="preserve">Under </w:t>
      </w:r>
      <w:r>
        <w:t>MAIFIe</w:t>
      </w:r>
      <w:r w:rsidR="005A4746">
        <w:t>,</w:t>
      </w:r>
      <w:r>
        <w:t xml:space="preserve"> </w:t>
      </w:r>
      <w:r w:rsidR="005A4746" w:rsidRPr="005A4746">
        <w:t>all supply restoration attempts by network switching operations within one minute are treated as one event. If supply is restored within the same minute, the event is counted as 1 momentary interruption. If supply cannot be restored, the event is treated as 1 sustained interruption and zero (0) momentary interruption. This measurement method was previously used under the s-factor scheme of the ESCV</w:t>
      </w:r>
      <w:r w:rsidR="005A4746">
        <w:t>.</w:t>
      </w:r>
    </w:p>
    <w:p w:rsidR="00121985" w:rsidRPr="00B82706" w:rsidRDefault="00121985" w:rsidP="008C3A77">
      <w:pPr>
        <w:pStyle w:val="HeadingBoldBlue"/>
      </w:pPr>
      <w:r>
        <w:t>E</w:t>
      </w:r>
      <w:r w:rsidRPr="00B82706">
        <w:t>xclusions</w:t>
      </w:r>
    </w:p>
    <w:p w:rsidR="00121985" w:rsidRPr="00B82706" w:rsidRDefault="00121985" w:rsidP="00121985">
      <w:r w:rsidRPr="005473F3">
        <w:rPr>
          <w:rStyle w:val="AERbody"/>
        </w:rPr>
        <w:t xml:space="preserve">The STPIS allows certain events to be excluded from the calculation of the </w:t>
      </w:r>
      <w:r w:rsidR="008C3A77">
        <w:rPr>
          <w:rStyle w:val="AERbody"/>
        </w:rPr>
        <w:t>service standard component (</w:t>
      </w:r>
      <w:r w:rsidRPr="005473F3">
        <w:rPr>
          <w:rStyle w:val="AERbody"/>
        </w:rPr>
        <w:t>S-factor</w:t>
      </w:r>
      <w:r w:rsidR="008C3A77">
        <w:rPr>
          <w:rStyle w:val="AERbody"/>
        </w:rPr>
        <w:t>)</w:t>
      </w:r>
      <w:r w:rsidRPr="005473F3">
        <w:rPr>
          <w:rStyle w:val="AERbody"/>
        </w:rPr>
        <w:t xml:space="preserve"> revenue adjustment. These exclusions include the events that are beyond the control of United Energy, such as the effects of transmission network outages and other upstream events. They also exclude the effects of extreme weather events that have the potential to significantly affect United Energy's STPIS performance</w:t>
      </w:r>
      <w:r w:rsidRPr="00B82706">
        <w:t xml:space="preserve">. </w:t>
      </w:r>
    </w:p>
    <w:p w:rsidR="00121985" w:rsidRPr="00B82706" w:rsidRDefault="00121985" w:rsidP="00793354">
      <w:r>
        <w:t xml:space="preserve">United Energy </w:t>
      </w:r>
      <w:r w:rsidRPr="00B82706">
        <w:t xml:space="preserve">proposed to calculate </w:t>
      </w:r>
      <w:r>
        <w:t>the major event day (</w:t>
      </w:r>
      <w:r w:rsidRPr="00B82706">
        <w:t>MED</w:t>
      </w:r>
      <w:r>
        <w:t>)</w:t>
      </w:r>
      <w:r w:rsidRPr="00B82706">
        <w:t xml:space="preserve"> thresholds using</w:t>
      </w:r>
      <w:r w:rsidR="00E536C9">
        <w:t xml:space="preserve"> the</w:t>
      </w:r>
      <w:r w:rsidRPr="00B82706">
        <w:t xml:space="preserve"> 2.5 beta</w:t>
      </w:r>
      <w:r>
        <w:t xml:space="preserve"> </w:t>
      </w:r>
      <w:r w:rsidRPr="00B82706">
        <w:t xml:space="preserve">method </w:t>
      </w:r>
      <w:r>
        <w:t>(</w:t>
      </w:r>
      <w:r w:rsidR="009D7088">
        <w:t xml:space="preserve">but </w:t>
      </w:r>
      <w:r>
        <w:t xml:space="preserve">excluding catastrophic days) </w:t>
      </w:r>
      <w:r w:rsidRPr="00B82706">
        <w:t xml:space="preserve">in accordance with appendix D of </w:t>
      </w:r>
      <w:r w:rsidRPr="00B82706">
        <w:lastRenderedPageBreak/>
        <w:t>the STPIS</w:t>
      </w:r>
      <w:r>
        <w:t xml:space="preserve"> and our framework and approach paper</w:t>
      </w:r>
      <w:r w:rsidRPr="00B82706">
        <w:t>.</w:t>
      </w:r>
      <w:r>
        <w:rPr>
          <w:rStyle w:val="FootnoteReference"/>
        </w:rPr>
        <w:footnoteReference w:id="18"/>
      </w:r>
      <w:r w:rsidRPr="00B82706">
        <w:t xml:space="preserve"> </w:t>
      </w:r>
      <w:r>
        <w:t xml:space="preserve">As stated in section </w:t>
      </w:r>
      <w:r>
        <w:fldChar w:fldCharType="begin"/>
      </w:r>
      <w:r>
        <w:instrText xml:space="preserve"> REF _Ref428460458 \r \h </w:instrText>
      </w:r>
      <w:r w:rsidR="005A4746">
        <w:instrText xml:space="preserve"> \* MERGEFORMAT </w:instrText>
      </w:r>
      <w:r>
        <w:fldChar w:fldCharType="separate"/>
      </w:r>
      <w:r w:rsidR="00064AD3">
        <w:t>11.8.1</w:t>
      </w:r>
      <w:r>
        <w:fldChar w:fldCharType="end"/>
      </w:r>
      <w:r>
        <w:t>, we consider it inappropriate to alter the STPIS to exclude catastrophic events from the definition of MED. Performance target</w:t>
      </w:r>
      <w:r w:rsidRPr="00B82706">
        <w:t>s</w:t>
      </w:r>
    </w:p>
    <w:p w:rsidR="00121985" w:rsidRPr="00C639D9" w:rsidRDefault="00121985" w:rsidP="00121985">
      <w:r>
        <w:t>T</w:t>
      </w:r>
      <w:r w:rsidRPr="00B82706">
        <w:t xml:space="preserve">he STPIS </w:t>
      </w:r>
      <w:r>
        <w:t xml:space="preserve">specifies that the performance targets should be based on the </w:t>
      </w:r>
      <w:r w:rsidRPr="00C639D9">
        <w:t>average performance over the past five</w:t>
      </w:r>
      <w:r>
        <w:t xml:space="preserve"> </w:t>
      </w:r>
      <w:r w:rsidRPr="00C639D9">
        <w:t>regulatory years</w:t>
      </w:r>
      <w:r>
        <w:t xml:space="preserve">. It also states that the performance target must be modified for </w:t>
      </w:r>
      <w:r w:rsidRPr="00C639D9">
        <w:t>any reliability improvements completed or planned where the planned</w:t>
      </w:r>
      <w:r>
        <w:t xml:space="preserve"> </w:t>
      </w:r>
      <w:r w:rsidRPr="00C639D9">
        <w:t>reliability improvements are:</w:t>
      </w:r>
      <w:r>
        <w:rPr>
          <w:rStyle w:val="FootnoteReference"/>
        </w:rPr>
        <w:footnoteReference w:id="19"/>
      </w:r>
    </w:p>
    <w:p w:rsidR="00121985" w:rsidRPr="00C639D9" w:rsidRDefault="00121985" w:rsidP="00121985">
      <w:pPr>
        <w:pStyle w:val="AERbulletlistfirststyle"/>
      </w:pPr>
      <w:r w:rsidRPr="00C639D9">
        <w:t xml:space="preserve">included in the expenditure program proposed by the </w:t>
      </w:r>
      <w:r>
        <w:t>distributor</w:t>
      </w:r>
      <w:r w:rsidRPr="00C639D9">
        <w:t xml:space="preserve"> in its</w:t>
      </w:r>
      <w:r>
        <w:t xml:space="preserve"> </w:t>
      </w:r>
      <w:r w:rsidRPr="00C639D9">
        <w:t>regulatory proposal, or</w:t>
      </w:r>
    </w:p>
    <w:p w:rsidR="00121985" w:rsidRDefault="00121985" w:rsidP="00121985">
      <w:pPr>
        <w:pStyle w:val="AERbulletlistfirststyle"/>
      </w:pPr>
      <w:r w:rsidRPr="00C639D9">
        <w:t xml:space="preserve">proposed by the </w:t>
      </w:r>
      <w:r>
        <w:t>distributor</w:t>
      </w:r>
      <w:r w:rsidRPr="00C639D9">
        <w:t>, and the cost of the improvements is allowed</w:t>
      </w:r>
      <w:r>
        <w:t xml:space="preserve"> </w:t>
      </w:r>
      <w:r w:rsidRPr="00C639D9">
        <w:t xml:space="preserve">by the relevant regulator, in the </w:t>
      </w:r>
      <w:r>
        <w:t>distributor's</w:t>
      </w:r>
      <w:r w:rsidRPr="00C639D9">
        <w:t xml:space="preserve"> previous regulatory</w:t>
      </w:r>
      <w:r>
        <w:t xml:space="preserve"> </w:t>
      </w:r>
      <w:r w:rsidRPr="00C639D9">
        <w:t>proposal or regulatory submission</w:t>
      </w:r>
      <w:r>
        <w:t>, and</w:t>
      </w:r>
    </w:p>
    <w:p w:rsidR="00121985" w:rsidRDefault="00121985" w:rsidP="00121985">
      <w:pPr>
        <w:pStyle w:val="AERbulletlistfirststyle"/>
      </w:pPr>
      <w:r>
        <w:t>expected to result in a material improvement in supply reliability.</w:t>
      </w:r>
    </w:p>
    <w:p w:rsidR="00121985" w:rsidRDefault="00121985" w:rsidP="00121985">
      <w:pPr>
        <w:rPr>
          <w:rStyle w:val="AERbody"/>
        </w:rPr>
      </w:pPr>
      <w:r>
        <w:rPr>
          <w:rStyle w:val="AERbody"/>
        </w:rPr>
        <w:t>United Energy</w:t>
      </w:r>
      <w:r w:rsidRPr="00DE3209">
        <w:rPr>
          <w:rStyle w:val="AERbody"/>
        </w:rPr>
        <w:t xml:space="preserve"> proposed to set the performance targets based on historical averages as per the scheme</w:t>
      </w:r>
      <w:r w:rsidR="00A1268F">
        <w:rPr>
          <w:rStyle w:val="AERbody"/>
        </w:rPr>
        <w:t>,</w:t>
      </w:r>
      <w:r w:rsidRPr="00DE3209">
        <w:rPr>
          <w:rStyle w:val="AERbody"/>
        </w:rPr>
        <w:t xml:space="preserve"> </w:t>
      </w:r>
      <w:r>
        <w:rPr>
          <w:rStyle w:val="AERbody"/>
        </w:rPr>
        <w:t xml:space="preserve">but adjusted </w:t>
      </w:r>
      <w:r w:rsidR="00A1268F">
        <w:rPr>
          <w:rStyle w:val="AERbody"/>
        </w:rPr>
        <w:t>because of the application of a lower VCR for capex planning purposes</w:t>
      </w:r>
      <w:r w:rsidRPr="00DE3209">
        <w:rPr>
          <w:rStyle w:val="AERbody"/>
        </w:rPr>
        <w:t xml:space="preserve">. </w:t>
      </w:r>
      <w:r w:rsidR="00A1268F">
        <w:rPr>
          <w:rStyle w:val="AERbody"/>
        </w:rPr>
        <w:t xml:space="preserve">Our discussion and reasoning about the application of the VCR for the STPIS is outlined in section </w:t>
      </w:r>
      <w:r w:rsidR="00A1268F">
        <w:rPr>
          <w:rStyle w:val="AERbody"/>
        </w:rPr>
        <w:fldChar w:fldCharType="begin"/>
      </w:r>
      <w:r w:rsidR="00A1268F">
        <w:rPr>
          <w:rStyle w:val="AERbody"/>
        </w:rPr>
        <w:instrText xml:space="preserve"> REF _Ref429398273 \r \h </w:instrText>
      </w:r>
      <w:r w:rsidR="00A1268F">
        <w:rPr>
          <w:rStyle w:val="AERbody"/>
        </w:rPr>
      </w:r>
      <w:r w:rsidR="00A1268F">
        <w:rPr>
          <w:rStyle w:val="AERbody"/>
        </w:rPr>
        <w:fldChar w:fldCharType="separate"/>
      </w:r>
      <w:r w:rsidR="00064AD3">
        <w:rPr>
          <w:rStyle w:val="AERbody"/>
        </w:rPr>
        <w:t>11.7.1</w:t>
      </w:r>
      <w:r w:rsidR="00A1268F">
        <w:rPr>
          <w:rStyle w:val="AERbody"/>
        </w:rPr>
        <w:fldChar w:fldCharType="end"/>
      </w:r>
      <w:r w:rsidR="00A1268F">
        <w:rPr>
          <w:rStyle w:val="AERbody"/>
        </w:rPr>
        <w:t xml:space="preserve">. In accordance with our consideration in that section, we </w:t>
      </w:r>
      <w:r w:rsidR="001037FA">
        <w:rPr>
          <w:rStyle w:val="AERbody"/>
        </w:rPr>
        <w:t xml:space="preserve">also </w:t>
      </w:r>
      <w:r w:rsidR="00A1268F">
        <w:rPr>
          <w:rStyle w:val="AERbody"/>
        </w:rPr>
        <w:t xml:space="preserve">have not accepted United Energy’s </w:t>
      </w:r>
      <w:r>
        <w:rPr>
          <w:rStyle w:val="AERbody"/>
        </w:rPr>
        <w:t>proposal</w:t>
      </w:r>
      <w:r w:rsidR="00A1268F">
        <w:rPr>
          <w:rStyle w:val="AERbody"/>
        </w:rPr>
        <w:t xml:space="preserve"> to depart from our F&amp;A and </w:t>
      </w:r>
      <w:r>
        <w:rPr>
          <w:rStyle w:val="AERbody"/>
        </w:rPr>
        <w:t xml:space="preserve">will apply the scheme as is. That is, United Energy’s performance targets will be based on its five years historical average. </w:t>
      </w:r>
    </w:p>
    <w:p w:rsidR="00793354" w:rsidRDefault="00121985" w:rsidP="00A70764">
      <w:r>
        <w:t xml:space="preserve">Consequently, our calculated performance targets for United Energy for the 2016–20 regulatory control period are presented </w:t>
      </w:r>
      <w:r w:rsidR="00673185">
        <w:t>in table 11.</w:t>
      </w:r>
      <w:r w:rsidR="008C3A77">
        <w:t>2 above</w:t>
      </w:r>
      <w:r w:rsidR="00E536C9">
        <w:t>.</w:t>
      </w:r>
    </w:p>
    <w:p w:rsidR="00121985" w:rsidRPr="00574E96" w:rsidRDefault="00121985" w:rsidP="00AE39C9">
      <w:pPr>
        <w:pStyle w:val="Heading3"/>
      </w:pPr>
      <w:bookmarkStart w:id="46" w:name="_Toc433641271"/>
      <w:r w:rsidRPr="00574E96">
        <w:t>Customer service component</w:t>
      </w:r>
      <w:bookmarkEnd w:id="46"/>
    </w:p>
    <w:p w:rsidR="00121985" w:rsidRPr="00574E96" w:rsidRDefault="00121985" w:rsidP="00121985">
      <w:r>
        <w:t>The national</w:t>
      </w:r>
      <w:r w:rsidRPr="00574E96">
        <w:t xml:space="preserve"> STPIS customer service target applicable to</w:t>
      </w:r>
      <w:r>
        <w:t xml:space="preserve"> United Energy</w:t>
      </w:r>
      <w:r w:rsidRPr="00574E96">
        <w:t xml:space="preserve"> is telephone response measured as the number of</w:t>
      </w:r>
      <w:r>
        <w:t xml:space="preserve"> </w:t>
      </w:r>
      <w:r w:rsidRPr="00574E96">
        <w:t>telephone calls answered within 30 seconds. This measure</w:t>
      </w:r>
      <w:r>
        <w:t xml:space="preserve"> </w:t>
      </w:r>
      <w:r w:rsidRPr="00574E96">
        <w:t>is referred to as the telephone Grade of Service (GOS).</w:t>
      </w:r>
    </w:p>
    <w:p w:rsidR="00121985" w:rsidRDefault="00121985" w:rsidP="00121985">
      <w:r>
        <w:t xml:space="preserve">We accept United Energy's customer service targets as it has applied a 5 year historical average to derive them for the </w:t>
      </w:r>
      <w:r w:rsidR="008C3A77">
        <w:t>2016</w:t>
      </w:r>
      <w:r w:rsidR="008C3A77">
        <w:rPr>
          <w:rFonts w:cs="Arial"/>
        </w:rPr>
        <w:t>─</w:t>
      </w:r>
      <w:r w:rsidR="008C3A77">
        <w:t xml:space="preserve">20 </w:t>
      </w:r>
      <w:r>
        <w:t>regulatory control period. This is consistent with our national STPIS.</w:t>
      </w:r>
      <w:r>
        <w:rPr>
          <w:rStyle w:val="FootnoteReference"/>
        </w:rPr>
        <w:footnoteReference w:id="20"/>
      </w:r>
    </w:p>
    <w:p w:rsidR="00121985" w:rsidRPr="007D3DEA" w:rsidRDefault="00121985" w:rsidP="00AE39C9">
      <w:pPr>
        <w:pStyle w:val="Heading3"/>
      </w:pPr>
      <w:bookmarkStart w:id="47" w:name="_Toc433641272"/>
      <w:r w:rsidRPr="007D3DEA">
        <w:t>Incentive rates</w:t>
      </w:r>
      <w:bookmarkEnd w:id="47"/>
    </w:p>
    <w:p w:rsidR="00121985" w:rsidRPr="00E51231" w:rsidRDefault="00121985" w:rsidP="00121985">
      <w:r w:rsidRPr="00E51231">
        <w:t xml:space="preserve">The </w:t>
      </w:r>
      <w:r>
        <w:t>incentive rates applicable to United Energy</w:t>
      </w:r>
      <w:r w:rsidRPr="00E51231">
        <w:t xml:space="preserve"> for the reliability of supply performance parameters of the STPIS have been calculated in accordance with clause 3.2.2 and using the formulae provided as </w:t>
      </w:r>
      <w:r>
        <w:t>a</w:t>
      </w:r>
      <w:r w:rsidRPr="00E51231">
        <w:t>ppendix B of the National STPIS.</w:t>
      </w:r>
      <w:r>
        <w:t xml:space="preserve"> Our preliminary decision of United Energy's incentive rates are at</w:t>
      </w:r>
      <w:r w:rsidR="007A5C67">
        <w:t xml:space="preserve"> </w:t>
      </w:r>
      <w:r w:rsidR="00673185">
        <w:t>Table 11.</w:t>
      </w:r>
      <w:r w:rsidR="008C3A77">
        <w:t>3</w:t>
      </w:r>
      <w:r>
        <w:t xml:space="preserve">. </w:t>
      </w:r>
      <w:r w:rsidRPr="002A3A62">
        <w:t xml:space="preserve">The incentive rate for the </w:t>
      </w:r>
      <w:r>
        <w:lastRenderedPageBreak/>
        <w:t xml:space="preserve">customer service component </w:t>
      </w:r>
      <w:r w:rsidRPr="002A3A62">
        <w:t xml:space="preserve">will be </w:t>
      </w:r>
      <w:r w:rsidR="008C3A77">
        <w:rPr>
          <w:rFonts w:cs="Arial"/>
        </w:rPr>
        <w:t>─</w:t>
      </w:r>
      <w:r w:rsidR="00BD1987">
        <w:t>0.040</w:t>
      </w:r>
      <w:r w:rsidRPr="002A3A62">
        <w:t xml:space="preserve"> per cent per unit of the telephone answering parameter.</w:t>
      </w:r>
      <w:r>
        <w:rPr>
          <w:rStyle w:val="FootnoteReference"/>
        </w:rPr>
        <w:footnoteReference w:id="21"/>
      </w:r>
      <w:r>
        <w:t xml:space="preserve"> </w:t>
      </w:r>
    </w:p>
    <w:p w:rsidR="00121985" w:rsidRPr="00E51231" w:rsidRDefault="00121985" w:rsidP="00121985">
      <w:pPr>
        <w:pStyle w:val="Caption"/>
      </w:pPr>
      <w:bookmarkStart w:id="48" w:name="_Ref429468726"/>
      <w:r>
        <w:t xml:space="preserve">Table </w:t>
      </w:r>
      <w:r w:rsidR="00001E64">
        <w:fldChar w:fldCharType="begin"/>
      </w:r>
      <w:r w:rsidR="00001E64">
        <w:instrText xml:space="preserve"> STYLEREF 1 \s </w:instrText>
      </w:r>
      <w:r w:rsidR="00001E64">
        <w:fldChar w:fldCharType="separate"/>
      </w:r>
      <w:r w:rsidR="00064AD3">
        <w:rPr>
          <w:noProof/>
        </w:rPr>
        <w:t>11</w:t>
      </w:r>
      <w:r w:rsidR="00001E64">
        <w:rPr>
          <w:noProof/>
        </w:rPr>
        <w:fldChar w:fldCharType="end"/>
      </w:r>
      <w:bookmarkEnd w:id="48"/>
      <w:r w:rsidR="00673185">
        <w:t>.</w:t>
      </w:r>
      <w:r w:rsidR="008C3A77">
        <w:t>3</w:t>
      </w:r>
      <w:r w:rsidR="007A30CA">
        <w:rPr>
          <w:noProof/>
        </w:rPr>
        <w:tab/>
      </w:r>
      <w:r w:rsidR="008C3A77">
        <w:t xml:space="preserve">AER preliminary decision on </w:t>
      </w:r>
      <w:r w:rsidR="004706C9">
        <w:t>STPIS i</w:t>
      </w:r>
      <w:r w:rsidR="004706C9" w:rsidRPr="00A946AA">
        <w:t>ncentive rates</w:t>
      </w:r>
      <w:r w:rsidR="004706C9">
        <w:t xml:space="preserve"> for United Energy</w:t>
      </w:r>
      <w:r w:rsidR="004706C9" w:rsidRPr="00A946AA">
        <w:t xml:space="preserve"> </w:t>
      </w:r>
      <w:r w:rsidR="004706C9">
        <w:t xml:space="preserve">for the 2016–20 </w:t>
      </w:r>
      <w:r w:rsidR="00A70764">
        <w:t>regulatory control period</w:t>
      </w:r>
      <w:r w:rsidR="004706C9">
        <w:t xml:space="preserve"> </w:t>
      </w:r>
    </w:p>
    <w:tbl>
      <w:tblPr>
        <w:tblStyle w:val="AERtable-numbers"/>
        <w:tblW w:w="5000" w:type="pct"/>
        <w:tblLook w:val="04A0" w:firstRow="1" w:lastRow="0" w:firstColumn="1" w:lastColumn="0" w:noHBand="0" w:noVBand="1"/>
      </w:tblPr>
      <w:tblGrid>
        <w:gridCol w:w="2948"/>
        <w:gridCol w:w="2876"/>
        <w:gridCol w:w="2869"/>
      </w:tblGrid>
      <w:tr w:rsidR="00121985" w:rsidRPr="00A946AA" w:rsidTr="00793354">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696" w:type="pct"/>
            <w:hideMark/>
          </w:tcPr>
          <w:p w:rsidR="00121985" w:rsidRPr="00E51231" w:rsidRDefault="00121985" w:rsidP="00F33254">
            <w:pPr>
              <w:pStyle w:val="Tabletext-centred"/>
            </w:pPr>
            <w:r w:rsidRPr="00E51231">
              <w:t> </w:t>
            </w:r>
          </w:p>
        </w:tc>
        <w:tc>
          <w:tcPr>
            <w:tcW w:w="1654" w:type="pct"/>
            <w:hideMark/>
          </w:tcPr>
          <w:p w:rsidR="00121985" w:rsidRPr="00E51231" w:rsidRDefault="00121985" w:rsidP="00F33254">
            <w:pPr>
              <w:pStyle w:val="AERtabletextleft"/>
              <w:cnfStyle w:val="100000000000" w:firstRow="1" w:lastRow="0" w:firstColumn="0" w:lastColumn="0" w:oddVBand="0" w:evenVBand="0" w:oddHBand="0" w:evenHBand="0" w:firstRowFirstColumn="0" w:firstRowLastColumn="0" w:lastRowFirstColumn="0" w:lastRowLastColumn="0"/>
            </w:pPr>
            <w:r>
              <w:t>Urban</w:t>
            </w:r>
          </w:p>
        </w:tc>
        <w:tc>
          <w:tcPr>
            <w:tcW w:w="1650" w:type="pct"/>
            <w:hideMark/>
          </w:tcPr>
          <w:p w:rsidR="00121985" w:rsidRPr="00E51231" w:rsidRDefault="00121985" w:rsidP="00F33254">
            <w:pPr>
              <w:pStyle w:val="AERtabletextleft"/>
              <w:cnfStyle w:val="100000000000" w:firstRow="1" w:lastRow="0" w:firstColumn="0" w:lastColumn="0" w:oddVBand="0" w:evenVBand="0" w:oddHBand="0" w:evenHBand="0" w:firstRowFirstColumn="0" w:firstRowLastColumn="0" w:lastRowFirstColumn="0" w:lastRowLastColumn="0"/>
            </w:pPr>
            <w:r>
              <w:t>Short r</w:t>
            </w:r>
            <w:r w:rsidRPr="00E51231">
              <w:t>ural</w:t>
            </w:r>
          </w:p>
        </w:tc>
      </w:tr>
      <w:tr w:rsidR="00793354" w:rsidRPr="00A946AA" w:rsidTr="00793354">
        <w:trPr>
          <w:trHeight w:val="465"/>
        </w:trPr>
        <w:tc>
          <w:tcPr>
            <w:cnfStyle w:val="001000000000" w:firstRow="0" w:lastRow="0" w:firstColumn="1" w:lastColumn="0" w:oddVBand="0" w:evenVBand="0" w:oddHBand="0" w:evenHBand="0" w:firstRowFirstColumn="0" w:firstRowLastColumn="0" w:lastRowFirstColumn="0" w:lastRowLastColumn="0"/>
            <w:tcW w:w="1696" w:type="pct"/>
            <w:hideMark/>
          </w:tcPr>
          <w:p w:rsidR="00793354" w:rsidRPr="00FC12A8" w:rsidRDefault="00793354" w:rsidP="00F33254">
            <w:pPr>
              <w:pStyle w:val="AERtabletextleft"/>
            </w:pPr>
            <w:r w:rsidRPr="00FC12A8">
              <w:t>SAIDI</w:t>
            </w:r>
          </w:p>
        </w:tc>
        <w:tc>
          <w:tcPr>
            <w:tcW w:w="1654" w:type="pct"/>
          </w:tcPr>
          <w:p w:rsidR="00793354" w:rsidRDefault="00793354" w:rsidP="00793354">
            <w:pPr>
              <w:pStyle w:val="AERtabletextright"/>
              <w:cnfStyle w:val="000000000000" w:firstRow="0" w:lastRow="0" w:firstColumn="0" w:lastColumn="0" w:oddVBand="0" w:evenVBand="0" w:oddHBand="0" w:evenHBand="0" w:firstRowFirstColumn="0" w:firstRowLastColumn="0" w:lastRowFirstColumn="0" w:lastRowLastColumn="0"/>
            </w:pPr>
            <w:r>
              <w:t>0.40317</w:t>
            </w:r>
          </w:p>
        </w:tc>
        <w:tc>
          <w:tcPr>
            <w:tcW w:w="1650" w:type="pct"/>
          </w:tcPr>
          <w:p w:rsidR="00793354" w:rsidRDefault="00793354" w:rsidP="00793354">
            <w:pPr>
              <w:pStyle w:val="AERtabletextright"/>
              <w:cnfStyle w:val="000000000000" w:firstRow="0" w:lastRow="0" w:firstColumn="0" w:lastColumn="0" w:oddVBand="0" w:evenVBand="0" w:oddHBand="0" w:evenHBand="0" w:firstRowFirstColumn="0" w:firstRowLastColumn="0" w:lastRowFirstColumn="0" w:lastRowLastColumn="0"/>
            </w:pPr>
            <w:r>
              <w:t>0.01843</w:t>
            </w:r>
          </w:p>
        </w:tc>
      </w:tr>
      <w:tr w:rsidR="00793354" w:rsidRPr="00A946AA" w:rsidTr="00793354">
        <w:trPr>
          <w:cnfStyle w:val="000000010000" w:firstRow="0" w:lastRow="0" w:firstColumn="0" w:lastColumn="0" w:oddVBand="0" w:evenVBand="0" w:oddHBand="0" w:evenHBand="1" w:firstRowFirstColumn="0" w:firstRowLastColumn="0" w:lastRowFirstColumn="0" w:lastRowLastColumn="0"/>
          <w:trHeight w:val="465"/>
        </w:trPr>
        <w:tc>
          <w:tcPr>
            <w:cnfStyle w:val="001000000000" w:firstRow="0" w:lastRow="0" w:firstColumn="1" w:lastColumn="0" w:oddVBand="0" w:evenVBand="0" w:oddHBand="0" w:evenHBand="0" w:firstRowFirstColumn="0" w:firstRowLastColumn="0" w:lastRowFirstColumn="0" w:lastRowLastColumn="0"/>
            <w:tcW w:w="1696" w:type="pct"/>
          </w:tcPr>
          <w:p w:rsidR="00793354" w:rsidRPr="00FC12A8" w:rsidRDefault="00793354" w:rsidP="00F33254">
            <w:pPr>
              <w:pStyle w:val="AERtabletextleft"/>
            </w:pPr>
            <w:r w:rsidRPr="00FC12A8">
              <w:t>SAIFI</w:t>
            </w:r>
          </w:p>
        </w:tc>
        <w:tc>
          <w:tcPr>
            <w:tcW w:w="1654" w:type="pct"/>
          </w:tcPr>
          <w:p w:rsidR="00793354" w:rsidRDefault="00793354" w:rsidP="00793354">
            <w:pPr>
              <w:pStyle w:val="AERtabletextright"/>
              <w:cnfStyle w:val="000000010000" w:firstRow="0" w:lastRow="0" w:firstColumn="0" w:lastColumn="0" w:oddVBand="0" w:evenVBand="0" w:oddHBand="0" w:evenHBand="1" w:firstRowFirstColumn="0" w:firstRowLastColumn="0" w:lastRowFirstColumn="0" w:lastRowLastColumn="0"/>
            </w:pPr>
            <w:r>
              <w:t>28.38134</w:t>
            </w:r>
          </w:p>
        </w:tc>
        <w:tc>
          <w:tcPr>
            <w:tcW w:w="1650" w:type="pct"/>
          </w:tcPr>
          <w:p w:rsidR="00793354" w:rsidRDefault="00793354" w:rsidP="00793354">
            <w:pPr>
              <w:pStyle w:val="AERtabletextright"/>
              <w:cnfStyle w:val="000000010000" w:firstRow="0" w:lastRow="0" w:firstColumn="0" w:lastColumn="0" w:oddVBand="0" w:evenVBand="0" w:oddHBand="0" w:evenHBand="1" w:firstRowFirstColumn="0" w:firstRowLastColumn="0" w:lastRowFirstColumn="0" w:lastRowLastColumn="0"/>
            </w:pPr>
            <w:r>
              <w:t>1.50462</w:t>
            </w:r>
          </w:p>
        </w:tc>
      </w:tr>
      <w:tr w:rsidR="00793354" w:rsidRPr="00A946AA" w:rsidTr="00793354">
        <w:trPr>
          <w:trHeight w:val="465"/>
        </w:trPr>
        <w:tc>
          <w:tcPr>
            <w:cnfStyle w:val="001000000000" w:firstRow="0" w:lastRow="0" w:firstColumn="1" w:lastColumn="0" w:oddVBand="0" w:evenVBand="0" w:oddHBand="0" w:evenHBand="0" w:firstRowFirstColumn="0" w:firstRowLastColumn="0" w:lastRowFirstColumn="0" w:lastRowLastColumn="0"/>
            <w:tcW w:w="1696" w:type="pct"/>
          </w:tcPr>
          <w:p w:rsidR="00793354" w:rsidRPr="00FC12A8" w:rsidRDefault="00793354" w:rsidP="00F33254">
            <w:pPr>
              <w:pStyle w:val="AERtabletextleft"/>
            </w:pPr>
            <w:r>
              <w:t>MAIFIe</w:t>
            </w:r>
          </w:p>
        </w:tc>
        <w:tc>
          <w:tcPr>
            <w:tcW w:w="1654" w:type="pct"/>
          </w:tcPr>
          <w:p w:rsidR="00793354" w:rsidRDefault="00793354" w:rsidP="00793354">
            <w:pPr>
              <w:pStyle w:val="AERtabletextright"/>
              <w:cnfStyle w:val="000000000000" w:firstRow="0" w:lastRow="0" w:firstColumn="0" w:lastColumn="0" w:oddVBand="0" w:evenVBand="0" w:oddHBand="0" w:evenHBand="0" w:firstRowFirstColumn="0" w:firstRowLastColumn="0" w:lastRowFirstColumn="0" w:lastRowLastColumn="0"/>
            </w:pPr>
            <w:r>
              <w:t>2.27051</w:t>
            </w:r>
          </w:p>
        </w:tc>
        <w:tc>
          <w:tcPr>
            <w:tcW w:w="1650" w:type="pct"/>
          </w:tcPr>
          <w:p w:rsidR="00793354" w:rsidRDefault="00793354" w:rsidP="00793354">
            <w:pPr>
              <w:pStyle w:val="AERtabletextright"/>
              <w:cnfStyle w:val="000000000000" w:firstRow="0" w:lastRow="0" w:firstColumn="0" w:lastColumn="0" w:oddVBand="0" w:evenVBand="0" w:oddHBand="0" w:evenHBand="0" w:firstRowFirstColumn="0" w:firstRowLastColumn="0" w:lastRowFirstColumn="0" w:lastRowLastColumn="0"/>
            </w:pPr>
            <w:r>
              <w:t>0.12037</w:t>
            </w:r>
          </w:p>
        </w:tc>
      </w:tr>
    </w:tbl>
    <w:p w:rsidR="00121985" w:rsidRDefault="00121985" w:rsidP="00121985">
      <w:pPr>
        <w:pStyle w:val="AERtablesource"/>
      </w:pPr>
      <w:r w:rsidRPr="004839B3">
        <w:t>Source:</w:t>
      </w:r>
      <w:r w:rsidRPr="004839B3">
        <w:tab/>
      </w:r>
      <w:r w:rsidRPr="004839B3">
        <w:rPr>
          <w:rStyle w:val="EndnoteReference"/>
          <w:vertAlign w:val="baseline"/>
        </w:rPr>
        <w:t>AER Analysis</w:t>
      </w:r>
      <w:r>
        <w:t>.</w:t>
      </w:r>
    </w:p>
    <w:p w:rsidR="001037FA" w:rsidRDefault="001037FA" w:rsidP="001037FA">
      <w:pPr>
        <w:pStyle w:val="Heading2"/>
      </w:pPr>
      <w:bookmarkStart w:id="49" w:name="_Toc433641273"/>
      <w:r>
        <w:t>Reasons for not departing from our F&amp;A</w:t>
      </w:r>
      <w:bookmarkEnd w:id="49"/>
    </w:p>
    <w:p w:rsidR="00CA747E" w:rsidRDefault="00CA747E" w:rsidP="001037FA">
      <w:pPr>
        <w:pStyle w:val="Heading3"/>
      </w:pPr>
      <w:bookmarkStart w:id="50" w:name="_Toc428969720"/>
      <w:bookmarkStart w:id="51" w:name="_Ref429397526"/>
      <w:bookmarkStart w:id="52" w:name="_Ref429397783"/>
      <w:bookmarkStart w:id="53" w:name="_Ref429398071"/>
      <w:bookmarkStart w:id="54" w:name="_Ref429398273"/>
      <w:bookmarkStart w:id="55" w:name="_Toc433641274"/>
      <w:r>
        <w:t>Value of customer reliability</w:t>
      </w:r>
      <w:bookmarkEnd w:id="50"/>
      <w:bookmarkEnd w:id="51"/>
      <w:bookmarkEnd w:id="52"/>
      <w:bookmarkEnd w:id="53"/>
      <w:bookmarkEnd w:id="54"/>
      <w:bookmarkEnd w:id="55"/>
    </w:p>
    <w:p w:rsidR="00CA747E" w:rsidRDefault="00CA747E" w:rsidP="00CA747E">
      <w:r>
        <w:t>The core rational</w:t>
      </w:r>
      <w:r w:rsidR="009D7088">
        <w:t>e</w:t>
      </w:r>
      <w:r>
        <w:t xml:space="preserve"> put forward by </w:t>
      </w:r>
      <w:r w:rsidR="00CF36F5">
        <w:t>United Energy</w:t>
      </w:r>
      <w:r>
        <w:t xml:space="preserve"> to depart from our F&amp;A position on the STPIS revolves around the change in value of customer reliability (VCR). This section will first explain the value of customer reliability in order to conceptualise the issues raised by </w:t>
      </w:r>
      <w:r w:rsidR="00CF36F5">
        <w:t>United Energy</w:t>
      </w:r>
      <w:r>
        <w:t xml:space="preserve"> prior to our consideration of its proposed change. </w:t>
      </w:r>
    </w:p>
    <w:p w:rsidR="00CA747E" w:rsidRDefault="00CA747E" w:rsidP="00CA747E">
      <w:r w:rsidRPr="00086358">
        <w:t xml:space="preserve">The VCR represents, in dollar terms, the willingness of customers to pay for the reliable supply of electricity. The values </w:t>
      </w:r>
      <w:r>
        <w:t xml:space="preserve">are typically derived from customer surveys. </w:t>
      </w:r>
    </w:p>
    <w:p w:rsidR="00CA747E" w:rsidRDefault="00CA747E" w:rsidP="00CA747E">
      <w:r>
        <w:t xml:space="preserve">The outcome of the survey or VCR </w:t>
      </w:r>
      <w:r w:rsidRPr="00086358">
        <w:t xml:space="preserve">can </w:t>
      </w:r>
      <w:r>
        <w:t xml:space="preserve">then </w:t>
      </w:r>
      <w:r w:rsidRPr="00086358">
        <w:t xml:space="preserve">be applied for use in </w:t>
      </w:r>
      <w:r>
        <w:t>incentive</w:t>
      </w:r>
      <w:r w:rsidRPr="00086358">
        <w:t xml:space="preserve"> regulation, planning and operational purposes in the </w:t>
      </w:r>
      <w:r>
        <w:t xml:space="preserve">National Electricity </w:t>
      </w:r>
      <w:r w:rsidRPr="00086358">
        <w:t>M</w:t>
      </w:r>
      <w:r>
        <w:t>arket</w:t>
      </w:r>
      <w:r w:rsidRPr="00086358">
        <w:t>. In network planning, the VCR</w:t>
      </w:r>
      <w:r>
        <w:t xml:space="preserve"> may be</w:t>
      </w:r>
      <w:r w:rsidRPr="00086358">
        <w:t xml:space="preserve"> used by </w:t>
      </w:r>
      <w:r>
        <w:t xml:space="preserve">electricity distributors </w:t>
      </w:r>
      <w:r w:rsidRPr="00086358">
        <w:t>to assess the economic merits of carrying out additional investment in the electricity network. It is therefore important the VCR figures accurately reflect the value of reliability across a range of customers.</w:t>
      </w:r>
      <w:r>
        <w:t xml:space="preserve"> </w:t>
      </w:r>
      <w:r w:rsidR="00603EF2">
        <w:t>The VCR is also used to set the incentive rates under the STIPIS. A lower VCR reduces the rewards and penalties under the scheme, whereas a higher VCR increases them.</w:t>
      </w:r>
    </w:p>
    <w:p w:rsidR="00CA747E" w:rsidRDefault="00CA747E" w:rsidP="00CA747E">
      <w:r w:rsidRPr="008E13D6">
        <w:t>In 2014, the Australian Energy Market Operator (AEMO) carried out a review of the VCR. The intention of this review was to improve the understanding of the level of reliability that customers expect by producing a range of VCR values for residential and business customers across the National Electricity Market.</w:t>
      </w:r>
      <w:r>
        <w:rPr>
          <w:rStyle w:val="FootnoteReference"/>
        </w:rPr>
        <w:footnoteReference w:id="22"/>
      </w:r>
    </w:p>
    <w:p w:rsidR="00CA747E" w:rsidRDefault="00CA747E" w:rsidP="00CA747E">
      <w:r>
        <w:t>As a result of the AEMO review, the Victorian composite VCR was significantly reduced to $39.50 per kWh ($</w:t>
      </w:r>
      <w:r w:rsidR="003E50D7">
        <w:t xml:space="preserve"> </w:t>
      </w:r>
      <w:r>
        <w:t xml:space="preserve">2014), a reduction of approximately 40 per cent, from </w:t>
      </w:r>
      <w:r>
        <w:lastRenderedPageBreak/>
        <w:t>the STPIS scheme specification value of $63.09 per kWh ($</w:t>
      </w:r>
      <w:r w:rsidR="003E50D7">
        <w:t xml:space="preserve"> </w:t>
      </w:r>
      <w:r>
        <w:t>2014). The actual VCR for setting the STPIS incentive rates for the 2011–15 period is $54.92</w:t>
      </w:r>
      <w:r w:rsidR="003E50D7">
        <w:t xml:space="preserve"> per</w:t>
      </w:r>
      <w:r>
        <w:t xml:space="preserve"> kWh.</w:t>
      </w:r>
    </w:p>
    <w:p w:rsidR="00C562B8" w:rsidRDefault="00CA747E" w:rsidP="00CA747E">
      <w:r w:rsidRPr="004319DE">
        <w:t xml:space="preserve">Our F&amp;A paper stated that we will apply the latest VCR in the STPIS for the Victorian electricity distributors. </w:t>
      </w:r>
      <w:r w:rsidR="00CF36F5">
        <w:t>United Energy</w:t>
      </w:r>
      <w:r>
        <w:t>'s</w:t>
      </w:r>
      <w:r w:rsidRPr="004319DE">
        <w:t xml:space="preserve"> regulatory proposal </w:t>
      </w:r>
      <w:r w:rsidR="00C562B8">
        <w:t xml:space="preserve">rejected </w:t>
      </w:r>
      <w:r w:rsidRPr="004319DE">
        <w:t xml:space="preserve">our use of the latest VCR to assess capex </w:t>
      </w:r>
      <w:r w:rsidR="00C562B8">
        <w:t xml:space="preserve">and </w:t>
      </w:r>
      <w:r w:rsidRPr="004319DE">
        <w:t>outlined that</w:t>
      </w:r>
      <w:r w:rsidR="00C562B8">
        <w:t xml:space="preserve"> we should either:</w:t>
      </w:r>
    </w:p>
    <w:p w:rsidR="00C562B8" w:rsidRDefault="00C562B8" w:rsidP="00C562B8">
      <w:pPr>
        <w:pStyle w:val="ListParagraph"/>
      </w:pPr>
      <w:r>
        <w:t>Allow it to use its composite VCR for network planning while applying the STPIS in accordance with the STPIS.</w:t>
      </w:r>
    </w:p>
    <w:p w:rsidR="00CA747E" w:rsidRPr="004319DE" w:rsidRDefault="00C562B8" w:rsidP="00C562B8">
      <w:pPr>
        <w:pStyle w:val="ListParagraph"/>
      </w:pPr>
      <w:r>
        <w:t xml:space="preserve">Not allow it to use its composite VCR for network planning but depart from our F&amp;A STPIS position by relaxing the performance targets and reducing the revenue at risk </w:t>
      </w:r>
      <w:r w:rsidR="00CA747E">
        <w:t>account for a lower</w:t>
      </w:r>
      <w:r w:rsidR="00CA747E" w:rsidRPr="004319DE">
        <w:t xml:space="preserve"> VCR.</w:t>
      </w:r>
      <w:r w:rsidR="00CA747E">
        <w:rPr>
          <w:rStyle w:val="FootnoteReference"/>
        </w:rPr>
        <w:footnoteReference w:id="23"/>
      </w:r>
    </w:p>
    <w:p w:rsidR="00CA747E" w:rsidRDefault="00C562B8" w:rsidP="00CA747E">
      <w:r>
        <w:t>United Energy</w:t>
      </w:r>
      <w:r w:rsidR="00CA747E">
        <w:t xml:space="preserve"> submitted, amongst other things, that if a lower VCR is adopted by us, the reliability of its networks </w:t>
      </w:r>
      <w:r>
        <w:t xml:space="preserve">will deteriorate in the next </w:t>
      </w:r>
      <w:r w:rsidR="00A70764">
        <w:t>regulatory control period</w:t>
      </w:r>
      <w:r w:rsidR="00CA747E">
        <w:t>.</w:t>
      </w:r>
      <w:r w:rsidR="00CA747E">
        <w:rPr>
          <w:rStyle w:val="FootnoteReference"/>
        </w:rPr>
        <w:footnoteReference w:id="24"/>
      </w:r>
    </w:p>
    <w:p w:rsidR="00CA747E" w:rsidRDefault="00CA747E" w:rsidP="00CA747E">
      <w:r>
        <w:t xml:space="preserve">Put simply, </w:t>
      </w:r>
      <w:r w:rsidR="00C562B8">
        <w:t xml:space="preserve">United Energy </w:t>
      </w:r>
      <w:r>
        <w:t>submit</w:t>
      </w:r>
      <w:r w:rsidR="00C562B8">
        <w:t>ted</w:t>
      </w:r>
      <w:r>
        <w:t xml:space="preserve"> that a lower VCR will result in less monetary value being attributed to the energy associated with supply interruptions that cannot be serviced should parts of its networks fail (energy at risk). Hence, augmentation projects will be implemented later than otherwise. It also stated that the lower VCR will also cause replacement capex</w:t>
      </w:r>
      <w:r w:rsidR="008A1866">
        <w:t xml:space="preserve"> (for power transformers)</w:t>
      </w:r>
      <w:r w:rsidRPr="000035AD">
        <w:t xml:space="preserve"> </w:t>
      </w:r>
      <w:r>
        <w:t xml:space="preserve">to </w:t>
      </w:r>
      <w:r w:rsidRPr="000035AD">
        <w:t>b</w:t>
      </w:r>
      <w:r w:rsidR="008A1866">
        <w:t>e deferred</w:t>
      </w:r>
      <w:r w:rsidRPr="000035AD">
        <w:t>.</w:t>
      </w:r>
      <w:r>
        <w:rPr>
          <w:rStyle w:val="FootnoteReference"/>
        </w:rPr>
        <w:footnoteReference w:id="25"/>
      </w:r>
      <w:r>
        <w:t xml:space="preserve">    </w:t>
      </w:r>
    </w:p>
    <w:p w:rsidR="00CA747E" w:rsidRDefault="00CA747E" w:rsidP="00CA747E">
      <w:pPr>
        <w:pStyle w:val="Heading3"/>
      </w:pPr>
      <w:bookmarkStart w:id="56" w:name="_Toc428969721"/>
      <w:bookmarkStart w:id="57" w:name="_Toc433641275"/>
      <w:r>
        <w:t xml:space="preserve">Departing from our F&amp;A </w:t>
      </w:r>
      <w:r w:rsidR="000444C8">
        <w:t>due to VCR</w:t>
      </w:r>
      <w:bookmarkEnd w:id="56"/>
      <w:bookmarkEnd w:id="57"/>
    </w:p>
    <w:p w:rsidR="001037FA" w:rsidRDefault="001037FA" w:rsidP="001037FA">
      <w:r>
        <w:t xml:space="preserve">The STPIS states that performance targets must be based on average performance over the past five regulatory years. However, distributors may seek a variation in targets as long as they are in accordance with the scheme. </w:t>
      </w:r>
    </w:p>
    <w:p w:rsidR="001037FA" w:rsidRPr="001037FA" w:rsidRDefault="001037FA" w:rsidP="00AE39C9">
      <w:r>
        <w:t>United Energy’s regulatory proposal submitted that we should depart from our F&amp;A by modifying its performance targets and revenue at risk to account for a lower VCR for capex planning purposes. It stated that it will defer capex as a result of a lower VCR value. Hence, reliability will be affected due to the capex deferrals.</w:t>
      </w:r>
      <w:r>
        <w:rPr>
          <w:rStyle w:val="FootnoteReference"/>
        </w:rPr>
        <w:footnoteReference w:id="26"/>
      </w:r>
      <w:r>
        <w:t xml:space="preserve">   </w:t>
      </w:r>
    </w:p>
    <w:p w:rsidR="00CA747E" w:rsidRDefault="00CA747E" w:rsidP="00CA747E">
      <w:r>
        <w:t xml:space="preserve">We consider that </w:t>
      </w:r>
      <w:r w:rsidR="008A1866">
        <w:t>United Energy</w:t>
      </w:r>
      <w:r>
        <w:t xml:space="preserve"> has not demonstrated that departing from our F&amp;A position on the application of the STPIS is reasonable or necessary because:</w:t>
      </w:r>
    </w:p>
    <w:p w:rsidR="00CA747E" w:rsidRDefault="00CA747E" w:rsidP="00CA747E">
      <w:pPr>
        <w:pStyle w:val="ListNumber"/>
        <w:numPr>
          <w:ilvl w:val="0"/>
          <w:numId w:val="32"/>
        </w:numPr>
      </w:pPr>
      <w:r w:rsidRPr="00057C43">
        <w:lastRenderedPageBreak/>
        <w:t>The</w:t>
      </w:r>
      <w:r>
        <w:t xml:space="preserve"> VCR has varied between years but there has</w:t>
      </w:r>
      <w:r w:rsidRPr="00057C43">
        <w:t xml:space="preserve"> been no net movement in </w:t>
      </w:r>
      <w:r>
        <w:t xml:space="preserve">its value </w:t>
      </w:r>
      <w:r w:rsidRPr="00057C43">
        <w:t xml:space="preserve">between </w:t>
      </w:r>
      <w:r>
        <w:t>previous (2006–10</w:t>
      </w:r>
      <w:r w:rsidR="00EC1E78">
        <w:t xml:space="preserve"> and 2011–15</w:t>
      </w:r>
      <w:r>
        <w:t>)</w:t>
      </w:r>
      <w:r w:rsidR="00603EF2">
        <w:t xml:space="preserve"> </w:t>
      </w:r>
      <w:r w:rsidR="00A70764">
        <w:t>regulatory control period</w:t>
      </w:r>
      <w:r w:rsidR="00603EF2">
        <w:t>s</w:t>
      </w:r>
      <w:r>
        <w:t xml:space="preserve"> and forthcoming (2016–20) </w:t>
      </w:r>
      <w:r w:rsidRPr="00057C43">
        <w:t xml:space="preserve">regulatory </w:t>
      </w:r>
      <w:r>
        <w:t xml:space="preserve">control </w:t>
      </w:r>
      <w:r w:rsidRPr="00057C43">
        <w:t>period</w:t>
      </w:r>
      <w:r>
        <w:t>s</w:t>
      </w:r>
      <w:r w:rsidRPr="00057C43">
        <w:t>, for the purpose of setting STPIS targets</w:t>
      </w:r>
      <w:r>
        <w:t xml:space="preserve">. That is, the VCR value in 2010 is almost identical to that in 2016.   </w:t>
      </w:r>
    </w:p>
    <w:p w:rsidR="00CA747E" w:rsidRDefault="00CA747E" w:rsidP="00CA747E">
      <w:pPr>
        <w:pStyle w:val="ListNumber"/>
      </w:pPr>
      <w:r>
        <w:t>T</w:t>
      </w:r>
      <w:r w:rsidRPr="00C059C7">
        <w:t xml:space="preserve">here </w:t>
      </w:r>
      <w:r w:rsidR="008A1866">
        <w:t xml:space="preserve">appears to be </w:t>
      </w:r>
      <w:r w:rsidR="00EC1E78">
        <w:t xml:space="preserve">limited or </w:t>
      </w:r>
      <w:r w:rsidR="008A1866">
        <w:t xml:space="preserve">no immediate </w:t>
      </w:r>
      <w:r w:rsidR="00603EF2">
        <w:t xml:space="preserve">or close </w:t>
      </w:r>
      <w:r w:rsidRPr="00C059C7">
        <w:t xml:space="preserve">co-relation between </w:t>
      </w:r>
      <w:r>
        <w:t xml:space="preserve">the </w:t>
      </w:r>
      <w:r w:rsidRPr="00C059C7">
        <w:t xml:space="preserve">VCR and </w:t>
      </w:r>
      <w:r w:rsidR="008A1866">
        <w:t>United Energy</w:t>
      </w:r>
      <w:r>
        <w:t xml:space="preserve"> </w:t>
      </w:r>
      <w:r w:rsidRPr="00C059C7">
        <w:t>reliability outcomes</w:t>
      </w:r>
      <w:r>
        <w:t>.</w:t>
      </w:r>
    </w:p>
    <w:p w:rsidR="00CA747E" w:rsidRDefault="008A1866" w:rsidP="00CA747E">
      <w:pPr>
        <w:pStyle w:val="ListNumber"/>
      </w:pPr>
      <w:r>
        <w:t>United Energy</w:t>
      </w:r>
      <w:r w:rsidR="00CA747E">
        <w:t xml:space="preserve"> did not seek </w:t>
      </w:r>
      <w:r w:rsidR="00603EF2">
        <w:t xml:space="preserve">an upward </w:t>
      </w:r>
      <w:r w:rsidR="00CA747E">
        <w:t xml:space="preserve">adjustment </w:t>
      </w:r>
      <w:r w:rsidR="00603EF2">
        <w:t xml:space="preserve">to tighten </w:t>
      </w:r>
      <w:r w:rsidR="00CA747E">
        <w:t xml:space="preserve">the STPIS targets for the current period (2011–15) when the VCR rose from the previous (2006–10) period. </w:t>
      </w:r>
    </w:p>
    <w:p w:rsidR="00CA747E" w:rsidRPr="001C3617" w:rsidRDefault="00CA747E" w:rsidP="00CA747E">
      <w:pPr>
        <w:rPr>
          <w:rStyle w:val="AERbody"/>
        </w:rPr>
      </w:pPr>
      <w:r w:rsidRPr="001C3617">
        <w:rPr>
          <w:rStyle w:val="AERbody"/>
        </w:rPr>
        <w:t xml:space="preserve">These points are addressed below. </w:t>
      </w:r>
    </w:p>
    <w:p w:rsidR="00CA747E" w:rsidRDefault="00CA747E" w:rsidP="008C3A77">
      <w:pPr>
        <w:pStyle w:val="HeadingBoldBlue"/>
      </w:pPr>
      <w:r>
        <w:t xml:space="preserve">No variation in the VCR between the previous and the forthcoming </w:t>
      </w:r>
      <w:r w:rsidR="00A70764">
        <w:t>regulatory control period</w:t>
      </w:r>
      <w:r>
        <w:t>s</w:t>
      </w:r>
    </w:p>
    <w:p w:rsidR="00CA747E" w:rsidRDefault="00CA747E" w:rsidP="00CA747E">
      <w:r>
        <w:t xml:space="preserve">There has been no net movement in the value of the VCR between the two </w:t>
      </w:r>
      <w:r w:rsidR="00A70764">
        <w:t>regulatory control period</w:t>
      </w:r>
      <w:r>
        <w:t xml:space="preserve">s commencing </w:t>
      </w:r>
      <w:r w:rsidR="00603EF2">
        <w:t xml:space="preserve">in </w:t>
      </w:r>
      <w:r>
        <w:t>2006 (</w:t>
      </w:r>
      <w:proofErr w:type="gramStart"/>
      <w:r>
        <w:t xml:space="preserve">see </w:t>
      </w:r>
      <w:proofErr w:type="gramEnd"/>
      <w:r>
        <w:fldChar w:fldCharType="begin"/>
      </w:r>
      <w:r>
        <w:instrText xml:space="preserve"> REF _Ref428866581 \h </w:instrText>
      </w:r>
      <w:r>
        <w:fldChar w:fldCharType="separate"/>
      </w:r>
      <w:r w:rsidR="00673185">
        <w:rPr>
          <w:b/>
          <w:bCs/>
          <w:lang w:val="en-US"/>
        </w:rPr>
        <w:fldChar w:fldCharType="begin"/>
      </w:r>
      <w:r w:rsidR="00673185">
        <w:instrText xml:space="preserve"> REF _Ref433522440 \h </w:instrText>
      </w:r>
      <w:r w:rsidR="00673185">
        <w:rPr>
          <w:b/>
          <w:bCs/>
          <w:lang w:val="en-US"/>
        </w:rPr>
      </w:r>
      <w:r w:rsidR="00673185">
        <w:rPr>
          <w:b/>
          <w:bCs/>
          <w:lang w:val="en-US"/>
        </w:rPr>
        <w:fldChar w:fldCharType="separate"/>
      </w:r>
      <w:r w:rsidR="00673185">
        <w:t xml:space="preserve">Figure </w:t>
      </w:r>
      <w:r w:rsidR="00673185">
        <w:rPr>
          <w:noProof/>
        </w:rPr>
        <w:t>11</w:t>
      </w:r>
      <w:r w:rsidR="00673185">
        <w:t>.</w:t>
      </w:r>
      <w:r w:rsidR="00673185">
        <w:rPr>
          <w:noProof/>
        </w:rPr>
        <w:t>1</w:t>
      </w:r>
      <w:r w:rsidR="00673185">
        <w:rPr>
          <w:b/>
          <w:bCs/>
          <w:lang w:val="en-US"/>
        </w:rPr>
        <w:fldChar w:fldCharType="end"/>
      </w:r>
      <w:r>
        <w:fldChar w:fldCharType="end"/>
      </w:r>
      <w:r>
        <w:t xml:space="preserve">), for the purpose of setting STPIS targets: </w:t>
      </w:r>
    </w:p>
    <w:p w:rsidR="00CA747E" w:rsidRDefault="00CA747E" w:rsidP="00CA747E">
      <w:pPr>
        <w:pStyle w:val="AERbulletlistfirststyle"/>
      </w:pPr>
      <w:r>
        <w:tab/>
        <w:t>In the 2006–10 determination (by the Essential Services Commission of Victoria)</w:t>
      </w:r>
      <w:r w:rsidR="00996A51">
        <w:t>,</w:t>
      </w:r>
      <w:r>
        <w:t xml:space="preserve"> a VCR of $39,456 </w:t>
      </w:r>
      <w:r w:rsidR="003E50D7">
        <w:t xml:space="preserve">per </w:t>
      </w:r>
      <w:r>
        <w:t>MWh ($</w:t>
      </w:r>
      <w:r w:rsidR="003E50D7">
        <w:t xml:space="preserve"> </w:t>
      </w:r>
      <w:r>
        <w:t>2014) was used as the basis for setting the incentive rates of the previous Victorian equivalent of the STPIS.</w:t>
      </w:r>
      <w:r>
        <w:rPr>
          <w:rStyle w:val="FootnoteReference"/>
        </w:rPr>
        <w:footnoteReference w:id="27"/>
      </w:r>
    </w:p>
    <w:p w:rsidR="00CA747E" w:rsidRDefault="00CA747E" w:rsidP="00CA747E">
      <w:pPr>
        <w:pStyle w:val="AERbulletlistfirststyle"/>
      </w:pPr>
      <w:r>
        <w:t xml:space="preserve">In our </w:t>
      </w:r>
      <w:r w:rsidR="00121985">
        <w:t xml:space="preserve">distribution </w:t>
      </w:r>
      <w:r>
        <w:t>determination</w:t>
      </w:r>
      <w:r w:rsidR="00121985">
        <w:t xml:space="preserve"> for the 2011–15 </w:t>
      </w:r>
      <w:r w:rsidR="00A70764">
        <w:t>regulatory control period</w:t>
      </w:r>
      <w:r w:rsidR="00603EF2">
        <w:t>,</w:t>
      </w:r>
      <w:r>
        <w:t xml:space="preserve"> a VCR of $54,922 per MWh </w:t>
      </w:r>
      <w:r w:rsidR="003E50D7">
        <w:t xml:space="preserve">($ 2014) </w:t>
      </w:r>
      <w:r>
        <w:t xml:space="preserve">was used to calculate the incentive rates. However, the performance targets for the 2011–15 period was based on the actual performance outcomes of the 2006–10 period when the VCR was $39,456 </w:t>
      </w:r>
      <w:r w:rsidR="003E50D7">
        <w:t xml:space="preserve">per </w:t>
      </w:r>
      <w:r>
        <w:t>MWh (</w:t>
      </w:r>
      <w:r w:rsidR="003E50D7">
        <w:t xml:space="preserve">$ </w:t>
      </w:r>
      <w:r>
        <w:t>2014) without adjustments.</w:t>
      </w:r>
    </w:p>
    <w:p w:rsidR="00CA747E" w:rsidRDefault="00CA747E" w:rsidP="00CA747E">
      <w:pPr>
        <w:pStyle w:val="AERbulletlistfirststyle"/>
      </w:pPr>
      <w:r>
        <w:tab/>
        <w:t>The most recent study by AEMO indicates that the Victorian state-wide VCR is now $39,500 per MWh (</w:t>
      </w:r>
      <w:r w:rsidR="003E50D7">
        <w:t xml:space="preserve">$ </w:t>
      </w:r>
      <w:r>
        <w:t>2014)––practically at the same level as the 2006–10 period.</w:t>
      </w:r>
    </w:p>
    <w:p w:rsidR="00CA747E" w:rsidRDefault="00673185" w:rsidP="00673185">
      <w:pPr>
        <w:pStyle w:val="Caption"/>
      </w:pPr>
      <w:bookmarkStart w:id="58" w:name="_Ref433522440"/>
      <w:r>
        <w:lastRenderedPageBreak/>
        <w:t xml:space="preserve">Figure </w:t>
      </w:r>
      <w:fldSimple w:instr=" STYLEREF 1 \s ">
        <w:r>
          <w:rPr>
            <w:noProof/>
          </w:rPr>
          <w:t>11</w:t>
        </w:r>
      </w:fldSimple>
      <w:r>
        <w:t>.</w:t>
      </w:r>
      <w:fldSimple w:instr=" SEQ Figure \* ARABIC \s 1 ">
        <w:r>
          <w:rPr>
            <w:noProof/>
          </w:rPr>
          <w:t>1</w:t>
        </w:r>
      </w:fldSimple>
      <w:bookmarkEnd w:id="58"/>
      <w:r>
        <w:tab/>
      </w:r>
      <w:r w:rsidR="00CA747E">
        <w:t>Historical Victorian VCR</w:t>
      </w:r>
      <w:r w:rsidR="00BD1987">
        <w:t xml:space="preserve"> (nominal)</w:t>
      </w:r>
    </w:p>
    <w:p w:rsidR="00CA747E" w:rsidRDefault="00CA747E" w:rsidP="00CA747E">
      <w:r w:rsidRPr="009000AE">
        <w:rPr>
          <w:noProof/>
          <w:lang w:eastAsia="en-AU"/>
        </w:rPr>
        <w:drawing>
          <wp:inline distT="0" distB="0" distL="0" distR="0" wp14:anchorId="4D3F1266" wp14:editId="07B1BE22">
            <wp:extent cx="4567448" cy="2139351"/>
            <wp:effectExtent l="0" t="0" r="5080" b="0"/>
            <wp:docPr id="3" name="Picture 3" descr="cid:image005.png@01D0AE9C.9AD55DB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id:image005.png@01D0AE9C.9AD55DB0"/>
                    <pic:cNvPicPr>
                      <a:picLocks noChangeAspect="1" noChangeArrowheads="1"/>
                    </pic:cNvPicPr>
                  </pic:nvPicPr>
                  <pic:blipFill>
                    <a:blip r:embed="rId12" r:link="rId13">
                      <a:extLst>
                        <a:ext uri="{28A0092B-C50C-407E-A947-70E740481C1C}">
                          <a14:useLocalDpi xmlns:a14="http://schemas.microsoft.com/office/drawing/2010/main" val="0"/>
                        </a:ext>
                      </a:extLst>
                    </a:blip>
                    <a:srcRect/>
                    <a:stretch>
                      <a:fillRect/>
                    </a:stretch>
                  </pic:blipFill>
                  <pic:spPr bwMode="auto">
                    <a:xfrm>
                      <a:off x="0" y="0"/>
                      <a:ext cx="4571774" cy="2141377"/>
                    </a:xfrm>
                    <a:prstGeom prst="rect">
                      <a:avLst/>
                    </a:prstGeom>
                    <a:noFill/>
                    <a:ln>
                      <a:noFill/>
                    </a:ln>
                  </pic:spPr>
                </pic:pic>
              </a:graphicData>
            </a:graphic>
          </wp:inline>
        </w:drawing>
      </w:r>
    </w:p>
    <w:p w:rsidR="00CA747E" w:rsidRDefault="00CA747E" w:rsidP="00CA747E">
      <w:pPr>
        <w:pStyle w:val="AERtablesource"/>
      </w:pPr>
      <w:r>
        <w:t>Source: AusNet Services, Regulatory proposal 2016–20, 30 April 2015, p. 120.</w:t>
      </w:r>
    </w:p>
    <w:p w:rsidR="00CA747E" w:rsidRDefault="00CA747E" w:rsidP="00CA747E">
      <w:r>
        <w:t>Consistent with, our recent final determination</w:t>
      </w:r>
      <w:r w:rsidR="00603EF2">
        <w:t>s</w:t>
      </w:r>
      <w:r>
        <w:t xml:space="preserve"> for NSW and ACT distributors, </w:t>
      </w:r>
      <w:r w:rsidR="00603EF2">
        <w:t xml:space="preserve">and </w:t>
      </w:r>
      <w:r>
        <w:t>preliminary determination</w:t>
      </w:r>
      <w:r w:rsidR="00603EF2">
        <w:t>s</w:t>
      </w:r>
      <w:r>
        <w:t xml:space="preserve"> for Qld and SA distributors, we have not varied the STPIS targets due to a change in VCR. In doing so, and as shown in</w:t>
      </w:r>
      <w:r w:rsidR="00673185">
        <w:t xml:space="preserve"> </w:t>
      </w:r>
      <w:r w:rsidR="00673185">
        <w:fldChar w:fldCharType="begin"/>
      </w:r>
      <w:r w:rsidR="00673185">
        <w:instrText xml:space="preserve"> REF _Ref433522440 \h </w:instrText>
      </w:r>
      <w:r w:rsidR="00673185">
        <w:fldChar w:fldCharType="separate"/>
      </w:r>
      <w:r w:rsidR="00673185">
        <w:t xml:space="preserve">Figure </w:t>
      </w:r>
      <w:r w:rsidR="00673185">
        <w:rPr>
          <w:noProof/>
        </w:rPr>
        <w:t>11</w:t>
      </w:r>
      <w:r w:rsidR="00673185">
        <w:t>.</w:t>
      </w:r>
      <w:r w:rsidR="00673185">
        <w:rPr>
          <w:noProof/>
        </w:rPr>
        <w:t>1</w:t>
      </w:r>
      <w:r w:rsidR="00673185">
        <w:fldChar w:fldCharType="end"/>
      </w:r>
      <w:r w:rsidR="00673185">
        <w:t xml:space="preserve">, </w:t>
      </w:r>
      <w:r>
        <w:t>we consider that the VCR will vary between years and that:</w:t>
      </w:r>
    </w:p>
    <w:p w:rsidR="00E52E73" w:rsidRDefault="00CA747E" w:rsidP="00E52E73">
      <w:pPr>
        <w:pStyle w:val="AERbulletlistfirststyle"/>
      </w:pPr>
      <w:r>
        <w:t>over the long term the scheme will automatically adjust for this variation in VCR via strengthening or weakening the performance targets</w:t>
      </w:r>
      <w:r w:rsidR="00840674">
        <w:t xml:space="preserve"> and incentive rates</w:t>
      </w:r>
      <w:r w:rsidR="00E52E73">
        <w:t xml:space="preserve">. That is, the performance targets in the future periods will be based on historical performance that reflects the historical VCR value.  </w:t>
      </w:r>
    </w:p>
    <w:p w:rsidR="00CA747E" w:rsidRPr="00D4390C" w:rsidRDefault="00CA747E" w:rsidP="00CA747E">
      <w:pPr>
        <w:pStyle w:val="AERbulletlistfirststyle"/>
      </w:pPr>
      <w:r>
        <w:t xml:space="preserve">an adjustment to the STPIS </w:t>
      </w:r>
      <w:r w:rsidR="00603EF2">
        <w:t>may be appropriate</w:t>
      </w:r>
      <w:r>
        <w:t xml:space="preserve"> </w:t>
      </w:r>
      <w:r w:rsidRPr="00407574">
        <w:t>if the VCR remains below its recent average for a lengthy period</w:t>
      </w:r>
      <w:r>
        <w:t>.</w:t>
      </w:r>
    </w:p>
    <w:p w:rsidR="00CA747E" w:rsidRDefault="00CA747E" w:rsidP="008C3A77">
      <w:pPr>
        <w:pStyle w:val="HeadingBoldBlue"/>
      </w:pPr>
      <w:r>
        <w:t xml:space="preserve">Limited relationship between VCR and </w:t>
      </w:r>
      <w:r w:rsidR="008A1866">
        <w:t xml:space="preserve">United Energy’s </w:t>
      </w:r>
      <w:r>
        <w:t>reliability</w:t>
      </w:r>
      <w:r w:rsidR="008A1866">
        <w:t xml:space="preserve"> outcomes</w:t>
      </w:r>
      <w:r>
        <w:t xml:space="preserve"> </w:t>
      </w:r>
    </w:p>
    <w:p w:rsidR="00E52E73" w:rsidRPr="00E52E73" w:rsidRDefault="00E52E73" w:rsidP="00AE39C9">
      <w:r>
        <w:t xml:space="preserve">The STPIS states that </w:t>
      </w:r>
      <w:r w:rsidRPr="00B91D03">
        <w:t>performance targets must be based on average performance over the past</w:t>
      </w:r>
      <w:r>
        <w:t xml:space="preserve"> </w:t>
      </w:r>
      <w:r w:rsidRPr="00B91D03">
        <w:t>five regulatory years.</w:t>
      </w:r>
      <w:r>
        <w:t xml:space="preserve"> As stated above, United Energy’s regulatory proposal submitted that we should modify its performance targets to reflect the lower VCR for capex planning purposes.</w:t>
      </w:r>
    </w:p>
    <w:p w:rsidR="008A1866" w:rsidRDefault="00E52E73" w:rsidP="008A1866">
      <w:pPr>
        <w:rPr>
          <w:rStyle w:val="AERbody"/>
        </w:rPr>
      </w:pPr>
      <w:r>
        <w:t xml:space="preserve">We consider that performance targets should not be modified due to a change in </w:t>
      </w:r>
      <w:r w:rsidR="00840674">
        <w:t xml:space="preserve">the </w:t>
      </w:r>
      <w:r>
        <w:t xml:space="preserve">VCR. Our </w:t>
      </w:r>
      <w:r w:rsidRPr="003861C2">
        <w:t xml:space="preserve">review </w:t>
      </w:r>
      <w:r>
        <w:t xml:space="preserve">of </w:t>
      </w:r>
      <w:r w:rsidR="008A1866">
        <w:t>United Energy</w:t>
      </w:r>
      <w:r>
        <w:t>’s regulatory proposal</w:t>
      </w:r>
      <w:r w:rsidR="008A1866">
        <w:t xml:space="preserve"> found little evidence to suggest that a change in VCR results in an immediate change to reliability performance</w:t>
      </w:r>
      <w:r w:rsidR="008A1866" w:rsidRPr="003E5BF4">
        <w:rPr>
          <w:rStyle w:val="AERbody"/>
        </w:rPr>
        <w:t>.</w:t>
      </w:r>
      <w:r w:rsidR="008A1866">
        <w:rPr>
          <w:rStyle w:val="FootnoteReference"/>
        </w:rPr>
        <w:footnoteReference w:id="28"/>
      </w:r>
      <w:r w:rsidR="008A1866" w:rsidRPr="003E5BF4">
        <w:rPr>
          <w:rStyle w:val="AERbody"/>
        </w:rPr>
        <w:t xml:space="preserve"> </w:t>
      </w:r>
      <w:r w:rsidR="008A1866">
        <w:rPr>
          <w:rStyle w:val="AERbody"/>
        </w:rPr>
        <w:t xml:space="preserve">United Energy </w:t>
      </w:r>
      <w:r w:rsidR="008A1866" w:rsidRPr="003E5BF4">
        <w:rPr>
          <w:rStyle w:val="AERbody"/>
        </w:rPr>
        <w:t xml:space="preserve">asserts that </w:t>
      </w:r>
      <w:r w:rsidR="008A1866">
        <w:rPr>
          <w:rStyle w:val="AERbody"/>
        </w:rPr>
        <w:t xml:space="preserve">applying </w:t>
      </w:r>
      <w:r w:rsidR="008A1866" w:rsidRPr="003E5BF4">
        <w:rPr>
          <w:rStyle w:val="AERbody"/>
        </w:rPr>
        <w:t xml:space="preserve">a lower VCR </w:t>
      </w:r>
      <w:r w:rsidR="008A1866">
        <w:rPr>
          <w:rStyle w:val="AERbody"/>
        </w:rPr>
        <w:t xml:space="preserve">for capex purposes will reduce its reliability performance in 2016–20. In contrast, its historical reliability performance shows that there is limited or no immediate </w:t>
      </w:r>
      <w:r w:rsidR="00840674">
        <w:rPr>
          <w:rStyle w:val="AERbody"/>
        </w:rPr>
        <w:t xml:space="preserve">or close </w:t>
      </w:r>
      <w:r w:rsidR="008A1866">
        <w:rPr>
          <w:rStyle w:val="AERbody"/>
        </w:rPr>
        <w:t xml:space="preserve">correlation between </w:t>
      </w:r>
      <w:r w:rsidR="008A1866">
        <w:rPr>
          <w:rStyle w:val="AERbody"/>
        </w:rPr>
        <w:lastRenderedPageBreak/>
        <w:t xml:space="preserve">the two variables (see </w:t>
      </w:r>
      <w:r w:rsidR="008A1866">
        <w:rPr>
          <w:rStyle w:val="AERbody"/>
        </w:rPr>
        <w:fldChar w:fldCharType="begin"/>
      </w:r>
      <w:r w:rsidR="008A1866">
        <w:rPr>
          <w:rStyle w:val="AERbody"/>
        </w:rPr>
        <w:instrText xml:space="preserve"> REF _Ref429060478 \h </w:instrText>
      </w:r>
      <w:r w:rsidR="008A1866">
        <w:rPr>
          <w:rStyle w:val="AERbody"/>
        </w:rPr>
      </w:r>
      <w:r w:rsidR="008A1866">
        <w:rPr>
          <w:rStyle w:val="AERbody"/>
        </w:rPr>
        <w:fldChar w:fldCharType="separate"/>
      </w:r>
      <w:r w:rsidR="00673185">
        <w:t xml:space="preserve">Figure </w:t>
      </w:r>
      <w:r w:rsidR="00673185">
        <w:rPr>
          <w:noProof/>
        </w:rPr>
        <w:t>11</w:t>
      </w:r>
      <w:r w:rsidR="00673185">
        <w:t>.</w:t>
      </w:r>
      <w:r w:rsidR="00673185">
        <w:rPr>
          <w:noProof/>
        </w:rPr>
        <w:t>2</w:t>
      </w:r>
      <w:r w:rsidR="008A1866">
        <w:rPr>
          <w:rStyle w:val="AERbody"/>
        </w:rPr>
        <w:fldChar w:fldCharType="end"/>
      </w:r>
      <w:r w:rsidR="008A1866">
        <w:rPr>
          <w:rStyle w:val="AERbody"/>
        </w:rPr>
        <w:t xml:space="preserve"> and </w:t>
      </w:r>
      <w:r w:rsidR="008A1866">
        <w:rPr>
          <w:rStyle w:val="AERbody"/>
        </w:rPr>
        <w:fldChar w:fldCharType="begin"/>
      </w:r>
      <w:r w:rsidR="008A1866">
        <w:rPr>
          <w:rStyle w:val="AERbody"/>
        </w:rPr>
        <w:instrText xml:space="preserve"> REF _Ref429060488 \h </w:instrText>
      </w:r>
      <w:r w:rsidR="008A1866">
        <w:rPr>
          <w:rStyle w:val="AERbody"/>
        </w:rPr>
      </w:r>
      <w:r w:rsidR="008A1866">
        <w:rPr>
          <w:rStyle w:val="AERbody"/>
        </w:rPr>
        <w:fldChar w:fldCharType="separate"/>
      </w:r>
      <w:r w:rsidR="00673185">
        <w:t xml:space="preserve">Figure </w:t>
      </w:r>
      <w:r w:rsidR="00673185">
        <w:rPr>
          <w:noProof/>
        </w:rPr>
        <w:t>11</w:t>
      </w:r>
      <w:r w:rsidR="00673185">
        <w:t>.</w:t>
      </w:r>
      <w:r w:rsidR="00673185">
        <w:rPr>
          <w:noProof/>
        </w:rPr>
        <w:t>3</w:t>
      </w:r>
      <w:r w:rsidR="008A1866">
        <w:rPr>
          <w:rStyle w:val="AERbody"/>
        </w:rPr>
        <w:fldChar w:fldCharType="end"/>
      </w:r>
      <w:r w:rsidR="008A1866">
        <w:rPr>
          <w:rStyle w:val="AERbody"/>
        </w:rPr>
        <w:t xml:space="preserve">), at least not within 5 years from the change in VCR. That is, a 40 per cent increase in the VCR in the current period made little difference to United Energy’s reliability performance. </w:t>
      </w:r>
      <w:r w:rsidR="005A4358">
        <w:rPr>
          <w:rStyle w:val="AERbody"/>
        </w:rPr>
        <w:t xml:space="preserve">In fact, United Energy’s level of supply reliability under the scheme during the current period deteriorated from the previous period, showing an outcome opposite to its contention. </w:t>
      </w:r>
      <w:r w:rsidR="008A1866">
        <w:rPr>
          <w:rStyle w:val="AERbody"/>
        </w:rPr>
        <w:t xml:space="preserve">  </w:t>
      </w:r>
    </w:p>
    <w:p w:rsidR="008A1866" w:rsidRDefault="008A1866" w:rsidP="008A1866">
      <w:pPr>
        <w:pStyle w:val="Caption"/>
      </w:pPr>
      <w:bookmarkStart w:id="59" w:name="_Ref429060478"/>
      <w:r>
        <w:t xml:space="preserve">Figure </w:t>
      </w:r>
      <w:fldSimple w:instr=" STYLEREF 1 \s ">
        <w:r w:rsidR="00673185">
          <w:rPr>
            <w:noProof/>
          </w:rPr>
          <w:t>11</w:t>
        </w:r>
      </w:fldSimple>
      <w:r w:rsidR="00673185">
        <w:t>.</w:t>
      </w:r>
      <w:fldSimple w:instr=" SEQ Figure \* ARABIC \s 1 ">
        <w:r w:rsidR="00673185">
          <w:rPr>
            <w:noProof/>
          </w:rPr>
          <w:t>2</w:t>
        </w:r>
      </w:fldSimple>
      <w:bookmarkEnd w:id="59"/>
      <w:r w:rsidR="00BD1987">
        <w:tab/>
        <w:t>Historical SAIDI</w:t>
      </w:r>
    </w:p>
    <w:p w:rsidR="008A1866" w:rsidRDefault="008A1866" w:rsidP="008A1866">
      <w:r w:rsidRPr="00731292">
        <w:rPr>
          <w:rFonts w:ascii="Times New Roman" w:hAnsi="Times New Roman"/>
          <w:noProof/>
          <w:u w:val="single"/>
          <w:lang w:eastAsia="en-AU"/>
        </w:rPr>
        <w:drawing>
          <wp:inline distT="0" distB="0" distL="0" distR="0" wp14:anchorId="63097AD7" wp14:editId="7DBA6C55">
            <wp:extent cx="3570136" cy="2387196"/>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576340" cy="2391345"/>
                    </a:xfrm>
                    <a:prstGeom prst="rect">
                      <a:avLst/>
                    </a:prstGeom>
                    <a:noFill/>
                  </pic:spPr>
                </pic:pic>
              </a:graphicData>
            </a:graphic>
          </wp:inline>
        </w:drawing>
      </w:r>
    </w:p>
    <w:p w:rsidR="008A1866" w:rsidRPr="00F04A66" w:rsidRDefault="008A1866" w:rsidP="008A1866">
      <w:pPr>
        <w:pStyle w:val="AERtablesource"/>
        <w:rPr>
          <w:rStyle w:val="AERbody"/>
          <w:sz w:val="16"/>
        </w:rPr>
      </w:pPr>
      <w:r w:rsidRPr="00F04A66">
        <w:rPr>
          <w:rStyle w:val="AERbody"/>
          <w:sz w:val="16"/>
        </w:rPr>
        <w:t>Source: AER analysis</w:t>
      </w:r>
    </w:p>
    <w:p w:rsidR="008A1866" w:rsidRDefault="008A1866" w:rsidP="008A1866">
      <w:pPr>
        <w:pStyle w:val="Caption"/>
      </w:pPr>
      <w:bookmarkStart w:id="60" w:name="_Ref429060488"/>
      <w:r>
        <w:t xml:space="preserve">Figure </w:t>
      </w:r>
      <w:fldSimple w:instr=" STYLEREF 1 \s ">
        <w:r w:rsidR="00673185">
          <w:rPr>
            <w:noProof/>
          </w:rPr>
          <w:t>11</w:t>
        </w:r>
      </w:fldSimple>
      <w:r w:rsidR="00673185">
        <w:t>.</w:t>
      </w:r>
      <w:fldSimple w:instr=" SEQ Figure \* ARABIC \s 1 ">
        <w:r w:rsidR="00673185">
          <w:rPr>
            <w:noProof/>
          </w:rPr>
          <w:t>3</w:t>
        </w:r>
      </w:fldSimple>
      <w:bookmarkEnd w:id="60"/>
      <w:r w:rsidR="00BD1987">
        <w:tab/>
        <w:t>Historical SAIFI</w:t>
      </w:r>
    </w:p>
    <w:p w:rsidR="008A1866" w:rsidRPr="009000AE" w:rsidRDefault="008A1866" w:rsidP="008A1866">
      <w:pPr>
        <w:rPr>
          <w:rStyle w:val="AERbody"/>
        </w:rPr>
      </w:pPr>
      <w:r>
        <w:rPr>
          <w:rFonts w:ascii="Times New Roman" w:hAnsi="Times New Roman"/>
          <w:noProof/>
          <w:u w:val="single"/>
          <w:lang w:eastAsia="en-AU"/>
        </w:rPr>
        <w:drawing>
          <wp:inline distT="0" distB="0" distL="0" distR="0" wp14:anchorId="73DAFE19" wp14:editId="335303A3">
            <wp:extent cx="3689405" cy="2461438"/>
            <wp:effectExtent l="0" t="0" r="635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687728" cy="2460319"/>
                    </a:xfrm>
                    <a:prstGeom prst="rect">
                      <a:avLst/>
                    </a:prstGeom>
                    <a:noFill/>
                  </pic:spPr>
                </pic:pic>
              </a:graphicData>
            </a:graphic>
          </wp:inline>
        </w:drawing>
      </w:r>
    </w:p>
    <w:p w:rsidR="008A1866" w:rsidRDefault="008A1866" w:rsidP="008A1866">
      <w:pPr>
        <w:rPr>
          <w:rStyle w:val="AERbody"/>
        </w:rPr>
      </w:pPr>
      <w:r w:rsidRPr="00F04A66">
        <w:rPr>
          <w:rStyle w:val="AERbody"/>
          <w:sz w:val="16"/>
        </w:rPr>
        <w:t>Source: AER analysis</w:t>
      </w:r>
    </w:p>
    <w:p w:rsidR="008A1866" w:rsidRPr="00DE0D7C" w:rsidRDefault="008A1866" w:rsidP="008A1866">
      <w:pPr>
        <w:rPr>
          <w:rStyle w:val="AERbody"/>
        </w:rPr>
      </w:pPr>
      <w:r>
        <w:rPr>
          <w:rStyle w:val="AERbody"/>
        </w:rPr>
        <w:t>United Energy</w:t>
      </w:r>
      <w:r w:rsidRPr="00DE0D7C">
        <w:rPr>
          <w:rStyle w:val="AERbody"/>
        </w:rPr>
        <w:t xml:space="preserve"> also c</w:t>
      </w:r>
      <w:r>
        <w:rPr>
          <w:rStyle w:val="AERbody"/>
        </w:rPr>
        <w:t xml:space="preserve">laimed </w:t>
      </w:r>
      <w:r w:rsidRPr="00DE0D7C">
        <w:rPr>
          <w:rStyle w:val="AERbody"/>
        </w:rPr>
        <w:t>that a lower VCR will also have impact on its asset replacement capex</w:t>
      </w:r>
      <w:r w:rsidRPr="00F04A66">
        <w:t>.</w:t>
      </w:r>
      <w:r>
        <w:rPr>
          <w:rStyle w:val="FootnoteReference"/>
        </w:rPr>
        <w:footnoteReference w:id="29"/>
      </w:r>
      <w:r w:rsidRPr="00F04A66">
        <w:t xml:space="preserve"> </w:t>
      </w:r>
      <w:r w:rsidRPr="00DE0D7C">
        <w:rPr>
          <w:rStyle w:val="AERbody"/>
        </w:rPr>
        <w:t xml:space="preserve">We disagree </w:t>
      </w:r>
      <w:r>
        <w:rPr>
          <w:rStyle w:val="AERbody"/>
        </w:rPr>
        <w:t>with the</w:t>
      </w:r>
      <w:r w:rsidRPr="00DE0D7C">
        <w:rPr>
          <w:rStyle w:val="AERbody"/>
        </w:rPr>
        <w:t xml:space="preserve"> contention that replacement capex will be </w:t>
      </w:r>
      <w:r w:rsidRPr="00DE0D7C">
        <w:rPr>
          <w:rStyle w:val="AERbody"/>
        </w:rPr>
        <w:lastRenderedPageBreak/>
        <w:t>materially affected by a lower VCR</w:t>
      </w:r>
      <w:r>
        <w:rPr>
          <w:rStyle w:val="AERbody"/>
        </w:rPr>
        <w:t>. We consider</w:t>
      </w:r>
      <w:r w:rsidRPr="00DE0D7C">
        <w:rPr>
          <w:rStyle w:val="AERbody"/>
        </w:rPr>
        <w:t xml:space="preserve"> that the prime driver for asset replacement is the physical condition of th</w:t>
      </w:r>
      <w:r>
        <w:rPr>
          <w:rStyle w:val="AERbody"/>
        </w:rPr>
        <w:t>at</w:t>
      </w:r>
      <w:r w:rsidRPr="00DE0D7C">
        <w:rPr>
          <w:rStyle w:val="AERbody"/>
        </w:rPr>
        <w:t xml:space="preserve"> asset and to certain extent</w:t>
      </w:r>
      <w:r>
        <w:rPr>
          <w:rStyle w:val="AERbody"/>
        </w:rPr>
        <w:t>,</w:t>
      </w:r>
      <w:r w:rsidRPr="00DE0D7C">
        <w:rPr>
          <w:rStyle w:val="AERbody"/>
        </w:rPr>
        <w:t xml:space="preserve"> the trade-off between capex and opex.  </w:t>
      </w:r>
    </w:p>
    <w:p w:rsidR="00CA747E" w:rsidRDefault="00CA747E" w:rsidP="00CA747E">
      <w:pPr>
        <w:rPr>
          <w:rStyle w:val="AERbody"/>
        </w:rPr>
      </w:pPr>
      <w:r>
        <w:rPr>
          <w:rStyle w:val="AERbody"/>
        </w:rPr>
        <w:t>That said, w</w:t>
      </w:r>
      <w:r w:rsidRPr="003E5BF4">
        <w:rPr>
          <w:rStyle w:val="AERbody"/>
        </w:rPr>
        <w:t xml:space="preserve">e consider that </w:t>
      </w:r>
      <w:r w:rsidR="00842C6A">
        <w:rPr>
          <w:rStyle w:val="AERbody"/>
        </w:rPr>
        <w:t>United Energy</w:t>
      </w:r>
      <w:r w:rsidRPr="003E5BF4">
        <w:rPr>
          <w:rStyle w:val="AERbody"/>
        </w:rPr>
        <w:t>’</w:t>
      </w:r>
      <w:r w:rsidR="00842C6A">
        <w:rPr>
          <w:rStyle w:val="AERbody"/>
        </w:rPr>
        <w:t>s</w:t>
      </w:r>
      <w:r w:rsidRPr="003E5BF4">
        <w:rPr>
          <w:rStyle w:val="AERbody"/>
        </w:rPr>
        <w:t xml:space="preserve"> reliability performance is </w:t>
      </w:r>
      <w:r>
        <w:rPr>
          <w:rStyle w:val="AERbody"/>
        </w:rPr>
        <w:t xml:space="preserve">more likely to be </w:t>
      </w:r>
      <w:r w:rsidRPr="003E5BF4">
        <w:rPr>
          <w:rStyle w:val="AERbody"/>
        </w:rPr>
        <w:t xml:space="preserve">influenced by </w:t>
      </w:r>
      <w:r>
        <w:rPr>
          <w:rStyle w:val="AERbody"/>
        </w:rPr>
        <w:t xml:space="preserve">other factors, other than the VCR, such as </w:t>
      </w:r>
      <w:r w:rsidRPr="003E5BF4">
        <w:rPr>
          <w:rStyle w:val="AERbody"/>
        </w:rPr>
        <w:t>the configuration</w:t>
      </w:r>
      <w:r>
        <w:rPr>
          <w:rStyle w:val="AERbody"/>
        </w:rPr>
        <w:t xml:space="preserve"> and </w:t>
      </w:r>
      <w:r w:rsidRPr="003E5BF4">
        <w:rPr>
          <w:rStyle w:val="AERbody"/>
        </w:rPr>
        <w:t>condition of its network assets</w:t>
      </w:r>
      <w:r>
        <w:rPr>
          <w:rStyle w:val="AERbody"/>
        </w:rPr>
        <w:t>. Further,</w:t>
      </w:r>
      <w:r w:rsidRPr="003E5BF4">
        <w:rPr>
          <w:rStyle w:val="AERbody"/>
        </w:rPr>
        <w:t xml:space="preserve"> </w:t>
      </w:r>
      <w:r>
        <w:rPr>
          <w:rStyle w:val="AERbody"/>
        </w:rPr>
        <w:t>m</w:t>
      </w:r>
      <w:r w:rsidRPr="003E5BF4">
        <w:rPr>
          <w:rStyle w:val="AERbody"/>
        </w:rPr>
        <w:t xml:space="preserve">ost network assets have an expected life in excess of 50 years, therefore, by discounting for uncontrollable external impacts such as material weather </w:t>
      </w:r>
      <w:r w:rsidR="00840674">
        <w:rPr>
          <w:rStyle w:val="AERbody"/>
        </w:rPr>
        <w:t>events</w:t>
      </w:r>
      <w:r w:rsidRPr="003E5BF4">
        <w:rPr>
          <w:rStyle w:val="AERbody"/>
        </w:rPr>
        <w:t xml:space="preserve">, </w:t>
      </w:r>
      <w:r w:rsidR="002D7FBE">
        <w:rPr>
          <w:rStyle w:val="AERbody"/>
        </w:rPr>
        <w:t>United Energy</w:t>
      </w:r>
      <w:r w:rsidRPr="003E5BF4">
        <w:rPr>
          <w:rStyle w:val="AERbody"/>
        </w:rPr>
        <w:t>'</w:t>
      </w:r>
      <w:r w:rsidR="002D7FBE">
        <w:rPr>
          <w:rStyle w:val="AERbody"/>
        </w:rPr>
        <w:t>s</w:t>
      </w:r>
      <w:r w:rsidRPr="003E5BF4">
        <w:rPr>
          <w:rStyle w:val="AERbody"/>
        </w:rPr>
        <w:t xml:space="preserve"> reliability level should not change abruptly</w:t>
      </w:r>
      <w:r>
        <w:rPr>
          <w:rStyle w:val="AERbody"/>
        </w:rPr>
        <w:t xml:space="preserve"> with a lower VCR for planning purposes.</w:t>
      </w:r>
    </w:p>
    <w:p w:rsidR="00CA747E" w:rsidRDefault="00CA747E" w:rsidP="00CA747E">
      <w:pPr>
        <w:rPr>
          <w:rStyle w:val="AERbody"/>
        </w:rPr>
      </w:pPr>
      <w:r>
        <w:rPr>
          <w:rStyle w:val="AERbody"/>
        </w:rPr>
        <w:t xml:space="preserve">As such we consider that </w:t>
      </w:r>
      <w:r w:rsidR="002D7FBE">
        <w:rPr>
          <w:rStyle w:val="AERbody"/>
        </w:rPr>
        <w:t>Uni</w:t>
      </w:r>
      <w:r w:rsidR="00462186">
        <w:rPr>
          <w:rStyle w:val="AERbody"/>
        </w:rPr>
        <w:t>t</w:t>
      </w:r>
      <w:r w:rsidR="002D7FBE">
        <w:rPr>
          <w:rStyle w:val="AERbody"/>
        </w:rPr>
        <w:t>ed Energy</w:t>
      </w:r>
      <w:r>
        <w:rPr>
          <w:rStyle w:val="AERbody"/>
        </w:rPr>
        <w:t xml:space="preserve"> has not demonstrated that it</w:t>
      </w:r>
      <w:r w:rsidR="00E52E73">
        <w:rPr>
          <w:rStyle w:val="AERbody"/>
        </w:rPr>
        <w:t>s</w:t>
      </w:r>
      <w:r>
        <w:rPr>
          <w:rStyle w:val="AERbody"/>
        </w:rPr>
        <w:t xml:space="preserve"> assertion that reliability will </w:t>
      </w:r>
      <w:r w:rsidR="002D7FBE">
        <w:rPr>
          <w:rStyle w:val="AERbody"/>
        </w:rPr>
        <w:t>decline immediately</w:t>
      </w:r>
      <w:r>
        <w:rPr>
          <w:rStyle w:val="AERbody"/>
        </w:rPr>
        <w:t xml:space="preserve"> in the </w:t>
      </w:r>
      <w:r w:rsidR="008C3A77">
        <w:rPr>
          <w:rStyle w:val="AERbody"/>
        </w:rPr>
        <w:t>2016</w:t>
      </w:r>
      <w:r w:rsidR="008C3A77">
        <w:rPr>
          <w:rStyle w:val="AERbody"/>
          <w:rFonts w:cs="Arial"/>
        </w:rPr>
        <w:t>─</w:t>
      </w:r>
      <w:r w:rsidR="008C3A77">
        <w:rPr>
          <w:rStyle w:val="AERbody"/>
        </w:rPr>
        <w:t>20</w:t>
      </w:r>
      <w:r>
        <w:rPr>
          <w:rStyle w:val="AERbody"/>
        </w:rPr>
        <w:t xml:space="preserve"> </w:t>
      </w:r>
      <w:r w:rsidR="00A70764">
        <w:rPr>
          <w:rStyle w:val="AERbody"/>
        </w:rPr>
        <w:t>regulatory control period</w:t>
      </w:r>
      <w:r>
        <w:rPr>
          <w:rStyle w:val="AERbody"/>
        </w:rPr>
        <w:t xml:space="preserve"> is due to a lower VCR.</w:t>
      </w:r>
    </w:p>
    <w:p w:rsidR="00CA747E" w:rsidRPr="008C3A77" w:rsidRDefault="00CA747E" w:rsidP="008C3A77">
      <w:pPr>
        <w:pStyle w:val="HeadingBoldBlue"/>
        <w:rPr>
          <w:rStyle w:val="AERbody"/>
          <w:color w:val="70635A" w:themeColor="text2"/>
          <w:sz w:val="28"/>
        </w:rPr>
      </w:pPr>
      <w:r w:rsidRPr="008C3A77">
        <w:rPr>
          <w:rStyle w:val="AERbody"/>
          <w:color w:val="70635A" w:themeColor="text2"/>
          <w:sz w:val="28"/>
        </w:rPr>
        <w:t>Relaxing STPIS for lower VCR but not increasing it for higher VCR</w:t>
      </w:r>
    </w:p>
    <w:p w:rsidR="00E52E73" w:rsidRDefault="00E52E73" w:rsidP="00E52E73">
      <w:pPr>
        <w:rPr>
          <w:rStyle w:val="AERbody"/>
        </w:rPr>
      </w:pPr>
      <w:r>
        <w:t xml:space="preserve">As outlined above, there is no </w:t>
      </w:r>
      <w:r w:rsidR="00F50328">
        <w:t xml:space="preserve">clear </w:t>
      </w:r>
      <w:r>
        <w:t xml:space="preserve">correlation between the VCR and reliability. United Energy’s regulatory proposal submitted its performance targets should be relaxed for a lower VCR in the next </w:t>
      </w:r>
      <w:r w:rsidR="00A70764">
        <w:t>regulatory control period</w:t>
      </w:r>
      <w:r>
        <w:t xml:space="preserve">. </w:t>
      </w:r>
      <w:r w:rsidRPr="00154387">
        <w:t xml:space="preserve">We observe </w:t>
      </w:r>
      <w:r>
        <w:t xml:space="preserve">that </w:t>
      </w:r>
      <w:r w:rsidRPr="00154387">
        <w:t>there i</w:t>
      </w:r>
      <w:r>
        <w:t xml:space="preserve">s asymmetry in </w:t>
      </w:r>
      <w:r w:rsidR="003C3A76">
        <w:t>United Energy’s</w:t>
      </w:r>
      <w:r w:rsidRPr="00154387">
        <w:t xml:space="preserve"> regulatory proposals</w:t>
      </w:r>
      <w:r>
        <w:t>,</w:t>
      </w:r>
      <w:r w:rsidRPr="00154387">
        <w:t xml:space="preserve"> </w:t>
      </w:r>
      <w:r>
        <w:t xml:space="preserve">as it did not </w:t>
      </w:r>
      <w:r w:rsidR="00840674">
        <w:t xml:space="preserve">seek </w:t>
      </w:r>
      <w:r>
        <w:rPr>
          <w:rStyle w:val="AERbody"/>
        </w:rPr>
        <w:t xml:space="preserve">to have its performance targets tightened in the current </w:t>
      </w:r>
      <w:r w:rsidR="00A70764">
        <w:rPr>
          <w:rStyle w:val="AERbody"/>
        </w:rPr>
        <w:t>regulatory control period</w:t>
      </w:r>
      <w:r>
        <w:rPr>
          <w:rStyle w:val="AERbody"/>
        </w:rPr>
        <w:t xml:space="preserve"> for a 40 per cent increase in the VCR for capex planning purposes.</w:t>
      </w:r>
    </w:p>
    <w:p w:rsidR="00CA747E" w:rsidRDefault="008B5EDD" w:rsidP="00CA747E">
      <w:pPr>
        <w:rPr>
          <w:rStyle w:val="AERbody"/>
        </w:rPr>
      </w:pPr>
      <w:r>
        <w:rPr>
          <w:rStyle w:val="AERbody"/>
        </w:rPr>
        <w:t xml:space="preserve">United Energy benefited from a higher VCR in the current </w:t>
      </w:r>
      <w:r w:rsidR="00A70764">
        <w:rPr>
          <w:rStyle w:val="AERbody"/>
        </w:rPr>
        <w:t>regulatory control period</w:t>
      </w:r>
      <w:r>
        <w:rPr>
          <w:rStyle w:val="AERbody"/>
        </w:rPr>
        <w:t xml:space="preserve">–with no tightening of its performance targets. As such, it is not in the </w:t>
      </w:r>
      <w:r w:rsidR="00046053">
        <w:rPr>
          <w:rStyle w:val="AERbody"/>
        </w:rPr>
        <w:t>long term</w:t>
      </w:r>
      <w:r>
        <w:rPr>
          <w:rStyle w:val="AERbody"/>
        </w:rPr>
        <w:t xml:space="preserve"> interest of consumers to allow it to again benefit from a lower VCR with a softening of its performance targets. We consider this asymmetric </w:t>
      </w:r>
      <w:r w:rsidR="006A2D05">
        <w:rPr>
          <w:rStyle w:val="AERbody"/>
        </w:rPr>
        <w:t xml:space="preserve">treatment </w:t>
      </w:r>
      <w:r>
        <w:rPr>
          <w:rStyle w:val="AERbody"/>
        </w:rPr>
        <w:t>is contrary to NEO and the objectives of the scheme.</w:t>
      </w:r>
      <w:r w:rsidR="00CA747E">
        <w:rPr>
          <w:rStyle w:val="FootnoteReference"/>
        </w:rPr>
        <w:footnoteReference w:id="30"/>
      </w:r>
      <w:r w:rsidR="00CA747E">
        <w:rPr>
          <w:rStyle w:val="AERbody"/>
        </w:rPr>
        <w:t xml:space="preserve"> </w:t>
      </w:r>
    </w:p>
    <w:p w:rsidR="00CA747E" w:rsidRDefault="00CA747E" w:rsidP="00CA747E">
      <w:r>
        <w:rPr>
          <w:rStyle w:val="AERbody"/>
        </w:rPr>
        <w:t xml:space="preserve">In conclusion, we consider that </w:t>
      </w:r>
      <w:r w:rsidR="002D7FBE">
        <w:rPr>
          <w:rStyle w:val="AERbody"/>
        </w:rPr>
        <w:t>United Energy</w:t>
      </w:r>
      <w:r>
        <w:rPr>
          <w:rStyle w:val="AERbody"/>
        </w:rPr>
        <w:t xml:space="preserve"> has not made the case that supply reliability level will change immediately after the VCR value is changed. Even if its reasoning were proven, </w:t>
      </w:r>
      <w:r w:rsidRPr="005458A0">
        <w:rPr>
          <w:rStyle w:val="AERbody"/>
        </w:rPr>
        <w:t xml:space="preserve">since the VCR is now back to the previous level, </w:t>
      </w:r>
      <w:r>
        <w:rPr>
          <w:rStyle w:val="AERbody"/>
        </w:rPr>
        <w:t>such adjustment to STPIS performance targets is not required</w:t>
      </w:r>
      <w:r w:rsidRPr="005458A0">
        <w:rPr>
          <w:rStyle w:val="AERbody"/>
        </w:rPr>
        <w:t>––as there should have been a previous equal and opposite adjustment for the 2011–15 performance targets</w:t>
      </w:r>
      <w:r>
        <w:rPr>
          <w:rStyle w:val="AERbody"/>
        </w:rPr>
        <w:t>.</w:t>
      </w:r>
    </w:p>
    <w:p w:rsidR="00CA747E" w:rsidRPr="008C3A77" w:rsidRDefault="00CA747E" w:rsidP="008C3A77">
      <w:pPr>
        <w:pStyle w:val="HeadingBoldBlue"/>
        <w:rPr>
          <w:rStyle w:val="AERbody"/>
          <w:color w:val="70635A" w:themeColor="text2"/>
          <w:sz w:val="28"/>
        </w:rPr>
      </w:pPr>
      <w:r w:rsidRPr="008C3A77">
        <w:rPr>
          <w:rStyle w:val="AERbody"/>
          <w:color w:val="70635A" w:themeColor="text2"/>
          <w:sz w:val="28"/>
        </w:rPr>
        <w:t xml:space="preserve">Stakeholders’ submissions </w:t>
      </w:r>
    </w:p>
    <w:p w:rsidR="00CA747E" w:rsidRDefault="006A2D05" w:rsidP="00CA747E">
      <w:pPr>
        <w:rPr>
          <w:rStyle w:val="AERbody"/>
        </w:rPr>
      </w:pPr>
      <w:r>
        <w:rPr>
          <w:rStyle w:val="AERbody"/>
        </w:rPr>
        <w:t>T</w:t>
      </w:r>
      <w:r w:rsidR="00CA747E">
        <w:rPr>
          <w:rStyle w:val="AERbody"/>
        </w:rPr>
        <w:t xml:space="preserve">he </w:t>
      </w:r>
      <w:r w:rsidR="00CA747E" w:rsidRPr="00DA3C35">
        <w:rPr>
          <w:rStyle w:val="AERbody"/>
        </w:rPr>
        <w:t>Victorian Department of Economic Development, Jobs, Transport &amp; Resources (DEDJTR)</w:t>
      </w:r>
      <w:r>
        <w:rPr>
          <w:rStyle w:val="AERbody"/>
        </w:rPr>
        <w:t xml:space="preserve"> raised concerns about this proposal.</w:t>
      </w:r>
      <w:r w:rsidR="00CA747E" w:rsidRPr="00DA3C35">
        <w:rPr>
          <w:rStyle w:val="AERbody"/>
        </w:rPr>
        <w:t xml:space="preserve"> </w:t>
      </w:r>
      <w:r>
        <w:rPr>
          <w:rStyle w:val="AERbody"/>
        </w:rPr>
        <w:t>T</w:t>
      </w:r>
      <w:r w:rsidR="00CA747E" w:rsidRPr="00DA3C35">
        <w:rPr>
          <w:rStyle w:val="AERbody"/>
        </w:rPr>
        <w:t>he consumer challeng</w:t>
      </w:r>
      <w:r w:rsidR="00046053">
        <w:rPr>
          <w:rStyle w:val="AERbody"/>
        </w:rPr>
        <w:t>e</w:t>
      </w:r>
      <w:r w:rsidR="00CA747E" w:rsidRPr="00DA3C35">
        <w:rPr>
          <w:rStyle w:val="AERbody"/>
        </w:rPr>
        <w:t xml:space="preserve"> panel</w:t>
      </w:r>
      <w:r w:rsidR="00CA747E">
        <w:rPr>
          <w:rStyle w:val="AERbody"/>
        </w:rPr>
        <w:t xml:space="preserve"> suggested that we should reject </w:t>
      </w:r>
      <w:r w:rsidR="002D7FBE">
        <w:rPr>
          <w:rStyle w:val="AERbody"/>
        </w:rPr>
        <w:t>United Energy’s</w:t>
      </w:r>
      <w:r w:rsidR="00CA747E">
        <w:rPr>
          <w:rStyle w:val="AERbody"/>
        </w:rPr>
        <w:t xml:space="preserve"> assertion about a lower VCR and reliability performance.</w:t>
      </w:r>
    </w:p>
    <w:p w:rsidR="00CA747E" w:rsidRPr="00DA3C35" w:rsidRDefault="00CA747E" w:rsidP="00CA747E">
      <w:pPr>
        <w:rPr>
          <w:rStyle w:val="AERbody"/>
        </w:rPr>
      </w:pPr>
      <w:r>
        <w:rPr>
          <w:rStyle w:val="AERbody"/>
        </w:rPr>
        <w:t>The DEDJTR stated that:</w:t>
      </w:r>
    </w:p>
    <w:p w:rsidR="00CA747E" w:rsidRDefault="00CA747E" w:rsidP="00CA747E">
      <w:pPr>
        <w:pStyle w:val="AERquoteindent1"/>
      </w:pPr>
      <w:r>
        <w:lastRenderedPageBreak/>
        <w:t>AusNet Services, CitiPower and Powercor have proposed that the targets for the STPIS should be decreased in line with the reduced VCR, despite not seeking an increase in targets in line with the increased VCR for the 2011–15 regulatory control period.</w:t>
      </w:r>
    </w:p>
    <w:p w:rsidR="00CA747E" w:rsidRDefault="00CA747E" w:rsidP="00CA747E">
      <w:pPr>
        <w:pStyle w:val="AERquoteindent1"/>
      </w:pPr>
      <w:r>
        <w:t>The AER needs to ensure that the targets for the STPIS are consistent with the expenditure forecasts that are provided. If the AER provides expenditure to maintain reliability, then the targets should not be adjusted and the DNSPs should be penalised for any reduction in reliability through the STPIS. If the AER does not provide expenditure to maintain reliability as a result of the lower VCR, then the targets should be adjusted accordingly.</w:t>
      </w:r>
      <w:r>
        <w:rPr>
          <w:rStyle w:val="FootnoteReference"/>
        </w:rPr>
        <w:footnoteReference w:id="31"/>
      </w:r>
    </w:p>
    <w:p w:rsidR="00CA747E" w:rsidRPr="005D4D66" w:rsidRDefault="008C3A77" w:rsidP="00CA747E">
      <w:r>
        <w:t>The Consumer Challenge P</w:t>
      </w:r>
      <w:r w:rsidR="00CA747E" w:rsidRPr="005D4D66">
        <w:t>anel consider</w:t>
      </w:r>
      <w:r w:rsidR="002D7FBE">
        <w:t>ed</w:t>
      </w:r>
      <w:r w:rsidR="00CA747E" w:rsidRPr="005D4D66">
        <w:t xml:space="preserve"> that:</w:t>
      </w:r>
    </w:p>
    <w:p w:rsidR="00CA747E" w:rsidRDefault="00CA747E" w:rsidP="00CA747E">
      <w:pPr>
        <w:pStyle w:val="AERquoteindent1"/>
      </w:pPr>
      <w:r>
        <w:t>The impact of changing VCR will be minimal in the short term as the bulk of assets providing the reliability were implemented under the higher values of VCR used in the past, along with deterministic reliability settings used before probabilistic tools were used. Overall, reliability across the networks should be maintained because the decisions for historic investments which comprise the vast majority of the network assets were made using higher standards. As the STPIS reflects historic performance, the impact of the slight deferrals that will now apply through the use of a lower VCR will change over time to reflect the outcomes of using a lower VCR.</w:t>
      </w:r>
    </w:p>
    <w:p w:rsidR="00CA747E" w:rsidRDefault="00CA747E" w:rsidP="00CA747E">
      <w:pPr>
        <w:pStyle w:val="AERquoteindent1"/>
      </w:pPr>
      <w:r>
        <w:t>CCP3 does not consider that the approach to setting reliability levels for the STPIS incentive needs to be changed as a result of the lower VCR.</w:t>
      </w:r>
      <w:r>
        <w:rPr>
          <w:rStyle w:val="FootnoteReference"/>
        </w:rPr>
        <w:footnoteReference w:id="32"/>
      </w:r>
    </w:p>
    <w:p w:rsidR="00CA747E" w:rsidRDefault="00CA747E" w:rsidP="00CA747E">
      <w:r>
        <w:t>These submissions reinforce our preliminary decision that we should not depart from our F&amp;A on this matter.</w:t>
      </w:r>
    </w:p>
    <w:p w:rsidR="00E52E73" w:rsidRDefault="00E52E73" w:rsidP="00E52E73">
      <w:pPr>
        <w:pStyle w:val="Heading2"/>
      </w:pPr>
      <w:bookmarkStart w:id="61" w:name="_Toc433641276"/>
      <w:r>
        <w:t>Other considerations in applying the STPIS</w:t>
      </w:r>
      <w:bookmarkEnd w:id="61"/>
      <w:r>
        <w:t xml:space="preserve"> </w:t>
      </w:r>
    </w:p>
    <w:p w:rsidR="00CC3B36" w:rsidRDefault="00CC3B36" w:rsidP="00CC3B36">
      <w:pPr>
        <w:pStyle w:val="Heading3"/>
      </w:pPr>
      <w:bookmarkStart w:id="62" w:name="_Ref428460458"/>
      <w:bookmarkStart w:id="63" w:name="_Toc433641277"/>
      <w:bookmarkEnd w:id="11"/>
      <w:r>
        <w:t>Definitional changes to the STPIS</w:t>
      </w:r>
      <w:bookmarkEnd w:id="63"/>
      <w:r>
        <w:t xml:space="preserve"> </w:t>
      </w:r>
      <w:bookmarkEnd w:id="62"/>
    </w:p>
    <w:p w:rsidR="00CC3B36" w:rsidRPr="00AB4A8F" w:rsidRDefault="00CC3B36" w:rsidP="00CC3B36">
      <w:pPr>
        <w:rPr>
          <w:rStyle w:val="AERbody"/>
        </w:rPr>
      </w:pPr>
      <w:r w:rsidRPr="00AB4A8F">
        <w:rPr>
          <w:rStyle w:val="AERbody"/>
        </w:rPr>
        <w:t xml:space="preserve">United Energy’s regulatory proposal outlined several definitional changes to the STPIS so that it can align with the AEMC’s </w:t>
      </w:r>
      <w:r>
        <w:rPr>
          <w:rStyle w:val="AERbody"/>
        </w:rPr>
        <w:t>d</w:t>
      </w:r>
      <w:r w:rsidRPr="00AB4A8F">
        <w:rPr>
          <w:rStyle w:val="AERbody"/>
        </w:rPr>
        <w:t xml:space="preserve">istribution </w:t>
      </w:r>
      <w:r>
        <w:rPr>
          <w:rStyle w:val="AERbody"/>
        </w:rPr>
        <w:t>r</w:t>
      </w:r>
      <w:r w:rsidRPr="00AB4A8F">
        <w:rPr>
          <w:rStyle w:val="AERbody"/>
        </w:rPr>
        <w:t xml:space="preserve">eliability </w:t>
      </w:r>
      <w:r>
        <w:rPr>
          <w:rStyle w:val="AERbody"/>
        </w:rPr>
        <w:t>m</w:t>
      </w:r>
      <w:r w:rsidRPr="00AB4A8F">
        <w:rPr>
          <w:rStyle w:val="AERbody"/>
        </w:rPr>
        <w:t>easures</w:t>
      </w:r>
      <w:r w:rsidR="005A4358">
        <w:rPr>
          <w:rStyle w:val="AERbody"/>
        </w:rPr>
        <w:t xml:space="preserve"> recommendations</w:t>
      </w:r>
      <w:r w:rsidRPr="00AB4A8F">
        <w:rPr>
          <w:rStyle w:val="AERbody"/>
        </w:rPr>
        <w:t>.</w:t>
      </w:r>
      <w:r>
        <w:rPr>
          <w:rStyle w:val="FootnoteReference"/>
        </w:rPr>
        <w:footnoteReference w:id="33"/>
      </w:r>
      <w:r w:rsidRPr="00AB4A8F">
        <w:rPr>
          <w:rStyle w:val="AERbody"/>
        </w:rPr>
        <w:t xml:space="preserve"> </w:t>
      </w:r>
    </w:p>
    <w:p w:rsidR="00CC3B36" w:rsidRDefault="00CC3B36" w:rsidP="008C3A77">
      <w:pPr>
        <w:pStyle w:val="HeadingBoldBlue"/>
      </w:pPr>
      <w:r>
        <w:t>Removal of catastrophic events from major event days classification</w:t>
      </w:r>
    </w:p>
    <w:p w:rsidR="00CC3B36" w:rsidRDefault="00CC3B36" w:rsidP="00A70764">
      <w:pPr>
        <w:rPr>
          <w:rStyle w:val="AERbody"/>
        </w:rPr>
      </w:pPr>
      <w:r w:rsidRPr="009F701D">
        <w:rPr>
          <w:rStyle w:val="AERbody"/>
        </w:rPr>
        <w:t xml:space="preserve">United Energy </w:t>
      </w:r>
      <w:r>
        <w:rPr>
          <w:rStyle w:val="AERbody"/>
        </w:rPr>
        <w:t xml:space="preserve">regulatory </w:t>
      </w:r>
      <w:r w:rsidRPr="009F701D">
        <w:rPr>
          <w:rStyle w:val="AERbody"/>
        </w:rPr>
        <w:t>propos</w:t>
      </w:r>
      <w:r>
        <w:rPr>
          <w:rStyle w:val="AERbody"/>
        </w:rPr>
        <w:t>al submitted that c</w:t>
      </w:r>
      <w:r w:rsidRPr="009F701D">
        <w:rPr>
          <w:rStyle w:val="AERbody"/>
        </w:rPr>
        <w:t xml:space="preserve">atastrophic events </w:t>
      </w:r>
      <w:r>
        <w:rPr>
          <w:rStyle w:val="AERbody"/>
        </w:rPr>
        <w:t xml:space="preserve">should </w:t>
      </w:r>
      <w:r w:rsidRPr="009F701D">
        <w:rPr>
          <w:rStyle w:val="AERbody"/>
        </w:rPr>
        <w:t>be excluded from the statistical method used to classify Major Event Days</w:t>
      </w:r>
      <w:r>
        <w:rPr>
          <w:rStyle w:val="AERbody"/>
        </w:rPr>
        <w:t>.</w:t>
      </w:r>
      <w:r>
        <w:rPr>
          <w:rStyle w:val="FootnoteReference"/>
        </w:rPr>
        <w:footnoteReference w:id="34"/>
      </w:r>
      <w:r w:rsidRPr="00B82706">
        <w:t xml:space="preserve"> </w:t>
      </w:r>
      <w:r w:rsidRPr="001D371A">
        <w:rPr>
          <w:rStyle w:val="AERbody"/>
        </w:rPr>
        <w:t xml:space="preserve">We consider </w:t>
      </w:r>
      <w:r>
        <w:rPr>
          <w:rStyle w:val="AERbody"/>
        </w:rPr>
        <w:t xml:space="preserve">it is not appropriate in a regulatory determination to alter the scheme design without </w:t>
      </w:r>
      <w:r>
        <w:rPr>
          <w:rStyle w:val="AERbody"/>
        </w:rPr>
        <w:lastRenderedPageBreak/>
        <w:t>extensive consulting with stakeholders or reviewing and analysing the full impact of the proposed changes on the design of the scheme</w:t>
      </w:r>
      <w:r w:rsidRPr="00AB4A8F">
        <w:rPr>
          <w:rStyle w:val="AERbody"/>
        </w:rPr>
        <w:t>.</w:t>
      </w:r>
    </w:p>
    <w:p w:rsidR="00CC3B36" w:rsidRDefault="00CC3B36" w:rsidP="00CC3B36">
      <w:pPr>
        <w:rPr>
          <w:rStyle w:val="AERbody"/>
        </w:rPr>
      </w:pPr>
      <w:r>
        <w:rPr>
          <w:rStyle w:val="AERbody"/>
        </w:rPr>
        <w:t>We will, however, review the definition of catastrophic events when we review the scheme.</w:t>
      </w:r>
    </w:p>
    <w:p w:rsidR="001324FC" w:rsidRDefault="00CC3B36" w:rsidP="00CC3B36">
      <w:pPr>
        <w:rPr>
          <w:rStyle w:val="AERbody"/>
        </w:rPr>
      </w:pPr>
      <w:r>
        <w:rPr>
          <w:rStyle w:val="AERbody"/>
        </w:rPr>
        <w:t xml:space="preserve">The </w:t>
      </w:r>
      <w:r w:rsidR="002D7FBE">
        <w:rPr>
          <w:rStyle w:val="AERbody"/>
        </w:rPr>
        <w:t>Consumer Challenge Panel rejected United Energy’s proposal and stated that</w:t>
      </w:r>
      <w:r w:rsidR="001324FC">
        <w:rPr>
          <w:rStyle w:val="AERbody"/>
        </w:rPr>
        <w:t>:</w:t>
      </w:r>
    </w:p>
    <w:p w:rsidR="001324FC" w:rsidRPr="001324FC" w:rsidRDefault="001324FC" w:rsidP="001324FC">
      <w:pPr>
        <w:pStyle w:val="AERquote"/>
        <w:rPr>
          <w:rStyle w:val="AERbody"/>
          <w:color w:val="000000"/>
          <w:sz w:val="20"/>
        </w:rPr>
      </w:pPr>
      <w:r w:rsidRPr="001324FC">
        <w:rPr>
          <w:rStyle w:val="AERbody"/>
          <w:color w:val="000000"/>
          <w:sz w:val="20"/>
        </w:rPr>
        <w:t>CCP3 is aware that the AER has moved to exclude as few limitations to the assessments of inputs as possible in its decisions. CCP3 supports this as consumers experience total costs and reliability as a package, uninfluenced by the network’s experiences. Further, as noted above, CCP3 sees that the incentives need to be seen as a package.</w:t>
      </w:r>
    </w:p>
    <w:p w:rsidR="00CC3B36" w:rsidRDefault="001324FC" w:rsidP="001324FC">
      <w:pPr>
        <w:pStyle w:val="AERquote"/>
        <w:rPr>
          <w:rStyle w:val="AERbody"/>
        </w:rPr>
      </w:pPr>
      <w:r w:rsidRPr="001324FC">
        <w:rPr>
          <w:rStyle w:val="AERbody"/>
          <w:color w:val="000000"/>
          <w:sz w:val="20"/>
        </w:rPr>
        <w:t xml:space="preserve">On this basis, </w:t>
      </w:r>
      <w:r w:rsidR="00CC3B36" w:rsidRPr="001324FC">
        <w:rPr>
          <w:rStyle w:val="AERbody"/>
          <w:color w:val="000000"/>
          <w:sz w:val="20"/>
        </w:rPr>
        <w:t>no exclusions should be made to the approach used by the AER in its guidelines as this will change the balance of the incentives</w:t>
      </w:r>
      <w:r w:rsidR="00CC3B36" w:rsidRPr="00BA36D5">
        <w:rPr>
          <w:rStyle w:val="AERbody"/>
        </w:rPr>
        <w:t>.</w:t>
      </w:r>
      <w:r w:rsidR="00CC3B36">
        <w:rPr>
          <w:rStyle w:val="FootnoteReference"/>
        </w:rPr>
        <w:footnoteReference w:id="35"/>
      </w:r>
    </w:p>
    <w:p w:rsidR="00CC3B36" w:rsidRDefault="00CC3B36" w:rsidP="008C3A77">
      <w:pPr>
        <w:pStyle w:val="HeadingBoldBlue"/>
      </w:pPr>
      <w:r>
        <w:t>Definition of momentary interruption</w:t>
      </w:r>
    </w:p>
    <w:p w:rsidR="00CC3B36" w:rsidRPr="00AB4A8F" w:rsidRDefault="00CC3B36" w:rsidP="00CC3B36">
      <w:pPr>
        <w:rPr>
          <w:rStyle w:val="AERbody"/>
        </w:rPr>
      </w:pPr>
      <w:r w:rsidRPr="00AB4A8F">
        <w:rPr>
          <w:rStyle w:val="AERbody"/>
        </w:rPr>
        <w:t xml:space="preserve">United Energy’s regulatory proposal submitted that the definition of momentary </w:t>
      </w:r>
      <w:r>
        <w:rPr>
          <w:rStyle w:val="AERbody"/>
        </w:rPr>
        <w:t xml:space="preserve">interruption </w:t>
      </w:r>
      <w:r w:rsidRPr="00AB4A8F">
        <w:rPr>
          <w:rStyle w:val="AERbody"/>
        </w:rPr>
        <w:t>in the STPIS should be amended to exclude outages of less than three minutes.</w:t>
      </w:r>
      <w:r>
        <w:rPr>
          <w:rStyle w:val="FootnoteReference"/>
        </w:rPr>
        <w:footnoteReference w:id="36"/>
      </w:r>
    </w:p>
    <w:p w:rsidR="00CC3B36" w:rsidRDefault="00CC3B36" w:rsidP="00CC3B36">
      <w:pPr>
        <w:rPr>
          <w:rStyle w:val="AERbody"/>
        </w:rPr>
      </w:pPr>
      <w:r>
        <w:rPr>
          <w:rStyle w:val="AERbody"/>
        </w:rPr>
        <w:t xml:space="preserve">We do not accept this proposed definitional change to momentary interruption because it will alter the operation of the </w:t>
      </w:r>
      <w:r w:rsidRPr="00AB4A8F">
        <w:rPr>
          <w:rStyle w:val="AERbody"/>
        </w:rPr>
        <w:t xml:space="preserve">STPIS scheme. </w:t>
      </w:r>
      <w:r>
        <w:rPr>
          <w:rStyle w:val="AERbody"/>
        </w:rPr>
        <w:t>Further, c</w:t>
      </w:r>
      <w:r w:rsidRPr="00AB4A8F">
        <w:rPr>
          <w:rStyle w:val="AERbody"/>
        </w:rPr>
        <w:t xml:space="preserve">hanges of such magnitude should be comprehensively consulted with all stakeholders, including whether there is an associated change to how the incentive rates should be calculated.   </w:t>
      </w:r>
    </w:p>
    <w:p w:rsidR="00CC3B36" w:rsidRDefault="00CC3B36" w:rsidP="00CC3B36">
      <w:pPr>
        <w:rPr>
          <w:rStyle w:val="AERbody"/>
        </w:rPr>
      </w:pPr>
      <w:r>
        <w:rPr>
          <w:rStyle w:val="AERbody"/>
        </w:rPr>
        <w:t>We will, however, review the definition of momentary interruptions when we review the scheme.</w:t>
      </w:r>
    </w:p>
    <w:p w:rsidR="00CC3B36" w:rsidRDefault="00CC3B36" w:rsidP="00CC3B36">
      <w:pPr>
        <w:rPr>
          <w:rStyle w:val="AERbody"/>
        </w:rPr>
      </w:pPr>
      <w:r>
        <w:rPr>
          <w:rStyle w:val="AERbody"/>
        </w:rPr>
        <w:t xml:space="preserve">We note that the </w:t>
      </w:r>
      <w:r w:rsidRPr="00890723">
        <w:rPr>
          <w:rStyle w:val="AERbody"/>
        </w:rPr>
        <w:t>DEDJTR</w:t>
      </w:r>
      <w:r>
        <w:rPr>
          <w:rStyle w:val="AERbody"/>
        </w:rPr>
        <w:t>’s submission</w:t>
      </w:r>
      <w:r w:rsidR="00842C6A">
        <w:rPr>
          <w:rStyle w:val="AERbody"/>
        </w:rPr>
        <w:t xml:space="preserve"> </w:t>
      </w:r>
      <w:r w:rsidR="005A4358">
        <w:rPr>
          <w:rStyle w:val="AERbody"/>
        </w:rPr>
        <w:t xml:space="preserve">offered </w:t>
      </w:r>
      <w:r w:rsidR="00842C6A">
        <w:rPr>
          <w:rStyle w:val="AERbody"/>
        </w:rPr>
        <w:t>conditional</w:t>
      </w:r>
      <w:r w:rsidRPr="00890723">
        <w:rPr>
          <w:rStyle w:val="AERbody"/>
        </w:rPr>
        <w:t xml:space="preserve"> support </w:t>
      </w:r>
      <w:r w:rsidR="005A4358">
        <w:rPr>
          <w:rStyle w:val="AERbody"/>
        </w:rPr>
        <w:t xml:space="preserve">to this </w:t>
      </w:r>
      <w:r w:rsidRPr="00890723">
        <w:rPr>
          <w:rStyle w:val="AERbody"/>
        </w:rPr>
        <w:t>change</w:t>
      </w:r>
      <w:r w:rsidR="005A4358">
        <w:rPr>
          <w:rStyle w:val="AERbody"/>
        </w:rPr>
        <w:t xml:space="preserve">, </w:t>
      </w:r>
      <w:r w:rsidRPr="00890723">
        <w:rPr>
          <w:rStyle w:val="AERbody"/>
        </w:rPr>
        <w:t>if</w:t>
      </w:r>
      <w:r w:rsidR="008B5EDD">
        <w:rPr>
          <w:rStyle w:val="AERbody"/>
        </w:rPr>
        <w:t xml:space="preserve"> </w:t>
      </w:r>
      <w:r w:rsidRPr="00890723">
        <w:rPr>
          <w:rStyle w:val="AERbody"/>
        </w:rPr>
        <w:t>data is available to amend the targets and incentive rates accordingly.</w:t>
      </w:r>
      <w:r>
        <w:rPr>
          <w:rStyle w:val="AERbody"/>
        </w:rPr>
        <w:t xml:space="preserve"> However, as stated above, this amendment of the definition has wider implication for the incentive rates and as such will require a comprehensive review of the scheme.</w:t>
      </w:r>
      <w:r>
        <w:rPr>
          <w:rStyle w:val="FootnoteReference"/>
        </w:rPr>
        <w:footnoteReference w:id="37"/>
      </w:r>
    </w:p>
    <w:p w:rsidR="001324FC" w:rsidRDefault="001324FC" w:rsidP="001324FC">
      <w:pPr>
        <w:rPr>
          <w:rStyle w:val="AERbody"/>
        </w:rPr>
      </w:pPr>
      <w:r>
        <w:rPr>
          <w:rStyle w:val="AERbody"/>
        </w:rPr>
        <w:t xml:space="preserve">The </w:t>
      </w:r>
      <w:r w:rsidR="00842C6A">
        <w:rPr>
          <w:rStyle w:val="AERbody"/>
        </w:rPr>
        <w:t>Consumer Challenge Panel rejected Untied Energy’s proposal and stated that</w:t>
      </w:r>
      <w:r>
        <w:rPr>
          <w:rStyle w:val="AERbody"/>
        </w:rPr>
        <w:t>:</w:t>
      </w:r>
    </w:p>
    <w:p w:rsidR="001324FC" w:rsidRPr="001324FC" w:rsidRDefault="001324FC" w:rsidP="001324FC">
      <w:pPr>
        <w:pStyle w:val="AERquote"/>
        <w:rPr>
          <w:rStyle w:val="AERbody"/>
          <w:color w:val="000000"/>
          <w:sz w:val="20"/>
        </w:rPr>
      </w:pPr>
      <w:r w:rsidRPr="001324FC">
        <w:rPr>
          <w:rStyle w:val="AERbody"/>
          <w:color w:val="000000"/>
          <w:sz w:val="20"/>
        </w:rPr>
        <w:t>CCP3 is aware that the AER has moved to exclude as few limitations to the assessments of inputs as possible in its decisions. CCP3 supports this as consumers experience total costs and reliability as a package, uninfluenced by the network’s experiences. Further, as noted above, CCP3 sees that the incentives need to be seen as a package.</w:t>
      </w:r>
    </w:p>
    <w:p w:rsidR="001324FC" w:rsidRDefault="001324FC" w:rsidP="001324FC">
      <w:pPr>
        <w:pStyle w:val="AERquote"/>
        <w:rPr>
          <w:rStyle w:val="AERbody"/>
        </w:rPr>
      </w:pPr>
      <w:r w:rsidRPr="001324FC">
        <w:rPr>
          <w:rStyle w:val="AERbody"/>
          <w:color w:val="000000"/>
          <w:sz w:val="20"/>
        </w:rPr>
        <w:lastRenderedPageBreak/>
        <w:t>On this basis, no exclusions should be made to the approach used by the AER in its guidelines as this will change the balance of the incentives</w:t>
      </w:r>
      <w:r w:rsidRPr="00BA36D5">
        <w:rPr>
          <w:rStyle w:val="AERbody"/>
        </w:rPr>
        <w:t>.</w:t>
      </w:r>
      <w:r>
        <w:rPr>
          <w:rStyle w:val="FootnoteReference"/>
        </w:rPr>
        <w:footnoteReference w:id="38"/>
      </w:r>
    </w:p>
    <w:p w:rsidR="00CC3B36" w:rsidRDefault="00CC3B36" w:rsidP="008C3A77">
      <w:pPr>
        <w:pStyle w:val="HeadingBoldBlue"/>
      </w:pPr>
      <w:r>
        <w:t>Churn in feeder categories</w:t>
      </w:r>
    </w:p>
    <w:p w:rsidR="00CC3B36" w:rsidRDefault="00CC3B36" w:rsidP="00CC3B36">
      <w:r>
        <w:t>Depending on jurisdictions, we currently classify feeders into the CBD, urban, short rural and long rural classifications for the STPIS. However, we note that the classification of some urban and rural feeders may change over time.</w:t>
      </w:r>
    </w:p>
    <w:p w:rsidR="00CC3B36" w:rsidRDefault="00CC3B36" w:rsidP="00CC3B36">
      <w:r w:rsidRPr="00022389">
        <w:t>United Energy proposed that the definition of an urban feeder be based on weather-normalised maximum demand rather than actual maximum d</w:t>
      </w:r>
      <w:r>
        <w:t>emand so that feeder</w:t>
      </w:r>
      <w:r w:rsidRPr="00022389">
        <w:t xml:space="preserve"> </w:t>
      </w:r>
      <w:r>
        <w:t xml:space="preserve">classifications do not vary </w:t>
      </w:r>
      <w:r w:rsidRPr="00022389">
        <w:t>from one year to the next</w:t>
      </w:r>
      <w:r>
        <w:t>.</w:t>
      </w:r>
      <w:r>
        <w:rPr>
          <w:rStyle w:val="FootnoteReference"/>
        </w:rPr>
        <w:footnoteReference w:id="39"/>
      </w:r>
    </w:p>
    <w:p w:rsidR="00CC3B36" w:rsidRDefault="00CC3B36" w:rsidP="00CC3B36">
      <w:r>
        <w:t>We consider this definitional change should be thoroughly considered and consulted with all stakeholders prior to implementation. Further, United Energy’s proposal to amend the definition is not compelling because:</w:t>
      </w:r>
    </w:p>
    <w:p w:rsidR="00CC3B36" w:rsidRDefault="00CC3B36" w:rsidP="00CC3B36">
      <w:pPr>
        <w:pStyle w:val="AERbulletlistfirststyle"/>
      </w:pPr>
      <w:r>
        <w:t>the number of feeder “churn” is likely to be not significant</w:t>
      </w:r>
    </w:p>
    <w:p w:rsidR="00CC3B36" w:rsidRDefault="00CC3B36" w:rsidP="00CC3B36">
      <w:pPr>
        <w:pStyle w:val="AERbulletlistfirststyle"/>
      </w:pPr>
      <w:r>
        <w:t xml:space="preserve">the incentive rates for both urban and rural feeders are based on the same </w:t>
      </w:r>
      <w:r w:rsidR="006A2D05">
        <w:t>VCR value</w:t>
      </w:r>
      <w:r>
        <w:t xml:space="preserve">. The financial impact on the distributor because of feeder churn, if any, </w:t>
      </w:r>
      <w:r w:rsidR="00910109">
        <w:t>sh</w:t>
      </w:r>
      <w:r>
        <w:t xml:space="preserve">ould be small.  </w:t>
      </w:r>
    </w:p>
    <w:p w:rsidR="00CC3B36" w:rsidRDefault="00CC3B36" w:rsidP="00CC3B36">
      <w:r w:rsidRPr="00C971F0">
        <w:t>In its submission, DEDJTR supported this proposal by United Energy.</w:t>
      </w:r>
      <w:r>
        <w:rPr>
          <w:rStyle w:val="FootnoteReference"/>
        </w:rPr>
        <w:footnoteReference w:id="40"/>
      </w:r>
      <w:r w:rsidRPr="00C971F0">
        <w:t xml:space="preserve"> </w:t>
      </w:r>
      <w:r>
        <w:t xml:space="preserve">We note </w:t>
      </w:r>
      <w:r w:rsidRPr="00C971F0">
        <w:t>DEDJTR</w:t>
      </w:r>
      <w:r w:rsidR="008C3A77">
        <w:t>'s</w:t>
      </w:r>
      <w:r>
        <w:t xml:space="preserve"> submission and consider that this definitional change will require extensive consultation prior to implementation.</w:t>
      </w:r>
    </w:p>
    <w:p w:rsidR="00842C6A" w:rsidRDefault="00842C6A" w:rsidP="00842C6A">
      <w:pPr>
        <w:rPr>
          <w:rStyle w:val="AERbody"/>
        </w:rPr>
      </w:pPr>
      <w:r>
        <w:rPr>
          <w:rStyle w:val="AERbody"/>
        </w:rPr>
        <w:t>The Consumer Challenge Panel rejected Untied Energy’s proposal and stated that:</w:t>
      </w:r>
    </w:p>
    <w:p w:rsidR="00842C6A" w:rsidRPr="001324FC" w:rsidRDefault="00842C6A" w:rsidP="00842C6A">
      <w:pPr>
        <w:pStyle w:val="AERquote"/>
        <w:rPr>
          <w:rStyle w:val="AERbody"/>
          <w:color w:val="000000"/>
          <w:sz w:val="20"/>
        </w:rPr>
      </w:pPr>
      <w:r w:rsidRPr="001324FC">
        <w:rPr>
          <w:rStyle w:val="AERbody"/>
          <w:color w:val="000000"/>
          <w:sz w:val="20"/>
        </w:rPr>
        <w:t>CCP3 is aware that the AER has moved to exclude as few limitations to the assessments of inputs as possible in its decisions. CCP3 supports this as consumers experience total costs and reliability as a package, uninfluenced by the network’s experiences. Further, as noted above, CCP3 sees that the incentives need to be seen as a package.</w:t>
      </w:r>
    </w:p>
    <w:p w:rsidR="00842C6A" w:rsidRDefault="00842C6A" w:rsidP="00842C6A">
      <w:pPr>
        <w:pStyle w:val="AERquote"/>
        <w:rPr>
          <w:rStyle w:val="AERbody"/>
        </w:rPr>
      </w:pPr>
      <w:r w:rsidRPr="001324FC">
        <w:rPr>
          <w:rStyle w:val="AERbody"/>
          <w:color w:val="000000"/>
          <w:sz w:val="20"/>
        </w:rPr>
        <w:t>On this basis, no exclusions should be made to the approach used by the AER in its guidelines as this will change the balance of the incentives</w:t>
      </w:r>
      <w:r w:rsidRPr="00BA36D5">
        <w:rPr>
          <w:rStyle w:val="AERbody"/>
        </w:rPr>
        <w:t>.</w:t>
      </w:r>
      <w:r>
        <w:rPr>
          <w:rStyle w:val="FootnoteReference"/>
        </w:rPr>
        <w:footnoteReference w:id="41"/>
      </w:r>
    </w:p>
    <w:p w:rsidR="00A70764" w:rsidRDefault="00A70764">
      <w:pPr>
        <w:spacing w:line="240" w:lineRule="auto"/>
        <w:rPr>
          <w:rFonts w:eastAsiaTheme="majorEastAsia" w:cstheme="majorBidi"/>
          <w:b/>
          <w:bCs/>
          <w:color w:val="70635A" w:themeColor="text2"/>
          <w:sz w:val="28"/>
        </w:rPr>
      </w:pPr>
      <w:r>
        <w:br w:type="page"/>
      </w:r>
    </w:p>
    <w:p w:rsidR="00CC3B36" w:rsidRDefault="00CC3B36" w:rsidP="00CC3B36">
      <w:pPr>
        <w:pStyle w:val="Heading3"/>
      </w:pPr>
      <w:bookmarkStart w:id="64" w:name="_Toc433641278"/>
      <w:r>
        <w:lastRenderedPageBreak/>
        <w:t>Using Momentary Average Interruption Frequency Index event (MAIFIe)</w:t>
      </w:r>
      <w:bookmarkEnd w:id="64"/>
    </w:p>
    <w:p w:rsidR="00724AD1" w:rsidRDefault="00CC3B36" w:rsidP="00CC3B36">
      <w:pPr>
        <w:pStyle w:val="Tabletitle"/>
        <w:rPr>
          <w:b w:val="0"/>
          <w:color w:val="auto"/>
          <w:sz w:val="22"/>
          <w:szCs w:val="22"/>
        </w:rPr>
      </w:pPr>
      <w:r w:rsidRPr="005643CD">
        <w:rPr>
          <w:b w:val="0"/>
          <w:color w:val="auto"/>
          <w:sz w:val="22"/>
          <w:szCs w:val="22"/>
        </w:rPr>
        <w:t xml:space="preserve">Under STPIS, all operations of an automatic reclose device are </w:t>
      </w:r>
      <w:r w:rsidR="00F33254">
        <w:rPr>
          <w:b w:val="0"/>
          <w:color w:val="auto"/>
          <w:sz w:val="22"/>
          <w:szCs w:val="22"/>
        </w:rPr>
        <w:t xml:space="preserve">typically </w:t>
      </w:r>
      <w:r w:rsidRPr="005643CD">
        <w:rPr>
          <w:b w:val="0"/>
          <w:color w:val="auto"/>
          <w:sz w:val="22"/>
          <w:szCs w:val="22"/>
        </w:rPr>
        <w:t xml:space="preserve">counted as a separate interruption (or MAIFI event). </w:t>
      </w:r>
      <w:r w:rsidR="00F33254">
        <w:rPr>
          <w:b w:val="0"/>
          <w:color w:val="auto"/>
          <w:sz w:val="22"/>
          <w:szCs w:val="22"/>
        </w:rPr>
        <w:t xml:space="preserve">However, the measurement method for MAIFI is </w:t>
      </w:r>
      <w:r w:rsidR="00724AD1">
        <w:rPr>
          <w:b w:val="0"/>
          <w:color w:val="auto"/>
          <w:sz w:val="22"/>
          <w:szCs w:val="22"/>
        </w:rPr>
        <w:t>not clearly defined in STPIS.</w:t>
      </w:r>
    </w:p>
    <w:p w:rsidR="00CC3B36" w:rsidRPr="005643CD" w:rsidRDefault="00CC3B36" w:rsidP="00CC3B36">
      <w:pPr>
        <w:pStyle w:val="Tabletitle"/>
        <w:rPr>
          <w:b w:val="0"/>
          <w:color w:val="auto"/>
          <w:sz w:val="22"/>
          <w:szCs w:val="22"/>
        </w:rPr>
      </w:pPr>
      <w:r w:rsidRPr="005643CD">
        <w:rPr>
          <w:b w:val="0"/>
          <w:color w:val="auto"/>
          <w:sz w:val="22"/>
          <w:szCs w:val="22"/>
        </w:rPr>
        <w:t>Under the historical Victorian measurement method, if supply is restored within one minute, all other unsuccessful attempts to restore supply during this time are not counted towards the MAIFIe measurement.</w:t>
      </w:r>
      <w:r w:rsidR="00724AD1">
        <w:rPr>
          <w:b w:val="0"/>
          <w:color w:val="auto"/>
          <w:sz w:val="22"/>
          <w:szCs w:val="22"/>
        </w:rPr>
        <w:t xml:space="preserve"> This MAIFI measurement method is not inconsistent with note 4 of Appendix A of STPIS, which states that “in calculating MAIFI, each operation of an automatic reclose is counted as a separate interruption. Sustained interruptions which occur when a recloser locks out after several attempts to reclose should be deleted from MAIFI calculations.”</w:t>
      </w:r>
    </w:p>
    <w:p w:rsidR="00CC3B36" w:rsidRPr="005643CD" w:rsidRDefault="00CC3B36" w:rsidP="00CC3B36">
      <w:pPr>
        <w:pStyle w:val="Tabletitle"/>
        <w:rPr>
          <w:b w:val="0"/>
          <w:color w:val="auto"/>
          <w:sz w:val="22"/>
          <w:szCs w:val="22"/>
        </w:rPr>
      </w:pPr>
      <w:r w:rsidRPr="005643CD">
        <w:rPr>
          <w:b w:val="0"/>
          <w:color w:val="auto"/>
          <w:sz w:val="22"/>
          <w:szCs w:val="22"/>
        </w:rPr>
        <w:t>This MAIFI</w:t>
      </w:r>
      <w:r>
        <w:rPr>
          <w:b w:val="0"/>
          <w:color w:val="auto"/>
          <w:sz w:val="22"/>
          <w:szCs w:val="22"/>
        </w:rPr>
        <w:t>e</w:t>
      </w:r>
      <w:r w:rsidRPr="005643CD">
        <w:rPr>
          <w:b w:val="0"/>
          <w:color w:val="auto"/>
          <w:sz w:val="22"/>
          <w:szCs w:val="22"/>
        </w:rPr>
        <w:t xml:space="preserve"> measurement method is currently applied to the Victorian distributors in the 2011–15 determination.</w:t>
      </w:r>
      <w:r>
        <w:rPr>
          <w:b w:val="0"/>
          <w:color w:val="auto"/>
          <w:sz w:val="22"/>
          <w:szCs w:val="22"/>
        </w:rPr>
        <w:t xml:space="preserve"> United Energy’s regulatory proposal for 2016–20 supported the use of MAIFIe in Victoria for the next </w:t>
      </w:r>
      <w:r w:rsidR="00A70764">
        <w:rPr>
          <w:b w:val="0"/>
          <w:color w:val="auto"/>
          <w:sz w:val="22"/>
          <w:szCs w:val="22"/>
        </w:rPr>
        <w:t>regulatory control period</w:t>
      </w:r>
      <w:r>
        <w:rPr>
          <w:b w:val="0"/>
          <w:color w:val="auto"/>
          <w:sz w:val="22"/>
          <w:szCs w:val="22"/>
        </w:rPr>
        <w:t>.</w:t>
      </w:r>
      <w:r>
        <w:rPr>
          <w:rStyle w:val="FootnoteReference"/>
          <w:b w:val="0"/>
          <w:color w:val="auto"/>
          <w:sz w:val="22"/>
          <w:szCs w:val="22"/>
        </w:rPr>
        <w:footnoteReference w:id="42"/>
      </w:r>
      <w:r>
        <w:rPr>
          <w:b w:val="0"/>
          <w:color w:val="auto"/>
          <w:sz w:val="22"/>
          <w:szCs w:val="22"/>
        </w:rPr>
        <w:t xml:space="preserve"> </w:t>
      </w:r>
    </w:p>
    <w:p w:rsidR="00CC3B36" w:rsidRDefault="00CC3B36" w:rsidP="00CC3B36">
      <w:pPr>
        <w:pStyle w:val="Tabletitle"/>
        <w:rPr>
          <w:b w:val="0"/>
          <w:color w:val="auto"/>
          <w:sz w:val="22"/>
          <w:szCs w:val="22"/>
        </w:rPr>
      </w:pPr>
      <w:r>
        <w:rPr>
          <w:b w:val="0"/>
          <w:color w:val="auto"/>
          <w:sz w:val="22"/>
          <w:szCs w:val="22"/>
        </w:rPr>
        <w:t>While our F&amp;A was silent on the application of MAIFI</w:t>
      </w:r>
      <w:r w:rsidR="00013ECF">
        <w:rPr>
          <w:b w:val="0"/>
          <w:color w:val="auto"/>
          <w:sz w:val="22"/>
          <w:szCs w:val="22"/>
        </w:rPr>
        <w:t xml:space="preserve"> or MAIFIe</w:t>
      </w:r>
      <w:r w:rsidR="001324FC">
        <w:rPr>
          <w:b w:val="0"/>
          <w:color w:val="auto"/>
          <w:sz w:val="22"/>
          <w:szCs w:val="22"/>
        </w:rPr>
        <w:t xml:space="preserve"> </w:t>
      </w:r>
      <w:r w:rsidR="00013ECF">
        <w:rPr>
          <w:b w:val="0"/>
          <w:color w:val="auto"/>
          <w:sz w:val="22"/>
          <w:szCs w:val="22"/>
        </w:rPr>
        <w:t>i</w:t>
      </w:r>
      <w:r>
        <w:rPr>
          <w:b w:val="0"/>
          <w:color w:val="auto"/>
          <w:sz w:val="22"/>
          <w:szCs w:val="22"/>
        </w:rPr>
        <w:t>n the STPIS, we consider it reasonable to apply MAIFI</w:t>
      </w:r>
      <w:r w:rsidR="001324FC">
        <w:rPr>
          <w:b w:val="0"/>
          <w:color w:val="auto"/>
          <w:sz w:val="22"/>
          <w:szCs w:val="22"/>
        </w:rPr>
        <w:t>e</w:t>
      </w:r>
      <w:r>
        <w:rPr>
          <w:b w:val="0"/>
          <w:color w:val="auto"/>
          <w:sz w:val="22"/>
          <w:szCs w:val="22"/>
        </w:rPr>
        <w:t xml:space="preserve"> </w:t>
      </w:r>
      <w:r w:rsidR="00013ECF">
        <w:rPr>
          <w:b w:val="0"/>
          <w:color w:val="auto"/>
          <w:sz w:val="22"/>
          <w:szCs w:val="22"/>
        </w:rPr>
        <w:t>for United Energy because i</w:t>
      </w:r>
      <w:r w:rsidR="00E52E73">
        <w:rPr>
          <w:b w:val="0"/>
          <w:color w:val="auto"/>
          <w:sz w:val="22"/>
          <w:szCs w:val="22"/>
        </w:rPr>
        <w:t xml:space="preserve">t is </w:t>
      </w:r>
      <w:r w:rsidR="00724AD1">
        <w:rPr>
          <w:b w:val="0"/>
          <w:color w:val="auto"/>
          <w:sz w:val="22"/>
          <w:szCs w:val="22"/>
        </w:rPr>
        <w:t xml:space="preserve">also </w:t>
      </w:r>
      <w:r w:rsidR="00E52E73">
        <w:rPr>
          <w:b w:val="0"/>
          <w:color w:val="auto"/>
          <w:sz w:val="22"/>
          <w:szCs w:val="22"/>
        </w:rPr>
        <w:t>consistent with the STPIS</w:t>
      </w:r>
      <w:r>
        <w:rPr>
          <w:b w:val="0"/>
          <w:color w:val="auto"/>
          <w:sz w:val="22"/>
          <w:szCs w:val="22"/>
        </w:rPr>
        <w:t xml:space="preserve">. </w:t>
      </w:r>
      <w:r w:rsidR="00724AD1">
        <w:rPr>
          <w:b w:val="0"/>
          <w:color w:val="auto"/>
          <w:sz w:val="22"/>
          <w:szCs w:val="22"/>
        </w:rPr>
        <w:t xml:space="preserve"> </w:t>
      </w:r>
    </w:p>
    <w:p w:rsidR="00CC3B36" w:rsidRDefault="00CC3B36" w:rsidP="00CC3B36">
      <w:pPr>
        <w:rPr>
          <w:rStyle w:val="AERbody"/>
        </w:rPr>
      </w:pPr>
      <w:r>
        <w:rPr>
          <w:rStyle w:val="AERbody"/>
        </w:rPr>
        <w:t>We received no submission</w:t>
      </w:r>
      <w:r w:rsidR="002D7BDF">
        <w:rPr>
          <w:rStyle w:val="AERbody"/>
        </w:rPr>
        <w:t>s</w:t>
      </w:r>
      <w:r>
        <w:rPr>
          <w:rStyle w:val="AERbody"/>
        </w:rPr>
        <w:t xml:space="preserve"> on this issue.</w:t>
      </w:r>
    </w:p>
    <w:p w:rsidR="00CC3B36" w:rsidRPr="005F3431" w:rsidRDefault="00CC3B36" w:rsidP="00CC3B36">
      <w:pPr>
        <w:pStyle w:val="Heading3"/>
      </w:pPr>
      <w:bookmarkStart w:id="65" w:name="_Toc433641279"/>
      <w:r w:rsidRPr="005F3431">
        <w:t>Adjust</w:t>
      </w:r>
      <w:r w:rsidR="00AE39C9">
        <w:t>ing</w:t>
      </w:r>
      <w:r>
        <w:t xml:space="preserve"> STPIS targets </w:t>
      </w:r>
      <w:r w:rsidRPr="005F3431">
        <w:t xml:space="preserve">for </w:t>
      </w:r>
      <w:r>
        <w:t>potential bushfire related expenditure</w:t>
      </w:r>
      <w:bookmarkEnd w:id="65"/>
    </w:p>
    <w:p w:rsidR="00CC3B36" w:rsidRDefault="00CC3B36" w:rsidP="00CC3B36">
      <w:r>
        <w:t xml:space="preserve">We received a submission from the </w:t>
      </w:r>
      <w:r w:rsidR="00155B5D" w:rsidRPr="00DA3C35">
        <w:rPr>
          <w:rStyle w:val="AERbody"/>
        </w:rPr>
        <w:t>DEDJTR</w:t>
      </w:r>
      <w:r>
        <w:t xml:space="preserve"> outlining that United Energy's reliability targets should reflect the reliability improvements made from the </w:t>
      </w:r>
      <w:r w:rsidRPr="005E58B4">
        <w:t>Victorian Government’s Power</w:t>
      </w:r>
      <w:r>
        <w:t xml:space="preserve"> </w:t>
      </w:r>
      <w:r w:rsidRPr="005E58B4">
        <w:t>line Bushfire Safety Program</w:t>
      </w:r>
      <w:r>
        <w:t>.</w:t>
      </w:r>
      <w:r>
        <w:rPr>
          <w:rStyle w:val="FootnoteReference"/>
        </w:rPr>
        <w:footnoteReference w:id="43"/>
      </w:r>
    </w:p>
    <w:p w:rsidR="00CC3B36" w:rsidRPr="005E58B4" w:rsidRDefault="00CC3B36" w:rsidP="00CC3B36">
      <w:r>
        <w:t>It state</w:t>
      </w:r>
      <w:r w:rsidR="00842C6A">
        <w:t>d</w:t>
      </w:r>
      <w:r>
        <w:t xml:space="preserve"> that t</w:t>
      </w:r>
      <w:r w:rsidRPr="005E58B4">
        <w:t xml:space="preserve">he Victorian Government </w:t>
      </w:r>
      <w:r w:rsidR="00842C6A">
        <w:t xml:space="preserve">will </w:t>
      </w:r>
      <w:r w:rsidRPr="005E58B4">
        <w:t>fund</w:t>
      </w:r>
      <w:r w:rsidR="00842C6A">
        <w:t xml:space="preserve"> </w:t>
      </w:r>
      <w:r w:rsidRPr="005E58B4">
        <w:t>power</w:t>
      </w:r>
      <w:r>
        <w:t xml:space="preserve"> </w:t>
      </w:r>
      <w:r w:rsidRPr="005E58B4">
        <w:t>line replacement</w:t>
      </w:r>
      <w:r w:rsidR="00842C6A">
        <w:t>s</w:t>
      </w:r>
      <w:r w:rsidRPr="005E58B4">
        <w:t xml:space="preserve"> in the most dangerous areas of the state and is currently considering regulating the installation of Rapid Earth Fault Current Limiters (REFCLs) in the highest consequence bushfire risk areas and automatic circuit reclosers on Single Wire Earth Return power</w:t>
      </w:r>
      <w:r>
        <w:t xml:space="preserve"> </w:t>
      </w:r>
      <w:r w:rsidRPr="005E58B4">
        <w:t>lines in rural areas. Both the power</w:t>
      </w:r>
      <w:r>
        <w:t xml:space="preserve"> </w:t>
      </w:r>
      <w:r w:rsidRPr="005E58B4">
        <w:t>line replacement and REFCLs are expected to improve the supply reliability in the areas targeted.</w:t>
      </w:r>
    </w:p>
    <w:p w:rsidR="00842C6A" w:rsidRPr="005E58B4" w:rsidRDefault="00842C6A" w:rsidP="00842C6A">
      <w:r>
        <w:t>We agree that the installation of these safety measures may</w:t>
      </w:r>
      <w:r w:rsidRPr="005E58B4">
        <w:t xml:space="preserve"> impact on</w:t>
      </w:r>
      <w:r>
        <w:t xml:space="preserve"> the</w:t>
      </w:r>
      <w:r w:rsidRPr="005E58B4">
        <w:t xml:space="preserve"> reliability</w:t>
      </w:r>
      <w:r>
        <w:t xml:space="preserve"> of supply but cannot consider the proposal in our preliminary decision. </w:t>
      </w:r>
      <w:r w:rsidRPr="005E58B4">
        <w:t>Th</w:t>
      </w:r>
      <w:r>
        <w:t>e</w:t>
      </w:r>
      <w:r w:rsidRPr="005E58B4">
        <w:t xml:space="preserve"> legislation of </w:t>
      </w:r>
      <w:r w:rsidRPr="005E58B4">
        <w:lastRenderedPageBreak/>
        <w:t>this program is yet to be completed</w:t>
      </w:r>
      <w:r>
        <w:t xml:space="preserve"> and, as such,</w:t>
      </w:r>
      <w:r w:rsidRPr="005E58B4">
        <w:t xml:space="preserve"> we do not have </w:t>
      </w:r>
      <w:r>
        <w:t>the relevant information in order to make such an adjustment.</w:t>
      </w:r>
      <w:r>
        <w:rPr>
          <w:rStyle w:val="FootnoteReference"/>
        </w:rPr>
        <w:footnoteReference w:id="44"/>
      </w:r>
      <w:r>
        <w:t xml:space="preserve"> </w:t>
      </w:r>
    </w:p>
    <w:p w:rsidR="00CC3B36" w:rsidRDefault="00CC3B36" w:rsidP="00CC3B36">
      <w:r>
        <w:t xml:space="preserve">That said </w:t>
      </w:r>
      <w:r w:rsidRPr="005E58B4">
        <w:t xml:space="preserve">the scheme has provisions to make adjustments to </w:t>
      </w:r>
      <w:r>
        <w:t>U</w:t>
      </w:r>
      <w:r w:rsidR="000F5D9D">
        <w:t>nited Energy</w:t>
      </w:r>
      <w:r>
        <w:t>'s</w:t>
      </w:r>
      <w:r w:rsidRPr="005E58B4">
        <w:t xml:space="preserve"> targets in the </w:t>
      </w:r>
      <w:r>
        <w:t xml:space="preserve">2021–2025 regulatory control period </w:t>
      </w:r>
      <w:r w:rsidRPr="005E58B4">
        <w:t xml:space="preserve">for </w:t>
      </w:r>
      <w:r w:rsidR="007A5C67">
        <w:t>capex</w:t>
      </w:r>
      <w:r w:rsidRPr="005E58B4">
        <w:t xml:space="preserve"> </w:t>
      </w:r>
      <w:r>
        <w:t>that may improve reliability</w:t>
      </w:r>
      <w:r w:rsidRPr="005E58B4">
        <w:t>. This will ensure that c</w:t>
      </w:r>
      <w:r>
        <w:t>onsumers</w:t>
      </w:r>
      <w:r w:rsidRPr="005E58B4">
        <w:t xml:space="preserve"> are not paying for the expenditure again through STPIS for improvement factored in this expenditure.</w:t>
      </w:r>
      <w:r>
        <w:rPr>
          <w:rStyle w:val="FootnoteReference"/>
        </w:rPr>
        <w:footnoteReference w:id="45"/>
      </w:r>
      <w:r w:rsidRPr="005E58B4">
        <w:t xml:space="preserve"> </w:t>
      </w:r>
    </w:p>
    <w:p w:rsidR="001324FC" w:rsidRPr="00F17A7C" w:rsidRDefault="001324FC" w:rsidP="00AE39C9">
      <w:pPr>
        <w:pStyle w:val="Heading3"/>
        <w:rPr>
          <w:rStyle w:val="AERbody"/>
          <w:color w:val="70635A" w:themeColor="text2"/>
          <w:sz w:val="32"/>
        </w:rPr>
      </w:pPr>
      <w:bookmarkStart w:id="66" w:name="_Toc433641280"/>
      <w:r w:rsidRPr="00F17A7C">
        <w:rPr>
          <w:rStyle w:val="AERbody"/>
          <w:color w:val="70635A" w:themeColor="text2"/>
          <w:sz w:val="32"/>
        </w:rPr>
        <w:t>Value of customer reliability</w:t>
      </w:r>
      <w:r w:rsidR="00F17A7C" w:rsidRPr="00F17A7C">
        <w:rPr>
          <w:rStyle w:val="AERbody"/>
          <w:color w:val="70635A" w:themeColor="text2"/>
          <w:sz w:val="32"/>
        </w:rPr>
        <w:t xml:space="preserve"> to calculate the incentive rates</w:t>
      </w:r>
      <w:bookmarkEnd w:id="66"/>
    </w:p>
    <w:p w:rsidR="00842C6A" w:rsidRPr="002C28FB" w:rsidRDefault="00842C6A" w:rsidP="00842C6A">
      <w:r>
        <w:t xml:space="preserve">Our F&amp;A paper stated that we will apply a </w:t>
      </w:r>
      <w:r w:rsidRPr="00F17A7C">
        <w:t>revise</w:t>
      </w:r>
      <w:r w:rsidR="00F50328">
        <w:t>d</w:t>
      </w:r>
      <w:r w:rsidRPr="00F17A7C">
        <w:t xml:space="preserve"> value for VCR through the distribution determination </w:t>
      </w:r>
      <w:r>
        <w:t>in calculating United Energy’s incentive rates.</w:t>
      </w:r>
      <w:r>
        <w:rPr>
          <w:rStyle w:val="FootnoteReference"/>
        </w:rPr>
        <w:footnoteReference w:id="46"/>
      </w:r>
      <w:r>
        <w:t xml:space="preserve"> For this preliminary decision, we have calculated the incentive rates by deriving the VCR from United Energy’s consumption data, the other Victorian electricity distributors’ consumption data and AEMO’s published state wide VCR.</w:t>
      </w:r>
      <w:r w:rsidRPr="002C28FB">
        <w:t xml:space="preserve"> The steps are: </w:t>
      </w:r>
    </w:p>
    <w:p w:rsidR="00842C6A" w:rsidRPr="002C28FB" w:rsidRDefault="00842C6A" w:rsidP="00842C6A">
      <w:pPr>
        <w:pStyle w:val="AERbulletlistfirststyle"/>
      </w:pPr>
      <w:r w:rsidRPr="002C28FB">
        <w:t>First, calculate the VCR for CBD based on the assumption that all CBD consumptions are commercial loads. The expected error for the resultant VCR for CBD is small.</w:t>
      </w:r>
    </w:p>
    <w:p w:rsidR="00842C6A" w:rsidRPr="002C28FB" w:rsidRDefault="00842C6A" w:rsidP="00842C6A">
      <w:pPr>
        <w:pStyle w:val="AERbulletlistfirststyle"/>
      </w:pPr>
      <w:r w:rsidRPr="002C28FB">
        <w:t>Then calculate the VCR for urban and rural feeders by dividing the “difference between [all state</w:t>
      </w:r>
      <w:r>
        <w:t xml:space="preserve"> </w:t>
      </w:r>
      <w:r w:rsidRPr="002C28FB">
        <w:t>wide consumption * state</w:t>
      </w:r>
      <w:r>
        <w:t xml:space="preserve"> </w:t>
      </w:r>
      <w:r w:rsidRPr="002C28FB">
        <w:t>wide VCR] and [CBD consumption * VCR for CBD network]” by the “difference between all state</w:t>
      </w:r>
      <w:r>
        <w:t xml:space="preserve"> </w:t>
      </w:r>
      <w:r w:rsidRPr="002C28FB">
        <w:t>wide consumption and CBD consumption”.</w:t>
      </w:r>
    </w:p>
    <w:p w:rsidR="00842C6A" w:rsidRDefault="00842C6A" w:rsidP="00842C6A">
      <w:r>
        <w:t>The VCR for United Energy’s urban and short rural segments is $</w:t>
      </w:r>
      <w:r w:rsidR="00B32A61" w:rsidRPr="00B32A61">
        <w:t xml:space="preserve"> 39,026.67</w:t>
      </w:r>
      <w:r w:rsidR="008E39DC">
        <w:t xml:space="preserve"> per </w:t>
      </w:r>
      <w:r w:rsidR="00B32A61">
        <w:t>M</w:t>
      </w:r>
      <w:r>
        <w:t>W</w:t>
      </w:r>
      <w:r w:rsidR="00B32A61">
        <w:t>h</w:t>
      </w:r>
      <w:r>
        <w:t>. We have applied this VCR to calculate its incentives rates for 2016–20.</w:t>
      </w:r>
    </w:p>
    <w:p w:rsidR="006E67E3" w:rsidRDefault="006E67E3" w:rsidP="006E67E3">
      <w:pPr>
        <w:pStyle w:val="Heading2"/>
      </w:pPr>
      <w:bookmarkStart w:id="67" w:name="_Toc433641281"/>
      <w:r>
        <w:t>Transitional arrangements for the STPIS</w:t>
      </w:r>
      <w:bookmarkEnd w:id="67"/>
    </w:p>
    <w:p w:rsidR="006E67E3" w:rsidRDefault="006E67E3" w:rsidP="006E67E3">
      <w:r>
        <w:t>This section addresses the following transitional issues relating the STPIS:</w:t>
      </w:r>
    </w:p>
    <w:p w:rsidR="006E67E3" w:rsidRDefault="006E67E3" w:rsidP="006E67E3">
      <w:pPr>
        <w:pStyle w:val="AERbulletlistfirststyle"/>
      </w:pPr>
      <w:r>
        <w:t xml:space="preserve">how we intend to adjust the </w:t>
      </w:r>
      <w:r w:rsidR="008B020D">
        <w:t>S-factor</w:t>
      </w:r>
      <w:r>
        <w:t xml:space="preserve"> between regulatory control periods</w:t>
      </w:r>
    </w:p>
    <w:p w:rsidR="006E67E3" w:rsidRDefault="006E67E3" w:rsidP="006E67E3">
      <w:pPr>
        <w:pStyle w:val="AERbulletlistfirststyle"/>
      </w:pPr>
      <w:r>
        <w:t>how we intend to account for revenue increments or decrements resulting from the STPIS outcomes between regulatory control periods</w:t>
      </w:r>
    </w:p>
    <w:p w:rsidR="006E67E3" w:rsidRDefault="006E67E3" w:rsidP="006E67E3">
      <w:pPr>
        <w:pStyle w:val="AERbulletlistfirststyle"/>
      </w:pPr>
      <w:proofErr w:type="gramStart"/>
      <w:r>
        <w:t>how</w:t>
      </w:r>
      <w:proofErr w:type="gramEnd"/>
      <w:r>
        <w:t xml:space="preserve"> we will close out Essential Services Commission service performance scheme for 2006–10.</w:t>
      </w:r>
    </w:p>
    <w:p w:rsidR="00A70764" w:rsidRDefault="00A70764">
      <w:pPr>
        <w:spacing w:line="240" w:lineRule="auto"/>
        <w:rPr>
          <w:rFonts w:eastAsiaTheme="majorEastAsia" w:cstheme="majorBidi"/>
          <w:b/>
          <w:bCs/>
          <w:color w:val="70635A" w:themeColor="text2"/>
          <w:sz w:val="28"/>
        </w:rPr>
      </w:pPr>
      <w:r>
        <w:br w:type="page"/>
      </w:r>
    </w:p>
    <w:p w:rsidR="006E67E3" w:rsidRPr="00432754" w:rsidRDefault="00846C4D" w:rsidP="006E67E3">
      <w:pPr>
        <w:pStyle w:val="Heading3"/>
      </w:pPr>
      <w:bookmarkStart w:id="68" w:name="_Toc433641282"/>
      <w:r>
        <w:lastRenderedPageBreak/>
        <w:t xml:space="preserve">Adjusting the </w:t>
      </w:r>
      <w:r w:rsidR="006E67E3">
        <w:t>S-factor between regulatory control periods</w:t>
      </w:r>
      <w:bookmarkEnd w:id="68"/>
    </w:p>
    <w:p w:rsidR="006E67E3" w:rsidRDefault="006E67E3" w:rsidP="006E67E3">
      <w:r>
        <w:t xml:space="preserve">The STPIS operates as part of the building block determination and is applied via the control mechanism. Through the S-factor component of the STPIS, distributors are penalised or rewarded for diminished or improved service performance compared to predetermined </w:t>
      </w:r>
      <w:r w:rsidRPr="00B83039">
        <w:rPr>
          <w:rStyle w:val="AERbody"/>
        </w:rPr>
        <w:t xml:space="preserve">targets. Distributors are either rewarded or penalised via network charges two years after the end of each regulatory year because audited performance data would only be available after the regulatory year is completed––hence, the earliest time the S-factor can apply is the year following </w:t>
      </w:r>
      <w:r w:rsidR="005C707C">
        <w:rPr>
          <w:rStyle w:val="AERbody"/>
        </w:rPr>
        <w:t xml:space="preserve">audited </w:t>
      </w:r>
      <w:r w:rsidRPr="00B83039">
        <w:rPr>
          <w:rStyle w:val="AERbody"/>
        </w:rPr>
        <w:t>performance data availabil</w:t>
      </w:r>
      <w:r>
        <w:rPr>
          <w:rStyle w:val="AERbody"/>
        </w:rPr>
        <w:t>i</w:t>
      </w:r>
      <w:r w:rsidRPr="00B83039">
        <w:rPr>
          <w:rStyle w:val="AERbody"/>
        </w:rPr>
        <w:t>ty.</w:t>
      </w:r>
      <w:r>
        <w:t xml:space="preserve">  </w:t>
      </w:r>
    </w:p>
    <w:p w:rsidR="006E67E3" w:rsidRDefault="006E67E3" w:rsidP="006E67E3">
      <w:r>
        <w:t xml:space="preserve">Consequently, the S-factor outcomes of 2014 and 2015 will apply to prices in the 2016 and 2017 regulatory years respectively. </w:t>
      </w:r>
    </w:p>
    <w:p w:rsidR="006E67E3" w:rsidRDefault="006E67E3" w:rsidP="006E67E3">
      <w:r>
        <w:rPr>
          <w:rStyle w:val="AERbody"/>
        </w:rPr>
        <w:t>T</w:t>
      </w:r>
      <w:r w:rsidRPr="00432754">
        <w:rPr>
          <w:rStyle w:val="AERbody"/>
        </w:rPr>
        <w:t xml:space="preserve">he revenue at risk caps the risk of the STPIS to </w:t>
      </w:r>
      <w:r>
        <w:rPr>
          <w:rStyle w:val="AERbody"/>
        </w:rPr>
        <w:t xml:space="preserve">United Energy at </w:t>
      </w:r>
      <w:r w:rsidR="00E57B34">
        <w:rPr>
          <w:rStyle w:val="AERbody"/>
          <w:rFonts w:cs="Arial"/>
        </w:rPr>
        <w:t>±</w:t>
      </w:r>
      <w:r w:rsidR="00E57B34">
        <w:rPr>
          <w:rStyle w:val="AERbody"/>
        </w:rPr>
        <w:t xml:space="preserve"> 5.0 </w:t>
      </w:r>
      <w:r>
        <w:rPr>
          <w:rStyle w:val="AERbody"/>
        </w:rPr>
        <w:t>per cent</w:t>
      </w:r>
      <w:r w:rsidR="005C707C">
        <w:rPr>
          <w:rStyle w:val="AERbody"/>
        </w:rPr>
        <w:t xml:space="preserve"> of </w:t>
      </w:r>
      <w:r w:rsidR="001A273A">
        <w:rPr>
          <w:rStyle w:val="AERbody"/>
        </w:rPr>
        <w:t xml:space="preserve">the annual </w:t>
      </w:r>
      <w:r w:rsidR="00793354">
        <w:rPr>
          <w:rStyle w:val="AERbody"/>
        </w:rPr>
        <w:t xml:space="preserve">allowable </w:t>
      </w:r>
      <w:r w:rsidR="004E76CF">
        <w:rPr>
          <w:rStyle w:val="AERbody"/>
        </w:rPr>
        <w:t>revenue</w:t>
      </w:r>
      <w:r w:rsidRPr="00432754">
        <w:rPr>
          <w:rStyle w:val="AERbody"/>
        </w:rPr>
        <w:t xml:space="preserve">. </w:t>
      </w:r>
      <w:r>
        <w:rPr>
          <w:rStyle w:val="AERbody"/>
        </w:rPr>
        <w:t xml:space="preserve">However, distributors may exceed this cap where there are increases or decreases to the amount of </w:t>
      </w:r>
      <w:r w:rsidR="001A273A">
        <w:rPr>
          <w:rStyle w:val="AERbody"/>
        </w:rPr>
        <w:t xml:space="preserve">the annual </w:t>
      </w:r>
      <w:r w:rsidR="00793354">
        <w:rPr>
          <w:rStyle w:val="AERbody"/>
        </w:rPr>
        <w:t xml:space="preserve">allowable </w:t>
      </w:r>
      <w:r w:rsidR="001A273A">
        <w:rPr>
          <w:rStyle w:val="AERbody"/>
        </w:rPr>
        <w:t>revenue</w:t>
      </w:r>
      <w:r>
        <w:rPr>
          <w:rStyle w:val="AERbody"/>
        </w:rPr>
        <w:t xml:space="preserve"> that they can recover between regulatory control periods. </w:t>
      </w:r>
      <w:r>
        <w:t xml:space="preserve">The STPIS scheme accounts for the differences to </w:t>
      </w:r>
      <w:r w:rsidR="001A273A">
        <w:t xml:space="preserve">the </w:t>
      </w:r>
      <w:r w:rsidR="00793354">
        <w:t xml:space="preserve">allowable </w:t>
      </w:r>
      <w:r w:rsidR="001A273A">
        <w:t>revenue</w:t>
      </w:r>
      <w:r>
        <w:t xml:space="preserve"> recoverable between regulatory control periods by making an adjustment to the "raw"</w:t>
      </w:r>
      <w:r>
        <w:rPr>
          <w:rStyle w:val="FootnoteReference"/>
        </w:rPr>
        <w:footnoteReference w:id="47"/>
      </w:r>
      <w:r>
        <w:t xml:space="preserve"> S-factor for the </w:t>
      </w:r>
      <w:r w:rsidRPr="001B6FB9">
        <w:t>last and second last</w:t>
      </w:r>
      <w:r>
        <w:t xml:space="preserve"> </w:t>
      </w:r>
      <w:r w:rsidRPr="001B6FB9">
        <w:t xml:space="preserve">regulatory years of the </w:t>
      </w:r>
      <w:r>
        <w:t xml:space="preserve">current </w:t>
      </w:r>
      <w:r w:rsidRPr="001B6FB9">
        <w:t>regulatory control period (which is applied in the first and</w:t>
      </w:r>
      <w:r>
        <w:t xml:space="preserve"> </w:t>
      </w:r>
      <w:r w:rsidRPr="001B6FB9">
        <w:t>second</w:t>
      </w:r>
      <w:r>
        <w:t xml:space="preserve"> </w:t>
      </w:r>
      <w:r w:rsidRPr="001B6FB9">
        <w:t xml:space="preserve">regulatory years of the next regulatory control period) </w:t>
      </w:r>
      <w:r>
        <w:t>by adjusting the raw S-factor value based on:</w:t>
      </w:r>
    </w:p>
    <w:p w:rsidR="006E67E3" w:rsidRDefault="006E67E3" w:rsidP="006E67E3">
      <w:pPr>
        <w:pStyle w:val="AERquoteindent1"/>
      </w:pPr>
      <w:proofErr w:type="gramStart"/>
      <w:r w:rsidRPr="001B6FB9">
        <w:t>the</w:t>
      </w:r>
      <w:proofErr w:type="gramEnd"/>
      <w:r w:rsidRPr="001B6FB9">
        <w:t xml:space="preserve"> percentage change between the annual revenue requirement in</w:t>
      </w:r>
      <w:r>
        <w:t xml:space="preserve"> </w:t>
      </w:r>
      <w:r w:rsidRPr="001B6FB9">
        <w:t>the last regulatory year of the previous regulatory control period and</w:t>
      </w:r>
      <w:r>
        <w:t xml:space="preserve"> </w:t>
      </w:r>
      <w:r w:rsidRPr="001B6FB9">
        <w:t>the annual revenue requirement for first regulatory year of the next</w:t>
      </w:r>
      <w:r>
        <w:t xml:space="preserve"> </w:t>
      </w:r>
      <w:r w:rsidRPr="001B6FB9">
        <w:t>regulatory control period taken from the post-tax revenue model.</w:t>
      </w:r>
      <w:r>
        <w:rPr>
          <w:rStyle w:val="FootnoteReference"/>
        </w:rPr>
        <w:footnoteReference w:id="48"/>
      </w:r>
    </w:p>
    <w:p w:rsidR="006E67E3" w:rsidRDefault="006E67E3" w:rsidP="006E67E3">
      <w:r>
        <w:t>Hence, the revenue at risk cap for the first two years of the next regulatory control period will be adjusted based on the approved revenue at risk cap of the previous regulatory control period.</w:t>
      </w:r>
    </w:p>
    <w:p w:rsidR="006E67E3" w:rsidRPr="00FD0BEC" w:rsidRDefault="006E67E3" w:rsidP="006E67E3">
      <w:pPr>
        <w:pStyle w:val="Heading3"/>
      </w:pPr>
      <w:bookmarkStart w:id="69" w:name="_Toc433641283"/>
      <w:r w:rsidRPr="00FD0BEC">
        <w:t xml:space="preserve">Accounting </w:t>
      </w:r>
      <w:r w:rsidR="00846C4D">
        <w:t xml:space="preserve">for </w:t>
      </w:r>
      <w:r>
        <w:t xml:space="preserve">revenue increments decrements </w:t>
      </w:r>
      <w:r w:rsidRPr="00FD0BEC">
        <w:t xml:space="preserve">between </w:t>
      </w:r>
      <w:r w:rsidR="00A70764">
        <w:t>regulatory control period</w:t>
      </w:r>
      <w:r w:rsidRPr="00FD0BEC">
        <w:t>s</w:t>
      </w:r>
      <w:bookmarkEnd w:id="69"/>
      <w:r w:rsidRPr="00FD0BEC">
        <w:t xml:space="preserve"> </w:t>
      </w:r>
    </w:p>
    <w:p w:rsidR="00046053" w:rsidRPr="00AF64B3" w:rsidRDefault="00046053" w:rsidP="00046053">
      <w:r w:rsidRPr="00AF64B3">
        <w:t xml:space="preserve">A </w:t>
      </w:r>
      <w:r>
        <w:t>distributor's</w:t>
      </w:r>
      <w:r w:rsidRPr="00AF64B3">
        <w:t xml:space="preserve"> performance in the last regulatory year of its regulatory control period</w:t>
      </w:r>
      <w:r>
        <w:t xml:space="preserve"> </w:t>
      </w:r>
      <w:r w:rsidRPr="00AF64B3">
        <w:t>will affect its revenue in the second regulatory year in the next regulatory control</w:t>
      </w:r>
      <w:r>
        <w:t xml:space="preserve"> </w:t>
      </w:r>
      <w:r w:rsidRPr="00AF64B3">
        <w:t>period.</w:t>
      </w:r>
    </w:p>
    <w:p w:rsidR="00046053" w:rsidRDefault="00046053" w:rsidP="00046053">
      <w:r w:rsidRPr="00AF64B3">
        <w:t xml:space="preserve">For example, if a </w:t>
      </w:r>
      <w:r>
        <w:t>distributor</w:t>
      </w:r>
      <w:r w:rsidRPr="00AF64B3">
        <w:t xml:space="preserve"> has a regulatory control period of 5 regulatory years</w:t>
      </w:r>
      <w:r>
        <w:t xml:space="preserve"> </w:t>
      </w:r>
      <w:r w:rsidRPr="00AF64B3">
        <w:t>between 1 July 2007 and 30 June 2012, its performance in the 2011–12 financial year</w:t>
      </w:r>
      <w:r>
        <w:t xml:space="preserve"> </w:t>
      </w:r>
      <w:r w:rsidRPr="00AF64B3">
        <w:lastRenderedPageBreak/>
        <w:t>will affect its revenues in the second regulatory year of the next regulatory control</w:t>
      </w:r>
      <w:r>
        <w:t xml:space="preserve"> </w:t>
      </w:r>
      <w:r w:rsidRPr="00AF64B3">
        <w:t>period (that is from 1 July 2014).</w:t>
      </w:r>
      <w:r>
        <w:rPr>
          <w:rStyle w:val="FootnoteReference"/>
        </w:rPr>
        <w:footnoteReference w:id="49"/>
      </w:r>
    </w:p>
    <w:p w:rsidR="006E67E3" w:rsidRPr="00FD0BEC" w:rsidRDefault="00167D61" w:rsidP="006E67E3">
      <w:r>
        <w:t xml:space="preserve">The STPIS provides a mechanism to </w:t>
      </w:r>
      <w:r w:rsidR="006E67E3" w:rsidRPr="00FD0BEC">
        <w:t xml:space="preserve">account for any step change in revenues (or prices), </w:t>
      </w:r>
      <w:proofErr w:type="gramStart"/>
      <w:r w:rsidR="006E67E3" w:rsidRPr="00FD0BEC">
        <w:t xml:space="preserve">via </w:t>
      </w:r>
      <w:proofErr w:type="gramEnd"/>
      <m:oMath>
        <m:sSub>
          <m:sSubPr>
            <m:ctrlPr>
              <w:rPr>
                <w:rFonts w:ascii="Cambria Math" w:hAnsi="Cambria Math"/>
              </w:rPr>
            </m:ctrlPr>
          </m:sSubPr>
          <m:e>
            <m:r>
              <w:rPr>
                <w:rFonts w:ascii="Cambria Math" w:hAnsi="Cambria Math"/>
              </w:rPr>
              <m:t>X</m:t>
            </m:r>
          </m:e>
          <m:sub>
            <m:r>
              <w:rPr>
                <w:rFonts w:ascii="Cambria Math" w:hAnsi="Cambria Math"/>
              </w:rPr>
              <m:t>0</m:t>
            </m:r>
          </m:sub>
        </m:sSub>
        <m:r>
          <w:rPr>
            <w:rStyle w:val="FootnoteReference"/>
            <w:rFonts w:ascii="Cambria Math" w:hAnsi="Cambria Math"/>
            <w:i/>
          </w:rPr>
          <w:footnoteReference w:id="50"/>
        </m:r>
      </m:oMath>
      <w:r w:rsidR="006E67E3" w:rsidRPr="00FD0BEC">
        <w:t>, from one regulatory</w:t>
      </w:r>
      <w:r w:rsidR="006E67E3">
        <w:t xml:space="preserve"> </w:t>
      </w:r>
      <w:r w:rsidR="006E67E3" w:rsidRPr="00FD0BEC">
        <w:t>control period to the next</w:t>
      </w:r>
      <w:r w:rsidR="00CC3B36">
        <w:t>. T</w:t>
      </w:r>
      <w:r w:rsidR="006E67E3" w:rsidRPr="00FD0BEC">
        <w:t xml:space="preserve">he ‘raw’ </w:t>
      </w:r>
      <w:r w:rsidR="008B020D">
        <w:t>S-factor</w:t>
      </w:r>
      <w:r w:rsidR="006E67E3" w:rsidRPr="00FD0BEC">
        <w:t xml:space="preserve"> calculated for the last and second last regulatory years of the regulatory control period (which is applied in the first and second regulatory years of the next regulatory control period) is adjusted in accordance with the following formula:</w:t>
      </w:r>
      <w:r w:rsidR="006E67E3" w:rsidRPr="00FD0BEC">
        <w:rPr>
          <w:rStyle w:val="FootnoteReference"/>
        </w:rPr>
        <w:footnoteReference w:id="51"/>
      </w:r>
      <w:r w:rsidR="006E67E3" w:rsidRPr="00FD0BEC">
        <w:t xml:space="preserve"> </w:t>
      </w:r>
    </w:p>
    <w:p w:rsidR="006E67E3" w:rsidRPr="00FD0BEC" w:rsidRDefault="00001E64" w:rsidP="006E67E3">
      <m:oMath>
        <m:sSubSup>
          <m:sSubSupPr>
            <m:ctrlPr>
              <w:rPr>
                <w:rFonts w:ascii="Cambria Math" w:hAnsi="Cambria Math"/>
              </w:rPr>
            </m:ctrlPr>
          </m:sSubSupPr>
          <m:e>
            <m:r>
              <w:rPr>
                <w:rFonts w:ascii="Cambria Math" w:hAnsi="Cambria Math"/>
              </w:rPr>
              <m:t>S</m:t>
            </m:r>
          </m:e>
          <m:sub>
            <m:r>
              <w:rPr>
                <w:rFonts w:ascii="Cambria Math" w:hAnsi="Cambria Math"/>
              </w:rPr>
              <m:t>t</m:t>
            </m:r>
          </m:sub>
          <m:sup>
            <m:r>
              <w:rPr>
                <w:rFonts w:ascii="Cambria Math" w:hAnsi="Cambria Math"/>
              </w:rPr>
              <m:t>""</m:t>
            </m:r>
          </m:sup>
        </m:sSubSup>
        <m:r>
          <w:rPr>
            <w:rFonts w:ascii="Cambria Math" w:hAnsi="Cambria Math"/>
          </w:rPr>
          <m:t>=</m:t>
        </m:r>
        <m:f>
          <m:fPr>
            <m:ctrlPr>
              <w:rPr>
                <w:rFonts w:ascii="Cambria Math" w:hAnsi="Cambria Math"/>
              </w:rPr>
            </m:ctrlPr>
          </m:fPr>
          <m:num>
            <m:sSubSup>
              <m:sSubSupPr>
                <m:ctrlPr>
                  <w:rPr>
                    <w:rFonts w:ascii="Cambria Math" w:hAnsi="Cambria Math"/>
                  </w:rPr>
                </m:ctrlPr>
              </m:sSubSupPr>
              <m:e>
                <m:r>
                  <w:rPr>
                    <w:rFonts w:ascii="Cambria Math" w:hAnsi="Cambria Math"/>
                  </w:rPr>
                  <m:t>S</m:t>
                </m:r>
              </m:e>
              <m:sub>
                <m:r>
                  <w:rPr>
                    <w:rFonts w:ascii="Cambria Math" w:hAnsi="Cambria Math"/>
                  </w:rPr>
                  <m:t>t</m:t>
                </m:r>
              </m:sub>
              <m:sup>
                <m:r>
                  <w:rPr>
                    <w:rFonts w:ascii="Cambria Math" w:hAnsi="Cambria Math"/>
                  </w:rPr>
                  <m:t>'</m:t>
                </m:r>
              </m:sup>
            </m:sSubSup>
          </m:num>
          <m:den>
            <m:sSubSup>
              <m:sSubSupPr>
                <m:ctrlPr>
                  <w:rPr>
                    <w:rFonts w:ascii="Cambria Math" w:hAnsi="Cambria Math"/>
                  </w:rPr>
                </m:ctrlPr>
              </m:sSubSupPr>
              <m:e>
                <m:r>
                  <w:rPr>
                    <w:rFonts w:ascii="Cambria Math" w:hAnsi="Cambria Math"/>
                  </w:rPr>
                  <m:t>1-X</m:t>
                </m:r>
              </m:e>
              <m:sub>
                <m:r>
                  <w:rPr>
                    <w:rFonts w:ascii="Cambria Math" w:hAnsi="Cambria Math"/>
                  </w:rPr>
                  <m:t>0</m:t>
                </m:r>
              </m:sub>
              <m:sup/>
            </m:sSubSup>
          </m:den>
        </m:f>
      </m:oMath>
      <w:r w:rsidR="006E67E3" w:rsidRPr="00FD0BEC">
        <w:t xml:space="preserve"> </w:t>
      </w:r>
    </w:p>
    <w:p w:rsidR="006E67E3" w:rsidRPr="00FD0BEC" w:rsidRDefault="006E67E3" w:rsidP="006E67E3">
      <w:r w:rsidRPr="00FD0BEC">
        <w:t>Where:</w:t>
      </w:r>
    </w:p>
    <w:p w:rsidR="006E67E3" w:rsidRDefault="00001E64" w:rsidP="006E67E3">
      <w:pPr>
        <w:pStyle w:val="AERbulletlistfirststyle"/>
      </w:pPr>
      <m:oMath>
        <m:sSub>
          <m:sSubPr>
            <m:ctrlPr>
              <w:rPr>
                <w:rFonts w:ascii="Cambria Math" w:hAnsi="Cambria Math"/>
              </w:rPr>
            </m:ctrlPr>
          </m:sSubPr>
          <m:e>
            <m:r>
              <w:rPr>
                <w:rFonts w:ascii="Cambria Math" w:hAnsi="Cambria Math"/>
              </w:rPr>
              <m:t>X</m:t>
            </m:r>
          </m:e>
          <m:sub>
            <m:r>
              <m:rPr>
                <m:sty m:val="p"/>
              </m:rPr>
              <w:rPr>
                <w:rFonts w:ascii="Cambria Math" w:hAnsi="Cambria Math"/>
              </w:rPr>
              <m:t>0</m:t>
            </m:r>
          </m:sub>
        </m:sSub>
        <m:r>
          <m:rPr>
            <m:sty m:val="p"/>
          </m:rPr>
          <w:rPr>
            <w:rFonts w:ascii="Cambria Math" w:hAnsi="Cambria Math"/>
          </w:rPr>
          <m:t>=</m:t>
        </m:r>
        <m:f>
          <m:fPr>
            <m:ctrlPr>
              <w:rPr>
                <w:rFonts w:ascii="Cambria Math" w:hAnsi="Cambria Math"/>
              </w:rPr>
            </m:ctrlPr>
          </m:fPr>
          <m:num>
            <m:sSub>
              <m:sSubPr>
                <m:ctrlPr>
                  <w:rPr>
                    <w:rFonts w:ascii="Cambria Math" w:hAnsi="Cambria Math"/>
                  </w:rPr>
                </m:ctrlPr>
              </m:sSubPr>
              <m:e>
                <m:r>
                  <w:rPr>
                    <w:rFonts w:ascii="Cambria Math" w:hAnsi="Cambria Math"/>
                  </w:rPr>
                  <m:t>AARR</m:t>
                </m:r>
              </m:e>
              <m:sub>
                <m:r>
                  <m:rPr>
                    <m:sty m:val="p"/>
                  </m:rPr>
                  <w:rPr>
                    <w:rFonts w:ascii="Cambria Math" w:hAnsi="Cambria Math"/>
                  </w:rPr>
                  <m:t>2014</m:t>
                </m:r>
              </m:sub>
            </m:sSub>
            <m:r>
              <m:rPr>
                <m:sty m:val="p"/>
              </m:rPr>
              <w:rPr>
                <w:rFonts w:ascii="Cambria Math" w:hAnsi="Cambria Math"/>
              </w:rPr>
              <m:t>-</m:t>
            </m:r>
            <m:sSub>
              <m:sSubPr>
                <m:ctrlPr>
                  <w:rPr>
                    <w:rFonts w:ascii="Cambria Math" w:hAnsi="Cambria Math"/>
                  </w:rPr>
                </m:ctrlPr>
              </m:sSubPr>
              <m:e>
                <m:r>
                  <w:rPr>
                    <w:rFonts w:ascii="Cambria Math" w:hAnsi="Cambria Math"/>
                  </w:rPr>
                  <m:t>AARR</m:t>
                </m:r>
              </m:e>
              <m:sub>
                <m:r>
                  <m:rPr>
                    <m:sty m:val="p"/>
                  </m:rPr>
                  <w:rPr>
                    <w:rFonts w:ascii="Cambria Math" w:hAnsi="Cambria Math"/>
                  </w:rPr>
                  <m:t>2015</m:t>
                </m:r>
              </m:sub>
            </m:sSub>
          </m:num>
          <m:den>
            <m:sSub>
              <m:sSubPr>
                <m:ctrlPr>
                  <w:rPr>
                    <w:rFonts w:ascii="Cambria Math" w:hAnsi="Cambria Math"/>
                  </w:rPr>
                </m:ctrlPr>
              </m:sSubPr>
              <m:e>
                <m:r>
                  <w:rPr>
                    <w:rFonts w:ascii="Cambria Math" w:hAnsi="Cambria Math"/>
                  </w:rPr>
                  <m:t>AARR</m:t>
                </m:r>
              </m:e>
              <m:sub>
                <m:r>
                  <m:rPr>
                    <m:sty m:val="p"/>
                  </m:rPr>
                  <w:rPr>
                    <w:rFonts w:ascii="Cambria Math" w:hAnsi="Cambria Math"/>
                  </w:rPr>
                  <m:t>2014</m:t>
                </m:r>
              </m:sub>
            </m:sSub>
          </m:den>
        </m:f>
      </m:oMath>
      <w:r w:rsidR="006E67E3" w:rsidRPr="00FD0BEC">
        <w:t xml:space="preserve"> </w:t>
      </w:r>
    </w:p>
    <w:p w:rsidR="00BD1987" w:rsidRPr="00E118B5" w:rsidRDefault="00001E64" w:rsidP="00BD1987">
      <w:pPr>
        <w:pStyle w:val="AERbulletlistfirststyle"/>
      </w:pPr>
      <m:oMath>
        <m:sSubSup>
          <m:sSubSupPr>
            <m:ctrlPr>
              <w:rPr>
                <w:rFonts w:ascii="Cambria Math" w:hAnsi="Cambria Math"/>
              </w:rPr>
            </m:ctrlPr>
          </m:sSubSupPr>
          <m:e>
            <m:r>
              <w:rPr>
                <w:rFonts w:ascii="Cambria Math" w:hAnsi="Cambria Math"/>
              </w:rPr>
              <m:t>S</m:t>
            </m:r>
          </m:e>
          <m:sub>
            <m:r>
              <w:rPr>
                <w:rFonts w:ascii="Cambria Math" w:hAnsi="Cambria Math"/>
              </w:rPr>
              <m:t>t</m:t>
            </m:r>
          </m:sub>
          <m:sup>
            <m:r>
              <w:rPr>
                <w:rFonts w:ascii="Cambria Math" w:hAnsi="Cambria Math"/>
              </w:rPr>
              <m:t>""</m:t>
            </m:r>
          </m:sup>
        </m:sSubSup>
      </m:oMath>
      <w:r w:rsidR="00BD1987" w:rsidRPr="00E118B5">
        <w:t xml:space="preserve"> is the sum of the </w:t>
      </w:r>
      <w:r w:rsidR="008B020D">
        <w:t>S-factor</w:t>
      </w:r>
      <w:r w:rsidR="00BD1987" w:rsidRPr="00E118B5">
        <w:t>s for all parameters, after application of the s-bank, as determined in equation (3) in the STPIS</w:t>
      </w:r>
    </w:p>
    <w:p w:rsidR="006E67E3" w:rsidRPr="00FD0BEC" w:rsidRDefault="00001E64" w:rsidP="006E67E3">
      <w:pPr>
        <w:pStyle w:val="AERbulletlistfirststyle"/>
      </w:pPr>
      <m:oMath>
        <m:sSub>
          <m:sSubPr>
            <m:ctrlPr>
              <w:rPr>
                <w:rFonts w:ascii="Cambria Math" w:hAnsi="Cambria Math"/>
              </w:rPr>
            </m:ctrlPr>
          </m:sSubPr>
          <m:e>
            <m:r>
              <w:rPr>
                <w:rFonts w:ascii="Cambria Math" w:hAnsi="Cambria Math"/>
              </w:rPr>
              <m:t>AARR</m:t>
            </m:r>
          </m:e>
          <m:sub>
            <m:r>
              <m:rPr>
                <m:sty m:val="p"/>
              </m:rPr>
              <w:rPr>
                <w:rFonts w:ascii="Cambria Math" w:hAnsi="Cambria Math"/>
              </w:rPr>
              <m:t>2014</m:t>
            </m:r>
          </m:sub>
        </m:sSub>
      </m:oMath>
      <w:r w:rsidR="006E67E3" w:rsidRPr="00FD0BEC">
        <w:t xml:space="preserve"> is </w:t>
      </w:r>
      <w:r w:rsidR="006E67E3">
        <w:t>U</w:t>
      </w:r>
      <w:r w:rsidR="00E57B34">
        <w:t>nited Energy</w:t>
      </w:r>
      <w:r w:rsidR="006E67E3">
        <w:t>'s</w:t>
      </w:r>
      <w:r w:rsidR="006E67E3" w:rsidRPr="00FD0BEC">
        <w:t xml:space="preserve"> approved revenue in the 201</w:t>
      </w:r>
      <w:r w:rsidR="006E67E3">
        <w:t>6</w:t>
      </w:r>
      <w:r w:rsidR="006E67E3" w:rsidRPr="00FD0BEC">
        <w:t xml:space="preserve"> pricing proposal </w:t>
      </w:r>
    </w:p>
    <w:p w:rsidR="006E67E3" w:rsidRPr="00FD0BEC" w:rsidRDefault="00001E64" w:rsidP="006E67E3">
      <w:pPr>
        <w:pStyle w:val="AERbulletlistfirststyle"/>
      </w:pPr>
      <m:oMath>
        <m:sSub>
          <m:sSubPr>
            <m:ctrlPr>
              <w:rPr>
                <w:rFonts w:ascii="Cambria Math" w:hAnsi="Cambria Math"/>
              </w:rPr>
            </m:ctrlPr>
          </m:sSubPr>
          <m:e>
            <m:r>
              <w:rPr>
                <w:rFonts w:ascii="Cambria Math" w:hAnsi="Cambria Math"/>
              </w:rPr>
              <m:t>AARR</m:t>
            </m:r>
          </m:e>
          <m:sub>
            <m:r>
              <m:rPr>
                <m:sty m:val="p"/>
              </m:rPr>
              <w:rPr>
                <w:rFonts w:ascii="Cambria Math" w:hAnsi="Cambria Math"/>
              </w:rPr>
              <m:t>2015</m:t>
            </m:r>
          </m:sub>
        </m:sSub>
      </m:oMath>
      <w:r w:rsidR="006E67E3" w:rsidRPr="00FD0BEC">
        <w:t xml:space="preserve"> </w:t>
      </w:r>
      <w:proofErr w:type="gramStart"/>
      <w:r w:rsidR="006E67E3" w:rsidRPr="00FD0BEC">
        <w:t>is</w:t>
      </w:r>
      <w:proofErr w:type="gramEnd"/>
      <w:r w:rsidR="006E67E3" w:rsidRPr="00FD0BEC">
        <w:t xml:space="preserve"> </w:t>
      </w:r>
      <w:r w:rsidR="006E67E3">
        <w:t>U</w:t>
      </w:r>
      <w:r w:rsidR="00E57B34">
        <w:t xml:space="preserve">nited </w:t>
      </w:r>
      <w:r w:rsidR="006E67E3">
        <w:t>E</w:t>
      </w:r>
      <w:r w:rsidR="00E57B34">
        <w:t>nergy</w:t>
      </w:r>
      <w:r w:rsidR="006E67E3">
        <w:t>'s</w:t>
      </w:r>
      <w:r w:rsidR="006E67E3" w:rsidRPr="00FD0BEC">
        <w:t xml:space="preserve"> allowable revenue </w:t>
      </w:r>
      <w:r w:rsidR="006E67E3">
        <w:t xml:space="preserve">in the </w:t>
      </w:r>
      <w:r w:rsidR="006E67E3" w:rsidRPr="00FD0BEC">
        <w:t>final determination 201</w:t>
      </w:r>
      <w:r w:rsidR="006E67E3">
        <w:t>7</w:t>
      </w:r>
      <w:r w:rsidR="006E67E3" w:rsidRPr="00FD0BEC">
        <w:t>.</w:t>
      </w:r>
    </w:p>
    <w:p w:rsidR="006E67E3" w:rsidRDefault="006E67E3" w:rsidP="006E67E3">
      <w:pPr>
        <w:pStyle w:val="Heading3"/>
      </w:pPr>
      <w:bookmarkStart w:id="70" w:name="_Toc433641284"/>
      <w:r>
        <w:t>Closing out of the ESCV’s service performance scheme</w:t>
      </w:r>
      <w:bookmarkEnd w:id="70"/>
      <w:r>
        <w:t xml:space="preserve"> </w:t>
      </w:r>
    </w:p>
    <w:p w:rsidR="006E67E3" w:rsidRDefault="006E67E3" w:rsidP="006E67E3">
      <w:r>
        <w:t xml:space="preserve">Prior to the operation of STPIS from 2011, Victorian distributors were subjected to the Essential Services Commission Victoria’s (ESCV) service performance scheme. </w:t>
      </w:r>
    </w:p>
    <w:p w:rsidR="006E67E3" w:rsidRDefault="006E67E3" w:rsidP="006E67E3">
      <w:r>
        <w:t xml:space="preserve">In order to close out the ESCV’s scheme, we required the final performance data of the distributors’ for 2010. As this information was not available in time for the final decision of the 2011–15 determination, a preliminary close out was factored into the current determination, requiring a final true-up when the final performance data are available. We will complete the close out calculation in the </w:t>
      </w:r>
      <w:r w:rsidR="001F1C04">
        <w:t xml:space="preserve">final </w:t>
      </w:r>
      <w:r>
        <w:t xml:space="preserve">determination for the </w:t>
      </w:r>
      <w:r w:rsidR="001F1C04">
        <w:t>2016</w:t>
      </w:r>
      <w:r w:rsidR="001F1C04">
        <w:rPr>
          <w:rFonts w:cs="Arial"/>
        </w:rPr>
        <w:t>─</w:t>
      </w:r>
      <w:r w:rsidR="001F1C04">
        <w:t xml:space="preserve">20 </w:t>
      </w:r>
      <w:r w:rsidR="00A70764">
        <w:t>regulatory control period</w:t>
      </w:r>
      <w:r>
        <w:t>. The calculation method on how to close out the ESCV’s scheme was set out in our 2011–15 determination.</w:t>
      </w:r>
    </w:p>
    <w:p w:rsidR="006E67E3" w:rsidRDefault="006E67E3" w:rsidP="006E67E3">
      <w:r>
        <w:t>In 201</w:t>
      </w:r>
      <w:r w:rsidR="005C707C">
        <w:t>2</w:t>
      </w:r>
      <w:r>
        <w:t xml:space="preserve"> the Victorian government amended the </w:t>
      </w:r>
      <w:r w:rsidRPr="007A5C67">
        <w:rPr>
          <w:rStyle w:val="AERtextitalic"/>
        </w:rPr>
        <w:t>National Electricity (Victoria) Act 2005</w:t>
      </w:r>
      <w:r>
        <w:t>, to allow us the power to close out the ESCV’s service performance scheme.</w:t>
      </w:r>
      <w:r w:rsidR="005C707C">
        <w:rPr>
          <w:rStyle w:val="FootnoteReference"/>
        </w:rPr>
        <w:footnoteReference w:id="52"/>
      </w:r>
      <w:r w:rsidR="008B5EDD">
        <w:t xml:space="preserve"> This amendment to the legislation does not alter or limit our approach to close out the scheme. </w:t>
      </w:r>
    </w:p>
    <w:p w:rsidR="006E67E3" w:rsidRDefault="006E67E3" w:rsidP="006E67E3">
      <w:r>
        <w:lastRenderedPageBreak/>
        <w:t xml:space="preserve">The financial penalty accrued by United Energy in the 2006–10 </w:t>
      </w:r>
      <w:r w:rsidR="00A70764">
        <w:t xml:space="preserve">regulatory control </w:t>
      </w:r>
      <w:proofErr w:type="gramStart"/>
      <w:r w:rsidR="00A70764">
        <w:t>period</w:t>
      </w:r>
      <w:proofErr w:type="gramEnd"/>
      <w:r>
        <w:t xml:space="preserve"> in the allowable revenue for 2016–20 </w:t>
      </w:r>
      <w:r w:rsidR="00A70764">
        <w:t>regulatory control period</w:t>
      </w:r>
      <w:r>
        <w:t xml:space="preserve"> will be $</w:t>
      </w:r>
      <w:r w:rsidR="0019714C">
        <w:t>2.64 million ($ 2015)</w:t>
      </w:r>
      <w:r w:rsidR="00CC3B36">
        <w:t xml:space="preserve"> in total</w:t>
      </w:r>
      <w:r>
        <w:t>.</w:t>
      </w:r>
      <w:r w:rsidR="00901FE8">
        <w:t xml:space="preserve"> This amendment to the legislation does not alter or limit our approach to close out the scheme. </w:t>
      </w:r>
      <w:r>
        <w:t xml:space="preserve"> </w:t>
      </w:r>
    </w:p>
    <w:p w:rsidR="006E67E3" w:rsidRPr="00436A39" w:rsidRDefault="006E67E3" w:rsidP="00825496">
      <w:r>
        <w:t>T</w:t>
      </w:r>
      <w:r w:rsidRPr="005F3431">
        <w:t xml:space="preserve">his number has been </w:t>
      </w:r>
      <w:r w:rsidR="005A4746">
        <w:t>included in</w:t>
      </w:r>
      <w:r w:rsidR="005A4746" w:rsidRPr="005F3431">
        <w:t xml:space="preserve"> </w:t>
      </w:r>
      <w:r w:rsidRPr="005F3431">
        <w:t xml:space="preserve">the forecast revenue for the forthcoming regulatory control period by including the adjustment in the ‘revenue adjustments’ row of the </w:t>
      </w:r>
      <w:r>
        <w:t>post-tax revenue model</w:t>
      </w:r>
      <w:r w:rsidRPr="005F3431">
        <w:t>.</w:t>
      </w:r>
      <w:r w:rsidR="00825496">
        <w:t xml:space="preserve"> </w:t>
      </w:r>
    </w:p>
    <w:sectPr w:rsidR="006E67E3" w:rsidRPr="00436A39" w:rsidSect="00B757A6">
      <w:headerReference w:type="even" r:id="rId16"/>
      <w:footerReference w:type="even" r:id="rId17"/>
      <w:footerReference w:type="default" r:id="rId18"/>
      <w:headerReference w:type="first" r:id="rId19"/>
      <w:pgSz w:w="11906" w:h="16838" w:code="9"/>
      <w:pgMar w:top="1440" w:right="1700" w:bottom="1582" w:left="1729" w:header="720" w:footer="0" w:gutter="0"/>
      <w:pgNumType w:start="0" w:chapStyle="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C3A77" w:rsidRPr="00290C63" w:rsidRDefault="008C3A77" w:rsidP="00290C63">
      <w:r>
        <w:separator/>
      </w:r>
    </w:p>
    <w:p w:rsidR="008C3A77" w:rsidRDefault="008C3A77"/>
  </w:endnote>
  <w:endnote w:type="continuationSeparator" w:id="0">
    <w:p w:rsidR="008C3A77" w:rsidRPr="00290C63" w:rsidRDefault="008C3A77" w:rsidP="00290C63">
      <w:r>
        <w:continuationSeparator/>
      </w:r>
    </w:p>
    <w:p w:rsidR="008C3A77" w:rsidRDefault="008C3A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Gautami">
    <w:panose1 w:val="020B0502040204020203"/>
    <w:charset w:val="00"/>
    <w:family w:val="swiss"/>
    <w:pitch w:val="variable"/>
    <w:sig w:usb0="002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mbria Math">
    <w:panose1 w:val="02040503050406030204"/>
    <w:charset w:val="00"/>
    <w:family w:val="roman"/>
    <w:pitch w:val="variable"/>
    <w:sig w:usb0="E00002FF" w:usb1="420024FF" w:usb2="00000000" w:usb3="00000000" w:csb0="0000019F" w:csb1="00000000"/>
  </w:font>
  <w:font w:name="Cambridge Round">
    <w:panose1 w:val="00000000000000000000"/>
    <w:charset w:val="00"/>
    <w:family w:val="modern"/>
    <w:notTrueType/>
    <w:pitch w:val="variable"/>
    <w:sig w:usb0="800000AF" w:usb1="4000204A"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3A77" w:rsidRDefault="008C3A77">
    <w:pPr>
      <w:pStyle w:val="Footer"/>
    </w:pPr>
    <w:r>
      <w:rPr>
        <w:rStyle w:val="PageNumber"/>
      </w:rPr>
      <w:fldChar w:fldCharType="begin"/>
    </w:r>
    <w:r>
      <w:rPr>
        <w:rStyle w:val="PageNumber"/>
      </w:rPr>
      <w:instrText xml:space="preserve"> PAGE </w:instrText>
    </w:r>
    <w:r>
      <w:rPr>
        <w:rStyle w:val="PageNumber"/>
      </w:rPr>
      <w:fldChar w:fldCharType="separate"/>
    </w:r>
    <w:r>
      <w:rPr>
        <w:rStyle w:val="PageNumber"/>
        <w:noProof/>
      </w:rPr>
      <w:t>26</w:t>
    </w:r>
    <w:r>
      <w:rPr>
        <w:rStyle w:val="PageNumber"/>
      </w:rPr>
      <w:fldChar w:fldCharType="end"/>
    </w:r>
    <w:r>
      <w:rPr>
        <w:rStyle w:val="PageNumber"/>
      </w:rPr>
      <w:tab/>
    </w:r>
    <w:r>
      <w:t>ES 1 Customer Connection Information</w:t>
    </w:r>
  </w:p>
  <w:p w:rsidR="008C3A77" w:rsidRDefault="008C3A77">
    <w:pPr>
      <w:pStyle w:val="Footer"/>
    </w:pPr>
  </w:p>
  <w:p w:rsidR="008C3A77" w:rsidRDefault="008C3A77">
    <w:pPr>
      <w:pStyle w:val="Footer"/>
    </w:pPr>
    <w:r>
      <w:fldChar w:fldCharType="begin"/>
    </w:r>
    <w:r>
      <w:instrText xml:space="preserve"> DOCPROPERTY DocumentID \* MERGEFORMAT </w:instrText>
    </w:r>
    <w:r>
      <w:fldChar w:fldCharType="separate"/>
    </w:r>
    <w:r>
      <w:rPr>
        <w:b/>
        <w:bCs/>
        <w:lang w:val="en-US"/>
      </w:rPr>
      <w:t>Error! Unknown document property name.</w:t>
    </w:r>
    <w:r>
      <w:rPr>
        <w:color w:val="191919"/>
        <w:sz w:val="13"/>
      </w:rPr>
      <w:fldChar w:fldCharType="end"/>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704776863"/>
      <w:docPartObj>
        <w:docPartGallery w:val="Page Numbers (Bottom of Page)"/>
        <w:docPartUnique/>
      </w:docPartObj>
    </w:sdtPr>
    <w:sdtEndPr/>
    <w:sdtContent>
      <w:p w:rsidR="008C3A77" w:rsidRPr="00CA52A2" w:rsidRDefault="008C3A77" w:rsidP="00CA52A2">
        <w:pPr>
          <w:pStyle w:val="Footer"/>
        </w:pPr>
        <w:r w:rsidRPr="00CA52A2">
          <w:fldChar w:fldCharType="begin"/>
        </w:r>
        <w:r>
          <w:instrText xml:space="preserve"> PAGE   \* MERGEFORMAT </w:instrText>
        </w:r>
        <w:r w:rsidRPr="00CA52A2">
          <w:fldChar w:fldCharType="separate"/>
        </w:r>
        <w:r w:rsidR="00654ACF">
          <w:rPr>
            <w:noProof/>
          </w:rPr>
          <w:t>11-7</w:t>
        </w:r>
        <w:r w:rsidRPr="00CA52A2">
          <w:fldChar w:fldCharType="end"/>
        </w:r>
        <w:r w:rsidRPr="00CA52A2">
          <w:t xml:space="preserve">          Attachment 1</w:t>
        </w:r>
        <w:r>
          <w:t>1</w:t>
        </w:r>
        <w:r w:rsidRPr="00CA52A2">
          <w:t xml:space="preserve"> – </w:t>
        </w:r>
        <w:r w:rsidR="00091CAC">
          <w:t>STPIS</w:t>
        </w:r>
        <w:r>
          <w:t xml:space="preserve"> </w:t>
        </w:r>
        <w:r w:rsidRPr="00CA52A2">
          <w:t xml:space="preserve">| </w:t>
        </w:r>
        <w:r>
          <w:t>United Energy</w:t>
        </w:r>
        <w:r w:rsidRPr="00CA52A2">
          <w:t xml:space="preserve"> </w:t>
        </w:r>
        <w:r>
          <w:t>Preliminary decision 2016</w:t>
        </w:r>
        <w:r w:rsidRPr="00CA52A2">
          <w:t>–</w:t>
        </w:r>
        <w:r>
          <w:t>20</w:t>
        </w:r>
      </w:p>
    </w:sdtContent>
  </w:sdt>
  <w:p w:rsidR="008C3A77" w:rsidRDefault="008C3A77">
    <w:pPr>
      <w:pStyle w:val="Footer"/>
      <w:tabs>
        <w:tab w:val="right" w:pos="9639"/>
      </w:tabs>
      <w:rPr>
        <w:rFonts w:ascii="Cambridge Round" w:hAnsi="Cambridge Round"/>
        <w:szCs w:val="18"/>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C3A77" w:rsidRPr="00290C63" w:rsidRDefault="008C3A77" w:rsidP="00290C63">
      <w:r>
        <w:separator/>
      </w:r>
    </w:p>
    <w:p w:rsidR="008C3A77" w:rsidRDefault="008C3A77"/>
  </w:footnote>
  <w:footnote w:type="continuationSeparator" w:id="0">
    <w:p w:rsidR="008C3A77" w:rsidRPr="00290C63" w:rsidRDefault="008C3A77" w:rsidP="00290C63">
      <w:r>
        <w:continuationSeparator/>
      </w:r>
    </w:p>
    <w:p w:rsidR="008C3A77" w:rsidRDefault="008C3A77"/>
  </w:footnote>
  <w:footnote w:id="1">
    <w:p w:rsidR="008C3A77" w:rsidRDefault="008C3A77" w:rsidP="00CA747E">
      <w:pPr>
        <w:pStyle w:val="FootnoteText"/>
      </w:pPr>
      <w:r>
        <w:rPr>
          <w:rStyle w:val="FootnoteReference"/>
        </w:rPr>
        <w:footnoteRef/>
      </w:r>
      <w:r>
        <w:t xml:space="preserve"> </w:t>
      </w:r>
      <w:r>
        <w:tab/>
      </w:r>
      <w:r w:rsidRPr="005D44E7">
        <w:t xml:space="preserve">AER, </w:t>
      </w:r>
      <w:r w:rsidRPr="000565BE">
        <w:rPr>
          <w:rStyle w:val="AERtextitalic"/>
        </w:rPr>
        <w:t>Electricity distribution network service providers—service target performance incentive scheme</w:t>
      </w:r>
      <w:r w:rsidRPr="005D44E7">
        <w:t xml:space="preserve">, 1 November 2009. (AER, </w:t>
      </w:r>
      <w:r w:rsidRPr="000565BE">
        <w:rPr>
          <w:rStyle w:val="AERtextitalic"/>
        </w:rPr>
        <w:t>STPIS</w:t>
      </w:r>
      <w:r w:rsidRPr="005D44E7">
        <w:t>, Nov</w:t>
      </w:r>
      <w:r>
        <w:t>ember</w:t>
      </w:r>
      <w:r w:rsidRPr="005D44E7">
        <w:t xml:space="preserve"> 2009).</w:t>
      </w:r>
    </w:p>
  </w:footnote>
  <w:footnote w:id="2">
    <w:p w:rsidR="008C3A77" w:rsidRDefault="008C3A77" w:rsidP="00CA747E">
      <w:pPr>
        <w:pStyle w:val="FootnoteText"/>
      </w:pPr>
      <w:r>
        <w:rPr>
          <w:rStyle w:val="FootnoteReference"/>
        </w:rPr>
        <w:footnoteRef/>
      </w:r>
      <w:r>
        <w:t xml:space="preserve"> </w:t>
      </w:r>
      <w:r>
        <w:tab/>
        <w:t xml:space="preserve">United Energy, </w:t>
      </w:r>
      <w:r w:rsidRPr="0073416F">
        <w:rPr>
          <w:rStyle w:val="AERtextitalic"/>
        </w:rPr>
        <w:t xml:space="preserve">Vic. EDPR </w:t>
      </w:r>
      <w:r>
        <w:rPr>
          <w:rStyle w:val="AERtextitalic"/>
        </w:rPr>
        <w:t>–</w:t>
      </w:r>
      <w:r w:rsidRPr="0073416F">
        <w:rPr>
          <w:rStyle w:val="AERtextitalic"/>
        </w:rPr>
        <w:t xml:space="preserve"> </w:t>
      </w:r>
      <w:r>
        <w:rPr>
          <w:rStyle w:val="AERtextitalic"/>
        </w:rPr>
        <w:t>United Energy</w:t>
      </w:r>
      <w:r w:rsidRPr="0073416F">
        <w:rPr>
          <w:rStyle w:val="AERtextitalic"/>
        </w:rPr>
        <w:t xml:space="preserve"> - IR#003</w:t>
      </w:r>
      <w:r>
        <w:rPr>
          <w:rStyle w:val="AERtextitalic"/>
        </w:rPr>
        <w:t>- 12 June 2015</w:t>
      </w:r>
      <w:r>
        <w:t xml:space="preserve">, 23 June 2015; United Energy, </w:t>
      </w:r>
      <w:r w:rsidRPr="00C55ABF">
        <w:t xml:space="preserve">Vic. </w:t>
      </w:r>
      <w:r w:rsidRPr="0073416F">
        <w:rPr>
          <w:rStyle w:val="AERtextitalic"/>
        </w:rPr>
        <w:t xml:space="preserve">EDPR </w:t>
      </w:r>
      <w:r>
        <w:rPr>
          <w:rStyle w:val="AERtextitalic"/>
        </w:rPr>
        <w:t>–</w:t>
      </w:r>
      <w:r w:rsidRPr="0073416F">
        <w:rPr>
          <w:rStyle w:val="AERtextitalic"/>
        </w:rPr>
        <w:t xml:space="preserve"> </w:t>
      </w:r>
      <w:r>
        <w:rPr>
          <w:rStyle w:val="AERtextitalic"/>
        </w:rPr>
        <w:t>United Energy</w:t>
      </w:r>
      <w:r w:rsidRPr="0073416F">
        <w:rPr>
          <w:rStyle w:val="AERtextitalic"/>
        </w:rPr>
        <w:t xml:space="preserve"> - IR#00</w:t>
      </w:r>
      <w:r>
        <w:rPr>
          <w:rStyle w:val="AERtextitalic"/>
        </w:rPr>
        <w:t xml:space="preserve">5 - 23 June 2015- </w:t>
      </w:r>
      <w:r>
        <w:t>, 3 July 2015.</w:t>
      </w:r>
    </w:p>
  </w:footnote>
  <w:footnote w:id="3">
    <w:p w:rsidR="008C3A77" w:rsidRDefault="008C3A77" w:rsidP="00BD1987">
      <w:pPr>
        <w:pStyle w:val="FootnoteText"/>
      </w:pPr>
      <w:r>
        <w:rPr>
          <w:rStyle w:val="FootnoteReference"/>
        </w:rPr>
        <w:footnoteRef/>
      </w:r>
      <w:r>
        <w:t xml:space="preserve"> </w:t>
      </w:r>
      <w:r>
        <w:tab/>
      </w:r>
      <w:r w:rsidRPr="00F75DD0">
        <w:t xml:space="preserve">AER, </w:t>
      </w:r>
      <w:r w:rsidRPr="00F75DD0">
        <w:rPr>
          <w:rStyle w:val="AERtextitalic"/>
        </w:rPr>
        <w:t>STPIS</w:t>
      </w:r>
      <w:r>
        <w:t xml:space="preserve">, November 2009, cl. </w:t>
      </w:r>
      <w:r w:rsidRPr="00F75DD0">
        <w:t>5.3.2(a).</w:t>
      </w:r>
    </w:p>
  </w:footnote>
  <w:footnote w:id="4">
    <w:p w:rsidR="008C3A77" w:rsidRDefault="008C3A77" w:rsidP="00CA747E">
      <w:pPr>
        <w:pStyle w:val="FootnoteText"/>
      </w:pPr>
      <w:r>
        <w:rPr>
          <w:rStyle w:val="FootnoteReference"/>
        </w:rPr>
        <w:footnoteRef/>
      </w:r>
      <w:r>
        <w:t xml:space="preserve"> </w:t>
      </w:r>
      <w:r>
        <w:tab/>
        <w:t xml:space="preserve">NER, cl. </w:t>
      </w:r>
      <w:r w:rsidRPr="00545D68">
        <w:t>6.3.2, 6.8.1(b), 6.8.2(c</w:t>
      </w:r>
      <w:proofErr w:type="gramStart"/>
      <w:r w:rsidRPr="00545D68">
        <w:t>)(</w:t>
      </w:r>
      <w:proofErr w:type="gramEnd"/>
      <w:r w:rsidRPr="00545D68">
        <w:t>2), 6.8.2(d) and 6.12.1</w:t>
      </w:r>
      <w:r>
        <w:t>.</w:t>
      </w:r>
    </w:p>
  </w:footnote>
  <w:footnote w:id="5">
    <w:p w:rsidR="008C3A77" w:rsidRDefault="008C3A77" w:rsidP="00CA747E">
      <w:pPr>
        <w:pStyle w:val="FootnoteText"/>
      </w:pPr>
      <w:r>
        <w:rPr>
          <w:rStyle w:val="FootnoteReference"/>
        </w:rPr>
        <w:footnoteRef/>
      </w:r>
      <w:r>
        <w:t xml:space="preserve"> </w:t>
      </w:r>
      <w:r>
        <w:tab/>
      </w:r>
      <w:r w:rsidRPr="002316EC">
        <w:t>AER</w:t>
      </w:r>
      <w:r w:rsidRPr="002316EC">
        <w:rPr>
          <w:rStyle w:val="AERtextitalic"/>
        </w:rPr>
        <w:t>, Final framework and approach for the Victorian Electricity Distributors, regulatory control period commencing 1 January 2016</w:t>
      </w:r>
      <w:r w:rsidRPr="002316EC">
        <w:t>, 24 October 2014</w:t>
      </w:r>
      <w:r>
        <w:t xml:space="preserve">, pp. 96–97. </w:t>
      </w:r>
    </w:p>
  </w:footnote>
  <w:footnote w:id="6">
    <w:p w:rsidR="008C3A77" w:rsidRDefault="008C3A77" w:rsidP="00CA747E">
      <w:pPr>
        <w:pStyle w:val="FootnoteText"/>
      </w:pPr>
      <w:r>
        <w:rPr>
          <w:rStyle w:val="FootnoteReference"/>
        </w:rPr>
        <w:footnoteRef/>
      </w:r>
      <w:r>
        <w:t xml:space="preserve"> </w:t>
      </w:r>
      <w:r>
        <w:tab/>
        <w:t>V</w:t>
      </w:r>
      <w:r w:rsidRPr="002316EC">
        <w:t>alues determined from the most recent Australian Energy Market Operator (AEMO) review of VCR values</w:t>
      </w:r>
      <w:r>
        <w:t>.</w:t>
      </w:r>
    </w:p>
  </w:footnote>
  <w:footnote w:id="7">
    <w:p w:rsidR="008C3A77" w:rsidRDefault="008C3A77" w:rsidP="00CA747E">
      <w:pPr>
        <w:pStyle w:val="FootnoteText"/>
      </w:pPr>
      <w:r>
        <w:rPr>
          <w:rStyle w:val="FootnoteReference"/>
        </w:rPr>
        <w:footnoteRef/>
      </w:r>
      <w:r>
        <w:t xml:space="preserve"> </w:t>
      </w:r>
      <w:r>
        <w:tab/>
      </w:r>
      <w:proofErr w:type="gramStart"/>
      <w:r w:rsidRPr="00407B8B">
        <w:t>United Energy</w:t>
      </w:r>
      <w:r>
        <w:t xml:space="preserve">, </w:t>
      </w:r>
      <w:r w:rsidRPr="00407B8B">
        <w:rPr>
          <w:rStyle w:val="AERtextitalic"/>
        </w:rPr>
        <w:t>2016–20 Regulatory proposal</w:t>
      </w:r>
      <w:r w:rsidRPr="00407B8B">
        <w:t xml:space="preserve">, </w:t>
      </w:r>
      <w:r>
        <w:t xml:space="preserve">30 </w:t>
      </w:r>
      <w:r w:rsidRPr="00407B8B">
        <w:t>April 2015, p</w:t>
      </w:r>
      <w:r>
        <w:t>p</w:t>
      </w:r>
      <w:r w:rsidRPr="00407B8B">
        <w:t>. 1</w:t>
      </w:r>
      <w:r>
        <w:t>38–140</w:t>
      </w:r>
      <w:r w:rsidRPr="00407B8B">
        <w:t>.</w:t>
      </w:r>
      <w:proofErr w:type="gramEnd"/>
    </w:p>
  </w:footnote>
  <w:footnote w:id="8">
    <w:p w:rsidR="008C3A77" w:rsidRDefault="008C3A77" w:rsidP="00AF7EF8">
      <w:pPr>
        <w:pStyle w:val="FootnoteText"/>
      </w:pPr>
      <w:r>
        <w:rPr>
          <w:rStyle w:val="FootnoteReference"/>
        </w:rPr>
        <w:footnoteRef/>
      </w:r>
      <w:r>
        <w:t xml:space="preserve"> </w:t>
      </w:r>
      <w:r>
        <w:tab/>
        <w:t xml:space="preserve">Under MAIFIe, all supply restoration attempts by network switching operations within one minute are treated as one event. If supply is restored within the same minute, the event is counted as 1 momentary interruption. If supply cannot be restored, the event is treated as 1 sustained interruption and zero (0) momentary interruption. This measurement method was previously used under the s-factor scheme of the ESCV. </w:t>
      </w:r>
    </w:p>
  </w:footnote>
  <w:footnote w:id="9">
    <w:p w:rsidR="008C3A77" w:rsidRDefault="008C3A77" w:rsidP="00CF36F5">
      <w:pPr>
        <w:pStyle w:val="FootnoteText"/>
      </w:pPr>
      <w:r>
        <w:rPr>
          <w:rStyle w:val="FootnoteReference"/>
        </w:rPr>
        <w:footnoteRef/>
      </w:r>
      <w:r>
        <w:t xml:space="preserve"> </w:t>
      </w:r>
      <w:r>
        <w:tab/>
      </w:r>
      <w:proofErr w:type="gramStart"/>
      <w:r w:rsidRPr="00407B8B">
        <w:t>United Energy</w:t>
      </w:r>
      <w:r>
        <w:t xml:space="preserve">, </w:t>
      </w:r>
      <w:r w:rsidRPr="00407B8B">
        <w:rPr>
          <w:rStyle w:val="AERtextitalic"/>
        </w:rPr>
        <w:t>2016–20 Regulatory proposal</w:t>
      </w:r>
      <w:r w:rsidRPr="00407B8B">
        <w:t xml:space="preserve">, </w:t>
      </w:r>
      <w:r>
        <w:t xml:space="preserve">30 </w:t>
      </w:r>
      <w:r w:rsidRPr="00407B8B">
        <w:t xml:space="preserve">April 2015, </w:t>
      </w:r>
      <w:r>
        <w:t>p</w:t>
      </w:r>
      <w:r w:rsidRPr="00407B8B">
        <w:t>. 1</w:t>
      </w:r>
      <w:r>
        <w:t>40.</w:t>
      </w:r>
      <w:proofErr w:type="gramEnd"/>
    </w:p>
  </w:footnote>
  <w:footnote w:id="10">
    <w:p w:rsidR="008C3A77" w:rsidRDefault="008C3A77" w:rsidP="00CA747E">
      <w:pPr>
        <w:pStyle w:val="FootnoteText"/>
      </w:pPr>
      <w:r>
        <w:rPr>
          <w:rStyle w:val="FootnoteReference"/>
        </w:rPr>
        <w:footnoteRef/>
      </w:r>
      <w:r>
        <w:t xml:space="preserve"> </w:t>
      </w:r>
      <w:r>
        <w:tab/>
        <w:t>NER, cl. 6.12.1(a).</w:t>
      </w:r>
    </w:p>
  </w:footnote>
  <w:footnote w:id="11">
    <w:p w:rsidR="008C3A77" w:rsidRDefault="008C3A77" w:rsidP="00CA747E">
      <w:pPr>
        <w:pStyle w:val="FootnoteText"/>
      </w:pPr>
      <w:r>
        <w:rPr>
          <w:rStyle w:val="FootnoteReference"/>
        </w:rPr>
        <w:footnoteRef/>
      </w:r>
      <w:r>
        <w:t xml:space="preserve"> </w:t>
      </w:r>
      <w:r>
        <w:tab/>
      </w:r>
      <w:r w:rsidRPr="00E20BA5">
        <w:t xml:space="preserve">AER, </w:t>
      </w:r>
      <w:r w:rsidRPr="00E20BA5">
        <w:rPr>
          <w:rStyle w:val="AERtextitalic"/>
        </w:rPr>
        <w:t>STPIS</w:t>
      </w:r>
      <w:r w:rsidRPr="00E20BA5">
        <w:t>, November 2009, cl</w:t>
      </w:r>
      <w:r>
        <w:t>.</w:t>
      </w:r>
      <w:r w:rsidRPr="00E20BA5">
        <w:t xml:space="preserve"> 2.1(d).</w:t>
      </w:r>
    </w:p>
  </w:footnote>
  <w:footnote w:id="12">
    <w:p w:rsidR="008C3A77" w:rsidRDefault="008C3A77">
      <w:pPr>
        <w:pStyle w:val="FootnoteText"/>
      </w:pPr>
      <w:r>
        <w:rPr>
          <w:rStyle w:val="FootnoteReference"/>
        </w:rPr>
        <w:footnoteRef/>
      </w:r>
      <w:r>
        <w:t xml:space="preserve"> </w:t>
      </w:r>
      <w:r>
        <w:tab/>
      </w:r>
      <w:r w:rsidRPr="002316EC">
        <w:t>AER</w:t>
      </w:r>
      <w:r w:rsidRPr="002316EC">
        <w:rPr>
          <w:rStyle w:val="AERtextitalic"/>
        </w:rPr>
        <w:t>, Final framework and approach for the Victorian Electricity Distributors, regulatory control period commencing 1 January 2016</w:t>
      </w:r>
      <w:r w:rsidRPr="002316EC">
        <w:t>, 24 October 2014</w:t>
      </w:r>
      <w:r>
        <w:t>, pp. 96–97.</w:t>
      </w:r>
    </w:p>
  </w:footnote>
  <w:footnote w:id="13">
    <w:p w:rsidR="008C3A77" w:rsidRDefault="008C3A77" w:rsidP="00CA747E">
      <w:pPr>
        <w:pStyle w:val="FootnoteText"/>
      </w:pPr>
      <w:r>
        <w:rPr>
          <w:rStyle w:val="FootnoteReference"/>
        </w:rPr>
        <w:footnoteRef/>
      </w:r>
      <w:r>
        <w:t xml:space="preserve"> </w:t>
      </w:r>
      <w:r>
        <w:tab/>
        <w:t>NER, cl. 6.6.2(b)(3)(iv).</w:t>
      </w:r>
    </w:p>
  </w:footnote>
  <w:footnote w:id="14">
    <w:p w:rsidR="008C3A77" w:rsidRDefault="008C3A77" w:rsidP="00CA747E">
      <w:pPr>
        <w:pStyle w:val="FootnoteText"/>
      </w:pPr>
      <w:r>
        <w:rPr>
          <w:rStyle w:val="FootnoteReference"/>
        </w:rPr>
        <w:footnoteRef/>
      </w:r>
      <w:r>
        <w:t xml:space="preserve"> </w:t>
      </w:r>
      <w:r>
        <w:tab/>
        <w:t xml:space="preserve">AER, </w:t>
      </w:r>
      <w:r w:rsidRPr="008A5AB3">
        <w:rPr>
          <w:rStyle w:val="AERtextitalic"/>
        </w:rPr>
        <w:t>STPIS</w:t>
      </w:r>
      <w:r>
        <w:t xml:space="preserve">, November 2009, cl. 1.5(b)(5). </w:t>
      </w:r>
    </w:p>
  </w:footnote>
  <w:footnote w:id="15">
    <w:p w:rsidR="008C3A77" w:rsidRDefault="008C3A77" w:rsidP="00121985">
      <w:pPr>
        <w:pStyle w:val="FootnoteText"/>
      </w:pPr>
      <w:r>
        <w:rPr>
          <w:rStyle w:val="FootnoteReference"/>
        </w:rPr>
        <w:footnoteRef/>
      </w:r>
      <w:r>
        <w:t xml:space="preserve"> </w:t>
      </w:r>
      <w:r>
        <w:tab/>
      </w:r>
      <w:r w:rsidRPr="002316EC">
        <w:t>AER</w:t>
      </w:r>
      <w:r w:rsidRPr="002316EC">
        <w:rPr>
          <w:rStyle w:val="AERtextitalic"/>
        </w:rPr>
        <w:t>, Final framework and approach for the Victorian Electricity Distributors, regulatory control period commencing 1 January 2016</w:t>
      </w:r>
      <w:r w:rsidRPr="002316EC">
        <w:t>, 24 October 2014</w:t>
      </w:r>
      <w:r>
        <w:t>, pp. 96–97.</w:t>
      </w:r>
    </w:p>
  </w:footnote>
  <w:footnote w:id="16">
    <w:p w:rsidR="008C3A77" w:rsidRDefault="008C3A77">
      <w:pPr>
        <w:pStyle w:val="FootnoteText"/>
      </w:pPr>
      <w:r>
        <w:rPr>
          <w:rStyle w:val="FootnoteReference"/>
        </w:rPr>
        <w:footnoteRef/>
      </w:r>
      <w:r>
        <w:t xml:space="preserve"> </w:t>
      </w:r>
      <w:r>
        <w:tab/>
      </w:r>
      <w:r w:rsidRPr="00407B8B">
        <w:t>United Energy</w:t>
      </w:r>
      <w:r>
        <w:t xml:space="preserve">, </w:t>
      </w:r>
      <w:r w:rsidRPr="00407B8B">
        <w:rPr>
          <w:rStyle w:val="AERtextitalic"/>
        </w:rPr>
        <w:t>2016–20 Regulatory proposal</w:t>
      </w:r>
      <w:r w:rsidRPr="00407B8B">
        <w:t xml:space="preserve">, </w:t>
      </w:r>
      <w:r>
        <w:t xml:space="preserve">30 </w:t>
      </w:r>
      <w:r w:rsidRPr="00407B8B">
        <w:t>April 2015, p</w:t>
      </w:r>
      <w:r>
        <w:t>p</w:t>
      </w:r>
      <w:r w:rsidRPr="00407B8B">
        <w:t>. 1</w:t>
      </w:r>
      <w:r>
        <w:t>38–140</w:t>
      </w:r>
      <w:r w:rsidRPr="00407B8B">
        <w:t>.</w:t>
      </w:r>
    </w:p>
  </w:footnote>
  <w:footnote w:id="17">
    <w:p w:rsidR="008C3A77" w:rsidRDefault="008C3A77">
      <w:pPr>
        <w:pStyle w:val="FootnoteText"/>
      </w:pPr>
      <w:r>
        <w:rPr>
          <w:rStyle w:val="FootnoteReference"/>
        </w:rPr>
        <w:footnoteRef/>
      </w:r>
      <w:r>
        <w:t xml:space="preserve"> </w:t>
      </w:r>
      <w:r>
        <w:tab/>
      </w:r>
      <w:proofErr w:type="gramStart"/>
      <w:r w:rsidRPr="00407B8B">
        <w:t>United Energy</w:t>
      </w:r>
      <w:r>
        <w:t xml:space="preserve">, </w:t>
      </w:r>
      <w:r w:rsidRPr="00407B8B">
        <w:rPr>
          <w:rStyle w:val="AERtextitalic"/>
        </w:rPr>
        <w:t>2016–20 Regulatory proposal</w:t>
      </w:r>
      <w:r w:rsidRPr="00407B8B">
        <w:t xml:space="preserve">, </w:t>
      </w:r>
      <w:r>
        <w:t xml:space="preserve">30 </w:t>
      </w:r>
      <w:r w:rsidRPr="00407B8B">
        <w:t>April 2015, p</w:t>
      </w:r>
      <w:r>
        <w:t>p</w:t>
      </w:r>
      <w:r w:rsidRPr="00407B8B">
        <w:t>. 1</w:t>
      </w:r>
      <w:r>
        <w:t>38–140</w:t>
      </w:r>
      <w:r w:rsidRPr="00407B8B">
        <w:t>.</w:t>
      </w:r>
      <w:proofErr w:type="gramEnd"/>
    </w:p>
  </w:footnote>
  <w:footnote w:id="18">
    <w:p w:rsidR="008C3A77" w:rsidRDefault="008C3A77" w:rsidP="00121985">
      <w:pPr>
        <w:pStyle w:val="FootnoteText"/>
      </w:pPr>
      <w:r>
        <w:rPr>
          <w:rStyle w:val="FootnoteReference"/>
        </w:rPr>
        <w:footnoteRef/>
      </w:r>
      <w:r>
        <w:t xml:space="preserve"> </w:t>
      </w:r>
      <w:r>
        <w:tab/>
      </w:r>
      <w:proofErr w:type="gramStart"/>
      <w:r>
        <w:t>United Energy</w:t>
      </w:r>
      <w:r w:rsidRPr="004E39F7">
        <w:t xml:space="preserve">, </w:t>
      </w:r>
      <w:r w:rsidRPr="00EC7C6C">
        <w:rPr>
          <w:rStyle w:val="AERtextitalic"/>
        </w:rPr>
        <w:t>2016–20 Regulatory proposal</w:t>
      </w:r>
      <w:r w:rsidRPr="008F17AF">
        <w:t xml:space="preserve">, </w:t>
      </w:r>
      <w:r>
        <w:t xml:space="preserve">30 </w:t>
      </w:r>
      <w:r w:rsidRPr="008F17AF">
        <w:t>April 2015, p. 1</w:t>
      </w:r>
      <w:r>
        <w:t>40</w:t>
      </w:r>
      <w:r w:rsidRPr="004E39F7">
        <w:t>.</w:t>
      </w:r>
      <w:proofErr w:type="gramEnd"/>
    </w:p>
  </w:footnote>
  <w:footnote w:id="19">
    <w:p w:rsidR="008C3A77" w:rsidRDefault="008C3A77" w:rsidP="00121985">
      <w:pPr>
        <w:pStyle w:val="FootnoteText"/>
      </w:pPr>
      <w:r>
        <w:rPr>
          <w:rStyle w:val="FootnoteReference"/>
        </w:rPr>
        <w:footnoteRef/>
      </w:r>
      <w:r>
        <w:t xml:space="preserve"> </w:t>
      </w:r>
      <w:r>
        <w:tab/>
        <w:t xml:space="preserve">AER, </w:t>
      </w:r>
      <w:r w:rsidRPr="000A1C5A">
        <w:rPr>
          <w:rStyle w:val="AERtextitalic"/>
        </w:rPr>
        <w:t>STPIS</w:t>
      </w:r>
      <w:r w:rsidRPr="000A1C5A">
        <w:t xml:space="preserve">, November 2009, </w:t>
      </w:r>
      <w:r>
        <w:t xml:space="preserve">cl. 3.2.1. </w:t>
      </w:r>
    </w:p>
  </w:footnote>
  <w:footnote w:id="20">
    <w:p w:rsidR="008C3A77" w:rsidRDefault="008C3A77" w:rsidP="00121985">
      <w:pPr>
        <w:pStyle w:val="FootnoteText"/>
      </w:pPr>
      <w:r>
        <w:rPr>
          <w:rStyle w:val="FootnoteReference"/>
        </w:rPr>
        <w:footnoteRef/>
      </w:r>
      <w:r>
        <w:t xml:space="preserve"> </w:t>
      </w:r>
      <w:r>
        <w:tab/>
      </w:r>
      <w:r w:rsidRPr="00755F8E">
        <w:t xml:space="preserve">AER, </w:t>
      </w:r>
      <w:r w:rsidRPr="00E37324">
        <w:rPr>
          <w:rStyle w:val="AERtextitalic"/>
        </w:rPr>
        <w:t>STPIS</w:t>
      </w:r>
      <w:r>
        <w:t>, November 2009, cl. 5.3.1(a).</w:t>
      </w:r>
    </w:p>
  </w:footnote>
  <w:footnote w:id="21">
    <w:p w:rsidR="008C3A77" w:rsidRDefault="008C3A77" w:rsidP="00121985">
      <w:pPr>
        <w:pStyle w:val="FootnoteText"/>
      </w:pPr>
      <w:r>
        <w:rPr>
          <w:rStyle w:val="FootnoteReference"/>
        </w:rPr>
        <w:footnoteRef/>
      </w:r>
      <w:r>
        <w:t xml:space="preserve"> </w:t>
      </w:r>
      <w:r>
        <w:tab/>
      </w:r>
      <w:r w:rsidRPr="00F75DD0">
        <w:t xml:space="preserve">AER, </w:t>
      </w:r>
      <w:r w:rsidRPr="00F75DD0">
        <w:rPr>
          <w:rStyle w:val="AERtextitalic"/>
        </w:rPr>
        <w:t>STPIS</w:t>
      </w:r>
      <w:r>
        <w:t xml:space="preserve">, November 2009, cl. </w:t>
      </w:r>
      <w:r w:rsidRPr="00F75DD0">
        <w:t>5.3.2(a).</w:t>
      </w:r>
    </w:p>
  </w:footnote>
  <w:footnote w:id="22">
    <w:p w:rsidR="008C3A77" w:rsidRDefault="008C3A77" w:rsidP="00CA747E">
      <w:pPr>
        <w:pStyle w:val="FootnoteText"/>
      </w:pPr>
      <w:r>
        <w:rPr>
          <w:rStyle w:val="FootnoteReference"/>
        </w:rPr>
        <w:footnoteRef/>
      </w:r>
      <w:r>
        <w:t xml:space="preserve"> </w:t>
      </w:r>
      <w:r>
        <w:tab/>
        <w:t xml:space="preserve">AEMO, </w:t>
      </w:r>
      <w:r w:rsidRPr="00EE6412">
        <w:rPr>
          <w:rStyle w:val="AERtextitalic"/>
        </w:rPr>
        <w:t>Value of customer reliability review final report</w:t>
      </w:r>
      <w:r>
        <w:t xml:space="preserve">, September 2014. </w:t>
      </w:r>
    </w:p>
  </w:footnote>
  <w:footnote w:id="23">
    <w:p w:rsidR="008C3A77" w:rsidRDefault="008C3A77" w:rsidP="00CA747E">
      <w:pPr>
        <w:pStyle w:val="FootnoteText"/>
      </w:pPr>
      <w:r>
        <w:rPr>
          <w:rStyle w:val="FootnoteReference"/>
        </w:rPr>
        <w:footnoteRef/>
      </w:r>
      <w:r>
        <w:t xml:space="preserve"> </w:t>
      </w:r>
      <w:r>
        <w:tab/>
      </w:r>
      <w:r w:rsidRPr="00407B8B">
        <w:t>United Energy</w:t>
      </w:r>
      <w:r>
        <w:t xml:space="preserve">, </w:t>
      </w:r>
      <w:r w:rsidRPr="00407B8B">
        <w:rPr>
          <w:rStyle w:val="AERtextitalic"/>
        </w:rPr>
        <w:t>2016–20 Regulatory proposal</w:t>
      </w:r>
      <w:r w:rsidRPr="00407B8B">
        <w:t xml:space="preserve">, </w:t>
      </w:r>
      <w:r>
        <w:t xml:space="preserve">30 </w:t>
      </w:r>
      <w:r w:rsidRPr="00407B8B">
        <w:t>April 2015, p. 1</w:t>
      </w:r>
      <w:r>
        <w:t xml:space="preserve">38. </w:t>
      </w:r>
    </w:p>
  </w:footnote>
  <w:footnote w:id="24">
    <w:p w:rsidR="008C3A77" w:rsidRDefault="008C3A77" w:rsidP="00CA747E">
      <w:pPr>
        <w:pStyle w:val="FootnoteText"/>
      </w:pPr>
      <w:r>
        <w:rPr>
          <w:rStyle w:val="FootnoteReference"/>
        </w:rPr>
        <w:footnoteRef/>
      </w:r>
      <w:r>
        <w:t xml:space="preserve"> </w:t>
      </w:r>
      <w:r>
        <w:tab/>
        <w:t>The implications of the VCR will be:</w:t>
      </w:r>
    </w:p>
    <w:p w:rsidR="008C3A77" w:rsidRDefault="008C3A77" w:rsidP="00C562B8">
      <w:pPr>
        <w:pStyle w:val="FootnoteText"/>
      </w:pPr>
      <w:r>
        <w:t>-</w:t>
      </w:r>
      <w:r>
        <w:tab/>
        <w:t>Reliability deteriorates by 4.2 mins p.a. - more blackouts on hot summer days</w:t>
      </w:r>
    </w:p>
    <w:p w:rsidR="008C3A77" w:rsidRDefault="008C3A77" w:rsidP="00C562B8">
      <w:pPr>
        <w:pStyle w:val="FootnoteText"/>
      </w:pPr>
      <w:r>
        <w:t>-</w:t>
      </w:r>
      <w:r>
        <w:tab/>
        <w:t>Fault response times compromised - outages occurring at same time</w:t>
      </w:r>
    </w:p>
    <w:p w:rsidR="008C3A77" w:rsidRDefault="008C3A77" w:rsidP="00C562B8">
      <w:pPr>
        <w:pStyle w:val="FootnoteText"/>
      </w:pPr>
      <w:r>
        <w:t>-</w:t>
      </w:r>
      <w:r>
        <w:tab/>
        <w:t>Supply restoration times compromised - reduced spare capacity</w:t>
      </w:r>
    </w:p>
    <w:p w:rsidR="008C3A77" w:rsidRDefault="008C3A77" w:rsidP="00C562B8">
      <w:pPr>
        <w:pStyle w:val="FootnoteText"/>
      </w:pPr>
      <w:r>
        <w:t>-</w:t>
      </w:r>
      <w:r>
        <w:tab/>
        <w:t>Inconsistent with capex forecast</w:t>
      </w:r>
    </w:p>
    <w:p w:rsidR="008C3A77" w:rsidRDefault="008C3A77" w:rsidP="00C562B8">
      <w:pPr>
        <w:pStyle w:val="FootnoteText"/>
      </w:pPr>
      <w:r>
        <w:t>-</w:t>
      </w:r>
      <w:r>
        <w:tab/>
        <w:t>Require additional $0.5 million opex over five years in increased faults, emergency</w:t>
      </w:r>
    </w:p>
    <w:p w:rsidR="008C3A77" w:rsidRDefault="008C3A77" w:rsidP="00C562B8">
      <w:pPr>
        <w:pStyle w:val="FootnoteText"/>
      </w:pPr>
      <w:r>
        <w:tab/>
        <w:t>maintenance / claims</w:t>
      </w:r>
    </w:p>
    <w:p w:rsidR="008C3A77" w:rsidRDefault="008C3A77" w:rsidP="00C562B8">
      <w:pPr>
        <w:pStyle w:val="FootnoteText"/>
      </w:pPr>
      <w:r>
        <w:t>-       Higher GSL payments for worst served customers</w:t>
      </w:r>
    </w:p>
    <w:p w:rsidR="008C3A77" w:rsidRDefault="008C3A77" w:rsidP="00C562B8">
      <w:pPr>
        <w:pStyle w:val="FootnoteText"/>
      </w:pPr>
      <w:r>
        <w:t>-</w:t>
      </w:r>
      <w:r>
        <w:tab/>
        <w:t>Only net zero STPIS penalties if targets relaxed – $7-9 million STPIS penalties over period if targets based on five year average.</w:t>
      </w:r>
    </w:p>
  </w:footnote>
  <w:footnote w:id="25">
    <w:p w:rsidR="008C3A77" w:rsidRDefault="008C3A77" w:rsidP="00AE39C9">
      <w:pPr>
        <w:pStyle w:val="FootnoteText"/>
      </w:pPr>
      <w:r>
        <w:rPr>
          <w:rStyle w:val="FootnoteReference"/>
        </w:rPr>
        <w:footnoteRef/>
      </w:r>
      <w:r>
        <w:t xml:space="preserve"> </w:t>
      </w:r>
      <w:r>
        <w:tab/>
      </w:r>
      <w:proofErr w:type="gramStart"/>
      <w:r w:rsidRPr="00407B8B">
        <w:t>United Energy</w:t>
      </w:r>
      <w:r>
        <w:t xml:space="preserve">, </w:t>
      </w:r>
      <w:r w:rsidRPr="00407B8B">
        <w:rPr>
          <w:rStyle w:val="AERtextitalic"/>
        </w:rPr>
        <w:t>2016–20 Regulatory proposal</w:t>
      </w:r>
      <w:r w:rsidRPr="00407B8B">
        <w:t xml:space="preserve">, </w:t>
      </w:r>
      <w:r>
        <w:t xml:space="preserve">30 </w:t>
      </w:r>
      <w:r w:rsidRPr="00407B8B">
        <w:t>April 2015, p. 1</w:t>
      </w:r>
      <w:r>
        <w:t>37.</w:t>
      </w:r>
      <w:proofErr w:type="gramEnd"/>
    </w:p>
  </w:footnote>
  <w:footnote w:id="26">
    <w:p w:rsidR="008C3A77" w:rsidRDefault="008C3A77">
      <w:pPr>
        <w:pStyle w:val="FootnoteText"/>
      </w:pPr>
      <w:r>
        <w:rPr>
          <w:rStyle w:val="FootnoteReference"/>
        </w:rPr>
        <w:footnoteRef/>
      </w:r>
      <w:r>
        <w:t xml:space="preserve"> </w:t>
      </w:r>
      <w:r>
        <w:tab/>
      </w:r>
      <w:proofErr w:type="gramStart"/>
      <w:r w:rsidRPr="00407B8B">
        <w:t>United Energy</w:t>
      </w:r>
      <w:r>
        <w:t xml:space="preserve">, </w:t>
      </w:r>
      <w:r w:rsidRPr="00407B8B">
        <w:rPr>
          <w:rStyle w:val="AERtextitalic"/>
        </w:rPr>
        <w:t>2016–20 Regulatory proposal</w:t>
      </w:r>
      <w:r w:rsidRPr="00407B8B">
        <w:t xml:space="preserve">, </w:t>
      </w:r>
      <w:r>
        <w:t xml:space="preserve">30 </w:t>
      </w:r>
      <w:r w:rsidRPr="00407B8B">
        <w:t>April 2015, p. 1</w:t>
      </w:r>
      <w:r>
        <w:t>38.</w:t>
      </w:r>
      <w:proofErr w:type="gramEnd"/>
      <w:r>
        <w:t xml:space="preserve">  </w:t>
      </w:r>
    </w:p>
  </w:footnote>
  <w:footnote w:id="27">
    <w:p w:rsidR="008C3A77" w:rsidRDefault="008C3A77" w:rsidP="00CA747E">
      <w:pPr>
        <w:pStyle w:val="FootnoteText"/>
      </w:pPr>
      <w:r>
        <w:rPr>
          <w:rStyle w:val="FootnoteReference"/>
        </w:rPr>
        <w:footnoteRef/>
      </w:r>
      <w:r>
        <w:t xml:space="preserve"> </w:t>
      </w:r>
      <w:r>
        <w:tab/>
        <w:t xml:space="preserve">Essential Services Commission (Victoria), </w:t>
      </w:r>
      <w:r w:rsidRPr="000035AD">
        <w:rPr>
          <w:rStyle w:val="AERtextitalic"/>
        </w:rPr>
        <w:t>Electricity Distribution  Price Revie 2006–10, Final Decision volume 1 Statement of Purpose and Reasons</w:t>
      </w:r>
      <w:r>
        <w:t>, October 2005, p. 88.</w:t>
      </w:r>
    </w:p>
  </w:footnote>
  <w:footnote w:id="28">
    <w:p w:rsidR="008C3A77" w:rsidRDefault="008C3A77" w:rsidP="008A1866">
      <w:pPr>
        <w:pStyle w:val="FootnoteText"/>
      </w:pPr>
      <w:r>
        <w:rPr>
          <w:rStyle w:val="FootnoteReference"/>
        </w:rPr>
        <w:footnoteRef/>
      </w:r>
      <w:r>
        <w:t xml:space="preserve"> </w:t>
      </w:r>
      <w:r>
        <w:tab/>
        <w:t xml:space="preserve">United Energy, </w:t>
      </w:r>
      <w:r w:rsidRPr="004F36D3">
        <w:rPr>
          <w:rStyle w:val="AERtextitalic"/>
        </w:rPr>
        <w:t xml:space="preserve">Vic. EDPR </w:t>
      </w:r>
      <w:r>
        <w:rPr>
          <w:rStyle w:val="AERtextitalic"/>
        </w:rPr>
        <w:t>–</w:t>
      </w:r>
      <w:r w:rsidRPr="004F36D3">
        <w:rPr>
          <w:rStyle w:val="AERtextitalic"/>
        </w:rPr>
        <w:t xml:space="preserve"> </w:t>
      </w:r>
      <w:r>
        <w:rPr>
          <w:rStyle w:val="AERtextitalic"/>
        </w:rPr>
        <w:t>United Energy</w:t>
      </w:r>
      <w:r w:rsidRPr="004F36D3">
        <w:rPr>
          <w:rStyle w:val="AERtextitalic"/>
        </w:rPr>
        <w:t xml:space="preserve"> - IR#003</w:t>
      </w:r>
      <w:r>
        <w:rPr>
          <w:rStyle w:val="AERtextitalic"/>
        </w:rPr>
        <w:t>- 12 June 2015</w:t>
      </w:r>
      <w:r>
        <w:t>, 23 June 2015, United Energy</w:t>
      </w:r>
      <w:r w:rsidRPr="004F36D3">
        <w:t xml:space="preserve">, </w:t>
      </w:r>
      <w:r w:rsidRPr="004F36D3">
        <w:rPr>
          <w:rStyle w:val="AERtextitalic"/>
        </w:rPr>
        <w:t xml:space="preserve">Vic. EDPR </w:t>
      </w:r>
      <w:r>
        <w:rPr>
          <w:rStyle w:val="AERtextitalic"/>
        </w:rPr>
        <w:t>–</w:t>
      </w:r>
      <w:r w:rsidRPr="004F36D3">
        <w:rPr>
          <w:rStyle w:val="AERtextitalic"/>
        </w:rPr>
        <w:t xml:space="preserve"> </w:t>
      </w:r>
      <w:r>
        <w:rPr>
          <w:rStyle w:val="AERtextitalic"/>
        </w:rPr>
        <w:t>United Energy</w:t>
      </w:r>
      <w:r w:rsidRPr="004F36D3">
        <w:rPr>
          <w:rStyle w:val="AERtextitalic"/>
        </w:rPr>
        <w:t xml:space="preserve"> - IR#0</w:t>
      </w:r>
      <w:r>
        <w:rPr>
          <w:rStyle w:val="AERtextitalic"/>
        </w:rPr>
        <w:t xml:space="preserve">05- 23 June 2015 </w:t>
      </w:r>
      <w:r w:rsidRPr="004F36D3">
        <w:t xml:space="preserve">, </w:t>
      </w:r>
      <w:r>
        <w:t xml:space="preserve">3 July </w:t>
      </w:r>
      <w:r w:rsidRPr="004F36D3">
        <w:t>2015</w:t>
      </w:r>
      <w:r>
        <w:t xml:space="preserve">. </w:t>
      </w:r>
    </w:p>
  </w:footnote>
  <w:footnote w:id="29">
    <w:p w:rsidR="008C3A77" w:rsidRDefault="008C3A77" w:rsidP="008A1866">
      <w:pPr>
        <w:pStyle w:val="FootnoteText"/>
      </w:pPr>
      <w:r>
        <w:rPr>
          <w:rStyle w:val="FootnoteReference"/>
        </w:rPr>
        <w:footnoteRef/>
      </w:r>
      <w:r>
        <w:t xml:space="preserve"> </w:t>
      </w:r>
      <w:r>
        <w:tab/>
      </w:r>
      <w:r w:rsidRPr="00407B8B">
        <w:t>United Energy</w:t>
      </w:r>
      <w:r>
        <w:t xml:space="preserve">, </w:t>
      </w:r>
      <w:r w:rsidRPr="00407B8B">
        <w:rPr>
          <w:rStyle w:val="AERtextitalic"/>
        </w:rPr>
        <w:t>2016–20 Regulatory proposal</w:t>
      </w:r>
      <w:r w:rsidRPr="00407B8B">
        <w:t xml:space="preserve">, </w:t>
      </w:r>
      <w:r>
        <w:t xml:space="preserve">30 </w:t>
      </w:r>
      <w:r w:rsidRPr="00407B8B">
        <w:t>April 2015, p. 1</w:t>
      </w:r>
      <w:r>
        <w:t>37.</w:t>
      </w:r>
    </w:p>
  </w:footnote>
  <w:footnote w:id="30">
    <w:p w:rsidR="008C3A77" w:rsidRDefault="008C3A77" w:rsidP="00CA747E">
      <w:pPr>
        <w:pStyle w:val="FootnoteText"/>
      </w:pPr>
      <w:r>
        <w:rPr>
          <w:rStyle w:val="FootnoteReference"/>
        </w:rPr>
        <w:footnoteRef/>
      </w:r>
      <w:r>
        <w:t xml:space="preserve"> </w:t>
      </w:r>
      <w:r>
        <w:tab/>
        <w:t xml:space="preserve">AER. </w:t>
      </w:r>
      <w:r w:rsidRPr="00EC7C6C">
        <w:rPr>
          <w:rStyle w:val="AERtextitalic"/>
        </w:rPr>
        <w:t>STPIS</w:t>
      </w:r>
      <w:r>
        <w:t xml:space="preserve">, November 2009, </w:t>
      </w:r>
      <w:r w:rsidRPr="00BE291C">
        <w:t>clause 1.5(b)(1)</w:t>
      </w:r>
      <w:r>
        <w:t>.</w:t>
      </w:r>
    </w:p>
  </w:footnote>
  <w:footnote w:id="31">
    <w:p w:rsidR="008C3A77" w:rsidRDefault="008C3A77" w:rsidP="00CA747E">
      <w:pPr>
        <w:pStyle w:val="FootnoteText"/>
      </w:pPr>
      <w:r>
        <w:rPr>
          <w:rStyle w:val="FootnoteReference"/>
        </w:rPr>
        <w:footnoteRef/>
      </w:r>
      <w:r>
        <w:t xml:space="preserve"> </w:t>
      </w:r>
      <w:r>
        <w:tab/>
        <w:t xml:space="preserve">Victorian Department of Economic Development, Jobs, Transport &amp; Resources,  </w:t>
      </w:r>
      <w:r w:rsidRPr="005458A0">
        <w:rPr>
          <w:rStyle w:val="AERtextitalic"/>
        </w:rPr>
        <w:t>Submission to Victorian electricity distribution pricing review – 2016 to 2020</w:t>
      </w:r>
      <w:r>
        <w:t>, July 2015, p. 10.</w:t>
      </w:r>
    </w:p>
  </w:footnote>
  <w:footnote w:id="32">
    <w:p w:rsidR="008C3A77" w:rsidRDefault="008C3A77" w:rsidP="00CA747E">
      <w:pPr>
        <w:pStyle w:val="FootnoteText"/>
      </w:pPr>
      <w:r>
        <w:rPr>
          <w:rStyle w:val="FootnoteReference"/>
        </w:rPr>
        <w:footnoteRef/>
      </w:r>
      <w:r>
        <w:t xml:space="preserve"> </w:t>
      </w:r>
      <w:r>
        <w:tab/>
        <w:t xml:space="preserve">Consumer Challenge Panel Sub Panel 3, </w:t>
      </w:r>
      <w:r w:rsidRPr="005458A0">
        <w:rPr>
          <w:rStyle w:val="AERtextitalic"/>
        </w:rPr>
        <w:t>Response to proposals from Victorian electricity distribution network service providers for a revenue reset for the 2016-2020 regulatory period</w:t>
      </w:r>
      <w:r>
        <w:t>, 5 August 2015, p. 61.</w:t>
      </w:r>
    </w:p>
  </w:footnote>
  <w:footnote w:id="33">
    <w:p w:rsidR="008C3A77" w:rsidRDefault="008C3A77" w:rsidP="00CC3B36">
      <w:pPr>
        <w:pStyle w:val="FootnoteText"/>
      </w:pPr>
      <w:r>
        <w:rPr>
          <w:rStyle w:val="FootnoteReference"/>
        </w:rPr>
        <w:footnoteRef/>
      </w:r>
      <w:r>
        <w:t xml:space="preserve"> </w:t>
      </w:r>
      <w:r>
        <w:tab/>
        <w:t>United Energy</w:t>
      </w:r>
      <w:r w:rsidRPr="004E39F7">
        <w:t>,</w:t>
      </w:r>
      <w:r>
        <w:t xml:space="preserve"> </w:t>
      </w:r>
      <w:r w:rsidRPr="00EC7C6C">
        <w:rPr>
          <w:rStyle w:val="AERtextitalic"/>
        </w:rPr>
        <w:t>2016–20 Regulatory proposal</w:t>
      </w:r>
      <w:r w:rsidRPr="008F17AF">
        <w:t>, April 2015, p. 1</w:t>
      </w:r>
      <w:r>
        <w:t>40.</w:t>
      </w:r>
    </w:p>
  </w:footnote>
  <w:footnote w:id="34">
    <w:p w:rsidR="008C3A77" w:rsidRDefault="008C3A77" w:rsidP="00CC3B36">
      <w:pPr>
        <w:pStyle w:val="FootnoteText"/>
      </w:pPr>
      <w:r>
        <w:rPr>
          <w:rStyle w:val="FootnoteReference"/>
        </w:rPr>
        <w:footnoteRef/>
      </w:r>
      <w:r>
        <w:t xml:space="preserve"> </w:t>
      </w:r>
      <w:r>
        <w:tab/>
        <w:t>United Energy</w:t>
      </w:r>
      <w:r w:rsidRPr="004E39F7">
        <w:t>,</w:t>
      </w:r>
      <w:r>
        <w:t xml:space="preserve"> </w:t>
      </w:r>
      <w:r w:rsidRPr="00EC7C6C">
        <w:rPr>
          <w:rStyle w:val="AERtextitalic"/>
        </w:rPr>
        <w:t>2016–20 Regulatory proposal</w:t>
      </w:r>
      <w:r w:rsidRPr="008F17AF">
        <w:t>, April 2015, p. 1</w:t>
      </w:r>
      <w:r>
        <w:t>40</w:t>
      </w:r>
      <w:r w:rsidRPr="004E39F7">
        <w:t>.</w:t>
      </w:r>
    </w:p>
  </w:footnote>
  <w:footnote w:id="35">
    <w:p w:rsidR="008C3A77" w:rsidRDefault="008C3A77" w:rsidP="00CC3B36">
      <w:pPr>
        <w:pStyle w:val="FootnoteText"/>
      </w:pPr>
      <w:r>
        <w:rPr>
          <w:rStyle w:val="FootnoteReference"/>
        </w:rPr>
        <w:footnoteRef/>
      </w:r>
      <w:r>
        <w:t xml:space="preserve"> </w:t>
      </w:r>
      <w:r>
        <w:tab/>
        <w:t xml:space="preserve">Consumer Challenge Panel Sub Panel 3, </w:t>
      </w:r>
      <w:r w:rsidRPr="005458A0">
        <w:rPr>
          <w:rStyle w:val="AERtextitalic"/>
        </w:rPr>
        <w:t>Response to proposals from Victorian electricity distribution network service providers for a revenue reset for the 2016-2020 regulatory period</w:t>
      </w:r>
      <w:r>
        <w:t>, 5 August 2015, p. 62.</w:t>
      </w:r>
    </w:p>
  </w:footnote>
  <w:footnote w:id="36">
    <w:p w:rsidR="008C3A77" w:rsidRDefault="008C3A77" w:rsidP="00CC3B36">
      <w:pPr>
        <w:pStyle w:val="FootnoteText"/>
      </w:pPr>
      <w:r>
        <w:rPr>
          <w:rStyle w:val="FootnoteReference"/>
        </w:rPr>
        <w:footnoteRef/>
      </w:r>
      <w:r>
        <w:t xml:space="preserve"> </w:t>
      </w:r>
      <w:r>
        <w:tab/>
        <w:t>United Energy</w:t>
      </w:r>
      <w:r w:rsidRPr="004E39F7">
        <w:t>,</w:t>
      </w:r>
      <w:r>
        <w:t xml:space="preserve"> </w:t>
      </w:r>
      <w:r w:rsidRPr="00EC7C6C">
        <w:rPr>
          <w:rStyle w:val="AERtextitalic"/>
        </w:rPr>
        <w:t>2016–20 Regulatory proposal</w:t>
      </w:r>
      <w:r w:rsidRPr="008F17AF">
        <w:t>, April 2015, p. 1</w:t>
      </w:r>
      <w:r>
        <w:t>40</w:t>
      </w:r>
      <w:r w:rsidRPr="004E39F7">
        <w:t>.</w:t>
      </w:r>
      <w:r>
        <w:t xml:space="preserve"> </w:t>
      </w:r>
    </w:p>
  </w:footnote>
  <w:footnote w:id="37">
    <w:p w:rsidR="008C3A77" w:rsidRDefault="008C3A77" w:rsidP="00CC3B36">
      <w:pPr>
        <w:pStyle w:val="FootnoteText"/>
      </w:pPr>
      <w:r>
        <w:rPr>
          <w:rStyle w:val="FootnoteReference"/>
        </w:rPr>
        <w:footnoteRef/>
      </w:r>
      <w:r>
        <w:t xml:space="preserve"> </w:t>
      </w:r>
      <w:r>
        <w:tab/>
        <w:t xml:space="preserve">Victorian Department of Economic Development, Jobs, Transport &amp; Resources,  </w:t>
      </w:r>
      <w:r w:rsidRPr="005458A0">
        <w:rPr>
          <w:rStyle w:val="AERtextitalic"/>
        </w:rPr>
        <w:t>Submission to Victorian electricity distribution pricing review – 2016 to 2020</w:t>
      </w:r>
      <w:r>
        <w:t>, July 2015, p. 11.</w:t>
      </w:r>
    </w:p>
  </w:footnote>
  <w:footnote w:id="38">
    <w:p w:rsidR="008C3A77" w:rsidRDefault="008C3A77" w:rsidP="001324FC">
      <w:pPr>
        <w:pStyle w:val="FootnoteText"/>
      </w:pPr>
      <w:r>
        <w:rPr>
          <w:rStyle w:val="FootnoteReference"/>
        </w:rPr>
        <w:footnoteRef/>
      </w:r>
      <w:r>
        <w:t xml:space="preserve"> </w:t>
      </w:r>
      <w:r>
        <w:tab/>
        <w:t xml:space="preserve">Consumer Challenge Panel Sub Panel 3, </w:t>
      </w:r>
      <w:r w:rsidRPr="005458A0">
        <w:rPr>
          <w:rStyle w:val="AERtextitalic"/>
        </w:rPr>
        <w:t>Response to proposals from Victorian electricity distribution network service providers for a revenue reset for the 2016-2020 regulatory period</w:t>
      </w:r>
      <w:r>
        <w:t>, 5 August 2015, p. 62.</w:t>
      </w:r>
    </w:p>
  </w:footnote>
  <w:footnote w:id="39">
    <w:p w:rsidR="008C3A77" w:rsidRDefault="008C3A77" w:rsidP="00CC3B36">
      <w:pPr>
        <w:pStyle w:val="FootnoteText"/>
      </w:pPr>
      <w:r>
        <w:rPr>
          <w:rStyle w:val="FootnoteReference"/>
        </w:rPr>
        <w:footnoteRef/>
      </w:r>
      <w:r>
        <w:t xml:space="preserve"> </w:t>
      </w:r>
      <w:r>
        <w:tab/>
        <w:t>United Energy</w:t>
      </w:r>
      <w:r w:rsidRPr="004E39F7">
        <w:t>,</w:t>
      </w:r>
      <w:r>
        <w:t xml:space="preserve"> </w:t>
      </w:r>
      <w:r w:rsidRPr="00EC7C6C">
        <w:rPr>
          <w:rStyle w:val="AERtextitalic"/>
        </w:rPr>
        <w:t>2016–20 Regulatory proposal</w:t>
      </w:r>
      <w:r w:rsidRPr="008F17AF">
        <w:t>, April 2015, p. 1</w:t>
      </w:r>
      <w:r>
        <w:t>40.</w:t>
      </w:r>
    </w:p>
  </w:footnote>
  <w:footnote w:id="40">
    <w:p w:rsidR="008C3A77" w:rsidRDefault="008C3A77" w:rsidP="00CC3B36">
      <w:pPr>
        <w:pStyle w:val="FootnoteText"/>
      </w:pPr>
      <w:r>
        <w:rPr>
          <w:rStyle w:val="FootnoteReference"/>
        </w:rPr>
        <w:footnoteRef/>
      </w:r>
      <w:r>
        <w:t xml:space="preserve"> </w:t>
      </w:r>
      <w:r>
        <w:tab/>
        <w:t xml:space="preserve">Victorian Department of Economic Development, Jobs, Transport &amp; Resources,  </w:t>
      </w:r>
      <w:r w:rsidRPr="005458A0">
        <w:rPr>
          <w:rStyle w:val="AERtextitalic"/>
        </w:rPr>
        <w:t>Submission to Victorian electricity distribution pricing review – 2016 to 2020</w:t>
      </w:r>
      <w:r>
        <w:t xml:space="preserve">, July 2015, p. 12. </w:t>
      </w:r>
    </w:p>
  </w:footnote>
  <w:footnote w:id="41">
    <w:p w:rsidR="008C3A77" w:rsidRDefault="008C3A77" w:rsidP="00842C6A">
      <w:pPr>
        <w:pStyle w:val="FootnoteText"/>
      </w:pPr>
      <w:r>
        <w:rPr>
          <w:rStyle w:val="FootnoteReference"/>
        </w:rPr>
        <w:footnoteRef/>
      </w:r>
      <w:r>
        <w:t xml:space="preserve"> </w:t>
      </w:r>
      <w:r>
        <w:tab/>
        <w:t xml:space="preserve">Consumer Challenge Panel Sub Panel 3, </w:t>
      </w:r>
      <w:r w:rsidRPr="005458A0">
        <w:rPr>
          <w:rStyle w:val="AERtextitalic"/>
        </w:rPr>
        <w:t>Response to proposals from Victorian electricity distribution network service providers for a revenue reset for the 2016-2020 regulatory period</w:t>
      </w:r>
      <w:r>
        <w:t>, 5 August 2015, p. 62.</w:t>
      </w:r>
    </w:p>
  </w:footnote>
  <w:footnote w:id="42">
    <w:p w:rsidR="008C3A77" w:rsidRDefault="008C3A77" w:rsidP="00CC3B36">
      <w:pPr>
        <w:pStyle w:val="FootnoteText"/>
      </w:pPr>
      <w:r>
        <w:rPr>
          <w:rStyle w:val="FootnoteReference"/>
        </w:rPr>
        <w:footnoteRef/>
      </w:r>
      <w:r>
        <w:t xml:space="preserve"> </w:t>
      </w:r>
      <w:r>
        <w:tab/>
        <w:t>United Energy</w:t>
      </w:r>
      <w:r w:rsidRPr="004E39F7">
        <w:t>,</w:t>
      </w:r>
      <w:r>
        <w:t xml:space="preserve"> </w:t>
      </w:r>
      <w:r w:rsidRPr="00EC7C6C">
        <w:rPr>
          <w:rStyle w:val="AERtextitalic"/>
        </w:rPr>
        <w:t>2016–20 Regulatory proposal</w:t>
      </w:r>
      <w:r w:rsidRPr="008F17AF">
        <w:t>, April 2015, p. 1</w:t>
      </w:r>
      <w:r>
        <w:t xml:space="preserve">39. </w:t>
      </w:r>
    </w:p>
  </w:footnote>
  <w:footnote w:id="43">
    <w:p w:rsidR="008C3A77" w:rsidRDefault="008C3A77" w:rsidP="00CC3B36">
      <w:pPr>
        <w:pStyle w:val="FootnoteText"/>
      </w:pPr>
      <w:r>
        <w:rPr>
          <w:rStyle w:val="FootnoteReference"/>
        </w:rPr>
        <w:footnoteRef/>
      </w:r>
      <w:r>
        <w:t xml:space="preserve"> </w:t>
      </w:r>
      <w:r>
        <w:tab/>
      </w:r>
      <w:r w:rsidRPr="004D7A4E">
        <w:t>Victorian Department of Economic Development, Jobs, Transport &amp;</w:t>
      </w:r>
      <w:r>
        <w:t xml:space="preserve"> </w:t>
      </w:r>
      <w:r w:rsidRPr="004D7A4E">
        <w:t>Resources</w:t>
      </w:r>
      <w:r w:rsidRPr="004D7A4E">
        <w:rPr>
          <w:rStyle w:val="Emphasis"/>
        </w:rPr>
        <w:t>, Submission to Victorian electricity distribution pricing review – 2016 to 2020</w:t>
      </w:r>
      <w:r>
        <w:t xml:space="preserve">, 12 July 2015, pp. 9–10.  </w:t>
      </w:r>
    </w:p>
  </w:footnote>
  <w:footnote w:id="44">
    <w:p w:rsidR="008C3A77" w:rsidRDefault="008C3A77" w:rsidP="00842C6A">
      <w:pPr>
        <w:pStyle w:val="FootnoteText"/>
      </w:pPr>
      <w:r>
        <w:rPr>
          <w:rStyle w:val="FootnoteReference"/>
        </w:rPr>
        <w:footnoteRef/>
      </w:r>
      <w:r>
        <w:t xml:space="preserve"> </w:t>
      </w:r>
      <w:r>
        <w:tab/>
        <w:t xml:space="preserve">There is currently no </w:t>
      </w:r>
      <w:r w:rsidRPr="002F2B31">
        <w:t>certainty on the scope, implementation timeframe or the magnitude of the program.</w:t>
      </w:r>
    </w:p>
  </w:footnote>
  <w:footnote w:id="45">
    <w:p w:rsidR="008C3A77" w:rsidRDefault="008C3A77" w:rsidP="00CC3B36">
      <w:pPr>
        <w:pStyle w:val="FootnoteText"/>
      </w:pPr>
      <w:r>
        <w:rPr>
          <w:rStyle w:val="FootnoteReference"/>
        </w:rPr>
        <w:footnoteRef/>
      </w:r>
      <w:r>
        <w:t xml:space="preserve"> </w:t>
      </w:r>
      <w:r>
        <w:tab/>
        <w:t xml:space="preserve">AER, </w:t>
      </w:r>
      <w:r w:rsidRPr="008A5AB3">
        <w:rPr>
          <w:rStyle w:val="AERtextitalic"/>
        </w:rPr>
        <w:t>STPIS</w:t>
      </w:r>
      <w:r>
        <w:t xml:space="preserve">, November 2009, cl. 3.2.1. </w:t>
      </w:r>
    </w:p>
  </w:footnote>
  <w:footnote w:id="46">
    <w:p w:rsidR="008C3A77" w:rsidRDefault="008C3A77" w:rsidP="00842C6A">
      <w:pPr>
        <w:pStyle w:val="FootnoteText"/>
      </w:pPr>
      <w:r>
        <w:rPr>
          <w:rStyle w:val="FootnoteReference"/>
        </w:rPr>
        <w:footnoteRef/>
      </w:r>
      <w:r>
        <w:t xml:space="preserve"> </w:t>
      </w:r>
      <w:r>
        <w:tab/>
      </w:r>
      <w:r w:rsidRPr="005D44E7">
        <w:t xml:space="preserve">AER, </w:t>
      </w:r>
      <w:r w:rsidRPr="000565BE">
        <w:rPr>
          <w:rStyle w:val="AERtextitalic"/>
        </w:rPr>
        <w:t>Electricity distribution network service providers—service target performance incentive scheme</w:t>
      </w:r>
      <w:r w:rsidRPr="005D44E7">
        <w:t xml:space="preserve">, 1 November 2009. (AER, </w:t>
      </w:r>
      <w:r w:rsidRPr="000565BE">
        <w:rPr>
          <w:rStyle w:val="AERtextitalic"/>
        </w:rPr>
        <w:t>STPIS</w:t>
      </w:r>
      <w:r w:rsidRPr="005D44E7">
        <w:t>, Nov</w:t>
      </w:r>
      <w:r>
        <w:t>ember</w:t>
      </w:r>
      <w:r w:rsidRPr="005D44E7">
        <w:t xml:space="preserve"> 2009).</w:t>
      </w:r>
    </w:p>
  </w:footnote>
  <w:footnote w:id="47">
    <w:p w:rsidR="008C3A77" w:rsidRDefault="008C3A77" w:rsidP="006E67E3">
      <w:pPr>
        <w:pStyle w:val="FootnoteText"/>
      </w:pPr>
      <w:r>
        <w:rPr>
          <w:rStyle w:val="FootnoteReference"/>
        </w:rPr>
        <w:footnoteRef/>
      </w:r>
      <w:r>
        <w:t xml:space="preserve"> </w:t>
      </w:r>
      <w:r>
        <w:tab/>
        <w:t>"Raw" refers to the S-factor prior to any adjustments.</w:t>
      </w:r>
    </w:p>
  </w:footnote>
  <w:footnote w:id="48">
    <w:p w:rsidR="008C3A77" w:rsidRDefault="008C3A77" w:rsidP="006E67E3">
      <w:pPr>
        <w:pStyle w:val="FootnoteText"/>
      </w:pPr>
      <w:r>
        <w:rPr>
          <w:rStyle w:val="FootnoteReference"/>
        </w:rPr>
        <w:footnoteRef/>
      </w:r>
      <w:r>
        <w:t xml:space="preserve"> </w:t>
      </w:r>
      <w:r>
        <w:tab/>
      </w:r>
      <w:r w:rsidRPr="005D44E7">
        <w:t xml:space="preserve">AER, </w:t>
      </w:r>
      <w:r w:rsidRPr="000565BE">
        <w:rPr>
          <w:rStyle w:val="AERtextitalic"/>
        </w:rPr>
        <w:t>STPIS</w:t>
      </w:r>
      <w:r w:rsidRPr="005D44E7">
        <w:t>, Nov</w:t>
      </w:r>
      <w:r>
        <w:t>ember</w:t>
      </w:r>
      <w:r w:rsidRPr="005D44E7">
        <w:t xml:space="preserve"> 2009</w:t>
      </w:r>
      <w:r>
        <w:t>, Appendix C, pp. 33–34.</w:t>
      </w:r>
    </w:p>
  </w:footnote>
  <w:footnote w:id="49">
    <w:p w:rsidR="008C3A77" w:rsidRDefault="008C3A77" w:rsidP="00046053">
      <w:pPr>
        <w:pStyle w:val="FootnoteText"/>
      </w:pPr>
      <w:r>
        <w:rPr>
          <w:rStyle w:val="FootnoteReference"/>
        </w:rPr>
        <w:footnoteRef/>
      </w:r>
      <w:r>
        <w:t xml:space="preserve"> </w:t>
      </w:r>
      <w:r>
        <w:tab/>
        <w:t xml:space="preserve">AER, </w:t>
      </w:r>
      <w:r w:rsidRPr="008A5AB3">
        <w:rPr>
          <w:rStyle w:val="AERtextitalic"/>
        </w:rPr>
        <w:t>STPIS</w:t>
      </w:r>
      <w:r>
        <w:t>, November 2009, appendix C.</w:t>
      </w:r>
    </w:p>
  </w:footnote>
  <w:footnote w:id="50">
    <w:p w:rsidR="008C3A77" w:rsidRDefault="008C3A77">
      <w:pPr>
        <w:pStyle w:val="FootnoteText"/>
      </w:pPr>
      <w:r>
        <w:rPr>
          <w:rStyle w:val="FootnoteReference"/>
        </w:rPr>
        <w:footnoteRef/>
      </w:r>
      <w:r>
        <w:t xml:space="preserve"> </w:t>
      </w:r>
      <w:r>
        <w:tab/>
      </w:r>
      <w:r w:rsidRPr="00912682">
        <w:t>Defined as the percentage change between the annual revenue requirement in the last regulatory year of the previous regulatory control period and the annual revenue requirement for first regulatory year of the next regulatory control period taken from the post-tax revenue model, AER, STPIS, November 2009, Appendix C, pp. 33–34</w:t>
      </w:r>
      <w:r>
        <w:t>.</w:t>
      </w:r>
    </w:p>
  </w:footnote>
  <w:footnote w:id="51">
    <w:p w:rsidR="008C3A77" w:rsidRDefault="008C3A77" w:rsidP="006E67E3">
      <w:pPr>
        <w:pStyle w:val="FootnoteText"/>
      </w:pPr>
      <w:r>
        <w:rPr>
          <w:rStyle w:val="FootnoteReference"/>
        </w:rPr>
        <w:footnoteRef/>
      </w:r>
      <w:r>
        <w:t xml:space="preserve"> </w:t>
      </w:r>
      <w:r>
        <w:tab/>
        <w:t xml:space="preserve">AER, </w:t>
      </w:r>
      <w:r w:rsidRPr="008A5AB3">
        <w:rPr>
          <w:rStyle w:val="AERtextitalic"/>
        </w:rPr>
        <w:t>STPIS</w:t>
      </w:r>
      <w:r>
        <w:t>, November 2009, Appendix C, pp. 33–34.</w:t>
      </w:r>
    </w:p>
  </w:footnote>
  <w:footnote w:id="52">
    <w:p w:rsidR="008C3A77" w:rsidRDefault="008C3A77">
      <w:pPr>
        <w:pStyle w:val="FootnoteText"/>
      </w:pPr>
      <w:r>
        <w:rPr>
          <w:rStyle w:val="FootnoteReference"/>
        </w:rPr>
        <w:footnoteRef/>
      </w:r>
      <w:r>
        <w:t xml:space="preserve"> </w:t>
      </w:r>
      <w:r>
        <w:tab/>
      </w:r>
      <w:r w:rsidRPr="00AF7EF8">
        <w:rPr>
          <w:rStyle w:val="AERtextitalic"/>
        </w:rPr>
        <w:t>Energy Legislation Amendment Act 2012 (Vic</w:t>
      </w:r>
      <w:r>
        <w:rPr>
          <w:rStyle w:val="AERtextitalic"/>
        </w:rPr>
        <w:t>toria</w:t>
      </w:r>
      <w:r w:rsidRPr="00AF7EF8">
        <w:rPr>
          <w:rStyle w:val="AERtextitalic"/>
        </w:rPr>
        <w:t>)</w:t>
      </w:r>
      <w:r>
        <w:t>, s. 10.</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3A77" w:rsidRDefault="00001E64">
    <w:pPr>
      <w:pStyle w:val="Header"/>
      <w:jc w:val="right"/>
    </w:pPr>
    <w:r>
      <w:rPr>
        <w:noProof/>
        <w:lang w:val="en-US"/>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60" type="#_x0000_t136" style="position:absolute;left:0;text-align:left;margin-left:0;margin-top:0;width:608.75pt;height:110.65pt;rotation:315;z-index:-251645952;mso-position-horizontal:center;mso-position-horizontal-relative:margin;mso-position-vertical:center;mso-position-vertical-relative:margin" o:allowincell="f" fillcolor="red" stroked="f">
          <v:fill opacity=".5"/>
          <v:textpath style="font-family:&quot;Arial&quot;;font-size:1pt" string="WITHDRAWN"/>
          <w10:wrap anchorx="margin" anchory="margin"/>
        </v:shape>
      </w:pict>
    </w:r>
    <w:r>
      <w:rPr>
        <w:noProof/>
        <w:lang w:val="en-US"/>
      </w:rPr>
      <w:pict>
        <v:shape id="_x0000_s2058" type="#_x0000_t136" style="position:absolute;left:0;text-align:left;margin-left:0;margin-top:0;width:485.65pt;height:194.25pt;rotation:315;z-index:-251648000;mso-position-horizontal:center;mso-position-horizontal-relative:margin;mso-position-vertical:center;mso-position-vertical-relative:margin" wrapcoords="21300 2419 14000 2502 13967 2836 14600 4587 14567 8256 12300 3669 11467 2002 10467 9341 7800 3336 7167 2168 7000 2585 5467 2419 4833 2502 4833 2752 5433 6171 5433 8006 3700 3753 2700 2002 2500 2585 933 2419 167 2419 67 2585 333 4086 700 5588 667 15012 433 16263 100 16429 67 16680 167 16930 2233 17013 2867 16680 3367 16096 3800 15262 4067 15929 5133 17180 5233 17013 6833 16930 6700 16179 6133 13594 6433 14261 8167 17097 10633 16930 10533 16012 10233 14344 10400 12927 11633 16012 12567 17597 12800 17013 15967 16930 15867 16346 15300 13844 15300 10008 15600 10842 18767 17013 20300 16930 20533 16846 20533 16429 19933 14094 19933 4670 20233 3586 21333 5921 21433 6088 21400 2752 21300 2419" fillcolor="#999" stroked="f">
          <v:fill opacity=".5"/>
          <v:textpath style="font-family:&quot;Times New Roman&quot;;font-size:1pt" string="DRAFT"/>
          <w10:wrap anchorx="margin" anchory="margin"/>
        </v:shape>
      </w:pict>
    </w:r>
    <w:r w:rsidR="008C3A77">
      <w:t>January 2005</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C3A77" w:rsidRDefault="00001E64">
    <w:pPr>
      <w:pStyle w:val="Header"/>
    </w:pPr>
    <w:r>
      <w:rPr>
        <w:noProof/>
        <w:lang w:val="en-US"/>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s2059" type="#_x0000_t136" style="position:absolute;margin-left:0;margin-top:0;width:608.75pt;height:110.65pt;rotation:315;z-index:-251646976;mso-position-horizontal:center;mso-position-horizontal-relative:margin;mso-position-vertical:center;mso-position-vertical-relative:margin" o:allowincell="f" fillcolor="red" stroked="f">
          <v:fill opacity=".5"/>
          <v:textpath style="font-family:&quot;Arial&quot;;font-size:1pt" string="WITHDRAWN"/>
          <w10:wrap anchorx="margin" anchory="margin"/>
        </v:shape>
      </w:pict>
    </w:r>
    <w:r>
      <w:rPr>
        <w:noProof/>
        <w:lang w:val="en-US"/>
      </w:rPr>
      <w:pict>
        <v:shape id="_x0000_s2057" type="#_x0000_t136" style="position:absolute;margin-left:0;margin-top:0;width:485.65pt;height:194.25pt;rotation:315;z-index:-251649024;mso-position-horizontal:center;mso-position-horizontal-relative:margin;mso-position-vertical:center;mso-position-vertical-relative:margin" wrapcoords="21300 2419 14000 2502 13967 2836 14600 4587 14567 8256 12300 3669 11467 2002 10467 9341 7800 3336 7167 2168 7000 2585 5467 2419 4833 2502 4833 2752 5433 6171 5433 8006 3700 3753 2700 2002 2500 2585 933 2419 167 2419 67 2585 333 4086 700 5588 667 15012 433 16263 100 16429 67 16680 167 16930 2233 17013 2867 16680 3367 16096 3800 15262 4067 15929 5133 17180 5233 17013 6833 16930 6700 16179 6133 13594 6433 14261 8167 17097 10633 16930 10533 16012 10233 14344 10400 12927 11633 16012 12567 17597 12800 17013 15967 16930 15867 16346 15300 13844 15300 10008 15600 10842 18767 17013 20300 16930 20533 16846 20533 16429 19933 14094 19933 4670 20233 3586 21333 5921 21433 6088 21400 2752 21300 2419" fillcolor="#999" stroked="f">
          <v:fill opacity=".5"/>
          <v:textpath style="font-family:&quot;Times New Roman&quot;;font-size:1pt" string="DRAFT"/>
          <w10:wrap anchorx="margin" anchory="margin"/>
        </v:shape>
      </w:pic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80E8D0B0"/>
    <w:lvl w:ilvl="0">
      <w:start w:val="1"/>
      <w:numFmt w:val="decimal"/>
      <w:pStyle w:val="ListNumber5"/>
      <w:lvlText w:val="%1."/>
      <w:lvlJc w:val="left"/>
      <w:pPr>
        <w:tabs>
          <w:tab w:val="num" w:pos="1492"/>
        </w:tabs>
        <w:ind w:left="1492" w:hanging="360"/>
      </w:pPr>
    </w:lvl>
  </w:abstractNum>
  <w:abstractNum w:abstractNumId="1">
    <w:nsid w:val="FFFFFF7D"/>
    <w:multiLevelType w:val="singleLevel"/>
    <w:tmpl w:val="756075BE"/>
    <w:lvl w:ilvl="0">
      <w:start w:val="1"/>
      <w:numFmt w:val="decimal"/>
      <w:pStyle w:val="ListNumber4"/>
      <w:lvlText w:val="%1."/>
      <w:lvlJc w:val="left"/>
      <w:pPr>
        <w:tabs>
          <w:tab w:val="num" w:pos="1209"/>
        </w:tabs>
        <w:ind w:left="1209" w:hanging="360"/>
      </w:pPr>
    </w:lvl>
  </w:abstractNum>
  <w:abstractNum w:abstractNumId="2">
    <w:nsid w:val="FFFFFF7E"/>
    <w:multiLevelType w:val="singleLevel"/>
    <w:tmpl w:val="7D84C18C"/>
    <w:lvl w:ilvl="0">
      <w:start w:val="1"/>
      <w:numFmt w:val="decimal"/>
      <w:pStyle w:val="ListNumber3"/>
      <w:lvlText w:val="%1."/>
      <w:lvlJc w:val="left"/>
      <w:pPr>
        <w:tabs>
          <w:tab w:val="num" w:pos="1021"/>
        </w:tabs>
        <w:ind w:left="1021" w:hanging="341"/>
      </w:pPr>
      <w:rPr>
        <w:rFonts w:hint="default"/>
      </w:rPr>
    </w:lvl>
  </w:abstractNum>
  <w:abstractNum w:abstractNumId="3">
    <w:nsid w:val="FFFFFF7F"/>
    <w:multiLevelType w:val="singleLevel"/>
    <w:tmpl w:val="C9043968"/>
    <w:lvl w:ilvl="0">
      <w:start w:val="1"/>
      <w:numFmt w:val="decimal"/>
      <w:pStyle w:val="ListNumber2"/>
      <w:lvlText w:val="%1."/>
      <w:lvlJc w:val="left"/>
      <w:pPr>
        <w:ind w:left="700" w:hanging="360"/>
      </w:pPr>
    </w:lvl>
  </w:abstractNum>
  <w:abstractNum w:abstractNumId="4">
    <w:nsid w:val="FFFFFF80"/>
    <w:multiLevelType w:val="singleLevel"/>
    <w:tmpl w:val="E38619F2"/>
    <w:lvl w:ilvl="0">
      <w:start w:val="1"/>
      <w:numFmt w:val="bullet"/>
      <w:pStyle w:val="ListBullet5"/>
      <w:lvlText w:val=""/>
      <w:lvlJc w:val="left"/>
      <w:pPr>
        <w:tabs>
          <w:tab w:val="num" w:pos="1492"/>
        </w:tabs>
        <w:ind w:left="1492" w:hanging="360"/>
      </w:pPr>
      <w:rPr>
        <w:rFonts w:ascii="Symbol" w:hAnsi="Symbol" w:hint="default"/>
      </w:rPr>
    </w:lvl>
  </w:abstractNum>
  <w:abstractNum w:abstractNumId="5">
    <w:nsid w:val="FFFFFF81"/>
    <w:multiLevelType w:val="singleLevel"/>
    <w:tmpl w:val="93BE8B62"/>
    <w:lvl w:ilvl="0">
      <w:start w:val="1"/>
      <w:numFmt w:val="bullet"/>
      <w:pStyle w:val="ListBullet4"/>
      <w:lvlText w:val=""/>
      <w:lvlJc w:val="left"/>
      <w:pPr>
        <w:tabs>
          <w:tab w:val="num" w:pos="1209"/>
        </w:tabs>
        <w:ind w:left="1209" w:hanging="360"/>
      </w:pPr>
      <w:rPr>
        <w:rFonts w:ascii="Symbol" w:hAnsi="Symbol" w:hint="default"/>
      </w:rPr>
    </w:lvl>
  </w:abstractNum>
  <w:abstractNum w:abstractNumId="6">
    <w:nsid w:val="FFFFFF82"/>
    <w:multiLevelType w:val="singleLevel"/>
    <w:tmpl w:val="C6AE9A80"/>
    <w:lvl w:ilvl="0">
      <w:start w:val="1"/>
      <w:numFmt w:val="upperLetter"/>
      <w:pStyle w:val="ListBullet3"/>
      <w:lvlText w:val="(%1)"/>
      <w:lvlJc w:val="left"/>
      <w:pPr>
        <w:ind w:left="720" w:hanging="360"/>
      </w:pPr>
      <w:rPr>
        <w:rFonts w:hint="default"/>
      </w:rPr>
    </w:lvl>
  </w:abstractNum>
  <w:abstractNum w:abstractNumId="7">
    <w:nsid w:val="FFFFFF83"/>
    <w:multiLevelType w:val="singleLevel"/>
    <w:tmpl w:val="72802F94"/>
    <w:lvl w:ilvl="0">
      <w:start w:val="1"/>
      <w:numFmt w:val="lowerLetter"/>
      <w:pStyle w:val="ListBullet2"/>
      <w:lvlText w:val="(%1)"/>
      <w:lvlJc w:val="left"/>
      <w:pPr>
        <w:ind w:left="700" w:hanging="360"/>
      </w:pPr>
      <w:rPr>
        <w:rFonts w:hint="default"/>
      </w:rPr>
    </w:lvl>
  </w:abstractNum>
  <w:abstractNum w:abstractNumId="8">
    <w:nsid w:val="FFFFFF88"/>
    <w:multiLevelType w:val="singleLevel"/>
    <w:tmpl w:val="F0E083E8"/>
    <w:lvl w:ilvl="0">
      <w:start w:val="1"/>
      <w:numFmt w:val="decimal"/>
      <w:pStyle w:val="ListNumber"/>
      <w:lvlText w:val="%1."/>
      <w:lvlJc w:val="left"/>
      <w:pPr>
        <w:tabs>
          <w:tab w:val="num" w:pos="360"/>
        </w:tabs>
        <w:ind w:left="360" w:hanging="360"/>
      </w:pPr>
    </w:lvl>
  </w:abstractNum>
  <w:abstractNum w:abstractNumId="9">
    <w:nsid w:val="07601B57"/>
    <w:multiLevelType w:val="hybridMultilevel"/>
    <w:tmpl w:val="21B0BF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nsid w:val="0C4312B0"/>
    <w:multiLevelType w:val="hybridMultilevel"/>
    <w:tmpl w:val="C1266B52"/>
    <w:lvl w:ilvl="0" w:tplc="990A9FAA">
      <w:start w:val="1"/>
      <w:numFmt w:val="lowerLetter"/>
      <w:pStyle w:val="Listalphabet"/>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1">
    <w:nsid w:val="0DD2542B"/>
    <w:multiLevelType w:val="hybridMultilevel"/>
    <w:tmpl w:val="60FAC388"/>
    <w:lvl w:ilvl="0" w:tplc="50264BE2">
      <w:start w:val="1"/>
      <w:numFmt w:val="decimal"/>
      <w:pStyle w:val="ListParagraph"/>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
    <w:nsid w:val="133E73B6"/>
    <w:multiLevelType w:val="hybridMultilevel"/>
    <w:tmpl w:val="80220B84"/>
    <w:lvl w:ilvl="0" w:tplc="F5987420">
      <w:start w:val="1"/>
      <w:numFmt w:val="decimal"/>
      <w:pStyle w:val="Numberedparagraph"/>
      <w:lvlText w:val="%1."/>
      <w:lvlJc w:val="left"/>
      <w:pPr>
        <w:ind w:left="360" w:hanging="360"/>
      </w:pPr>
      <w:rPr>
        <w:rFonts w:hint="default"/>
      </w:rPr>
    </w:lvl>
    <w:lvl w:ilvl="1" w:tplc="A5728FDE" w:tentative="1">
      <w:start w:val="1"/>
      <w:numFmt w:val="bullet"/>
      <w:lvlText w:val="o"/>
      <w:lvlJc w:val="left"/>
      <w:pPr>
        <w:ind w:left="2520" w:hanging="360"/>
      </w:pPr>
      <w:rPr>
        <w:rFonts w:ascii="Courier New" w:hAnsi="Courier New" w:cs="Courier New" w:hint="default"/>
      </w:rPr>
    </w:lvl>
    <w:lvl w:ilvl="2" w:tplc="B6B8266A" w:tentative="1">
      <w:start w:val="1"/>
      <w:numFmt w:val="bullet"/>
      <w:lvlText w:val=""/>
      <w:lvlJc w:val="left"/>
      <w:pPr>
        <w:ind w:left="3240" w:hanging="360"/>
      </w:pPr>
      <w:rPr>
        <w:rFonts w:ascii="Wingdings" w:hAnsi="Wingdings" w:hint="default"/>
      </w:rPr>
    </w:lvl>
    <w:lvl w:ilvl="3" w:tplc="0E067E3E" w:tentative="1">
      <w:start w:val="1"/>
      <w:numFmt w:val="bullet"/>
      <w:lvlText w:val=""/>
      <w:lvlJc w:val="left"/>
      <w:pPr>
        <w:ind w:left="3960" w:hanging="360"/>
      </w:pPr>
      <w:rPr>
        <w:rFonts w:ascii="Symbol" w:hAnsi="Symbol" w:hint="default"/>
      </w:rPr>
    </w:lvl>
    <w:lvl w:ilvl="4" w:tplc="9D8444DE" w:tentative="1">
      <w:start w:val="1"/>
      <w:numFmt w:val="bullet"/>
      <w:lvlText w:val="o"/>
      <w:lvlJc w:val="left"/>
      <w:pPr>
        <w:ind w:left="4680" w:hanging="360"/>
      </w:pPr>
      <w:rPr>
        <w:rFonts w:ascii="Courier New" w:hAnsi="Courier New" w:cs="Courier New" w:hint="default"/>
      </w:rPr>
    </w:lvl>
    <w:lvl w:ilvl="5" w:tplc="47DE7D34" w:tentative="1">
      <w:start w:val="1"/>
      <w:numFmt w:val="bullet"/>
      <w:lvlText w:val=""/>
      <w:lvlJc w:val="left"/>
      <w:pPr>
        <w:ind w:left="5400" w:hanging="360"/>
      </w:pPr>
      <w:rPr>
        <w:rFonts w:ascii="Wingdings" w:hAnsi="Wingdings" w:hint="default"/>
      </w:rPr>
    </w:lvl>
    <w:lvl w:ilvl="6" w:tplc="9D0AFFEA" w:tentative="1">
      <w:start w:val="1"/>
      <w:numFmt w:val="bullet"/>
      <w:lvlText w:val=""/>
      <w:lvlJc w:val="left"/>
      <w:pPr>
        <w:ind w:left="6120" w:hanging="360"/>
      </w:pPr>
      <w:rPr>
        <w:rFonts w:ascii="Symbol" w:hAnsi="Symbol" w:hint="default"/>
      </w:rPr>
    </w:lvl>
    <w:lvl w:ilvl="7" w:tplc="663EE25A" w:tentative="1">
      <w:start w:val="1"/>
      <w:numFmt w:val="bullet"/>
      <w:lvlText w:val="o"/>
      <w:lvlJc w:val="left"/>
      <w:pPr>
        <w:ind w:left="6840" w:hanging="360"/>
      </w:pPr>
      <w:rPr>
        <w:rFonts w:ascii="Courier New" w:hAnsi="Courier New" w:cs="Courier New" w:hint="default"/>
      </w:rPr>
    </w:lvl>
    <w:lvl w:ilvl="8" w:tplc="2DD24F62" w:tentative="1">
      <w:start w:val="1"/>
      <w:numFmt w:val="bullet"/>
      <w:lvlText w:val=""/>
      <w:lvlJc w:val="left"/>
      <w:pPr>
        <w:ind w:left="7560" w:hanging="360"/>
      </w:pPr>
      <w:rPr>
        <w:rFonts w:ascii="Wingdings" w:hAnsi="Wingdings" w:hint="default"/>
      </w:rPr>
    </w:lvl>
  </w:abstractNum>
  <w:abstractNum w:abstractNumId="13">
    <w:nsid w:val="1CF519CE"/>
    <w:multiLevelType w:val="multilevel"/>
    <w:tmpl w:val="FDC07CAE"/>
    <w:lvl w:ilvl="0">
      <w:start w:val="1"/>
      <w:numFmt w:val="decimal"/>
      <w:pStyle w:val="Numbered1111111"/>
      <w:lvlText w:val="%1."/>
      <w:lvlJc w:val="left"/>
      <w:pPr>
        <w:ind w:left="360" w:hanging="360"/>
      </w:pPr>
    </w:lvl>
    <w:lvl w:ilvl="1">
      <w:start w:val="1"/>
      <w:numFmt w:val="decimal"/>
      <w:pStyle w:val="Numberedparagraph11"/>
      <w:lvlText w:val="%1.%2."/>
      <w:lvlJc w:val="left"/>
      <w:pPr>
        <w:ind w:left="792" w:hanging="432"/>
      </w:pPr>
    </w:lvl>
    <w:lvl w:ilvl="2">
      <w:start w:val="1"/>
      <w:numFmt w:val="decimal"/>
      <w:pStyle w:val="Numbered111111111"/>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pStyle w:val="Numbered1111111"/>
      <w:lvlText w:val="%1.%2.%3.%4.%5.%6.%7."/>
      <w:lvlJc w:val="left"/>
      <w:pPr>
        <w:ind w:left="3240" w:hanging="1080"/>
      </w:pPr>
    </w:lvl>
    <w:lvl w:ilvl="7">
      <w:start w:val="1"/>
      <w:numFmt w:val="decimal"/>
      <w:lvlText w:val="%1.%2.%3.%4.%5.%6.%7.%8."/>
      <w:lvlJc w:val="left"/>
      <w:pPr>
        <w:ind w:left="3744" w:hanging="1224"/>
      </w:pPr>
    </w:lvl>
    <w:lvl w:ilvl="8">
      <w:start w:val="1"/>
      <w:numFmt w:val="decimal"/>
      <w:pStyle w:val="Numbered111111111"/>
      <w:lvlText w:val="%1.%2.%3.%4.%5.%6.%7.%8.%9."/>
      <w:lvlJc w:val="left"/>
      <w:pPr>
        <w:ind w:left="4320" w:hanging="1440"/>
      </w:pPr>
    </w:lvl>
  </w:abstractNum>
  <w:abstractNum w:abstractNumId="14">
    <w:nsid w:val="26AA0DA7"/>
    <w:multiLevelType w:val="multilevel"/>
    <w:tmpl w:val="F49485A8"/>
    <w:lvl w:ilvl="0">
      <w:start w:val="1"/>
      <w:numFmt w:val="upperLetter"/>
      <w:pStyle w:val="Heading7"/>
      <w:lvlText w:val="%1"/>
      <w:lvlJc w:val="left"/>
      <w:pPr>
        <w:ind w:left="340" w:hanging="340"/>
      </w:pPr>
      <w:rPr>
        <w:rFonts w:hint="default"/>
      </w:rPr>
    </w:lvl>
    <w:lvl w:ilvl="1">
      <w:start w:val="1"/>
      <w:numFmt w:val="decimal"/>
      <w:lvlRestart w:val="0"/>
      <w:pStyle w:val="Heading8"/>
      <w:lvlText w:val="%1.%2"/>
      <w:lvlJc w:val="left"/>
      <w:pPr>
        <w:tabs>
          <w:tab w:val="num" w:pos="1021"/>
        </w:tabs>
        <w:ind w:left="1021" w:hanging="1021"/>
      </w:pPr>
      <w:rPr>
        <w:rFonts w:hint="default"/>
      </w:rPr>
    </w:lvl>
    <w:lvl w:ilvl="2">
      <w:start w:val="1"/>
      <w:numFmt w:val="decimal"/>
      <w:pStyle w:val="Heading9"/>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15">
    <w:nsid w:val="28865DF8"/>
    <w:multiLevelType w:val="hybridMultilevel"/>
    <w:tmpl w:val="EC0E5568"/>
    <w:lvl w:ilvl="0" w:tplc="D90E7D7A">
      <w:start w:val="1"/>
      <w:numFmt w:val="lowerLetter"/>
      <w:pStyle w:val="AERnumberedlistsecondstyle"/>
      <w:lvlText w:val="(%1)"/>
      <w:lvlJc w:val="left"/>
      <w:pPr>
        <w:ind w:left="1040" w:hanging="360"/>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6">
    <w:nsid w:val="2FB612CC"/>
    <w:multiLevelType w:val="multilevel"/>
    <w:tmpl w:val="950A1C52"/>
    <w:styleLink w:val="AERHeadings"/>
    <w:lvl w:ilvl="0">
      <w:start w:val="1"/>
      <w:numFmt w:val="none"/>
      <w:lvlText w:val="%1"/>
      <w:lvlJc w:val="left"/>
      <w:pPr>
        <w:tabs>
          <w:tab w:val="num" w:pos="0"/>
        </w:tabs>
        <w:ind w:left="0" w:firstLine="0"/>
      </w:pPr>
      <w:rPr>
        <w:rFonts w:hint="default"/>
      </w:rPr>
    </w:lvl>
    <w:lvl w:ilvl="1">
      <w:start w:val="1"/>
      <w:numFmt w:val="decimal"/>
      <w:lvlText w:val="%1%2"/>
      <w:lvlJc w:val="left"/>
      <w:pPr>
        <w:tabs>
          <w:tab w:val="num" w:pos="0"/>
        </w:tabs>
        <w:ind w:left="0" w:hanging="851"/>
      </w:pPr>
      <w:rPr>
        <w:rFonts w:hint="default"/>
      </w:rPr>
    </w:lvl>
    <w:lvl w:ilvl="2">
      <w:start w:val="1"/>
      <w:numFmt w:val="decimal"/>
      <w:lvlText w:val="%1%2.%3"/>
      <w:lvlJc w:val="left"/>
      <w:pPr>
        <w:tabs>
          <w:tab w:val="num" w:pos="0"/>
        </w:tabs>
        <w:ind w:left="0" w:hanging="851"/>
      </w:pPr>
      <w:rPr>
        <w:rFonts w:hint="default"/>
      </w:rPr>
    </w:lvl>
    <w:lvl w:ilvl="3">
      <w:start w:val="1"/>
      <w:numFmt w:val="decimal"/>
      <w:lvlText w:val="%2.%3.%4"/>
      <w:lvlJc w:val="left"/>
      <w:pPr>
        <w:tabs>
          <w:tab w:val="num" w:pos="0"/>
        </w:tabs>
        <w:ind w:left="0" w:hanging="851"/>
      </w:pPr>
      <w:rPr>
        <w:rFonts w:hint="default"/>
      </w:rPr>
    </w:lvl>
    <w:lvl w:ilvl="4">
      <w:start w:val="1"/>
      <w:numFmt w:val="upperLetter"/>
      <w:lvlRestart w:val="1"/>
      <w:lvlText w:val="%5"/>
      <w:lvlJc w:val="left"/>
      <w:pPr>
        <w:tabs>
          <w:tab w:val="num" w:pos="0"/>
        </w:tabs>
        <w:ind w:left="0" w:hanging="851"/>
      </w:pPr>
      <w:rPr>
        <w:rFonts w:hint="default"/>
      </w:rPr>
    </w:lvl>
    <w:lvl w:ilvl="5">
      <w:start w:val="1"/>
      <w:numFmt w:val="decimal"/>
      <w:lvlText w:val="%5.%6"/>
      <w:lvlJc w:val="left"/>
      <w:pPr>
        <w:tabs>
          <w:tab w:val="num" w:pos="0"/>
        </w:tabs>
        <w:ind w:left="0" w:hanging="851"/>
      </w:pPr>
      <w:rPr>
        <w:rFonts w:hint="default"/>
      </w:rPr>
    </w:lvl>
    <w:lvl w:ilvl="6">
      <w:start w:val="1"/>
      <w:numFmt w:val="decimal"/>
      <w:lvlText w:val="%5.%6.%7"/>
      <w:lvlJc w:val="left"/>
      <w:pPr>
        <w:tabs>
          <w:tab w:val="num" w:pos="0"/>
        </w:tabs>
        <w:ind w:left="0" w:hanging="851"/>
      </w:pPr>
      <w:rPr>
        <w:rFonts w:hint="default"/>
      </w:rPr>
    </w:lvl>
    <w:lvl w:ilvl="7">
      <w:start w:val="1"/>
      <w:numFmt w:val="none"/>
      <w:lvlRestart w:val="0"/>
      <w:lvlText w:val=""/>
      <w:lvlJc w:val="left"/>
      <w:pPr>
        <w:tabs>
          <w:tab w:val="num" w:pos="0"/>
        </w:tabs>
        <w:ind w:left="0" w:firstLine="0"/>
      </w:pPr>
      <w:rPr>
        <w:rFonts w:hint="default"/>
      </w:rPr>
    </w:lvl>
    <w:lvl w:ilvl="8">
      <w:start w:val="1"/>
      <w:numFmt w:val="none"/>
      <w:lvlRestart w:val="0"/>
      <w:lvlText w:val=""/>
      <w:lvlJc w:val="left"/>
      <w:pPr>
        <w:ind w:left="0" w:firstLine="0"/>
      </w:pPr>
      <w:rPr>
        <w:rFonts w:hint="default"/>
      </w:rPr>
    </w:lvl>
  </w:abstractNum>
  <w:abstractNum w:abstractNumId="17">
    <w:nsid w:val="34AC7051"/>
    <w:multiLevelType w:val="multilevel"/>
    <w:tmpl w:val="265C1DE2"/>
    <w:styleLink w:val="OldAERheadings"/>
    <w:lvl w:ilvl="0">
      <w:start w:val="1"/>
      <w:numFmt w:val="decimal"/>
      <w:lvlText w:val="%1)"/>
      <w:lvlJc w:val="left"/>
      <w:pPr>
        <w:ind w:left="360" w:hanging="360"/>
      </w:pPr>
      <w:rPr>
        <w:rFonts w:hint="default"/>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none"/>
      <w:lvlText w:val=""/>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18">
    <w:nsid w:val="34B82394"/>
    <w:multiLevelType w:val="hybridMultilevel"/>
    <w:tmpl w:val="546ADF06"/>
    <w:lvl w:ilvl="0" w:tplc="403EE442">
      <w:start w:val="1"/>
      <w:numFmt w:val="lowerLetter"/>
      <w:lvlText w:val="(%1)"/>
      <w:lvlJc w:val="left"/>
      <w:pPr>
        <w:ind w:left="1021" w:hanging="341"/>
      </w:pPr>
      <w:rPr>
        <w:rFonts w:hint="default"/>
      </w:rPr>
    </w:lvl>
    <w:lvl w:ilvl="1" w:tplc="0C090019" w:tentative="1">
      <w:start w:val="1"/>
      <w:numFmt w:val="lowerLetter"/>
      <w:lvlText w:val="%2."/>
      <w:lvlJc w:val="left"/>
      <w:pPr>
        <w:ind w:left="1760" w:hanging="360"/>
      </w:pPr>
    </w:lvl>
    <w:lvl w:ilvl="2" w:tplc="0C09001B" w:tentative="1">
      <w:start w:val="1"/>
      <w:numFmt w:val="lowerRoman"/>
      <w:lvlText w:val="%3."/>
      <w:lvlJc w:val="right"/>
      <w:pPr>
        <w:ind w:left="2480" w:hanging="180"/>
      </w:pPr>
    </w:lvl>
    <w:lvl w:ilvl="3" w:tplc="0C09000F" w:tentative="1">
      <w:start w:val="1"/>
      <w:numFmt w:val="decimal"/>
      <w:lvlText w:val="%4."/>
      <w:lvlJc w:val="left"/>
      <w:pPr>
        <w:ind w:left="3200" w:hanging="360"/>
      </w:pPr>
    </w:lvl>
    <w:lvl w:ilvl="4" w:tplc="0C090019" w:tentative="1">
      <w:start w:val="1"/>
      <w:numFmt w:val="lowerLetter"/>
      <w:lvlText w:val="%5."/>
      <w:lvlJc w:val="left"/>
      <w:pPr>
        <w:ind w:left="3920" w:hanging="360"/>
      </w:pPr>
    </w:lvl>
    <w:lvl w:ilvl="5" w:tplc="0C09001B" w:tentative="1">
      <w:start w:val="1"/>
      <w:numFmt w:val="lowerRoman"/>
      <w:lvlText w:val="%6."/>
      <w:lvlJc w:val="right"/>
      <w:pPr>
        <w:ind w:left="4640" w:hanging="180"/>
      </w:pPr>
    </w:lvl>
    <w:lvl w:ilvl="6" w:tplc="0C09000F" w:tentative="1">
      <w:start w:val="1"/>
      <w:numFmt w:val="decimal"/>
      <w:lvlText w:val="%7."/>
      <w:lvlJc w:val="left"/>
      <w:pPr>
        <w:ind w:left="5360" w:hanging="360"/>
      </w:pPr>
    </w:lvl>
    <w:lvl w:ilvl="7" w:tplc="0C090019" w:tentative="1">
      <w:start w:val="1"/>
      <w:numFmt w:val="lowerLetter"/>
      <w:lvlText w:val="%8."/>
      <w:lvlJc w:val="left"/>
      <w:pPr>
        <w:ind w:left="6080" w:hanging="360"/>
      </w:pPr>
    </w:lvl>
    <w:lvl w:ilvl="8" w:tplc="0C09001B" w:tentative="1">
      <w:start w:val="1"/>
      <w:numFmt w:val="lowerRoman"/>
      <w:lvlText w:val="%9."/>
      <w:lvlJc w:val="right"/>
      <w:pPr>
        <w:ind w:left="6800" w:hanging="180"/>
      </w:pPr>
    </w:lvl>
  </w:abstractNum>
  <w:abstractNum w:abstractNumId="19">
    <w:nsid w:val="3923347D"/>
    <w:multiLevelType w:val="hybridMultilevel"/>
    <w:tmpl w:val="8E96A9EE"/>
    <w:lvl w:ilvl="0" w:tplc="5E568C86">
      <w:start w:val="1"/>
      <w:numFmt w:val="decimal"/>
      <w:pStyle w:val="ListBullet"/>
      <w:lvlText w:val="(%1)"/>
      <w:lvlJc w:val="left"/>
      <w:pPr>
        <w:ind w:left="360" w:hanging="360"/>
      </w:pPr>
      <w:rPr>
        <w:rFonts w:hint="default"/>
        <w:sz w:val="20"/>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nsid w:val="3AF336BC"/>
    <w:multiLevelType w:val="hybridMultilevel"/>
    <w:tmpl w:val="955A02CC"/>
    <w:lvl w:ilvl="0" w:tplc="C90C7928">
      <w:start w:val="1"/>
      <w:numFmt w:val="bullet"/>
      <w:lvlText w:val=""/>
      <w:lvlJc w:val="left"/>
      <w:pPr>
        <w:ind w:left="720" w:hanging="360"/>
      </w:pPr>
      <w:rPr>
        <w:rFonts w:ascii="Wingdings" w:hAnsi="Wingding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nsid w:val="499F124F"/>
    <w:multiLevelType w:val="multilevel"/>
    <w:tmpl w:val="5666D91E"/>
    <w:styleLink w:val="AlphanumericList"/>
    <w:lvl w:ilvl="0">
      <w:start w:val="1"/>
      <w:numFmt w:val="decimal"/>
      <w:lvlText w:val="A.%1"/>
      <w:lvlJc w:val="left"/>
      <w:pPr>
        <w:ind w:left="360" w:hanging="360"/>
      </w:pPr>
      <w:rPr>
        <w:rFonts w:ascii="Arial" w:hAnsi="Arial" w:hint="default"/>
        <w:sz w:val="22"/>
      </w:rPr>
    </w:lvl>
    <w:lvl w:ilvl="1">
      <w:start w:val="1"/>
      <w:numFmt w:val="decimal"/>
      <w:lvlRestart w:val="0"/>
      <w:lvlText w:val="A.%1.%2"/>
      <w:lvlJc w:val="left"/>
      <w:pPr>
        <w:ind w:left="3621" w:hanging="360"/>
      </w:pPr>
      <w:rPr>
        <w:rFonts w:hint="default"/>
      </w:rPr>
    </w:lvl>
    <w:lvl w:ilvl="2">
      <w:start w:val="1"/>
      <w:numFmt w:val="decimal"/>
      <w:lvlRestart w:val="0"/>
      <w:lvlText w:val="A.%1.%2.%3"/>
      <w:lvlJc w:val="left"/>
      <w:pPr>
        <w:ind w:left="1080" w:hanging="360"/>
      </w:pPr>
      <w:rPr>
        <w:rFonts w:hint="default"/>
      </w:rPr>
    </w:lvl>
    <w:lvl w:ilvl="3">
      <w:start w:val="1"/>
      <w:numFmt w:val="none"/>
      <w:lvlText w:val="(1)"/>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lef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2">
    <w:nsid w:val="49E52C90"/>
    <w:multiLevelType w:val="hybridMultilevel"/>
    <w:tmpl w:val="8C0ACE80"/>
    <w:lvl w:ilvl="0" w:tplc="9D00B0D8">
      <w:start w:val="1"/>
      <w:numFmt w:val="lowerRoman"/>
      <w:pStyle w:val="ListLegal"/>
      <w:lvlText w:val="%1."/>
      <w:lvlJc w:val="righ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3">
    <w:nsid w:val="4C6A3DDE"/>
    <w:multiLevelType w:val="hybridMultilevel"/>
    <w:tmpl w:val="F51A789C"/>
    <w:lvl w:ilvl="0" w:tplc="92E84616">
      <w:start w:val="1"/>
      <w:numFmt w:val="bullet"/>
      <w:pStyle w:val="AERquotebullet1"/>
      <w:lvlText w:val=""/>
      <w:lvlJc w:val="left"/>
      <w:pPr>
        <w:ind w:left="1040" w:hanging="360"/>
      </w:pPr>
      <w:rPr>
        <w:rFonts w:ascii="Symbol" w:hAnsi="Symbol" w:hint="default"/>
      </w:rPr>
    </w:lvl>
    <w:lvl w:ilvl="1" w:tplc="0C090003" w:tentative="1">
      <w:start w:val="1"/>
      <w:numFmt w:val="bullet"/>
      <w:lvlText w:val="o"/>
      <w:lvlJc w:val="left"/>
      <w:pPr>
        <w:ind w:left="1760" w:hanging="360"/>
      </w:pPr>
      <w:rPr>
        <w:rFonts w:ascii="Courier New" w:hAnsi="Courier New" w:cs="Courier New" w:hint="default"/>
      </w:rPr>
    </w:lvl>
    <w:lvl w:ilvl="2" w:tplc="0C090005" w:tentative="1">
      <w:start w:val="1"/>
      <w:numFmt w:val="bullet"/>
      <w:lvlText w:val=""/>
      <w:lvlJc w:val="left"/>
      <w:pPr>
        <w:ind w:left="2480" w:hanging="360"/>
      </w:pPr>
      <w:rPr>
        <w:rFonts w:ascii="Wingdings" w:hAnsi="Wingdings" w:hint="default"/>
      </w:rPr>
    </w:lvl>
    <w:lvl w:ilvl="3" w:tplc="0C090001" w:tentative="1">
      <w:start w:val="1"/>
      <w:numFmt w:val="bullet"/>
      <w:lvlText w:val=""/>
      <w:lvlJc w:val="left"/>
      <w:pPr>
        <w:ind w:left="3200" w:hanging="360"/>
      </w:pPr>
      <w:rPr>
        <w:rFonts w:ascii="Symbol" w:hAnsi="Symbol" w:hint="default"/>
      </w:rPr>
    </w:lvl>
    <w:lvl w:ilvl="4" w:tplc="0C090003" w:tentative="1">
      <w:start w:val="1"/>
      <w:numFmt w:val="bullet"/>
      <w:lvlText w:val="o"/>
      <w:lvlJc w:val="left"/>
      <w:pPr>
        <w:ind w:left="3920" w:hanging="360"/>
      </w:pPr>
      <w:rPr>
        <w:rFonts w:ascii="Courier New" w:hAnsi="Courier New" w:cs="Courier New" w:hint="default"/>
      </w:rPr>
    </w:lvl>
    <w:lvl w:ilvl="5" w:tplc="0C090005" w:tentative="1">
      <w:start w:val="1"/>
      <w:numFmt w:val="bullet"/>
      <w:lvlText w:val=""/>
      <w:lvlJc w:val="left"/>
      <w:pPr>
        <w:ind w:left="4640" w:hanging="360"/>
      </w:pPr>
      <w:rPr>
        <w:rFonts w:ascii="Wingdings" w:hAnsi="Wingdings" w:hint="default"/>
      </w:rPr>
    </w:lvl>
    <w:lvl w:ilvl="6" w:tplc="0C090001" w:tentative="1">
      <w:start w:val="1"/>
      <w:numFmt w:val="bullet"/>
      <w:lvlText w:val=""/>
      <w:lvlJc w:val="left"/>
      <w:pPr>
        <w:ind w:left="5360" w:hanging="360"/>
      </w:pPr>
      <w:rPr>
        <w:rFonts w:ascii="Symbol" w:hAnsi="Symbol" w:hint="default"/>
      </w:rPr>
    </w:lvl>
    <w:lvl w:ilvl="7" w:tplc="0C090003" w:tentative="1">
      <w:start w:val="1"/>
      <w:numFmt w:val="bullet"/>
      <w:lvlText w:val="o"/>
      <w:lvlJc w:val="left"/>
      <w:pPr>
        <w:ind w:left="6080" w:hanging="360"/>
      </w:pPr>
      <w:rPr>
        <w:rFonts w:ascii="Courier New" w:hAnsi="Courier New" w:cs="Courier New" w:hint="default"/>
      </w:rPr>
    </w:lvl>
    <w:lvl w:ilvl="8" w:tplc="0C090005" w:tentative="1">
      <w:start w:val="1"/>
      <w:numFmt w:val="bullet"/>
      <w:lvlText w:val=""/>
      <w:lvlJc w:val="left"/>
      <w:pPr>
        <w:ind w:left="6800" w:hanging="360"/>
      </w:pPr>
      <w:rPr>
        <w:rFonts w:ascii="Wingdings" w:hAnsi="Wingdings" w:hint="default"/>
      </w:rPr>
    </w:lvl>
  </w:abstractNum>
  <w:abstractNum w:abstractNumId="24">
    <w:nsid w:val="51487971"/>
    <w:multiLevelType w:val="multilevel"/>
    <w:tmpl w:val="39D4CB02"/>
    <w:styleLink w:val="AERnumberedlist"/>
    <w:lvl w:ilvl="0">
      <w:start w:val="1"/>
      <w:numFmt w:val="none"/>
      <w:lvlText w:val="%1"/>
      <w:lvlJc w:val="left"/>
      <w:pPr>
        <w:tabs>
          <w:tab w:val="num" w:pos="0"/>
        </w:tabs>
        <w:ind w:left="0" w:firstLine="0"/>
      </w:pPr>
      <w:rPr>
        <w:rFonts w:hint="default"/>
      </w:rPr>
    </w:lvl>
    <w:lvl w:ilvl="1">
      <w:start w:val="1"/>
      <w:numFmt w:val="decimal"/>
      <w:lvlText w:val="%2."/>
      <w:lvlJc w:val="left"/>
      <w:pPr>
        <w:tabs>
          <w:tab w:val="num" w:pos="357"/>
        </w:tabs>
        <w:ind w:left="357" w:hanging="357"/>
      </w:pPr>
      <w:rPr>
        <w:rFonts w:hint="default"/>
      </w:rPr>
    </w:lvl>
    <w:lvl w:ilvl="2">
      <w:start w:val="1"/>
      <w:numFmt w:val="lowerLetter"/>
      <w:lvlText w:val="%3."/>
      <w:lvlJc w:val="left"/>
      <w:pPr>
        <w:tabs>
          <w:tab w:val="num" w:pos="720"/>
        </w:tabs>
        <w:ind w:left="720" w:hanging="363"/>
      </w:pPr>
      <w:rPr>
        <w:rFonts w:hint="default"/>
      </w:rPr>
    </w:lvl>
    <w:lvl w:ilvl="3">
      <w:start w:val="1"/>
      <w:numFmt w:val="lowerRoman"/>
      <w:lvlText w:val="%4."/>
      <w:lvlJc w:val="left"/>
      <w:pPr>
        <w:tabs>
          <w:tab w:val="num" w:pos="1077"/>
        </w:tabs>
        <w:ind w:left="1077" w:hanging="357"/>
      </w:pPr>
      <w:rPr>
        <w:rFonts w:hint="default"/>
      </w:rPr>
    </w:lvl>
    <w:lvl w:ilvl="4">
      <w:start w:val="1"/>
      <w:numFmt w:val="decimal"/>
      <w:lvlRestart w:val="1"/>
      <w:lvlText w:val="(%5)"/>
      <w:lvlJc w:val="left"/>
      <w:pPr>
        <w:tabs>
          <w:tab w:val="num" w:pos="454"/>
        </w:tabs>
        <w:ind w:left="454" w:hanging="454"/>
      </w:pPr>
      <w:rPr>
        <w:rFonts w:hint="default"/>
      </w:rPr>
    </w:lvl>
    <w:lvl w:ilvl="5">
      <w:start w:val="1"/>
      <w:numFmt w:val="lowerLetter"/>
      <w:lvlText w:val="(%6)"/>
      <w:lvlJc w:val="left"/>
      <w:pPr>
        <w:tabs>
          <w:tab w:val="num" w:pos="811"/>
        </w:tabs>
        <w:ind w:left="811" w:hanging="357"/>
      </w:pPr>
      <w:rPr>
        <w:rFonts w:hint="default"/>
      </w:rPr>
    </w:lvl>
    <w:lvl w:ilvl="6">
      <w:start w:val="1"/>
      <w:numFmt w:val="lowerRoman"/>
      <w:lvlText w:val="(%7)"/>
      <w:lvlJc w:val="left"/>
      <w:pPr>
        <w:tabs>
          <w:tab w:val="num" w:pos="1446"/>
        </w:tabs>
        <w:ind w:left="1446" w:hanging="635"/>
      </w:pPr>
      <w:rPr>
        <w:rFonts w:hint="default"/>
      </w:rPr>
    </w:lvl>
    <w:lvl w:ilvl="7">
      <w:start w:val="1"/>
      <w:numFmt w:val="lowerLetter"/>
      <w:lvlText w:val="%8."/>
      <w:lvlJc w:val="left"/>
      <w:pPr>
        <w:ind w:left="2880" w:hanging="360"/>
      </w:pPr>
      <w:rPr>
        <w:rFonts w:hint="default"/>
      </w:rPr>
    </w:lvl>
    <w:lvl w:ilvl="8">
      <w:start w:val="1"/>
      <w:numFmt w:val="lowerRoman"/>
      <w:lvlText w:val="%9."/>
      <w:lvlJc w:val="left"/>
      <w:pPr>
        <w:ind w:left="3240" w:hanging="360"/>
      </w:pPr>
      <w:rPr>
        <w:rFonts w:hint="default"/>
      </w:rPr>
    </w:lvl>
  </w:abstractNum>
  <w:abstractNum w:abstractNumId="25">
    <w:nsid w:val="59474DF1"/>
    <w:multiLevelType w:val="multilevel"/>
    <w:tmpl w:val="5BC065FC"/>
    <w:lvl w:ilvl="0">
      <w:start w:val="1"/>
      <w:numFmt w:val="decimal"/>
      <w:pStyle w:val="LegalNumbering"/>
      <w:isLgl/>
      <w:lvlText w:val="%1)"/>
      <w:lvlJc w:val="left"/>
      <w:pPr>
        <w:ind w:left="340" w:hanging="340"/>
      </w:pPr>
      <w:rPr>
        <w:rFonts w:hint="default"/>
      </w:rPr>
    </w:lvl>
    <w:lvl w:ilvl="1">
      <w:start w:val="1"/>
      <w:numFmt w:val="lowerLetter"/>
      <w:lvlText w:val="%2) "/>
      <w:lvlJc w:val="left"/>
      <w:pPr>
        <w:ind w:left="680" w:hanging="340"/>
      </w:pPr>
      <w:rPr>
        <w:rFonts w:hint="default"/>
      </w:rPr>
    </w:lvl>
    <w:lvl w:ilvl="2">
      <w:start w:val="1"/>
      <w:numFmt w:val="lowerRoman"/>
      <w:lvlText w:val="%3)"/>
      <w:lvlJc w:val="left"/>
      <w:pPr>
        <w:tabs>
          <w:tab w:val="num" w:pos="1701"/>
        </w:tabs>
        <w:ind w:left="1021" w:hanging="341"/>
      </w:pPr>
      <w:rPr>
        <w:rFonts w:hint="default"/>
      </w:rPr>
    </w:lvl>
    <w:lvl w:ilvl="3">
      <w:start w:val="1"/>
      <w:numFmt w:val="decimal"/>
      <w:lvlText w:val="(%4) "/>
      <w:lvlJc w:val="left"/>
      <w:pPr>
        <w:tabs>
          <w:tab w:val="num" w:pos="1758"/>
        </w:tabs>
        <w:ind w:left="1361" w:hanging="340"/>
      </w:pPr>
      <w:rPr>
        <w:rFonts w:hint="default"/>
      </w:rPr>
    </w:lvl>
    <w:lvl w:ilvl="4">
      <w:start w:val="1"/>
      <w:numFmt w:val="lowerLetter"/>
      <w:lvlText w:val="(%5)"/>
      <w:lvlJc w:val="left"/>
      <w:pPr>
        <w:ind w:left="1701" w:hanging="340"/>
      </w:pPr>
      <w:rPr>
        <w:rFonts w:hint="default"/>
      </w:rPr>
    </w:lvl>
    <w:lvl w:ilvl="5">
      <w:start w:val="1"/>
      <w:numFmt w:val="lowerRoman"/>
      <w:lvlText w:val="(%6)"/>
      <w:lvlJc w:val="left"/>
      <w:pPr>
        <w:tabs>
          <w:tab w:val="num" w:pos="2608"/>
        </w:tabs>
        <w:ind w:left="2041" w:hanging="340"/>
      </w:pPr>
      <w:rPr>
        <w:rFonts w:hint="default"/>
      </w:rPr>
    </w:lvl>
    <w:lvl w:ilvl="6">
      <w:start w:val="1"/>
      <w:numFmt w:val="decimal"/>
      <w:lvlText w:val="%7."/>
      <w:lvlJc w:val="left"/>
      <w:pPr>
        <w:tabs>
          <w:tab w:val="num" w:pos="3175"/>
        </w:tabs>
        <w:ind w:left="2381" w:hanging="340"/>
      </w:pPr>
      <w:rPr>
        <w:rFonts w:hint="default"/>
      </w:rPr>
    </w:lvl>
    <w:lvl w:ilvl="7">
      <w:start w:val="1"/>
      <w:numFmt w:val="lowerLetter"/>
      <w:lvlText w:val="%8."/>
      <w:lvlJc w:val="left"/>
      <w:pPr>
        <w:tabs>
          <w:tab w:val="num" w:pos="3799"/>
        </w:tabs>
        <w:ind w:left="2722" w:hanging="341"/>
      </w:pPr>
      <w:rPr>
        <w:rFonts w:hint="default"/>
      </w:rPr>
    </w:lvl>
    <w:lvl w:ilvl="8">
      <w:start w:val="1"/>
      <w:numFmt w:val="lowerRoman"/>
      <w:lvlText w:val="%9."/>
      <w:lvlJc w:val="left"/>
      <w:pPr>
        <w:ind w:left="3062" w:hanging="340"/>
      </w:pPr>
      <w:rPr>
        <w:rFonts w:hint="default"/>
      </w:rPr>
    </w:lvl>
  </w:abstractNum>
  <w:abstractNum w:abstractNumId="26">
    <w:nsid w:val="5ECE4384"/>
    <w:multiLevelType w:val="multilevel"/>
    <w:tmpl w:val="6F48A0E0"/>
    <w:lvl w:ilvl="0">
      <w:start w:val="11"/>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lvlText w:val="%1.%2.%3.%4.%5.%6.%7"/>
      <w:lvlJc w:val="left"/>
      <w:pPr>
        <w:ind w:left="1296" w:hanging="1296"/>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584" w:hanging="1584"/>
      </w:pPr>
      <w:rPr>
        <w:rFonts w:hint="default"/>
      </w:rPr>
    </w:lvl>
  </w:abstractNum>
  <w:abstractNum w:abstractNumId="27">
    <w:nsid w:val="6726588A"/>
    <w:multiLevelType w:val="hybridMultilevel"/>
    <w:tmpl w:val="6568C8B8"/>
    <w:lvl w:ilvl="0" w:tplc="0C09000F">
      <w:start w:val="1"/>
      <w:numFmt w:val="bullet"/>
      <w:pStyle w:val="AERbulletlistsecondstyle"/>
      <w:lvlText w:val="o"/>
      <w:lvlJc w:val="left"/>
      <w:pPr>
        <w:ind w:left="1081" w:hanging="360"/>
      </w:pPr>
      <w:rPr>
        <w:rFonts w:ascii="Courier New" w:hAnsi="Courier New" w:cs="Courier New" w:hint="default"/>
      </w:rPr>
    </w:lvl>
    <w:lvl w:ilvl="1" w:tplc="0C090019" w:tentative="1">
      <w:start w:val="1"/>
      <w:numFmt w:val="bullet"/>
      <w:lvlText w:val="o"/>
      <w:lvlJc w:val="left"/>
      <w:pPr>
        <w:ind w:left="1801" w:hanging="360"/>
      </w:pPr>
      <w:rPr>
        <w:rFonts w:ascii="Courier New" w:hAnsi="Courier New" w:cs="Courier New" w:hint="default"/>
      </w:rPr>
    </w:lvl>
    <w:lvl w:ilvl="2" w:tplc="C38EC922">
      <w:start w:val="1"/>
      <w:numFmt w:val="bullet"/>
      <w:pStyle w:val="AERbulletlistthirdstyle"/>
      <w:lvlText w:val=""/>
      <w:lvlJc w:val="left"/>
      <w:pPr>
        <w:ind w:left="2521" w:hanging="360"/>
      </w:pPr>
      <w:rPr>
        <w:rFonts w:ascii="Wingdings" w:hAnsi="Wingdings" w:hint="default"/>
      </w:rPr>
    </w:lvl>
    <w:lvl w:ilvl="3" w:tplc="0C09000F" w:tentative="1">
      <w:start w:val="1"/>
      <w:numFmt w:val="bullet"/>
      <w:lvlText w:val=""/>
      <w:lvlJc w:val="left"/>
      <w:pPr>
        <w:ind w:left="3241" w:hanging="360"/>
      </w:pPr>
      <w:rPr>
        <w:rFonts w:ascii="Symbol" w:hAnsi="Symbol" w:hint="default"/>
      </w:rPr>
    </w:lvl>
    <w:lvl w:ilvl="4" w:tplc="0C090019" w:tentative="1">
      <w:start w:val="1"/>
      <w:numFmt w:val="bullet"/>
      <w:lvlText w:val="o"/>
      <w:lvlJc w:val="left"/>
      <w:pPr>
        <w:ind w:left="3961" w:hanging="360"/>
      </w:pPr>
      <w:rPr>
        <w:rFonts w:ascii="Courier New" w:hAnsi="Courier New" w:cs="Courier New" w:hint="default"/>
      </w:rPr>
    </w:lvl>
    <w:lvl w:ilvl="5" w:tplc="0C09001B" w:tentative="1">
      <w:start w:val="1"/>
      <w:numFmt w:val="bullet"/>
      <w:lvlText w:val=""/>
      <w:lvlJc w:val="left"/>
      <w:pPr>
        <w:ind w:left="4681" w:hanging="360"/>
      </w:pPr>
      <w:rPr>
        <w:rFonts w:ascii="Wingdings" w:hAnsi="Wingdings" w:hint="default"/>
      </w:rPr>
    </w:lvl>
    <w:lvl w:ilvl="6" w:tplc="0C09000F" w:tentative="1">
      <w:start w:val="1"/>
      <w:numFmt w:val="bullet"/>
      <w:lvlText w:val=""/>
      <w:lvlJc w:val="left"/>
      <w:pPr>
        <w:ind w:left="5401" w:hanging="360"/>
      </w:pPr>
      <w:rPr>
        <w:rFonts w:ascii="Symbol" w:hAnsi="Symbol" w:hint="default"/>
      </w:rPr>
    </w:lvl>
    <w:lvl w:ilvl="7" w:tplc="0C090019" w:tentative="1">
      <w:start w:val="1"/>
      <w:numFmt w:val="bullet"/>
      <w:lvlText w:val="o"/>
      <w:lvlJc w:val="left"/>
      <w:pPr>
        <w:ind w:left="6121" w:hanging="360"/>
      </w:pPr>
      <w:rPr>
        <w:rFonts w:ascii="Courier New" w:hAnsi="Courier New" w:cs="Courier New" w:hint="default"/>
      </w:rPr>
    </w:lvl>
    <w:lvl w:ilvl="8" w:tplc="0C09001B" w:tentative="1">
      <w:start w:val="1"/>
      <w:numFmt w:val="bullet"/>
      <w:lvlText w:val=""/>
      <w:lvlJc w:val="left"/>
      <w:pPr>
        <w:ind w:left="6841" w:hanging="360"/>
      </w:pPr>
      <w:rPr>
        <w:rFonts w:ascii="Wingdings" w:hAnsi="Wingdings" w:hint="default"/>
      </w:rPr>
    </w:lvl>
  </w:abstractNum>
  <w:abstractNum w:abstractNumId="28">
    <w:nsid w:val="71052EFE"/>
    <w:multiLevelType w:val="hybridMultilevel"/>
    <w:tmpl w:val="52FCFAA8"/>
    <w:lvl w:ilvl="0" w:tplc="C846CA5C">
      <w:start w:val="1"/>
      <w:numFmt w:val="lowerRoman"/>
      <w:pStyle w:val="AERnumberedlistthirdstyle"/>
      <w:lvlText w:val="%1."/>
      <w:lvlJc w:val="right"/>
      <w:pPr>
        <w:ind w:left="720" w:hanging="360"/>
      </w:p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9">
    <w:nsid w:val="7E2819EC"/>
    <w:multiLevelType w:val="multilevel"/>
    <w:tmpl w:val="1250F310"/>
    <w:lvl w:ilvl="0">
      <w:start w:val="1"/>
      <w:numFmt w:val="bullet"/>
      <w:pStyle w:val="AERbulletlistfirststyle"/>
      <w:lvlText w:val=""/>
      <w:lvlJc w:val="left"/>
      <w:pPr>
        <w:ind w:left="360" w:hanging="360"/>
      </w:pPr>
      <w:rPr>
        <w:rFonts w:ascii="Symbol" w:hAnsi="Symbol"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num w:numId="1">
    <w:abstractNumId w:val="12"/>
  </w:num>
  <w:num w:numId="2">
    <w:abstractNumId w:val="2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27"/>
  </w:num>
  <w:num w:numId="13">
    <w:abstractNumId w:val="19"/>
  </w:num>
  <w:num w:numId="14">
    <w:abstractNumId w:val="11"/>
  </w:num>
  <w:num w:numId="15">
    <w:abstractNumId w:val="13"/>
  </w:num>
  <w:num w:numId="16">
    <w:abstractNumId w:val="21"/>
  </w:num>
  <w:num w:numId="17">
    <w:abstractNumId w:val="10"/>
  </w:num>
  <w:num w:numId="18">
    <w:abstractNumId w:val="15"/>
  </w:num>
  <w:num w:numId="19">
    <w:abstractNumId w:val="22"/>
  </w:num>
  <w:num w:numId="20">
    <w:abstractNumId w:val="28"/>
  </w:num>
  <w:num w:numId="21">
    <w:abstractNumId w:val="25"/>
  </w:num>
  <w:num w:numId="22">
    <w:abstractNumId w:val="23"/>
  </w:num>
  <w:num w:numId="23">
    <w:abstractNumId w:val="16"/>
  </w:num>
  <w:num w:numId="24">
    <w:abstractNumId w:val="24"/>
  </w:num>
  <w:num w:numId="25">
    <w:abstractNumId w:val="26"/>
  </w:num>
  <w:num w:numId="26">
    <w:abstractNumId w:val="17"/>
  </w:num>
  <w:num w:numId="27">
    <w:abstractNumId w:val="14"/>
  </w:num>
  <w:num w:numId="28">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9"/>
  </w:num>
  <w:num w:numId="30">
    <w:abstractNumId w:val="18"/>
  </w:num>
  <w:num w:numId="31">
    <w:abstractNumId w:val="20"/>
  </w:num>
  <w:num w:numId="32">
    <w:abstractNumId w:val="8"/>
    <w:lvlOverride w:ilvl="0">
      <w:startOverride w:val="1"/>
    </w:lvlOverride>
  </w:num>
  <w:numIdMacAtCleanup w:val="2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proofState w:spelling="clean" w:grammar="clean"/>
  <w:stylePaneFormatFilter w:val="9724" w:allStyles="0" w:customStyles="0" w:latentStyles="1" w:stylesInUse="0" w:headingStyles="1" w:numberingStyles="0" w:tableStyles="0" w:directFormattingOnRuns="1" w:directFormattingOnParagraphs="1" w:directFormattingOnNumbering="1" w:directFormattingOnTables="0" w:clearFormatting="1" w:top3HeadingStyles="0" w:visibleStyles="0" w:alternateStyleNames="1"/>
  <w:stylePaneSortMethod w:val="0000"/>
  <w:documentProtection w:formatting="1" w:enforcement="1" w:spinCount="100000" w:hashValue="+qLFILTMX3zc5rGtfaVEvGkga/CsebjKt7DSPTSOXF8=" w:saltValue="kC/PbKKGktlWZ3L6hTLFvA==" w:algorithmName="SHA-256"/>
  <w:defaultTabStop w:val="340"/>
  <w:characterSpacingControl w:val="doNotCompress"/>
  <w:hdrShapeDefaults>
    <o:shapedefaults v:ext="edit" spidmax="2061"/>
    <o:shapelayout v:ext="edit">
      <o:idmap v:ext="edit" data="2"/>
    </o:shapelayout>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urrentname" w:val="C:\Users\vulam\AppData\Local\Microsoft\Windows\Temporary Internet Files\Content.Outlook\SJV6ZJXU\AER15 2657  AER - Preliminary decision United Energy distribution determination - Attachment 11 - Service target performance incentive scheme - Octobe.DOCX"/>
  </w:docVars>
  <w:rsids>
    <w:rsidRoot w:val="00961A4A"/>
    <w:rsid w:val="00001E64"/>
    <w:rsid w:val="00006834"/>
    <w:rsid w:val="00010286"/>
    <w:rsid w:val="00013ECF"/>
    <w:rsid w:val="000210FF"/>
    <w:rsid w:val="00021202"/>
    <w:rsid w:val="00021C2B"/>
    <w:rsid w:val="0002517F"/>
    <w:rsid w:val="00026495"/>
    <w:rsid w:val="0003578C"/>
    <w:rsid w:val="000401AF"/>
    <w:rsid w:val="000444C8"/>
    <w:rsid w:val="00046053"/>
    <w:rsid w:val="00063247"/>
    <w:rsid w:val="00064AD3"/>
    <w:rsid w:val="000704BA"/>
    <w:rsid w:val="00070F9F"/>
    <w:rsid w:val="0007137B"/>
    <w:rsid w:val="00071DB8"/>
    <w:rsid w:val="00085663"/>
    <w:rsid w:val="00085EBF"/>
    <w:rsid w:val="00091B15"/>
    <w:rsid w:val="00091CAC"/>
    <w:rsid w:val="000A3020"/>
    <w:rsid w:val="000A6C7B"/>
    <w:rsid w:val="000A7803"/>
    <w:rsid w:val="000B7501"/>
    <w:rsid w:val="000C2B40"/>
    <w:rsid w:val="000D06C1"/>
    <w:rsid w:val="000D122C"/>
    <w:rsid w:val="000D2809"/>
    <w:rsid w:val="000D3016"/>
    <w:rsid w:val="000E1819"/>
    <w:rsid w:val="000E4821"/>
    <w:rsid w:val="000E6C72"/>
    <w:rsid w:val="000F0B2B"/>
    <w:rsid w:val="000F3E72"/>
    <w:rsid w:val="000F48B1"/>
    <w:rsid w:val="000F5D9D"/>
    <w:rsid w:val="001037FA"/>
    <w:rsid w:val="00116EB2"/>
    <w:rsid w:val="00121985"/>
    <w:rsid w:val="00124609"/>
    <w:rsid w:val="00126A4C"/>
    <w:rsid w:val="001324FC"/>
    <w:rsid w:val="0013357C"/>
    <w:rsid w:val="00142AB6"/>
    <w:rsid w:val="0014573B"/>
    <w:rsid w:val="00155B5D"/>
    <w:rsid w:val="001573E4"/>
    <w:rsid w:val="00160756"/>
    <w:rsid w:val="00167D61"/>
    <w:rsid w:val="0017232E"/>
    <w:rsid w:val="00173EE6"/>
    <w:rsid w:val="00174102"/>
    <w:rsid w:val="001754EE"/>
    <w:rsid w:val="00180157"/>
    <w:rsid w:val="00185CB9"/>
    <w:rsid w:val="00186F77"/>
    <w:rsid w:val="001878EF"/>
    <w:rsid w:val="001926A4"/>
    <w:rsid w:val="00192AD5"/>
    <w:rsid w:val="0019714C"/>
    <w:rsid w:val="001A273A"/>
    <w:rsid w:val="001B45A0"/>
    <w:rsid w:val="001B7D00"/>
    <w:rsid w:val="001C09FB"/>
    <w:rsid w:val="001D055E"/>
    <w:rsid w:val="001D371A"/>
    <w:rsid w:val="001F05A4"/>
    <w:rsid w:val="001F1C04"/>
    <w:rsid w:val="001F492E"/>
    <w:rsid w:val="001F6DA3"/>
    <w:rsid w:val="002010BC"/>
    <w:rsid w:val="00201331"/>
    <w:rsid w:val="002016E7"/>
    <w:rsid w:val="00201F98"/>
    <w:rsid w:val="00202E03"/>
    <w:rsid w:val="0020478D"/>
    <w:rsid w:val="0020492C"/>
    <w:rsid w:val="00224DB9"/>
    <w:rsid w:val="00227DCE"/>
    <w:rsid w:val="0023276C"/>
    <w:rsid w:val="00233775"/>
    <w:rsid w:val="0024106A"/>
    <w:rsid w:val="00251745"/>
    <w:rsid w:val="00263AC0"/>
    <w:rsid w:val="00264264"/>
    <w:rsid w:val="0026772D"/>
    <w:rsid w:val="002767BF"/>
    <w:rsid w:val="0027774E"/>
    <w:rsid w:val="00286874"/>
    <w:rsid w:val="00290C63"/>
    <w:rsid w:val="00296B65"/>
    <w:rsid w:val="002A7DEF"/>
    <w:rsid w:val="002B1003"/>
    <w:rsid w:val="002B4D95"/>
    <w:rsid w:val="002C233C"/>
    <w:rsid w:val="002C5618"/>
    <w:rsid w:val="002D72E8"/>
    <w:rsid w:val="002D7BDF"/>
    <w:rsid w:val="002D7FBE"/>
    <w:rsid w:val="002E7B22"/>
    <w:rsid w:val="002F2B8E"/>
    <w:rsid w:val="002F7986"/>
    <w:rsid w:val="00301B40"/>
    <w:rsid w:val="003029EE"/>
    <w:rsid w:val="0030370B"/>
    <w:rsid w:val="00305CC8"/>
    <w:rsid w:val="00307F6D"/>
    <w:rsid w:val="00315634"/>
    <w:rsid w:val="00315B0F"/>
    <w:rsid w:val="003177A2"/>
    <w:rsid w:val="003271B5"/>
    <w:rsid w:val="00327A1E"/>
    <w:rsid w:val="00327E94"/>
    <w:rsid w:val="00331264"/>
    <w:rsid w:val="00333559"/>
    <w:rsid w:val="00334C8D"/>
    <w:rsid w:val="00340694"/>
    <w:rsid w:val="00343A18"/>
    <w:rsid w:val="00344473"/>
    <w:rsid w:val="0034730B"/>
    <w:rsid w:val="003518B3"/>
    <w:rsid w:val="003624D0"/>
    <w:rsid w:val="00370AEA"/>
    <w:rsid w:val="00377029"/>
    <w:rsid w:val="003846F1"/>
    <w:rsid w:val="003861C2"/>
    <w:rsid w:val="003931A7"/>
    <w:rsid w:val="003938CB"/>
    <w:rsid w:val="003A310C"/>
    <w:rsid w:val="003B484F"/>
    <w:rsid w:val="003B56C5"/>
    <w:rsid w:val="003B7FBA"/>
    <w:rsid w:val="003C3A76"/>
    <w:rsid w:val="003D7DB2"/>
    <w:rsid w:val="003E0738"/>
    <w:rsid w:val="003E50D7"/>
    <w:rsid w:val="003E5BF4"/>
    <w:rsid w:val="003F174D"/>
    <w:rsid w:val="003F1D66"/>
    <w:rsid w:val="003F7442"/>
    <w:rsid w:val="004103AC"/>
    <w:rsid w:val="00415F31"/>
    <w:rsid w:val="00423A77"/>
    <w:rsid w:val="00444455"/>
    <w:rsid w:val="0045777E"/>
    <w:rsid w:val="00461660"/>
    <w:rsid w:val="00462186"/>
    <w:rsid w:val="004706C9"/>
    <w:rsid w:val="0047498E"/>
    <w:rsid w:val="00474EC7"/>
    <w:rsid w:val="00480B4B"/>
    <w:rsid w:val="00485DC4"/>
    <w:rsid w:val="0049006C"/>
    <w:rsid w:val="004A43D1"/>
    <w:rsid w:val="004B4412"/>
    <w:rsid w:val="004C348C"/>
    <w:rsid w:val="004D043F"/>
    <w:rsid w:val="004D55BA"/>
    <w:rsid w:val="004E22EC"/>
    <w:rsid w:val="004E76CF"/>
    <w:rsid w:val="004F6A0E"/>
    <w:rsid w:val="00530128"/>
    <w:rsid w:val="00532467"/>
    <w:rsid w:val="00537FD6"/>
    <w:rsid w:val="005473F3"/>
    <w:rsid w:val="005543AD"/>
    <w:rsid w:val="0055530A"/>
    <w:rsid w:val="00561131"/>
    <w:rsid w:val="005643CD"/>
    <w:rsid w:val="00564A4D"/>
    <w:rsid w:val="0056588A"/>
    <w:rsid w:val="00567BA5"/>
    <w:rsid w:val="00571B35"/>
    <w:rsid w:val="00571D57"/>
    <w:rsid w:val="00577A09"/>
    <w:rsid w:val="005829C2"/>
    <w:rsid w:val="00584D8F"/>
    <w:rsid w:val="00586819"/>
    <w:rsid w:val="0059704C"/>
    <w:rsid w:val="005A404D"/>
    <w:rsid w:val="005A4358"/>
    <w:rsid w:val="005A4746"/>
    <w:rsid w:val="005B1E3C"/>
    <w:rsid w:val="005B704A"/>
    <w:rsid w:val="005B76CB"/>
    <w:rsid w:val="005C0A7F"/>
    <w:rsid w:val="005C26CC"/>
    <w:rsid w:val="005C4C9C"/>
    <w:rsid w:val="005C707C"/>
    <w:rsid w:val="005D7BA2"/>
    <w:rsid w:val="005E36C2"/>
    <w:rsid w:val="006007DE"/>
    <w:rsid w:val="00601638"/>
    <w:rsid w:val="00603EF2"/>
    <w:rsid w:val="00610EF9"/>
    <w:rsid w:val="00612F4F"/>
    <w:rsid w:val="00615C6B"/>
    <w:rsid w:val="00621DCE"/>
    <w:rsid w:val="00632175"/>
    <w:rsid w:val="00632D6D"/>
    <w:rsid w:val="00642C3E"/>
    <w:rsid w:val="00651AC4"/>
    <w:rsid w:val="00651C3A"/>
    <w:rsid w:val="00651CB2"/>
    <w:rsid w:val="00653759"/>
    <w:rsid w:val="00654ACF"/>
    <w:rsid w:val="006560CA"/>
    <w:rsid w:val="0066104A"/>
    <w:rsid w:val="00663DAD"/>
    <w:rsid w:val="00665649"/>
    <w:rsid w:val="006672AA"/>
    <w:rsid w:val="00673185"/>
    <w:rsid w:val="00675E20"/>
    <w:rsid w:val="00676679"/>
    <w:rsid w:val="00683C89"/>
    <w:rsid w:val="0068779A"/>
    <w:rsid w:val="00691D9A"/>
    <w:rsid w:val="006A2D05"/>
    <w:rsid w:val="006B2395"/>
    <w:rsid w:val="006B45A4"/>
    <w:rsid w:val="006B4CF9"/>
    <w:rsid w:val="006B785B"/>
    <w:rsid w:val="006B7AC8"/>
    <w:rsid w:val="006C1736"/>
    <w:rsid w:val="006C4798"/>
    <w:rsid w:val="006D4129"/>
    <w:rsid w:val="006D464C"/>
    <w:rsid w:val="006D550F"/>
    <w:rsid w:val="006E67E3"/>
    <w:rsid w:val="006F3AD1"/>
    <w:rsid w:val="006F3FC8"/>
    <w:rsid w:val="0070011E"/>
    <w:rsid w:val="00701CAB"/>
    <w:rsid w:val="00703497"/>
    <w:rsid w:val="00707563"/>
    <w:rsid w:val="0072348C"/>
    <w:rsid w:val="00724A37"/>
    <w:rsid w:val="00724AD1"/>
    <w:rsid w:val="007303C3"/>
    <w:rsid w:val="00741E23"/>
    <w:rsid w:val="007429BE"/>
    <w:rsid w:val="00743223"/>
    <w:rsid w:val="00746E01"/>
    <w:rsid w:val="00747EEA"/>
    <w:rsid w:val="00747F89"/>
    <w:rsid w:val="0075092E"/>
    <w:rsid w:val="00757364"/>
    <w:rsid w:val="00757BDF"/>
    <w:rsid w:val="007609D0"/>
    <w:rsid w:val="00763E5D"/>
    <w:rsid w:val="00767740"/>
    <w:rsid w:val="007776CC"/>
    <w:rsid w:val="00777EE6"/>
    <w:rsid w:val="00782EEA"/>
    <w:rsid w:val="00793354"/>
    <w:rsid w:val="007A30CA"/>
    <w:rsid w:val="007A5C67"/>
    <w:rsid w:val="007A6CD4"/>
    <w:rsid w:val="007B186E"/>
    <w:rsid w:val="007B2C72"/>
    <w:rsid w:val="007C1C53"/>
    <w:rsid w:val="007C74BB"/>
    <w:rsid w:val="007D456E"/>
    <w:rsid w:val="007E4904"/>
    <w:rsid w:val="007E4CB5"/>
    <w:rsid w:val="007F066B"/>
    <w:rsid w:val="007F213A"/>
    <w:rsid w:val="007F75C4"/>
    <w:rsid w:val="008033C4"/>
    <w:rsid w:val="00806C88"/>
    <w:rsid w:val="0081034E"/>
    <w:rsid w:val="008221F2"/>
    <w:rsid w:val="00825496"/>
    <w:rsid w:val="00825985"/>
    <w:rsid w:val="008344F6"/>
    <w:rsid w:val="0083510F"/>
    <w:rsid w:val="00840674"/>
    <w:rsid w:val="008408C5"/>
    <w:rsid w:val="00842C6A"/>
    <w:rsid w:val="00846C4D"/>
    <w:rsid w:val="00851209"/>
    <w:rsid w:val="00853A3D"/>
    <w:rsid w:val="0085722A"/>
    <w:rsid w:val="00871066"/>
    <w:rsid w:val="0087127F"/>
    <w:rsid w:val="008837AC"/>
    <w:rsid w:val="008A1866"/>
    <w:rsid w:val="008A587D"/>
    <w:rsid w:val="008A73D1"/>
    <w:rsid w:val="008B020D"/>
    <w:rsid w:val="008B35CD"/>
    <w:rsid w:val="008B5EDD"/>
    <w:rsid w:val="008B5FCC"/>
    <w:rsid w:val="008B7544"/>
    <w:rsid w:val="008C17F1"/>
    <w:rsid w:val="008C3374"/>
    <w:rsid w:val="008C3A77"/>
    <w:rsid w:val="008C5486"/>
    <w:rsid w:val="008C708B"/>
    <w:rsid w:val="008D1661"/>
    <w:rsid w:val="008D322A"/>
    <w:rsid w:val="008D6800"/>
    <w:rsid w:val="008E39DC"/>
    <w:rsid w:val="008E7031"/>
    <w:rsid w:val="008E77DE"/>
    <w:rsid w:val="008F07A3"/>
    <w:rsid w:val="008F17AF"/>
    <w:rsid w:val="008F34DD"/>
    <w:rsid w:val="008F529E"/>
    <w:rsid w:val="008F6C3C"/>
    <w:rsid w:val="009001B6"/>
    <w:rsid w:val="00900E1B"/>
    <w:rsid w:val="00901C3C"/>
    <w:rsid w:val="00901FE8"/>
    <w:rsid w:val="00910109"/>
    <w:rsid w:val="00910118"/>
    <w:rsid w:val="00912682"/>
    <w:rsid w:val="009228E7"/>
    <w:rsid w:val="009233EE"/>
    <w:rsid w:val="009272AD"/>
    <w:rsid w:val="009277DC"/>
    <w:rsid w:val="009460AA"/>
    <w:rsid w:val="00951978"/>
    <w:rsid w:val="00961A4A"/>
    <w:rsid w:val="009661DE"/>
    <w:rsid w:val="00966A76"/>
    <w:rsid w:val="00983C25"/>
    <w:rsid w:val="009856B7"/>
    <w:rsid w:val="00985C86"/>
    <w:rsid w:val="00996A51"/>
    <w:rsid w:val="009A11A4"/>
    <w:rsid w:val="009A5113"/>
    <w:rsid w:val="009A5FC3"/>
    <w:rsid w:val="009B1563"/>
    <w:rsid w:val="009B36B7"/>
    <w:rsid w:val="009B6B5B"/>
    <w:rsid w:val="009B6F84"/>
    <w:rsid w:val="009B74B0"/>
    <w:rsid w:val="009D3906"/>
    <w:rsid w:val="009D393C"/>
    <w:rsid w:val="009D6B46"/>
    <w:rsid w:val="009D7088"/>
    <w:rsid w:val="009F4940"/>
    <w:rsid w:val="009F5BA1"/>
    <w:rsid w:val="009F701D"/>
    <w:rsid w:val="009F772E"/>
    <w:rsid w:val="00A02A88"/>
    <w:rsid w:val="00A0562E"/>
    <w:rsid w:val="00A0726D"/>
    <w:rsid w:val="00A1049A"/>
    <w:rsid w:val="00A1268F"/>
    <w:rsid w:val="00A32FBB"/>
    <w:rsid w:val="00A428EE"/>
    <w:rsid w:val="00A4478A"/>
    <w:rsid w:val="00A44852"/>
    <w:rsid w:val="00A4650A"/>
    <w:rsid w:val="00A50502"/>
    <w:rsid w:val="00A57D04"/>
    <w:rsid w:val="00A60A26"/>
    <w:rsid w:val="00A61598"/>
    <w:rsid w:val="00A70764"/>
    <w:rsid w:val="00A83E9D"/>
    <w:rsid w:val="00A84A99"/>
    <w:rsid w:val="00A84F46"/>
    <w:rsid w:val="00A871F4"/>
    <w:rsid w:val="00AB4A8F"/>
    <w:rsid w:val="00AB788D"/>
    <w:rsid w:val="00AC1B2C"/>
    <w:rsid w:val="00AC3264"/>
    <w:rsid w:val="00AD773F"/>
    <w:rsid w:val="00AE1BF1"/>
    <w:rsid w:val="00AE39C9"/>
    <w:rsid w:val="00AE7BC5"/>
    <w:rsid w:val="00AF0DD2"/>
    <w:rsid w:val="00AF7EF8"/>
    <w:rsid w:val="00B0209D"/>
    <w:rsid w:val="00B06CBF"/>
    <w:rsid w:val="00B07CEA"/>
    <w:rsid w:val="00B13048"/>
    <w:rsid w:val="00B1716D"/>
    <w:rsid w:val="00B17A1D"/>
    <w:rsid w:val="00B207A0"/>
    <w:rsid w:val="00B32A61"/>
    <w:rsid w:val="00B514DD"/>
    <w:rsid w:val="00B52AF0"/>
    <w:rsid w:val="00B561BD"/>
    <w:rsid w:val="00B56E03"/>
    <w:rsid w:val="00B757A6"/>
    <w:rsid w:val="00B8080B"/>
    <w:rsid w:val="00B82223"/>
    <w:rsid w:val="00B87BA5"/>
    <w:rsid w:val="00B87C39"/>
    <w:rsid w:val="00B9562D"/>
    <w:rsid w:val="00B96907"/>
    <w:rsid w:val="00BA4665"/>
    <w:rsid w:val="00BB2FB2"/>
    <w:rsid w:val="00BB3304"/>
    <w:rsid w:val="00BB7528"/>
    <w:rsid w:val="00BD1987"/>
    <w:rsid w:val="00BD310B"/>
    <w:rsid w:val="00BD3446"/>
    <w:rsid w:val="00BE1F1B"/>
    <w:rsid w:val="00BE291C"/>
    <w:rsid w:val="00BE47B5"/>
    <w:rsid w:val="00C04223"/>
    <w:rsid w:val="00C25FA6"/>
    <w:rsid w:val="00C50A8C"/>
    <w:rsid w:val="00C538A9"/>
    <w:rsid w:val="00C53B5A"/>
    <w:rsid w:val="00C5440E"/>
    <w:rsid w:val="00C54A42"/>
    <w:rsid w:val="00C54F5A"/>
    <w:rsid w:val="00C55ABF"/>
    <w:rsid w:val="00C562B8"/>
    <w:rsid w:val="00C569B4"/>
    <w:rsid w:val="00C56A3E"/>
    <w:rsid w:val="00C67A92"/>
    <w:rsid w:val="00C71BA9"/>
    <w:rsid w:val="00C7497E"/>
    <w:rsid w:val="00C84560"/>
    <w:rsid w:val="00C84F52"/>
    <w:rsid w:val="00C86679"/>
    <w:rsid w:val="00CA285A"/>
    <w:rsid w:val="00CA489E"/>
    <w:rsid w:val="00CA52A2"/>
    <w:rsid w:val="00CA5724"/>
    <w:rsid w:val="00CA676C"/>
    <w:rsid w:val="00CA747E"/>
    <w:rsid w:val="00CA7D01"/>
    <w:rsid w:val="00CB0279"/>
    <w:rsid w:val="00CB666B"/>
    <w:rsid w:val="00CC3B36"/>
    <w:rsid w:val="00CC7F1D"/>
    <w:rsid w:val="00CD6BB6"/>
    <w:rsid w:val="00CE1AD0"/>
    <w:rsid w:val="00CE484B"/>
    <w:rsid w:val="00CF0DEE"/>
    <w:rsid w:val="00CF36F5"/>
    <w:rsid w:val="00CF7675"/>
    <w:rsid w:val="00D006AE"/>
    <w:rsid w:val="00D01CF0"/>
    <w:rsid w:val="00D01EFD"/>
    <w:rsid w:val="00D0442A"/>
    <w:rsid w:val="00D17683"/>
    <w:rsid w:val="00D26236"/>
    <w:rsid w:val="00D45694"/>
    <w:rsid w:val="00D60773"/>
    <w:rsid w:val="00D61388"/>
    <w:rsid w:val="00D61A54"/>
    <w:rsid w:val="00D64DEA"/>
    <w:rsid w:val="00D7168E"/>
    <w:rsid w:val="00D71E57"/>
    <w:rsid w:val="00D80893"/>
    <w:rsid w:val="00D84854"/>
    <w:rsid w:val="00D848B4"/>
    <w:rsid w:val="00D92CF1"/>
    <w:rsid w:val="00D92D38"/>
    <w:rsid w:val="00D950F5"/>
    <w:rsid w:val="00D95786"/>
    <w:rsid w:val="00DA3C35"/>
    <w:rsid w:val="00DA4752"/>
    <w:rsid w:val="00DA499E"/>
    <w:rsid w:val="00DA61F3"/>
    <w:rsid w:val="00DA6B93"/>
    <w:rsid w:val="00DB0F93"/>
    <w:rsid w:val="00DB1019"/>
    <w:rsid w:val="00DB1A67"/>
    <w:rsid w:val="00DB3175"/>
    <w:rsid w:val="00DB37C7"/>
    <w:rsid w:val="00DB5074"/>
    <w:rsid w:val="00DB5B21"/>
    <w:rsid w:val="00DC6B78"/>
    <w:rsid w:val="00DC7981"/>
    <w:rsid w:val="00DD015D"/>
    <w:rsid w:val="00DD78BB"/>
    <w:rsid w:val="00DE1093"/>
    <w:rsid w:val="00DE15EA"/>
    <w:rsid w:val="00DE4EFA"/>
    <w:rsid w:val="00DE5520"/>
    <w:rsid w:val="00DE563D"/>
    <w:rsid w:val="00DE5E2E"/>
    <w:rsid w:val="00DE772C"/>
    <w:rsid w:val="00DF312A"/>
    <w:rsid w:val="00E04818"/>
    <w:rsid w:val="00E06442"/>
    <w:rsid w:val="00E06BCF"/>
    <w:rsid w:val="00E1001C"/>
    <w:rsid w:val="00E23993"/>
    <w:rsid w:val="00E25B8C"/>
    <w:rsid w:val="00E326C0"/>
    <w:rsid w:val="00E51D65"/>
    <w:rsid w:val="00E528C4"/>
    <w:rsid w:val="00E52E73"/>
    <w:rsid w:val="00E536C9"/>
    <w:rsid w:val="00E579FC"/>
    <w:rsid w:val="00E57B34"/>
    <w:rsid w:val="00E6200B"/>
    <w:rsid w:val="00E65C85"/>
    <w:rsid w:val="00E66199"/>
    <w:rsid w:val="00E711C7"/>
    <w:rsid w:val="00E755EC"/>
    <w:rsid w:val="00E7624D"/>
    <w:rsid w:val="00E77D4C"/>
    <w:rsid w:val="00EA3D42"/>
    <w:rsid w:val="00EA6B1B"/>
    <w:rsid w:val="00EB5BC8"/>
    <w:rsid w:val="00EB606C"/>
    <w:rsid w:val="00EC04F1"/>
    <w:rsid w:val="00EC1E78"/>
    <w:rsid w:val="00EC7C6C"/>
    <w:rsid w:val="00ED0EC2"/>
    <w:rsid w:val="00ED7323"/>
    <w:rsid w:val="00ED7847"/>
    <w:rsid w:val="00EE1926"/>
    <w:rsid w:val="00EE28F3"/>
    <w:rsid w:val="00EE50D1"/>
    <w:rsid w:val="00EF5110"/>
    <w:rsid w:val="00F0334E"/>
    <w:rsid w:val="00F052C7"/>
    <w:rsid w:val="00F10411"/>
    <w:rsid w:val="00F106A8"/>
    <w:rsid w:val="00F15882"/>
    <w:rsid w:val="00F171E0"/>
    <w:rsid w:val="00F17A7C"/>
    <w:rsid w:val="00F20BD3"/>
    <w:rsid w:val="00F2526A"/>
    <w:rsid w:val="00F25DA6"/>
    <w:rsid w:val="00F3009F"/>
    <w:rsid w:val="00F33254"/>
    <w:rsid w:val="00F373A5"/>
    <w:rsid w:val="00F47559"/>
    <w:rsid w:val="00F50328"/>
    <w:rsid w:val="00F61176"/>
    <w:rsid w:val="00F64C7B"/>
    <w:rsid w:val="00F65B25"/>
    <w:rsid w:val="00F676DD"/>
    <w:rsid w:val="00F71667"/>
    <w:rsid w:val="00F75A26"/>
    <w:rsid w:val="00F76706"/>
    <w:rsid w:val="00F768C8"/>
    <w:rsid w:val="00F81B8D"/>
    <w:rsid w:val="00F83FAD"/>
    <w:rsid w:val="00F8653A"/>
    <w:rsid w:val="00F909E6"/>
    <w:rsid w:val="00F92349"/>
    <w:rsid w:val="00F92C27"/>
    <w:rsid w:val="00F952A0"/>
    <w:rsid w:val="00FA3C7F"/>
    <w:rsid w:val="00FB4402"/>
    <w:rsid w:val="00FB60FE"/>
    <w:rsid w:val="00FB74E2"/>
    <w:rsid w:val="00FC5E23"/>
    <w:rsid w:val="00FC71DC"/>
    <w:rsid w:val="00FD2ED2"/>
    <w:rsid w:val="00FD5614"/>
    <w:rsid w:val="00FD5E78"/>
    <w:rsid w:val="00FD6B0A"/>
    <w:rsid w:val="00FE0BE1"/>
    <w:rsid w:val="00FE1DE9"/>
    <w:rsid w:val="00FE36AF"/>
    <w:rsid w:val="00FE39C2"/>
    <w:rsid w:val="00FE3C32"/>
    <w:rsid w:val="00FE64AE"/>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61"/>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0" w:qFormat="1"/>
    <w:lsdException w:name="heading 9" w:uiPriority="0"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semiHidden="0" w:unhideWhenUsed="0"/>
    <w:lsdException w:name="footnote text" w:qFormat="1"/>
    <w:lsdException w:name="header" w:uiPriority="0" w:qFormat="1"/>
    <w:lsdException w:name="footer" w:qFormat="1"/>
    <w:lsdException w:name="caption" w:uiPriority="0" w:qFormat="1"/>
    <w:lsdException w:name="page number" w:uiPriority="0"/>
    <w:lsdException w:name="List" w:uiPriority="0" w:qFormat="1"/>
    <w:lsdException w:name="List Bullet" w:uiPriority="0"/>
    <w:lsdException w:name="List Number" w:uiPriority="0" w:qFormat="1"/>
    <w:lsdException w:name="List Bullet 2" w:qFormat="1"/>
    <w:lsdException w:name="List Bullet 3" w:uiPriority="0" w:qFormat="1"/>
    <w:lsdException w:name="Title" w:semiHidden="0" w:uiPriority="0" w:unhideWhenUsed="0" w:qFormat="1"/>
    <w:lsdException w:name="Default Paragraph Font" w:uiPriority="1"/>
    <w:lsdException w:name="Body Text" w:uiPriority="0"/>
    <w:lsdException w:name="Body Text Indent" w:uiPriority="0"/>
    <w:lsdException w:name="List Continue" w:uiPriority="0" w:qFormat="1"/>
    <w:lsdException w:name="List Continue 2" w:uiPriority="0" w:qFormat="1"/>
    <w:lsdException w:name="List Continue 3" w:uiPriority="0" w:qFormat="1"/>
    <w:lsdException w:name="Subtitle" w:semiHidden="0" w:uiPriority="11" w:unhideWhenUsed="0"/>
    <w:lsdException w:name="Body Text 2" w:uiPriority="0"/>
    <w:lsdException w:name="Body Text 3" w:uiPriority="0"/>
    <w:lsdException w:name="Body Text Indent 3" w:uiPriority="0"/>
    <w:lsdException w:name="Hyperlink" w:qFormat="1"/>
    <w:lsdException w:name="FollowedHyperlink" w:uiPriority="0"/>
    <w:lsdException w:name="Strong" w:semiHidden="0" w:uiPriority="22" w:unhideWhenUsed="0" w:qFormat="1"/>
    <w:lsdException w:name="Emphasis" w:semiHidden="0" w:uiPriority="20" w:unhideWhenUsed="0" w:qFormat="1"/>
    <w:lsdException w:name="Document Map"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aliases w:val="(Alt + 1)"/>
    <w:basedOn w:val="Normal"/>
    <w:next w:val="Normal"/>
    <w:link w:val="Heading1Char"/>
    <w:uiPriority w:val="9"/>
    <w:qFormat/>
    <w:rsid w:val="00DE1093"/>
    <w:pPr>
      <w:pageBreakBefore/>
      <w:numPr>
        <w:numId w:val="25"/>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uiPriority w:val="9"/>
    <w:qFormat/>
    <w:rsid w:val="00126A4C"/>
    <w:pPr>
      <w:numPr>
        <w:ilvl w:val="1"/>
        <w:numId w:val="25"/>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uiPriority w:val="9"/>
    <w:qFormat/>
    <w:rsid w:val="00126A4C"/>
    <w:pPr>
      <w:numPr>
        <w:ilvl w:val="2"/>
        <w:numId w:val="25"/>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uiPriority w:val="9"/>
    <w:qFormat/>
    <w:rsid w:val="00126A4C"/>
    <w:pPr>
      <w:numPr>
        <w:ilvl w:val="3"/>
        <w:numId w:val="25"/>
      </w:numPr>
      <w:tabs>
        <w:tab w:val="left" w:pos="1021"/>
      </w:tabs>
      <w:spacing w:before="240"/>
      <w:outlineLvl w:val="3"/>
    </w:pPr>
    <w:rPr>
      <w:rFonts w:eastAsiaTheme="majorEastAsia" w:cstheme="majorBidi"/>
      <w:b/>
      <w:bCs/>
      <w:iCs/>
      <w:color w:val="51626F"/>
      <w:sz w:val="24"/>
    </w:rPr>
  </w:style>
  <w:style w:type="paragraph" w:styleId="Heading5">
    <w:name w:val="heading 5"/>
    <w:aliases w:val="Appendix 1"/>
    <w:next w:val="Normal"/>
    <w:link w:val="Heading5Char"/>
    <w:uiPriority w:val="9"/>
    <w:qFormat/>
    <w:rsid w:val="00126A4C"/>
    <w:pPr>
      <w:numPr>
        <w:ilvl w:val="4"/>
        <w:numId w:val="25"/>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aliases w:val="Appendix 2"/>
    <w:basedOn w:val="Normal"/>
    <w:next w:val="Normal"/>
    <w:link w:val="Heading6Char"/>
    <w:uiPriority w:val="9"/>
    <w:qFormat/>
    <w:rsid w:val="00126A4C"/>
    <w:pPr>
      <w:numPr>
        <w:ilvl w:val="5"/>
        <w:numId w:val="25"/>
      </w:numPr>
      <w:tabs>
        <w:tab w:val="left" w:pos="1361"/>
      </w:tabs>
      <w:spacing w:before="240"/>
      <w:outlineLvl w:val="5"/>
    </w:pPr>
    <w:rPr>
      <w:rFonts w:eastAsiaTheme="majorEastAsia" w:cstheme="majorBidi"/>
      <w:b/>
      <w:i/>
      <w:iCs/>
      <w:color w:val="076A92" w:themeColor="text1"/>
    </w:rPr>
  </w:style>
  <w:style w:type="paragraph" w:styleId="Heading7">
    <w:name w:val="heading 7"/>
    <w:aliases w:val="(Appen),t,Appendix 3"/>
    <w:basedOn w:val="Heading1"/>
    <w:next w:val="Normal"/>
    <w:link w:val="Heading7Char"/>
    <w:qFormat/>
    <w:rsid w:val="00CB0279"/>
    <w:pPr>
      <w:numPr>
        <w:numId w:val="27"/>
      </w:numPr>
      <w:tabs>
        <w:tab w:val="clear" w:pos="680"/>
        <w:tab w:val="left" w:pos="1021"/>
      </w:tabs>
      <w:ind w:left="1021" w:hanging="1021"/>
      <w:outlineLvl w:val="6"/>
    </w:pPr>
  </w:style>
  <w:style w:type="paragraph" w:styleId="Heading8">
    <w:name w:val="heading 8"/>
    <w:basedOn w:val="Heading2"/>
    <w:next w:val="Normal"/>
    <w:link w:val="Heading8Char"/>
    <w:qFormat/>
    <w:rsid w:val="00CB0279"/>
    <w:pPr>
      <w:numPr>
        <w:numId w:val="27"/>
      </w:numPr>
      <w:tabs>
        <w:tab w:val="clear" w:pos="680"/>
        <w:tab w:val="left" w:pos="1021"/>
      </w:tabs>
      <w:outlineLvl w:val="7"/>
    </w:pPr>
  </w:style>
  <w:style w:type="paragraph" w:styleId="Heading9">
    <w:name w:val="heading 9"/>
    <w:basedOn w:val="Heading3"/>
    <w:next w:val="Normal"/>
    <w:link w:val="Heading9Char"/>
    <w:qFormat/>
    <w:rsid w:val="00CB0279"/>
    <w:pPr>
      <w:numPr>
        <w:numId w:val="27"/>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lt + 1) Char"/>
    <w:basedOn w:val="DefaultParagraphFont"/>
    <w:link w:val="Heading1"/>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rsid w:val="00126A4C"/>
    <w:rPr>
      <w:rFonts w:ascii="Arial" w:eastAsiaTheme="majorEastAsia" w:hAnsi="Arial" w:cstheme="majorBidi"/>
      <w:b/>
      <w:bCs/>
      <w:iCs/>
      <w:color w:val="51626F"/>
      <w:sz w:val="24"/>
    </w:rPr>
  </w:style>
  <w:style w:type="character" w:customStyle="1" w:styleId="Heading5Char">
    <w:name w:val="Heading 5 Char"/>
    <w:aliases w:val="Appendix 1 Char"/>
    <w:basedOn w:val="DefaultParagraphFont"/>
    <w:link w:val="Heading5"/>
    <w:rsid w:val="00126A4C"/>
    <w:rPr>
      <w:rFonts w:ascii="Arial" w:eastAsiaTheme="majorEastAsia" w:hAnsi="Arial" w:cstheme="majorBidi"/>
      <w:b/>
      <w:color w:val="170017" w:themeColor="accent1" w:themeShade="7F"/>
    </w:rPr>
  </w:style>
  <w:style w:type="character" w:customStyle="1" w:styleId="Heading6Char">
    <w:name w:val="Heading 6 Char"/>
    <w:aliases w:val="Appendix 2 Char"/>
    <w:basedOn w:val="DefaultParagraphFont"/>
    <w:link w:val="Heading6"/>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rsid w:val="005D7BA2"/>
    <w:pPr>
      <w:tabs>
        <w:tab w:val="right" w:leader="dot" w:pos="8363"/>
      </w:tabs>
      <w:spacing w:after="100"/>
      <w:ind w:left="2977"/>
    </w:pPr>
    <w:rPr>
      <w:noProof/>
    </w:rPr>
  </w:style>
  <w:style w:type="paragraph" w:styleId="TOC9">
    <w:name w:val="toc 9"/>
    <w:basedOn w:val="Normal"/>
    <w:next w:val="Normal"/>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iPriority w:val="99"/>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aliases w:val="Footer Base"/>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aliases w:val="Footer Base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aliases w:val="(Appen) Char,t Char,Appendix 3 Char"/>
    <w:basedOn w:val="DefaultParagraphFont"/>
    <w:link w:val="Heading7"/>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B704A"/>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99"/>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rsid w:val="00701CAB"/>
    <w:rPr>
      <w:vertAlign w:val="superscript"/>
    </w:rPr>
  </w:style>
  <w:style w:type="character" w:styleId="Strong">
    <w:name w:val="Strong"/>
    <w:aliases w:val="AER text bold"/>
    <w:basedOn w:val="DefaultParagraphFont"/>
    <w:uiPriority w:val="22"/>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rsid w:val="005D7BA2"/>
    <w:pPr>
      <w:tabs>
        <w:tab w:val="right" w:leader="dot" w:pos="8363"/>
      </w:tabs>
      <w:spacing w:after="100"/>
      <w:ind w:left="1276"/>
    </w:pPr>
    <w:rPr>
      <w:noProof/>
    </w:rPr>
  </w:style>
  <w:style w:type="paragraph" w:styleId="TOC5">
    <w:name w:val="toc 5"/>
    <w:basedOn w:val="Normal"/>
    <w:next w:val="Normal"/>
    <w:rsid w:val="005D7BA2"/>
    <w:pPr>
      <w:tabs>
        <w:tab w:val="right" w:leader="dot" w:pos="8363"/>
      </w:tabs>
      <w:spacing w:after="100"/>
      <w:ind w:left="1701"/>
    </w:pPr>
    <w:rPr>
      <w:noProof/>
    </w:rPr>
  </w:style>
  <w:style w:type="paragraph" w:styleId="TOC6">
    <w:name w:val="toc 6"/>
    <w:basedOn w:val="Normal"/>
    <w:next w:val="Normal"/>
    <w:rsid w:val="005D7BA2"/>
    <w:pPr>
      <w:tabs>
        <w:tab w:val="right" w:leader="dot" w:pos="8363"/>
      </w:tabs>
      <w:spacing w:after="100"/>
      <w:ind w:left="2126"/>
    </w:pPr>
    <w:rPr>
      <w:noProof/>
    </w:rPr>
  </w:style>
  <w:style w:type="paragraph" w:styleId="TOC7">
    <w:name w:val="toc 7"/>
    <w:basedOn w:val="Normal"/>
    <w:next w:val="Normal"/>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nhideWhenUsed/>
    <w:qFormat/>
    <w:rsid w:val="0066104A"/>
    <w:pPr>
      <w:keepNext/>
      <w:spacing w:before="240" w:after="120"/>
    </w:pPr>
    <w:rPr>
      <w:b/>
      <w:bCs/>
      <w:color w:val="076A92" w:themeColor="text1"/>
      <w:sz w:val="24"/>
      <w:szCs w:val="18"/>
    </w:rPr>
  </w:style>
  <w:style w:type="paragraph" w:styleId="List">
    <w:name w:val="List"/>
    <w:basedOn w:val="Normal"/>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nhideWhenUsed/>
    <w:qFormat/>
    <w:rsid w:val="00DB5074"/>
    <w:pPr>
      <w:tabs>
        <w:tab w:val="left" w:pos="340"/>
      </w:tabs>
      <w:spacing w:before="120"/>
      <w:ind w:left="340"/>
    </w:pPr>
  </w:style>
  <w:style w:type="paragraph" w:styleId="ListContinue2">
    <w:name w:val="List Continue 2"/>
    <w:aliases w:val="AER body text (indent 2)"/>
    <w:basedOn w:val="Normal"/>
    <w:unhideWhenUsed/>
    <w:qFormat/>
    <w:rsid w:val="00567BA5"/>
    <w:pPr>
      <w:tabs>
        <w:tab w:val="left" w:pos="680"/>
      </w:tabs>
      <w:spacing w:before="120"/>
      <w:ind w:left="680"/>
    </w:pPr>
  </w:style>
  <w:style w:type="paragraph" w:styleId="ListContinue3">
    <w:name w:val="List Continue 3"/>
    <w:aliases w:val="AER body text (indent 3)"/>
    <w:basedOn w:val="Normal"/>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1"/>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2"/>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3"/>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4"/>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6"/>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styleId="NormalWeb">
    <w:name w:val="Normal (Web)"/>
    <w:basedOn w:val="Normal"/>
    <w:uiPriority w:val="99"/>
    <w:semiHidden/>
    <w:unhideWhenUsed/>
    <w:rsid w:val="00FC71DC"/>
    <w:pPr>
      <w:spacing w:before="0" w:after="240" w:line="288" w:lineRule="auto"/>
      <w:jc w:val="both"/>
    </w:pPr>
    <w:rPr>
      <w:rFonts w:ascii="Times New Roman" w:eastAsia="Calibri" w:hAnsi="Times New Roman" w:cs="Times New Roman"/>
      <w:sz w:val="24"/>
      <w:szCs w:val="24"/>
    </w:rPr>
  </w:style>
  <w:style w:type="paragraph" w:styleId="BodyText">
    <w:name w:val="Body Text"/>
    <w:basedOn w:val="Normal"/>
    <w:link w:val="BodyTextChar"/>
    <w:rsid w:val="00DE772C"/>
    <w:pPr>
      <w:shd w:val="pct10" w:color="auto" w:fill="auto"/>
      <w:spacing w:before="0" w:after="120" w:line="-240" w:lineRule="auto"/>
      <w:ind w:right="18"/>
    </w:pPr>
    <w:rPr>
      <w:rFonts w:ascii="Times New Roman" w:eastAsia="Times New Roman" w:hAnsi="Times New Roman" w:cs="Times New Roman"/>
      <w:sz w:val="20"/>
      <w:szCs w:val="20"/>
      <w:lang w:val="en-US" w:eastAsia="en-AU"/>
    </w:rPr>
  </w:style>
  <w:style w:type="character" w:customStyle="1" w:styleId="BodyTextChar">
    <w:name w:val="Body Text Char"/>
    <w:basedOn w:val="DefaultParagraphFont"/>
    <w:link w:val="BodyText"/>
    <w:rsid w:val="00DE772C"/>
    <w:rPr>
      <w:rFonts w:ascii="Times New Roman" w:eastAsia="Times New Roman" w:hAnsi="Times New Roman" w:cs="Times New Roman"/>
      <w:sz w:val="20"/>
      <w:szCs w:val="20"/>
      <w:shd w:val="pct10" w:color="auto" w:fill="auto"/>
      <w:lang w:val="en-US" w:eastAsia="en-AU"/>
    </w:rPr>
  </w:style>
  <w:style w:type="paragraph" w:styleId="BodyTextIndent3">
    <w:name w:val="Body Text Indent 3"/>
    <w:basedOn w:val="Normal"/>
    <w:link w:val="BodyTextIndent3Char"/>
    <w:rsid w:val="00DE772C"/>
    <w:pPr>
      <w:tabs>
        <w:tab w:val="num" w:pos="284"/>
        <w:tab w:val="left" w:pos="1418"/>
      </w:tabs>
      <w:spacing w:before="0" w:line="240" w:lineRule="auto"/>
      <w:ind w:left="426"/>
    </w:pPr>
    <w:rPr>
      <w:rFonts w:ascii="Arial Narrow" w:eastAsia="Times New Roman" w:hAnsi="Arial Narrow" w:cs="Times New Roman"/>
      <w:sz w:val="24"/>
      <w:szCs w:val="20"/>
      <w:lang w:val="en-US" w:eastAsia="en-AU"/>
    </w:rPr>
  </w:style>
  <w:style w:type="character" w:customStyle="1" w:styleId="BodyTextIndent3Char">
    <w:name w:val="Body Text Indent 3 Char"/>
    <w:basedOn w:val="DefaultParagraphFont"/>
    <w:link w:val="BodyTextIndent3"/>
    <w:rsid w:val="00DE772C"/>
    <w:rPr>
      <w:rFonts w:ascii="Arial Narrow" w:eastAsia="Times New Roman" w:hAnsi="Arial Narrow" w:cs="Times New Roman"/>
      <w:sz w:val="24"/>
      <w:szCs w:val="20"/>
      <w:lang w:val="en-US" w:eastAsia="en-AU"/>
    </w:rPr>
  </w:style>
  <w:style w:type="paragraph" w:customStyle="1" w:styleId="Default">
    <w:name w:val="Default"/>
    <w:rsid w:val="00AB4A8F"/>
    <w:pPr>
      <w:autoSpaceDE w:val="0"/>
      <w:autoSpaceDN w:val="0"/>
      <w:adjustRightInd w:val="0"/>
      <w:spacing w:before="0"/>
    </w:pPr>
    <w:rPr>
      <w:rFonts w:ascii="Arial" w:hAnsi="Arial" w:cs="Arial"/>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AU" w:eastAsia="en-US" w:bidi="ar-SA"/>
      </w:rPr>
    </w:rPrDefault>
    <w:pPrDefault>
      <w:pPr>
        <w:spacing w:before="200"/>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0" w:qFormat="1"/>
    <w:lsdException w:name="heading 8" w:uiPriority="0" w:qFormat="1"/>
    <w:lsdException w:name="heading 9" w:uiPriority="0" w:qFormat="1"/>
    <w:lsdException w:name="toc 1" w:semiHidden="0" w:uiPriority="39" w:unhideWhenUsed="0" w:qFormat="1"/>
    <w:lsdException w:name="toc 2" w:semiHidden="0" w:uiPriority="39" w:unhideWhenUsed="0" w:qFormat="1"/>
    <w:lsdException w:name="toc 3" w:semiHidden="0" w:uiPriority="39" w:unhideWhenUsed="0" w:qFormat="1"/>
    <w:lsdException w:name="toc 4" w:semiHidden="0" w:uiPriority="0" w:unhideWhenUsed="0"/>
    <w:lsdException w:name="toc 5" w:semiHidden="0" w:uiPriority="0" w:unhideWhenUsed="0"/>
    <w:lsdException w:name="toc 6" w:semiHidden="0" w:uiPriority="0" w:unhideWhenUsed="0"/>
    <w:lsdException w:name="toc 7" w:semiHidden="0" w:uiPriority="0" w:unhideWhenUsed="0"/>
    <w:lsdException w:name="toc 8" w:semiHidden="0" w:uiPriority="0" w:unhideWhenUsed="0"/>
    <w:lsdException w:name="toc 9" w:semiHidden="0" w:uiPriority="0" w:unhideWhenUsed="0"/>
    <w:lsdException w:name="Normal Indent" w:semiHidden="0" w:unhideWhenUsed="0"/>
    <w:lsdException w:name="footnote text" w:qFormat="1"/>
    <w:lsdException w:name="header" w:uiPriority="0" w:qFormat="1"/>
    <w:lsdException w:name="footer" w:qFormat="1"/>
    <w:lsdException w:name="caption" w:uiPriority="0" w:qFormat="1"/>
    <w:lsdException w:name="page number" w:uiPriority="0"/>
    <w:lsdException w:name="List" w:uiPriority="0" w:qFormat="1"/>
    <w:lsdException w:name="List Bullet" w:uiPriority="0"/>
    <w:lsdException w:name="List Number" w:uiPriority="0" w:qFormat="1"/>
    <w:lsdException w:name="List Bullet 2" w:qFormat="1"/>
    <w:lsdException w:name="List Bullet 3" w:uiPriority="0" w:qFormat="1"/>
    <w:lsdException w:name="Title" w:semiHidden="0" w:uiPriority="0" w:unhideWhenUsed="0" w:qFormat="1"/>
    <w:lsdException w:name="Default Paragraph Font" w:uiPriority="1"/>
    <w:lsdException w:name="Body Text" w:uiPriority="0"/>
    <w:lsdException w:name="Body Text Indent" w:uiPriority="0"/>
    <w:lsdException w:name="List Continue" w:uiPriority="0" w:qFormat="1"/>
    <w:lsdException w:name="List Continue 2" w:uiPriority="0" w:qFormat="1"/>
    <w:lsdException w:name="List Continue 3" w:uiPriority="0" w:qFormat="1"/>
    <w:lsdException w:name="Subtitle" w:semiHidden="0" w:uiPriority="11" w:unhideWhenUsed="0"/>
    <w:lsdException w:name="Body Text 2" w:uiPriority="0"/>
    <w:lsdException w:name="Body Text 3" w:uiPriority="0"/>
    <w:lsdException w:name="Body Text Indent 3" w:uiPriority="0"/>
    <w:lsdException w:name="Hyperlink" w:qFormat="1"/>
    <w:lsdException w:name="FollowedHyperlink" w:uiPriority="0"/>
    <w:lsdException w:name="Strong" w:semiHidden="0" w:uiPriority="22" w:unhideWhenUsed="0" w:qFormat="1"/>
    <w:lsdException w:name="Emphasis" w:semiHidden="0" w:uiPriority="20" w:unhideWhenUsed="0" w:qFormat="1"/>
    <w:lsdException w:name="Document Map" w:uiPriority="0"/>
    <w:lsdException w:name="annotation subject" w:uiPriority="0"/>
    <w:lsdException w:name="Balloon Text" w:uiPriority="0"/>
    <w:lsdException w:name="Table Grid"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uiPriority="3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uiPriority="19"/>
    <w:lsdException w:name="Intense Emphasis" w:uiPriority="21"/>
    <w:lsdException w:name="Subtle Reference" w:uiPriority="31"/>
    <w:lsdException w:name="Intense Reference" w:uiPriority="32"/>
    <w:lsdException w:name="Book Title" w:semiHidden="0" w:uiPriority="33" w:unhideWhenUsed="0"/>
    <w:lsdException w:name="Bibliography" w:uiPriority="37"/>
    <w:lsdException w:name="TOC Heading" w:uiPriority="39" w:qFormat="1"/>
  </w:latentStyles>
  <w:style w:type="paragraph" w:default="1" w:styleId="Normal">
    <w:name w:val="Normal"/>
    <w:aliases w:val="AER body text"/>
    <w:qFormat/>
    <w:rsid w:val="000A3020"/>
    <w:pPr>
      <w:spacing w:line="276" w:lineRule="auto"/>
    </w:pPr>
    <w:rPr>
      <w:rFonts w:ascii="Arial" w:hAnsi="Arial"/>
    </w:rPr>
  </w:style>
  <w:style w:type="paragraph" w:styleId="Heading1">
    <w:name w:val="heading 1"/>
    <w:aliases w:val="(Alt + 1)"/>
    <w:basedOn w:val="Normal"/>
    <w:next w:val="Normal"/>
    <w:link w:val="Heading1Char"/>
    <w:uiPriority w:val="9"/>
    <w:qFormat/>
    <w:rsid w:val="00DE1093"/>
    <w:pPr>
      <w:pageBreakBefore/>
      <w:numPr>
        <w:numId w:val="25"/>
      </w:numPr>
      <w:tabs>
        <w:tab w:val="left" w:pos="680"/>
      </w:tabs>
      <w:spacing w:before="240"/>
      <w:outlineLvl w:val="0"/>
    </w:pPr>
    <w:rPr>
      <w:rFonts w:eastAsiaTheme="majorEastAsia" w:cstheme="majorBidi"/>
      <w:b/>
      <w:bCs/>
      <w:color w:val="70635A"/>
      <w:sz w:val="36"/>
      <w:szCs w:val="28"/>
    </w:rPr>
  </w:style>
  <w:style w:type="paragraph" w:styleId="Heading2">
    <w:name w:val="heading 2"/>
    <w:next w:val="Normal"/>
    <w:link w:val="Heading2Char"/>
    <w:uiPriority w:val="9"/>
    <w:qFormat/>
    <w:rsid w:val="00126A4C"/>
    <w:pPr>
      <w:numPr>
        <w:ilvl w:val="1"/>
        <w:numId w:val="25"/>
      </w:numPr>
      <w:tabs>
        <w:tab w:val="left" w:pos="680"/>
      </w:tabs>
      <w:spacing w:line="240" w:lineRule="atLeast"/>
      <w:outlineLvl w:val="1"/>
    </w:pPr>
    <w:rPr>
      <w:rFonts w:ascii="Arial" w:eastAsiaTheme="majorEastAsia" w:hAnsi="Arial" w:cstheme="majorBidi"/>
      <w:b/>
      <w:bCs/>
      <w:color w:val="70635A" w:themeColor="text2"/>
      <w:sz w:val="32"/>
      <w:szCs w:val="26"/>
    </w:rPr>
  </w:style>
  <w:style w:type="paragraph" w:styleId="Heading3">
    <w:name w:val="heading 3"/>
    <w:basedOn w:val="Normal"/>
    <w:next w:val="Normal"/>
    <w:link w:val="Heading3Char"/>
    <w:uiPriority w:val="9"/>
    <w:qFormat/>
    <w:rsid w:val="00126A4C"/>
    <w:pPr>
      <w:numPr>
        <w:ilvl w:val="2"/>
        <w:numId w:val="25"/>
      </w:numPr>
      <w:tabs>
        <w:tab w:val="left" w:pos="1021"/>
      </w:tabs>
      <w:spacing w:before="240"/>
      <w:outlineLvl w:val="2"/>
    </w:pPr>
    <w:rPr>
      <w:rFonts w:eastAsiaTheme="majorEastAsia" w:cstheme="majorBidi"/>
      <w:b/>
      <w:bCs/>
      <w:color w:val="70635A" w:themeColor="text2"/>
      <w:sz w:val="28"/>
    </w:rPr>
  </w:style>
  <w:style w:type="paragraph" w:styleId="Heading4">
    <w:name w:val="heading 4"/>
    <w:basedOn w:val="Normal"/>
    <w:next w:val="Normal"/>
    <w:link w:val="Heading4Char"/>
    <w:uiPriority w:val="9"/>
    <w:qFormat/>
    <w:rsid w:val="00126A4C"/>
    <w:pPr>
      <w:numPr>
        <w:ilvl w:val="3"/>
        <w:numId w:val="25"/>
      </w:numPr>
      <w:tabs>
        <w:tab w:val="left" w:pos="1021"/>
      </w:tabs>
      <w:spacing w:before="240"/>
      <w:outlineLvl w:val="3"/>
    </w:pPr>
    <w:rPr>
      <w:rFonts w:eastAsiaTheme="majorEastAsia" w:cstheme="majorBidi"/>
      <w:b/>
      <w:bCs/>
      <w:iCs/>
      <w:color w:val="51626F"/>
      <w:sz w:val="24"/>
    </w:rPr>
  </w:style>
  <w:style w:type="paragraph" w:styleId="Heading5">
    <w:name w:val="heading 5"/>
    <w:aliases w:val="Appendix 1"/>
    <w:next w:val="Normal"/>
    <w:link w:val="Heading5Char"/>
    <w:uiPriority w:val="9"/>
    <w:qFormat/>
    <w:rsid w:val="00126A4C"/>
    <w:pPr>
      <w:numPr>
        <w:ilvl w:val="4"/>
        <w:numId w:val="25"/>
      </w:numPr>
      <w:tabs>
        <w:tab w:val="left" w:pos="1021"/>
      </w:tabs>
      <w:spacing w:line="240" w:lineRule="atLeast"/>
      <w:outlineLvl w:val="4"/>
    </w:pPr>
    <w:rPr>
      <w:rFonts w:ascii="Arial" w:eastAsiaTheme="majorEastAsia" w:hAnsi="Arial" w:cstheme="majorBidi"/>
      <w:b/>
      <w:color w:val="170017" w:themeColor="accent1" w:themeShade="7F"/>
    </w:rPr>
  </w:style>
  <w:style w:type="paragraph" w:styleId="Heading6">
    <w:name w:val="heading 6"/>
    <w:aliases w:val="Appendix 2"/>
    <w:basedOn w:val="Normal"/>
    <w:next w:val="Normal"/>
    <w:link w:val="Heading6Char"/>
    <w:uiPriority w:val="9"/>
    <w:qFormat/>
    <w:rsid w:val="00126A4C"/>
    <w:pPr>
      <w:numPr>
        <w:ilvl w:val="5"/>
        <w:numId w:val="25"/>
      </w:numPr>
      <w:tabs>
        <w:tab w:val="left" w:pos="1361"/>
      </w:tabs>
      <w:spacing w:before="240"/>
      <w:outlineLvl w:val="5"/>
    </w:pPr>
    <w:rPr>
      <w:rFonts w:eastAsiaTheme="majorEastAsia" w:cstheme="majorBidi"/>
      <w:b/>
      <w:i/>
      <w:iCs/>
      <w:color w:val="076A92" w:themeColor="text1"/>
    </w:rPr>
  </w:style>
  <w:style w:type="paragraph" w:styleId="Heading7">
    <w:name w:val="heading 7"/>
    <w:aliases w:val="(Appen),t,Appendix 3"/>
    <w:basedOn w:val="Heading1"/>
    <w:next w:val="Normal"/>
    <w:link w:val="Heading7Char"/>
    <w:qFormat/>
    <w:rsid w:val="00CB0279"/>
    <w:pPr>
      <w:numPr>
        <w:numId w:val="27"/>
      </w:numPr>
      <w:tabs>
        <w:tab w:val="clear" w:pos="680"/>
        <w:tab w:val="left" w:pos="1021"/>
      </w:tabs>
      <w:ind w:left="1021" w:hanging="1021"/>
      <w:outlineLvl w:val="6"/>
    </w:pPr>
  </w:style>
  <w:style w:type="paragraph" w:styleId="Heading8">
    <w:name w:val="heading 8"/>
    <w:basedOn w:val="Heading2"/>
    <w:next w:val="Normal"/>
    <w:link w:val="Heading8Char"/>
    <w:qFormat/>
    <w:rsid w:val="00CB0279"/>
    <w:pPr>
      <w:numPr>
        <w:numId w:val="27"/>
      </w:numPr>
      <w:tabs>
        <w:tab w:val="clear" w:pos="680"/>
        <w:tab w:val="left" w:pos="1021"/>
      </w:tabs>
      <w:outlineLvl w:val="7"/>
    </w:pPr>
  </w:style>
  <w:style w:type="paragraph" w:styleId="Heading9">
    <w:name w:val="heading 9"/>
    <w:basedOn w:val="Heading3"/>
    <w:next w:val="Normal"/>
    <w:link w:val="Heading9Char"/>
    <w:qFormat/>
    <w:rsid w:val="00CB0279"/>
    <w:pPr>
      <w:numPr>
        <w:numId w:val="27"/>
      </w:numPr>
      <w:ind w:left="1021" w:hanging="1021"/>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aliases w:val="(Alt + 1) Char"/>
    <w:basedOn w:val="DefaultParagraphFont"/>
    <w:link w:val="Heading1"/>
    <w:rsid w:val="00DE1093"/>
    <w:rPr>
      <w:rFonts w:ascii="Arial" w:eastAsiaTheme="majorEastAsia" w:hAnsi="Arial" w:cstheme="majorBidi"/>
      <w:b/>
      <w:bCs/>
      <w:color w:val="70635A"/>
      <w:sz w:val="36"/>
      <w:szCs w:val="28"/>
    </w:rPr>
  </w:style>
  <w:style w:type="character" w:customStyle="1" w:styleId="Heading2Char">
    <w:name w:val="Heading 2 Char"/>
    <w:basedOn w:val="DefaultParagraphFont"/>
    <w:link w:val="Heading2"/>
    <w:rsid w:val="00126A4C"/>
    <w:rPr>
      <w:rFonts w:ascii="Arial" w:eastAsiaTheme="majorEastAsia" w:hAnsi="Arial" w:cstheme="majorBidi"/>
      <w:b/>
      <w:bCs/>
      <w:color w:val="70635A" w:themeColor="text2"/>
      <w:sz w:val="32"/>
      <w:szCs w:val="26"/>
    </w:rPr>
  </w:style>
  <w:style w:type="character" w:customStyle="1" w:styleId="Heading3Char">
    <w:name w:val="Heading 3 Char"/>
    <w:basedOn w:val="DefaultParagraphFont"/>
    <w:link w:val="Heading3"/>
    <w:rsid w:val="00126A4C"/>
    <w:rPr>
      <w:rFonts w:ascii="Arial" w:eastAsiaTheme="majorEastAsia" w:hAnsi="Arial" w:cstheme="majorBidi"/>
      <w:b/>
      <w:bCs/>
      <w:color w:val="70635A" w:themeColor="text2"/>
      <w:sz w:val="28"/>
    </w:rPr>
  </w:style>
  <w:style w:type="character" w:customStyle="1" w:styleId="Heading4Char">
    <w:name w:val="Heading 4 Char"/>
    <w:basedOn w:val="DefaultParagraphFont"/>
    <w:link w:val="Heading4"/>
    <w:rsid w:val="00126A4C"/>
    <w:rPr>
      <w:rFonts w:ascii="Arial" w:eastAsiaTheme="majorEastAsia" w:hAnsi="Arial" w:cstheme="majorBidi"/>
      <w:b/>
      <w:bCs/>
      <w:iCs/>
      <w:color w:val="51626F"/>
      <w:sz w:val="24"/>
    </w:rPr>
  </w:style>
  <w:style w:type="character" w:customStyle="1" w:styleId="Heading5Char">
    <w:name w:val="Heading 5 Char"/>
    <w:aliases w:val="Appendix 1 Char"/>
    <w:basedOn w:val="DefaultParagraphFont"/>
    <w:link w:val="Heading5"/>
    <w:rsid w:val="00126A4C"/>
    <w:rPr>
      <w:rFonts w:ascii="Arial" w:eastAsiaTheme="majorEastAsia" w:hAnsi="Arial" w:cstheme="majorBidi"/>
      <w:b/>
      <w:color w:val="170017" w:themeColor="accent1" w:themeShade="7F"/>
    </w:rPr>
  </w:style>
  <w:style w:type="character" w:customStyle="1" w:styleId="Heading6Char">
    <w:name w:val="Heading 6 Char"/>
    <w:aliases w:val="Appendix 2 Char"/>
    <w:basedOn w:val="DefaultParagraphFont"/>
    <w:link w:val="Heading6"/>
    <w:rsid w:val="00126A4C"/>
    <w:rPr>
      <w:rFonts w:ascii="Arial" w:eastAsiaTheme="majorEastAsia" w:hAnsi="Arial" w:cstheme="majorBidi"/>
      <w:b/>
      <w:i/>
      <w:iCs/>
      <w:color w:val="076A92" w:themeColor="text1"/>
    </w:rPr>
  </w:style>
  <w:style w:type="paragraph" w:customStyle="1" w:styleId="Chaptertitle">
    <w:name w:val="Chapter title"/>
    <w:basedOn w:val="Normal"/>
    <w:link w:val="ChaptertitleChar"/>
    <w:rsid w:val="00DE1093"/>
    <w:pPr>
      <w:pageBreakBefore/>
      <w:spacing w:before="520" w:after="120"/>
      <w:outlineLvl w:val="0"/>
    </w:pPr>
    <w:rPr>
      <w:color w:val="076A92" w:themeColor="text1"/>
      <w:sz w:val="52"/>
      <w:szCs w:val="52"/>
    </w:rPr>
  </w:style>
  <w:style w:type="character" w:customStyle="1" w:styleId="ChaptertitleChar">
    <w:name w:val="Chapter title Char"/>
    <w:basedOn w:val="DefaultParagraphFont"/>
    <w:link w:val="Chaptertitle"/>
    <w:rsid w:val="00DE1093"/>
    <w:rPr>
      <w:rFonts w:ascii="Arial" w:hAnsi="Arial"/>
      <w:color w:val="076A92" w:themeColor="text1"/>
      <w:sz w:val="52"/>
      <w:szCs w:val="52"/>
    </w:rPr>
  </w:style>
  <w:style w:type="paragraph" w:customStyle="1" w:styleId="Tabletext">
    <w:name w:val="Table text"/>
    <w:basedOn w:val="Normal"/>
    <w:link w:val="TabletextChar"/>
    <w:uiPriority w:val="1"/>
    <w:qFormat/>
    <w:rsid w:val="00584D8F"/>
    <w:pPr>
      <w:spacing w:before="120" w:after="60"/>
    </w:pPr>
    <w:rPr>
      <w:sz w:val="20"/>
    </w:rPr>
  </w:style>
  <w:style w:type="paragraph" w:styleId="TOC8">
    <w:name w:val="toc 8"/>
    <w:basedOn w:val="Normal"/>
    <w:next w:val="Normal"/>
    <w:rsid w:val="005D7BA2"/>
    <w:pPr>
      <w:tabs>
        <w:tab w:val="right" w:leader="dot" w:pos="8363"/>
      </w:tabs>
      <w:spacing w:after="100"/>
      <w:ind w:left="2977"/>
    </w:pPr>
    <w:rPr>
      <w:noProof/>
    </w:rPr>
  </w:style>
  <w:style w:type="paragraph" w:styleId="TOC9">
    <w:name w:val="toc 9"/>
    <w:basedOn w:val="Normal"/>
    <w:next w:val="Normal"/>
    <w:rsid w:val="005D7BA2"/>
    <w:pPr>
      <w:tabs>
        <w:tab w:val="right" w:leader="dot" w:pos="8363"/>
      </w:tabs>
      <w:spacing w:after="100"/>
      <w:ind w:left="3402"/>
    </w:pPr>
    <w:rPr>
      <w:noProof/>
    </w:rPr>
  </w:style>
  <w:style w:type="paragraph" w:customStyle="1" w:styleId="HeadingBoldBlue">
    <w:name w:val="Heading Bold Blue"/>
    <w:basedOn w:val="Heading3"/>
    <w:link w:val="HeadingBoldBlueChar"/>
    <w:qFormat/>
    <w:rsid w:val="00985C86"/>
    <w:pPr>
      <w:numPr>
        <w:ilvl w:val="0"/>
        <w:numId w:val="0"/>
      </w:numPr>
    </w:pPr>
  </w:style>
  <w:style w:type="paragraph" w:customStyle="1" w:styleId="HeadingBoldItalic">
    <w:name w:val="Heading Bold Italic"/>
    <w:basedOn w:val="Heading4"/>
    <w:qFormat/>
    <w:rsid w:val="00985C86"/>
    <w:pPr>
      <w:numPr>
        <w:ilvl w:val="0"/>
        <w:numId w:val="0"/>
      </w:numPr>
    </w:pPr>
    <w:rPr>
      <w:i/>
    </w:rPr>
  </w:style>
  <w:style w:type="paragraph" w:customStyle="1" w:styleId="HeadingItalic">
    <w:name w:val="Heading Italic"/>
    <w:basedOn w:val="HeadingBoldItalic"/>
    <w:qFormat/>
    <w:rsid w:val="00985C86"/>
    <w:rPr>
      <w:b w:val="0"/>
    </w:rPr>
  </w:style>
  <w:style w:type="paragraph" w:customStyle="1" w:styleId="HeadingOrange">
    <w:name w:val="Heading Orange"/>
    <w:basedOn w:val="Heading5"/>
    <w:qFormat/>
    <w:rsid w:val="00985C86"/>
    <w:pPr>
      <w:numPr>
        <w:ilvl w:val="0"/>
        <w:numId w:val="0"/>
      </w:numPr>
    </w:pPr>
  </w:style>
  <w:style w:type="paragraph" w:styleId="Header">
    <w:name w:val="header"/>
    <w:basedOn w:val="Normal"/>
    <w:link w:val="HeaderChar"/>
    <w:unhideWhenUsed/>
    <w:qFormat/>
    <w:rsid w:val="008344F6"/>
    <w:pPr>
      <w:tabs>
        <w:tab w:val="center" w:pos="4513"/>
        <w:tab w:val="right" w:pos="9026"/>
      </w:tabs>
      <w:spacing w:after="120"/>
    </w:pPr>
    <w:rPr>
      <w:color w:val="2F002F" w:themeColor="accent1"/>
      <w:sz w:val="18"/>
    </w:rPr>
  </w:style>
  <w:style w:type="character" w:customStyle="1" w:styleId="HeaderChar">
    <w:name w:val="Header Char"/>
    <w:basedOn w:val="DefaultParagraphFont"/>
    <w:link w:val="Header"/>
    <w:uiPriority w:val="99"/>
    <w:rsid w:val="008344F6"/>
    <w:rPr>
      <w:rFonts w:ascii="Arial" w:hAnsi="Arial"/>
      <w:color w:val="2F002F" w:themeColor="accent1"/>
      <w:sz w:val="18"/>
    </w:rPr>
  </w:style>
  <w:style w:type="paragraph" w:styleId="NoSpacing">
    <w:name w:val="No Spacing"/>
    <w:uiPriority w:val="1"/>
    <w:qFormat/>
    <w:rsid w:val="00724A37"/>
    <w:pPr>
      <w:spacing w:before="0"/>
    </w:pPr>
    <w:rPr>
      <w:rFonts w:ascii="Arial" w:hAnsi="Arial"/>
    </w:rPr>
  </w:style>
  <w:style w:type="paragraph" w:customStyle="1" w:styleId="Tabletitle">
    <w:name w:val="Table title"/>
    <w:basedOn w:val="Normal"/>
    <w:link w:val="TabletitleChar"/>
    <w:qFormat/>
    <w:rsid w:val="00C67A92"/>
    <w:pPr>
      <w:spacing w:before="240" w:after="120"/>
    </w:pPr>
    <w:rPr>
      <w:b/>
      <w:color w:val="076A92" w:themeColor="text1"/>
      <w:sz w:val="24"/>
      <w:szCs w:val="20"/>
    </w:rPr>
  </w:style>
  <w:style w:type="character" w:customStyle="1" w:styleId="TabletitleChar">
    <w:name w:val="Table title Char"/>
    <w:basedOn w:val="DefaultParagraphFont"/>
    <w:link w:val="Tabletitle"/>
    <w:rsid w:val="00C67A92"/>
    <w:rPr>
      <w:rFonts w:ascii="Arial" w:hAnsi="Arial"/>
      <w:b/>
      <w:color w:val="076A92" w:themeColor="text1"/>
      <w:sz w:val="24"/>
      <w:szCs w:val="20"/>
    </w:rPr>
  </w:style>
  <w:style w:type="paragraph" w:customStyle="1" w:styleId="Charttitle">
    <w:name w:val="Chart title"/>
    <w:basedOn w:val="Tabletitle"/>
    <w:rsid w:val="00C67A92"/>
  </w:style>
  <w:style w:type="paragraph" w:styleId="EndnoteText">
    <w:name w:val="endnote text"/>
    <w:basedOn w:val="Normal"/>
    <w:link w:val="EndnoteTextChar"/>
    <w:uiPriority w:val="99"/>
    <w:rsid w:val="00263AC0"/>
    <w:pPr>
      <w:spacing w:before="0"/>
    </w:pPr>
    <w:rPr>
      <w:sz w:val="20"/>
      <w:szCs w:val="20"/>
    </w:rPr>
  </w:style>
  <w:style w:type="paragraph" w:customStyle="1" w:styleId="AERrevisionbox">
    <w:name w:val="AER revision box"/>
    <w:basedOn w:val="Normal"/>
    <w:link w:val="AERrevisionboxChar"/>
    <w:qFormat/>
    <w:rsid w:val="00180157"/>
    <w:pPr>
      <w:pBdr>
        <w:top w:val="single" w:sz="4" w:space="1" w:color="FFFFFF" w:themeColor="background1"/>
        <w:left w:val="single" w:sz="4" w:space="4" w:color="FFFFFF" w:themeColor="background1"/>
        <w:bottom w:val="single" w:sz="4" w:space="1" w:color="FFFFFF" w:themeColor="background1"/>
        <w:right w:val="single" w:sz="4" w:space="4" w:color="FFFFFF" w:themeColor="background1"/>
      </w:pBdr>
      <w:shd w:val="clear" w:color="auto" w:fill="F2F2F2" w:themeFill="background1" w:themeFillShade="F2"/>
      <w:spacing w:after="240"/>
    </w:pPr>
    <w:rPr>
      <w:szCs w:val="20"/>
    </w:rPr>
  </w:style>
  <w:style w:type="character" w:customStyle="1" w:styleId="AERrevisionboxChar">
    <w:name w:val="AER revision box Char"/>
    <w:basedOn w:val="DefaultParagraphFont"/>
    <w:link w:val="AERrevisionbox"/>
    <w:uiPriority w:val="1"/>
    <w:rsid w:val="00AE1BF1"/>
    <w:rPr>
      <w:rFonts w:ascii="Arial" w:hAnsi="Arial"/>
      <w:szCs w:val="20"/>
      <w:shd w:val="clear" w:color="auto" w:fill="F2F2F2" w:themeFill="background1" w:themeFillShade="F2"/>
    </w:rPr>
  </w:style>
  <w:style w:type="paragraph" w:customStyle="1" w:styleId="Pullquoteheading">
    <w:name w:val="Pull quote heading"/>
    <w:basedOn w:val="Normal"/>
    <w:link w:val="PullquoteheadingChar"/>
    <w:uiPriority w:val="1"/>
    <w:rsid w:val="00CA489E"/>
    <w:pPr>
      <w:spacing w:after="120"/>
      <w:contextualSpacing/>
    </w:pPr>
    <w:rPr>
      <w:b/>
      <w:color w:val="C14E00" w:themeColor="accent2"/>
      <w:sz w:val="24"/>
      <w:szCs w:val="24"/>
    </w:rPr>
  </w:style>
  <w:style w:type="character" w:customStyle="1" w:styleId="PullquoteheadingChar">
    <w:name w:val="Pull quote heading Char"/>
    <w:basedOn w:val="DefaultParagraphFont"/>
    <w:link w:val="Pullquoteheading"/>
    <w:uiPriority w:val="1"/>
    <w:rsid w:val="00CA489E"/>
    <w:rPr>
      <w:rFonts w:ascii="Arial" w:hAnsi="Arial"/>
      <w:b/>
      <w:color w:val="C14E00" w:themeColor="accent2"/>
      <w:sz w:val="24"/>
      <w:szCs w:val="24"/>
    </w:rPr>
  </w:style>
  <w:style w:type="paragraph" w:customStyle="1" w:styleId="Pullquotetext">
    <w:name w:val="Pull quote text"/>
    <w:link w:val="PullquotetextChar"/>
    <w:uiPriority w:val="1"/>
    <w:rsid w:val="00CA489E"/>
    <w:pPr>
      <w:spacing w:before="120"/>
    </w:pPr>
    <w:rPr>
      <w:rFonts w:ascii="Arial" w:hAnsi="Arial"/>
      <w:color w:val="DC5034"/>
      <w:szCs w:val="24"/>
    </w:rPr>
  </w:style>
  <w:style w:type="character" w:customStyle="1" w:styleId="PullquotetextChar">
    <w:name w:val="Pull quote text Char"/>
    <w:basedOn w:val="PullquoteheadingChar"/>
    <w:link w:val="Pullquotetext"/>
    <w:uiPriority w:val="1"/>
    <w:rsid w:val="00CA489E"/>
    <w:rPr>
      <w:rFonts w:ascii="Arial" w:hAnsi="Arial"/>
      <w:b w:val="0"/>
      <w:color w:val="DC5034"/>
      <w:sz w:val="24"/>
      <w:szCs w:val="24"/>
    </w:rPr>
  </w:style>
  <w:style w:type="paragraph" w:customStyle="1" w:styleId="Note">
    <w:name w:val="Note"/>
    <w:basedOn w:val="Normal"/>
    <w:link w:val="NoteChar"/>
    <w:rsid w:val="00085663"/>
    <w:pPr>
      <w:spacing w:after="120"/>
    </w:pPr>
    <w:rPr>
      <w:i/>
      <w:sz w:val="16"/>
      <w:szCs w:val="16"/>
    </w:rPr>
  </w:style>
  <w:style w:type="character" w:customStyle="1" w:styleId="NoteChar">
    <w:name w:val="Note Char"/>
    <w:basedOn w:val="DefaultParagraphFont"/>
    <w:link w:val="Note"/>
    <w:rsid w:val="00085663"/>
    <w:rPr>
      <w:rFonts w:ascii="Arial" w:hAnsi="Arial"/>
      <w:i/>
      <w:sz w:val="16"/>
      <w:szCs w:val="16"/>
    </w:rPr>
  </w:style>
  <w:style w:type="paragraph" w:customStyle="1" w:styleId="Source">
    <w:name w:val="Source"/>
    <w:basedOn w:val="Normal"/>
    <w:link w:val="SourceChar"/>
    <w:rsid w:val="00085663"/>
    <w:pPr>
      <w:spacing w:after="60"/>
    </w:pPr>
    <w:rPr>
      <w:sz w:val="16"/>
      <w:szCs w:val="16"/>
    </w:rPr>
  </w:style>
  <w:style w:type="character" w:customStyle="1" w:styleId="SourceChar">
    <w:name w:val="Source Char"/>
    <w:basedOn w:val="DefaultParagraphFont"/>
    <w:link w:val="Source"/>
    <w:rsid w:val="00085663"/>
    <w:rPr>
      <w:rFonts w:ascii="Arial" w:hAnsi="Arial"/>
      <w:sz w:val="16"/>
      <w:szCs w:val="16"/>
    </w:rPr>
  </w:style>
  <w:style w:type="paragraph" w:styleId="Index1">
    <w:name w:val="index 1"/>
    <w:basedOn w:val="Normal"/>
    <w:next w:val="Normal"/>
    <w:autoRedefine/>
    <w:uiPriority w:val="99"/>
    <w:unhideWhenUsed/>
    <w:rsid w:val="00F171E0"/>
    <w:pPr>
      <w:spacing w:before="0" w:line="240" w:lineRule="auto"/>
      <w:ind w:left="220" w:hanging="220"/>
    </w:pPr>
  </w:style>
  <w:style w:type="paragraph" w:styleId="Index2">
    <w:name w:val="index 2"/>
    <w:basedOn w:val="Normal"/>
    <w:next w:val="Normal"/>
    <w:autoRedefine/>
    <w:uiPriority w:val="99"/>
    <w:unhideWhenUsed/>
    <w:rsid w:val="00F171E0"/>
    <w:pPr>
      <w:spacing w:before="0" w:line="240" w:lineRule="auto"/>
      <w:ind w:left="440" w:hanging="220"/>
    </w:pPr>
  </w:style>
  <w:style w:type="paragraph" w:styleId="Quote">
    <w:name w:val="Quote"/>
    <w:basedOn w:val="Normal"/>
    <w:next w:val="Normal"/>
    <w:link w:val="QuoteChar"/>
    <w:uiPriority w:val="29"/>
    <w:rsid w:val="00C67A92"/>
    <w:pPr>
      <w:ind w:left="680"/>
    </w:pPr>
    <w:rPr>
      <w:i/>
      <w:iCs/>
      <w:color w:val="076A92" w:themeColor="text1"/>
    </w:rPr>
  </w:style>
  <w:style w:type="character" w:customStyle="1" w:styleId="QuoteChar">
    <w:name w:val="Quote Char"/>
    <w:basedOn w:val="DefaultParagraphFont"/>
    <w:link w:val="Quote"/>
    <w:uiPriority w:val="29"/>
    <w:rsid w:val="00C67A92"/>
    <w:rPr>
      <w:rFonts w:ascii="Arial" w:hAnsi="Arial"/>
      <w:i/>
      <w:iCs/>
      <w:color w:val="076A92" w:themeColor="text1"/>
    </w:rPr>
  </w:style>
  <w:style w:type="paragraph" w:customStyle="1" w:styleId="AERbulletlistfirststyle">
    <w:name w:val="AER bullet list (first style)"/>
    <w:basedOn w:val="ListBullet"/>
    <w:qFormat/>
    <w:rsid w:val="00FE64AE"/>
    <w:pPr>
      <w:numPr>
        <w:numId w:val="2"/>
      </w:numPr>
      <w:ind w:left="357" w:hanging="357"/>
    </w:pPr>
    <w:rPr>
      <w:rFonts w:cs="Times New Roman"/>
    </w:rPr>
  </w:style>
  <w:style w:type="paragraph" w:styleId="ListBullet">
    <w:name w:val="List Bullet"/>
    <w:aliases w:val="AER List number 2 first"/>
    <w:basedOn w:val="Normal"/>
    <w:unhideWhenUsed/>
    <w:rsid w:val="0045777E"/>
    <w:pPr>
      <w:numPr>
        <w:numId w:val="13"/>
      </w:numPr>
      <w:tabs>
        <w:tab w:val="left" w:pos="340"/>
      </w:tabs>
      <w:spacing w:before="120"/>
    </w:pPr>
  </w:style>
  <w:style w:type="paragraph" w:customStyle="1" w:styleId="AERbulletlistsecondstyle">
    <w:name w:val="AER bullet list (second style)"/>
    <w:basedOn w:val="ListBullet2"/>
    <w:qFormat/>
    <w:rsid w:val="008033C4"/>
    <w:pPr>
      <w:numPr>
        <w:numId w:val="12"/>
      </w:numPr>
      <w:ind w:left="998" w:hanging="357"/>
    </w:pPr>
  </w:style>
  <w:style w:type="paragraph" w:styleId="ListNumber">
    <w:name w:val="List Number"/>
    <w:aliases w:val="AER numbered list (first style)"/>
    <w:basedOn w:val="Normal"/>
    <w:qFormat/>
    <w:rsid w:val="00CA489E"/>
    <w:pPr>
      <w:numPr>
        <w:numId w:val="7"/>
      </w:numPr>
      <w:tabs>
        <w:tab w:val="clear" w:pos="360"/>
        <w:tab w:val="num" w:pos="340"/>
      </w:tabs>
      <w:spacing w:before="120"/>
      <w:ind w:left="340" w:hanging="340"/>
    </w:pPr>
  </w:style>
  <w:style w:type="paragraph" w:styleId="ListBullet2">
    <w:name w:val="List Bullet 2"/>
    <w:aliases w:val="AER numbered list 2 second"/>
    <w:basedOn w:val="Normal"/>
    <w:uiPriority w:val="99"/>
    <w:unhideWhenUsed/>
    <w:qFormat/>
    <w:rsid w:val="008E77DE"/>
    <w:pPr>
      <w:numPr>
        <w:numId w:val="3"/>
      </w:numPr>
      <w:spacing w:before="120"/>
    </w:pPr>
  </w:style>
  <w:style w:type="paragraph" w:styleId="TOCHeading">
    <w:name w:val="TOC Heading"/>
    <w:basedOn w:val="Normal"/>
    <w:next w:val="Normal"/>
    <w:uiPriority w:val="39"/>
    <w:qFormat/>
    <w:rsid w:val="00327A1E"/>
    <w:pPr>
      <w:spacing w:before="480" w:after="120"/>
    </w:pPr>
    <w:rPr>
      <w:rFonts w:eastAsiaTheme="majorEastAsia" w:cstheme="majorBidi"/>
      <w:b/>
      <w:bCs/>
      <w:color w:val="076A92" w:themeColor="text1"/>
      <w:sz w:val="36"/>
      <w:szCs w:val="28"/>
      <w:lang w:val="en-US" w:eastAsia="ja-JP"/>
    </w:rPr>
  </w:style>
  <w:style w:type="paragraph" w:customStyle="1" w:styleId="Listalphabet">
    <w:name w:val="List alphabet"/>
    <w:basedOn w:val="List"/>
    <w:qFormat/>
    <w:rsid w:val="00DB5074"/>
    <w:pPr>
      <w:numPr>
        <w:numId w:val="17"/>
      </w:numPr>
      <w:ind w:left="340" w:hanging="340"/>
    </w:pPr>
  </w:style>
  <w:style w:type="character" w:styleId="Hyperlink">
    <w:name w:val="Hyperlink"/>
    <w:basedOn w:val="DefaultParagraphFont"/>
    <w:uiPriority w:val="99"/>
    <w:qFormat/>
    <w:rsid w:val="00BE1F1B"/>
    <w:rPr>
      <w:rFonts w:ascii="Arial" w:hAnsi="Arial"/>
      <w:color w:val="0000FF"/>
      <w:sz w:val="22"/>
      <w:u w:val="single"/>
    </w:rPr>
  </w:style>
  <w:style w:type="paragraph" w:styleId="BalloonText">
    <w:name w:val="Balloon Text"/>
    <w:basedOn w:val="Normal"/>
    <w:link w:val="BalloonTextChar"/>
    <w:unhideWhenUsed/>
    <w:rsid w:val="00683C89"/>
    <w:pPr>
      <w:spacing w:before="0"/>
    </w:pPr>
    <w:rPr>
      <w:rFonts w:asciiTheme="minorHAnsi" w:hAnsiTheme="minorHAnsi" w:cs="Tahoma"/>
      <w:sz w:val="16"/>
      <w:szCs w:val="16"/>
    </w:rPr>
  </w:style>
  <w:style w:type="character" w:customStyle="1" w:styleId="BalloonTextChar">
    <w:name w:val="Balloon Text Char"/>
    <w:basedOn w:val="DefaultParagraphFont"/>
    <w:link w:val="BalloonText"/>
    <w:uiPriority w:val="99"/>
    <w:rsid w:val="00683C89"/>
    <w:rPr>
      <w:rFonts w:cs="Tahoma"/>
      <w:sz w:val="16"/>
      <w:szCs w:val="16"/>
    </w:rPr>
  </w:style>
  <w:style w:type="paragraph" w:styleId="Footer">
    <w:name w:val="footer"/>
    <w:aliases w:val="Footer Base"/>
    <w:basedOn w:val="Normal"/>
    <w:link w:val="FooterChar"/>
    <w:uiPriority w:val="99"/>
    <w:unhideWhenUsed/>
    <w:qFormat/>
    <w:rsid w:val="005D7BA2"/>
    <w:pPr>
      <w:tabs>
        <w:tab w:val="center" w:pos="4513"/>
        <w:tab w:val="right" w:pos="9026"/>
      </w:tabs>
      <w:spacing w:after="120"/>
    </w:pPr>
    <w:rPr>
      <w:color w:val="076A92" w:themeColor="text1"/>
      <w:sz w:val="18"/>
    </w:rPr>
  </w:style>
  <w:style w:type="character" w:customStyle="1" w:styleId="FooterChar">
    <w:name w:val="Footer Char"/>
    <w:aliases w:val="Footer Base Char"/>
    <w:basedOn w:val="DefaultParagraphFont"/>
    <w:link w:val="Footer"/>
    <w:uiPriority w:val="99"/>
    <w:rsid w:val="005D7BA2"/>
    <w:rPr>
      <w:rFonts w:ascii="Arial" w:hAnsi="Arial"/>
      <w:color w:val="076A92" w:themeColor="text1"/>
      <w:sz w:val="18"/>
    </w:rPr>
  </w:style>
  <w:style w:type="paragraph" w:styleId="ListParagraph">
    <w:name w:val="List Paragraph"/>
    <w:basedOn w:val="Normal"/>
    <w:uiPriority w:val="34"/>
    <w:qFormat/>
    <w:rsid w:val="00567BA5"/>
    <w:pPr>
      <w:numPr>
        <w:numId w:val="14"/>
      </w:numPr>
      <w:tabs>
        <w:tab w:val="left" w:pos="340"/>
      </w:tabs>
      <w:spacing w:before="120"/>
      <w:ind w:left="340" w:hanging="340"/>
    </w:pPr>
  </w:style>
  <w:style w:type="character" w:customStyle="1" w:styleId="Heading7Char">
    <w:name w:val="Heading 7 Char"/>
    <w:aliases w:val="(Appen) Char,t Char,Appendix 3 Char"/>
    <w:basedOn w:val="DefaultParagraphFont"/>
    <w:link w:val="Heading7"/>
    <w:rsid w:val="00CB0279"/>
    <w:rPr>
      <w:rFonts w:ascii="Arial" w:eastAsiaTheme="majorEastAsia" w:hAnsi="Arial" w:cstheme="majorBidi"/>
      <w:b/>
      <w:bCs/>
      <w:color w:val="70635A"/>
      <w:sz w:val="36"/>
      <w:szCs w:val="28"/>
    </w:rPr>
  </w:style>
  <w:style w:type="character" w:customStyle="1" w:styleId="Heading8Char">
    <w:name w:val="Heading 8 Char"/>
    <w:basedOn w:val="DefaultParagraphFont"/>
    <w:link w:val="Heading8"/>
    <w:rsid w:val="00CB0279"/>
    <w:rPr>
      <w:rFonts w:ascii="Arial" w:eastAsiaTheme="majorEastAsia" w:hAnsi="Arial" w:cstheme="majorBidi"/>
      <w:b/>
      <w:bCs/>
      <w:color w:val="70635A" w:themeColor="text2"/>
      <w:sz w:val="32"/>
      <w:szCs w:val="26"/>
    </w:rPr>
  </w:style>
  <w:style w:type="character" w:customStyle="1" w:styleId="Heading9Char">
    <w:name w:val="Heading 9 Char"/>
    <w:basedOn w:val="DefaultParagraphFont"/>
    <w:link w:val="Heading9"/>
    <w:rsid w:val="00CB0279"/>
    <w:rPr>
      <w:rFonts w:ascii="Arial" w:eastAsiaTheme="majorEastAsia" w:hAnsi="Arial" w:cstheme="majorBidi"/>
      <w:b/>
      <w:bCs/>
      <w:color w:val="70635A" w:themeColor="text2"/>
      <w:sz w:val="28"/>
    </w:rPr>
  </w:style>
  <w:style w:type="paragraph" w:customStyle="1" w:styleId="Numbered1111111">
    <w:name w:val="Numbered 1.1.1.1.1.1.1"/>
    <w:basedOn w:val="Heading7"/>
    <w:next w:val="Normal"/>
    <w:uiPriority w:val="2"/>
    <w:rsid w:val="00CA489E"/>
    <w:pPr>
      <w:numPr>
        <w:numId w:val="15"/>
      </w:numPr>
      <w:tabs>
        <w:tab w:val="left" w:pos="1701"/>
      </w:tabs>
      <w:ind w:left="1701" w:hanging="1701"/>
    </w:pPr>
  </w:style>
  <w:style w:type="paragraph" w:customStyle="1" w:styleId="Numbered11111111">
    <w:name w:val="Numbered 1.1.1.1.1.1.1.1"/>
    <w:basedOn w:val="Heading8"/>
    <w:next w:val="Normal"/>
    <w:uiPriority w:val="2"/>
    <w:rsid w:val="00CA489E"/>
    <w:pPr>
      <w:numPr>
        <w:ilvl w:val="0"/>
        <w:numId w:val="0"/>
      </w:numPr>
      <w:tabs>
        <w:tab w:val="left" w:pos="2041"/>
      </w:tabs>
      <w:ind w:left="2041" w:hanging="2041"/>
    </w:pPr>
  </w:style>
  <w:style w:type="table" w:styleId="TableGrid">
    <w:name w:val="Table Grid"/>
    <w:aliases w:val="ACCC Table"/>
    <w:basedOn w:val="TableNormal"/>
    <w:rsid w:val="00C53B5A"/>
    <w:pPr>
      <w:spacing w:before="60" w:after="60"/>
    </w:pPr>
    <w:rPr>
      <w:rFonts w:ascii="Arial" w:hAnsi="Arial"/>
      <w:sz w:val="20"/>
    </w:rPr>
    <w:tblPr>
      <w:tblBorders>
        <w:top w:val="single" w:sz="4" w:space="0" w:color="BFBFBF" w:themeColor="background1" w:themeShade="BF"/>
        <w:bottom w:val="single" w:sz="4" w:space="0" w:color="BFBFBF" w:themeColor="background1" w:themeShade="BF"/>
      </w:tblBorders>
    </w:tblPr>
    <w:tcPr>
      <w:shd w:val="clear" w:color="auto" w:fill="auto"/>
    </w:tcPr>
    <w:tblStylePr w:type="firstRow">
      <w:pPr>
        <w:wordWrap/>
        <w:spacing w:beforeLines="0" w:before="120" w:beforeAutospacing="0" w:afterLines="0" w:after="120" w:afterAutospacing="0"/>
      </w:pPr>
      <w:rPr>
        <w:rFonts w:ascii="Arial" w:hAnsi="Arial"/>
        <w:b/>
        <w:sz w:val="20"/>
      </w:rPr>
      <w:tblPr/>
      <w:tcPr>
        <w:tcBorders>
          <w:top w:val="single" w:sz="4" w:space="0" w:color="BFBFBF" w:themeColor="background1" w:themeShade="BF"/>
          <w:left w:val="nil"/>
          <w:bottom w:val="single" w:sz="4" w:space="0" w:color="BFBFBF" w:themeColor="background1" w:themeShade="BF"/>
          <w:right w:val="nil"/>
          <w:insideH w:val="nil"/>
          <w:insideV w:val="nil"/>
          <w:tl2br w:val="nil"/>
          <w:tr2bl w:val="nil"/>
        </w:tcBorders>
        <w:shd w:val="clear" w:color="auto" w:fill="auto"/>
      </w:tcPr>
    </w:tblStylePr>
    <w:tblStylePr w:type="lastRow">
      <w:pPr>
        <w:wordWrap/>
        <w:spacing w:beforeLines="0" w:before="120" w:beforeAutospacing="0" w:afterLines="0" w:after="120" w:afterAutospacing="0" w:line="240" w:lineRule="auto"/>
      </w:pPr>
      <w:rPr>
        <w:rFonts w:ascii="Arial" w:hAnsi="Arial"/>
        <w:b/>
        <w:sz w:val="20"/>
      </w:rPr>
    </w:tblStylePr>
    <w:tblStylePr w:type="firstCol">
      <w:rPr>
        <w:rFonts w:ascii="Arial" w:hAnsi="Arial"/>
        <w:b/>
        <w:sz w:val="20"/>
      </w:rPr>
    </w:tblStylePr>
  </w:style>
  <w:style w:type="table" w:styleId="LightShading">
    <w:name w:val="Light Shading"/>
    <w:basedOn w:val="TableNormal"/>
    <w:uiPriority w:val="60"/>
    <w:rsid w:val="00C53B5A"/>
    <w:pPr>
      <w:spacing w:before="120" w:after="120"/>
    </w:pPr>
    <w:rPr>
      <w:sz w:val="20"/>
    </w:rPr>
    <w:tblPr>
      <w:tbl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blBorders>
    </w:tblPr>
    <w:tcPr>
      <w:shd w:val="clear" w:color="auto" w:fill="auto"/>
      <w:vAlign w:val="center"/>
    </w:tcPr>
    <w:tblStylePr w:type="firstRow">
      <w:pPr>
        <w:wordWrap/>
        <w:spacing w:beforeLines="0" w:before="120" w:beforeAutospacing="0" w:afterLines="0" w:after="120" w:afterAutospacing="0" w:line="240" w:lineRule="auto"/>
      </w:pPr>
      <w:rPr>
        <w:rFonts w:asciiTheme="minorHAnsi" w:hAnsiTheme="minorHAnsi"/>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shd w:val="clear" w:color="auto" w:fill="auto"/>
      </w:tcPr>
    </w:tblStylePr>
    <w:tblStylePr w:type="lastRow">
      <w:pPr>
        <w:wordWrap/>
        <w:spacing w:beforeLines="0" w:before="120" w:beforeAutospacing="0" w:afterLines="0" w:after="120" w:afterAutospacing="0" w:line="240" w:lineRule="auto"/>
      </w:pPr>
      <w:rPr>
        <w:b/>
        <w:bCs/>
        <w:sz w:val="20"/>
      </w:rPr>
      <w:tblPr/>
      <w:tcPr>
        <w:tcBorders>
          <w:top w:val="single" w:sz="4" w:space="0" w:color="FFFFFF" w:themeColor="background2"/>
          <w:left w:val="single" w:sz="4" w:space="0" w:color="FFFFFF" w:themeColor="background2"/>
          <w:bottom w:val="single" w:sz="4" w:space="0" w:color="FFFFFF" w:themeColor="background2"/>
          <w:right w:val="single" w:sz="4" w:space="0" w:color="FFFFFF" w:themeColor="background2"/>
          <w:insideH w:val="single" w:sz="4" w:space="0" w:color="FFFFFF" w:themeColor="background2"/>
          <w:insideV w:val="single" w:sz="4" w:space="0" w:color="FFFFFF" w:themeColor="background2"/>
        </w:tcBorders>
      </w:tcPr>
    </w:tblStylePr>
    <w:tblStylePr w:type="firstCol">
      <w:rPr>
        <w:b/>
        <w:bCs/>
        <w:sz w:val="20"/>
      </w:rPr>
    </w:tblStylePr>
    <w:tblStylePr w:type="lastCol">
      <w:rPr>
        <w:b/>
        <w:bCs/>
      </w:rPr>
    </w:tblStylePr>
  </w:style>
  <w:style w:type="table" w:styleId="LightShading-Accent1">
    <w:name w:val="Light Shading Accent 1"/>
    <w:basedOn w:val="TableNormal"/>
    <w:uiPriority w:val="60"/>
    <w:rsid w:val="002010BC"/>
    <w:pPr>
      <w:spacing w:before="0"/>
    </w:pPr>
    <w:rPr>
      <w:color w:val="230023" w:themeColor="accent1" w:themeShade="BF"/>
    </w:rPr>
    <w:tblPr>
      <w:tblStyleRowBandSize w:val="1"/>
      <w:tblStyleColBandSize w:val="1"/>
      <w:tblBorders>
        <w:top w:val="single" w:sz="8" w:space="0" w:color="2F002F" w:themeColor="accent1"/>
        <w:bottom w:val="single" w:sz="8" w:space="0" w:color="2F002F" w:themeColor="accent1"/>
      </w:tblBorders>
    </w:tblPr>
    <w:tblStylePr w:type="fir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lastRow">
      <w:pPr>
        <w:spacing w:before="0" w:after="0" w:line="240" w:lineRule="auto"/>
      </w:pPr>
      <w:rPr>
        <w:b/>
        <w:bCs/>
      </w:rPr>
      <w:tblPr/>
      <w:tcPr>
        <w:tcBorders>
          <w:top w:val="single" w:sz="8" w:space="0" w:color="2F002F" w:themeColor="accent1"/>
          <w:left w:val="nil"/>
          <w:bottom w:val="single" w:sz="8" w:space="0" w:color="2F002F"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8CFF" w:themeFill="accent1" w:themeFillTint="3F"/>
      </w:tcPr>
    </w:tblStylePr>
    <w:tblStylePr w:type="band1Horz">
      <w:tblPr/>
      <w:tcPr>
        <w:tcBorders>
          <w:left w:val="nil"/>
          <w:right w:val="nil"/>
          <w:insideH w:val="nil"/>
          <w:insideV w:val="nil"/>
        </w:tcBorders>
        <w:shd w:val="clear" w:color="auto" w:fill="FF8CFF" w:themeFill="accent1" w:themeFillTint="3F"/>
      </w:tcPr>
    </w:tblStylePr>
  </w:style>
  <w:style w:type="table" w:styleId="LightShading-Accent2">
    <w:name w:val="Light Shading Accent 2"/>
    <w:basedOn w:val="TableNormal"/>
    <w:uiPriority w:val="60"/>
    <w:rsid w:val="00746E01"/>
    <w:pPr>
      <w:spacing w:before="0"/>
    </w:pPr>
    <w:rPr>
      <w:rFonts w:ascii="Arial" w:hAnsi="Arial"/>
      <w:color w:val="000000"/>
      <w14:textFill>
        <w14:solidFill>
          <w14:srgbClr w14:val="000000">
            <w14:lumMod w14:val="75000"/>
            <w14:lumOff w14:val="0"/>
          </w14:srgbClr>
        </w14:solidFill>
      </w14:textFill>
    </w:rPr>
    <w:tblPr>
      <w:tbl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blBorders>
    </w:tblPr>
    <w:tcPr>
      <w:vAlign w:val="center"/>
    </w:tcPr>
    <w:tblStylePr w:type="fir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l2br w:val="nil"/>
          <w:tr2bl w:val="nil"/>
        </w:tcBorders>
      </w:tcPr>
    </w:tblStylePr>
    <w:tblStylePr w:type="lastRow">
      <w:pPr>
        <w:spacing w:before="0" w:after="0" w:line="240" w:lineRule="auto"/>
      </w:pPr>
      <w:rPr>
        <w:b w:val="0"/>
        <w:bCs/>
      </w:rPr>
      <w:tblPr/>
      <w:tcPr>
        <w:tcBorders>
          <w:top w:val="single" w:sz="4" w:space="0" w:color="000000" w:themeColor="accent5"/>
          <w:left w:val="single" w:sz="4" w:space="0" w:color="000000" w:themeColor="accent5"/>
          <w:bottom w:val="single" w:sz="4" w:space="0" w:color="000000" w:themeColor="accent5"/>
          <w:right w:val="single" w:sz="4" w:space="0" w:color="000000" w:themeColor="accent5"/>
          <w:insideH w:val="single" w:sz="4" w:space="0" w:color="000000" w:themeColor="accent5"/>
          <w:insideV w:val="single" w:sz="4" w:space="0" w:color="000000" w:themeColor="accent5"/>
        </w:tcBorders>
      </w:tcPr>
    </w:tblStylePr>
    <w:tblStylePr w:type="firstCol">
      <w:rPr>
        <w:b w:val="0"/>
        <w:bCs/>
      </w:rPr>
    </w:tblStylePr>
    <w:tblStylePr w:type="lastCol">
      <w:rPr>
        <w:b w:val="0"/>
        <w:bCs/>
      </w:rPr>
    </w:tblStylePr>
  </w:style>
  <w:style w:type="table" w:styleId="LightShading-Accent3">
    <w:name w:val="Light Shading Accent 3"/>
    <w:basedOn w:val="TableNormal"/>
    <w:uiPriority w:val="60"/>
    <w:rsid w:val="00A871F4"/>
    <w:pPr>
      <w:spacing w:before="0"/>
    </w:pPr>
    <w:rPr>
      <w:color w:val="001747" w:themeColor="accent3" w:themeShade="BF"/>
    </w:rPr>
    <w:tblPr>
      <w:tblStyleRowBandSize w:val="1"/>
      <w:tblStyleColBandSize w:val="1"/>
      <w:tblBorders>
        <w:top w:val="single" w:sz="8" w:space="0" w:color="002060" w:themeColor="accent3"/>
        <w:bottom w:val="single" w:sz="8" w:space="0" w:color="002060" w:themeColor="accent3"/>
      </w:tblBorders>
    </w:tblPr>
    <w:tblStylePr w:type="fir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lastRow">
      <w:pPr>
        <w:spacing w:before="0" w:after="0" w:line="240" w:lineRule="auto"/>
      </w:pPr>
      <w:rPr>
        <w:b/>
        <w:bCs/>
      </w:rPr>
      <w:tblPr/>
      <w:tcPr>
        <w:tcBorders>
          <w:top w:val="single" w:sz="8" w:space="0" w:color="002060" w:themeColor="accent3"/>
          <w:left w:val="nil"/>
          <w:bottom w:val="single" w:sz="8" w:space="0" w:color="002060"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98BAFF" w:themeFill="accent3" w:themeFillTint="3F"/>
      </w:tcPr>
    </w:tblStylePr>
    <w:tblStylePr w:type="band1Horz">
      <w:tblPr/>
      <w:tcPr>
        <w:tcBorders>
          <w:left w:val="nil"/>
          <w:right w:val="nil"/>
          <w:insideH w:val="nil"/>
          <w:insideV w:val="nil"/>
        </w:tcBorders>
        <w:shd w:val="clear" w:color="auto" w:fill="98BAFF" w:themeFill="accent3" w:themeFillTint="3F"/>
      </w:tcPr>
    </w:tblStylePr>
  </w:style>
  <w:style w:type="table" w:styleId="LightGrid-Accent6">
    <w:name w:val="Light Grid Accent 6"/>
    <w:basedOn w:val="TableNormal"/>
    <w:uiPriority w:val="62"/>
    <w:rsid w:val="00A871F4"/>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insideH w:val="single" w:sz="8" w:space="0" w:color="70303C" w:themeColor="accent6"/>
        <w:insideV w:val="single" w:sz="8" w:space="0" w:color="70303C" w:themeColor="accent6"/>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18" w:space="0" w:color="70303C" w:themeColor="accent6"/>
          <w:right w:val="single" w:sz="8" w:space="0" w:color="70303C" w:themeColor="accent6"/>
          <w:insideH w:val="nil"/>
          <w:insideV w:val="single" w:sz="8" w:space="0" w:color="70303C"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insideH w:val="nil"/>
          <w:insideV w:val="single" w:sz="8" w:space="0" w:color="70303C"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shd w:val="clear" w:color="auto" w:fill="E5C2C8" w:themeFill="accent6" w:themeFillTint="3F"/>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shd w:val="clear" w:color="auto" w:fill="E5C2C8" w:themeFill="accent6" w:themeFillTint="3F"/>
      </w:tcPr>
    </w:tblStylePr>
    <w:tblStylePr w:type="band2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insideV w:val="single" w:sz="8" w:space="0" w:color="70303C" w:themeColor="accent6"/>
        </w:tcBorders>
      </w:tcPr>
    </w:tblStylePr>
  </w:style>
  <w:style w:type="table" w:styleId="MediumShading1">
    <w:name w:val="Medium Shading 1"/>
    <w:basedOn w:val="TableNormal"/>
    <w:uiPriority w:val="63"/>
    <w:rsid w:val="00A871F4"/>
    <w:pPr>
      <w:spacing w:before="0"/>
    </w:pPr>
    <w:tblPr>
      <w:tblStyleRowBandSize w:val="1"/>
      <w:tblStyleColBandSize w:val="1"/>
      <w:tbl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single" w:sz="8" w:space="0" w:color="0BA7E7" w:themeColor="text1" w:themeTint="BF"/>
      </w:tblBorders>
    </w:tblPr>
    <w:tblStylePr w:type="firstRow">
      <w:pPr>
        <w:spacing w:before="0" w:after="0" w:line="240" w:lineRule="auto"/>
      </w:pPr>
      <w:rPr>
        <w:b/>
        <w:bCs/>
        <w:color w:val="FFFFFF" w:themeColor="background1"/>
      </w:rPr>
      <w:tblPr/>
      <w:tcPr>
        <w:tcBorders>
          <w:top w:val="single" w:sz="8"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shd w:val="clear" w:color="auto" w:fill="076A92" w:themeFill="text1"/>
      </w:tcPr>
    </w:tblStylePr>
    <w:tblStylePr w:type="lastRow">
      <w:pPr>
        <w:spacing w:before="0" w:after="0" w:line="240" w:lineRule="auto"/>
      </w:pPr>
      <w:rPr>
        <w:b/>
        <w:bCs/>
      </w:rPr>
      <w:tblPr/>
      <w:tcPr>
        <w:tcBorders>
          <w:top w:val="double" w:sz="6" w:space="0" w:color="0BA7E7" w:themeColor="text1" w:themeTint="BF"/>
          <w:left w:val="single" w:sz="8" w:space="0" w:color="0BA7E7" w:themeColor="text1" w:themeTint="BF"/>
          <w:bottom w:val="single" w:sz="8" w:space="0" w:color="0BA7E7" w:themeColor="text1" w:themeTint="BF"/>
          <w:right w:val="single" w:sz="8" w:space="0" w:color="0BA7E7" w:themeColor="text1" w:themeTint="BF"/>
          <w:insideH w:val="nil"/>
          <w:insideV w:val="nil"/>
        </w:tcBorders>
      </w:tcPr>
    </w:tblStylePr>
    <w:tblStylePr w:type="firstCol">
      <w:rPr>
        <w:b/>
        <w:bCs/>
      </w:rPr>
    </w:tblStylePr>
    <w:tblStylePr w:type="lastCol">
      <w:rPr>
        <w:b/>
        <w:bCs/>
      </w:rPr>
    </w:tblStylePr>
    <w:tblStylePr w:type="band1Vert">
      <w:tblPr/>
      <w:tcPr>
        <w:shd w:val="clear" w:color="auto" w:fill="AAE3FB" w:themeFill="text1" w:themeFillTint="3F"/>
      </w:tcPr>
    </w:tblStylePr>
    <w:tblStylePr w:type="band1Horz">
      <w:tblPr/>
      <w:tcPr>
        <w:tcBorders>
          <w:insideH w:val="nil"/>
          <w:insideV w:val="nil"/>
        </w:tcBorders>
        <w:shd w:val="clear" w:color="auto" w:fill="AAE3FB"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A871F4"/>
    <w:pPr>
      <w:spacing w:before="0"/>
    </w:pPr>
    <w:tblPr>
      <w:tblStyleRowBandSize w:val="1"/>
      <w:tblStyleColBandSize w:val="1"/>
      <w:tbl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single" w:sz="8" w:space="0" w:color="A300A3" w:themeColor="accent1" w:themeTint="BF"/>
      </w:tblBorders>
    </w:tblPr>
    <w:tblStylePr w:type="firstRow">
      <w:pPr>
        <w:spacing w:before="0" w:after="0" w:line="240" w:lineRule="auto"/>
      </w:pPr>
      <w:rPr>
        <w:b/>
        <w:bCs/>
        <w:color w:val="FFFFFF" w:themeColor="background1"/>
      </w:rPr>
      <w:tblPr/>
      <w:tcPr>
        <w:tcBorders>
          <w:top w:val="single" w:sz="8"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shd w:val="clear" w:color="auto" w:fill="2F002F" w:themeFill="accent1"/>
      </w:tcPr>
    </w:tblStylePr>
    <w:tblStylePr w:type="lastRow">
      <w:pPr>
        <w:spacing w:before="0" w:after="0" w:line="240" w:lineRule="auto"/>
      </w:pPr>
      <w:rPr>
        <w:b/>
        <w:bCs/>
      </w:rPr>
      <w:tblPr/>
      <w:tcPr>
        <w:tcBorders>
          <w:top w:val="double" w:sz="6" w:space="0" w:color="A300A3" w:themeColor="accent1" w:themeTint="BF"/>
          <w:left w:val="single" w:sz="8" w:space="0" w:color="A300A3" w:themeColor="accent1" w:themeTint="BF"/>
          <w:bottom w:val="single" w:sz="8" w:space="0" w:color="A300A3" w:themeColor="accent1" w:themeTint="BF"/>
          <w:right w:val="single" w:sz="8" w:space="0" w:color="A300A3" w:themeColor="accent1" w:themeTint="BF"/>
          <w:insideH w:val="nil"/>
          <w:insideV w:val="nil"/>
        </w:tcBorders>
      </w:tcPr>
    </w:tblStylePr>
    <w:tblStylePr w:type="firstCol">
      <w:rPr>
        <w:b/>
        <w:bCs/>
      </w:rPr>
    </w:tblStylePr>
    <w:tblStylePr w:type="lastCol">
      <w:rPr>
        <w:b/>
        <w:bCs/>
      </w:rPr>
    </w:tblStylePr>
    <w:tblStylePr w:type="band1Vert">
      <w:tblPr/>
      <w:tcPr>
        <w:shd w:val="clear" w:color="auto" w:fill="FF8CFF" w:themeFill="accent1" w:themeFillTint="3F"/>
      </w:tcPr>
    </w:tblStylePr>
    <w:tblStylePr w:type="band1Horz">
      <w:tblPr/>
      <w:tcPr>
        <w:tcBorders>
          <w:insideH w:val="nil"/>
          <w:insideV w:val="nil"/>
        </w:tcBorders>
        <w:shd w:val="clear" w:color="auto" w:fill="FF8CFF"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A871F4"/>
    <w:pPr>
      <w:spacing w:before="0"/>
    </w:pPr>
    <w:tblPr>
      <w:tblStyleRowBandSize w:val="1"/>
      <w:tblStyleColBandSize w:val="1"/>
      <w:tbl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single" w:sz="8" w:space="0" w:color="FF7111" w:themeColor="accent2" w:themeTint="BF"/>
      </w:tblBorders>
    </w:tblPr>
    <w:tblStylePr w:type="firstRow">
      <w:pPr>
        <w:spacing w:before="0" w:after="0" w:line="240" w:lineRule="auto"/>
      </w:pPr>
      <w:rPr>
        <w:b/>
        <w:bCs/>
        <w:color w:val="FFFFFF" w:themeColor="background1"/>
      </w:rPr>
      <w:tblPr/>
      <w:tcPr>
        <w:tcBorders>
          <w:top w:val="single" w:sz="8"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shd w:val="clear" w:color="auto" w:fill="C14E00" w:themeFill="accent2"/>
      </w:tcPr>
    </w:tblStylePr>
    <w:tblStylePr w:type="lastRow">
      <w:pPr>
        <w:spacing w:before="0" w:after="0" w:line="240" w:lineRule="auto"/>
      </w:pPr>
      <w:rPr>
        <w:b/>
        <w:bCs/>
      </w:rPr>
      <w:tblPr/>
      <w:tcPr>
        <w:tcBorders>
          <w:top w:val="double" w:sz="6" w:space="0" w:color="FF7111" w:themeColor="accent2" w:themeTint="BF"/>
          <w:left w:val="single" w:sz="8" w:space="0" w:color="FF7111" w:themeColor="accent2" w:themeTint="BF"/>
          <w:bottom w:val="single" w:sz="8" w:space="0" w:color="FF7111" w:themeColor="accent2" w:themeTint="BF"/>
          <w:right w:val="single" w:sz="8" w:space="0" w:color="FF7111" w:themeColor="accent2" w:themeTint="BF"/>
          <w:insideH w:val="nil"/>
          <w:insideV w:val="nil"/>
        </w:tcBorders>
      </w:tcPr>
    </w:tblStylePr>
    <w:tblStylePr w:type="firstCol">
      <w:rPr>
        <w:b/>
        <w:bCs/>
      </w:rPr>
    </w:tblStylePr>
    <w:tblStylePr w:type="lastCol">
      <w:rPr>
        <w:b/>
        <w:bCs/>
      </w:rPr>
    </w:tblStylePr>
    <w:tblStylePr w:type="band1Vert">
      <w:tblPr/>
      <w:tcPr>
        <w:shd w:val="clear" w:color="auto" w:fill="FFD0B0" w:themeFill="accent2" w:themeFillTint="3F"/>
      </w:tcPr>
    </w:tblStylePr>
    <w:tblStylePr w:type="band1Horz">
      <w:tblPr/>
      <w:tcPr>
        <w:tcBorders>
          <w:insideH w:val="nil"/>
          <w:insideV w:val="nil"/>
        </w:tcBorders>
        <w:shd w:val="clear" w:color="auto" w:fill="FFD0B0"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A871F4"/>
    <w:pPr>
      <w:spacing w:before="0"/>
    </w:pPr>
    <w:tblPr>
      <w:tblStyleRowBandSize w:val="1"/>
      <w:tblStyleColBandSize w:val="1"/>
      <w:tbl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single" w:sz="8" w:space="0" w:color="0042C7" w:themeColor="accent3" w:themeTint="BF"/>
      </w:tblBorders>
    </w:tblPr>
    <w:tblStylePr w:type="firstRow">
      <w:pPr>
        <w:spacing w:before="0" w:after="0" w:line="240" w:lineRule="auto"/>
      </w:pPr>
      <w:rPr>
        <w:b/>
        <w:bCs/>
        <w:color w:val="FFFFFF" w:themeColor="background1"/>
      </w:rPr>
      <w:tblPr/>
      <w:tcPr>
        <w:tcBorders>
          <w:top w:val="single" w:sz="8"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shd w:val="clear" w:color="auto" w:fill="002060" w:themeFill="accent3"/>
      </w:tcPr>
    </w:tblStylePr>
    <w:tblStylePr w:type="lastRow">
      <w:pPr>
        <w:spacing w:before="0" w:after="0" w:line="240" w:lineRule="auto"/>
      </w:pPr>
      <w:rPr>
        <w:b/>
        <w:bCs/>
      </w:rPr>
      <w:tblPr/>
      <w:tcPr>
        <w:tcBorders>
          <w:top w:val="double" w:sz="6" w:space="0" w:color="0042C7" w:themeColor="accent3" w:themeTint="BF"/>
          <w:left w:val="single" w:sz="8" w:space="0" w:color="0042C7" w:themeColor="accent3" w:themeTint="BF"/>
          <w:bottom w:val="single" w:sz="8" w:space="0" w:color="0042C7" w:themeColor="accent3" w:themeTint="BF"/>
          <w:right w:val="single" w:sz="8" w:space="0" w:color="0042C7" w:themeColor="accent3" w:themeTint="BF"/>
          <w:insideH w:val="nil"/>
          <w:insideV w:val="nil"/>
        </w:tcBorders>
      </w:tcPr>
    </w:tblStylePr>
    <w:tblStylePr w:type="firstCol">
      <w:rPr>
        <w:b/>
        <w:bCs/>
      </w:rPr>
    </w:tblStylePr>
    <w:tblStylePr w:type="lastCol">
      <w:rPr>
        <w:b/>
        <w:bCs/>
      </w:rPr>
    </w:tblStylePr>
    <w:tblStylePr w:type="band1Vert">
      <w:tblPr/>
      <w:tcPr>
        <w:shd w:val="clear" w:color="auto" w:fill="98BAFF" w:themeFill="accent3" w:themeFillTint="3F"/>
      </w:tcPr>
    </w:tblStylePr>
    <w:tblStylePr w:type="band1Horz">
      <w:tblPr/>
      <w:tcPr>
        <w:tcBorders>
          <w:insideH w:val="nil"/>
          <w:insideV w:val="nil"/>
        </w:tcBorders>
        <w:shd w:val="clear" w:color="auto" w:fill="98BAFF"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A871F4"/>
    <w:pPr>
      <w:spacing w:before="0"/>
    </w:pPr>
    <w:tblPr>
      <w:tblStyleRowBandSize w:val="1"/>
      <w:tblStyleColBandSize w:val="1"/>
      <w:tbl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single" w:sz="8" w:space="0" w:color="FF1010" w:themeColor="accent4" w:themeTint="BF"/>
      </w:tblBorders>
    </w:tblPr>
    <w:tblStylePr w:type="firstRow">
      <w:pPr>
        <w:spacing w:before="0" w:after="0" w:line="240" w:lineRule="auto"/>
      </w:pPr>
      <w:rPr>
        <w:b/>
        <w:bCs/>
        <w:color w:val="FFFFFF" w:themeColor="background1"/>
      </w:rPr>
      <w:tblPr/>
      <w:tcPr>
        <w:tcBorders>
          <w:top w:val="single" w:sz="8"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shd w:val="clear" w:color="auto" w:fill="C00000" w:themeFill="accent4"/>
      </w:tcPr>
    </w:tblStylePr>
    <w:tblStylePr w:type="lastRow">
      <w:pPr>
        <w:spacing w:before="0" w:after="0" w:line="240" w:lineRule="auto"/>
      </w:pPr>
      <w:rPr>
        <w:b/>
        <w:bCs/>
      </w:rPr>
      <w:tblPr/>
      <w:tcPr>
        <w:tcBorders>
          <w:top w:val="double" w:sz="6" w:space="0" w:color="FF1010" w:themeColor="accent4" w:themeTint="BF"/>
          <w:left w:val="single" w:sz="8" w:space="0" w:color="FF1010" w:themeColor="accent4" w:themeTint="BF"/>
          <w:bottom w:val="single" w:sz="8" w:space="0" w:color="FF1010" w:themeColor="accent4" w:themeTint="BF"/>
          <w:right w:val="single" w:sz="8" w:space="0" w:color="FF1010" w:themeColor="accent4" w:themeTint="BF"/>
          <w:insideH w:val="nil"/>
          <w:insideV w:val="nil"/>
        </w:tcBorders>
      </w:tcPr>
    </w:tblStylePr>
    <w:tblStylePr w:type="firstCol">
      <w:rPr>
        <w:b/>
        <w:bCs/>
      </w:rPr>
    </w:tblStylePr>
    <w:tblStylePr w:type="lastCol">
      <w:rPr>
        <w:b/>
        <w:bCs/>
      </w:rPr>
    </w:tblStylePr>
    <w:tblStylePr w:type="band1Vert">
      <w:tblPr/>
      <w:tcPr>
        <w:shd w:val="clear" w:color="auto" w:fill="FFB0B0" w:themeFill="accent4" w:themeFillTint="3F"/>
      </w:tcPr>
    </w:tblStylePr>
    <w:tblStylePr w:type="band1Horz">
      <w:tblPr/>
      <w:tcPr>
        <w:tcBorders>
          <w:insideH w:val="nil"/>
          <w:insideV w:val="nil"/>
        </w:tcBorders>
        <w:shd w:val="clear" w:color="auto" w:fill="FFB0B0"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A871F4"/>
    <w:pPr>
      <w:spacing w:before="0"/>
    </w:pPr>
    <w:tblPr>
      <w:tblStyleRowBandSize w:val="1"/>
      <w:tblStyleColBandSize w:val="1"/>
      <w:tbl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single" w:sz="8" w:space="0" w:color="404040" w:themeColor="accent5" w:themeTint="BF"/>
      </w:tblBorders>
    </w:tblPr>
    <w:tblStylePr w:type="firstRow">
      <w:pPr>
        <w:spacing w:before="0" w:after="0" w:line="240" w:lineRule="auto"/>
      </w:pPr>
      <w:rPr>
        <w:b/>
        <w:bCs/>
        <w:color w:val="FFFFFF" w:themeColor="background1"/>
      </w:rPr>
      <w:tblPr/>
      <w:tcPr>
        <w:tcBorders>
          <w:top w:val="single" w:sz="8"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shd w:val="clear" w:color="auto" w:fill="000000" w:themeFill="accent5"/>
      </w:tcPr>
    </w:tblStylePr>
    <w:tblStylePr w:type="lastRow">
      <w:pPr>
        <w:spacing w:before="0" w:after="0" w:line="240" w:lineRule="auto"/>
      </w:pPr>
      <w:rPr>
        <w:b/>
        <w:bCs/>
      </w:rPr>
      <w:tblPr/>
      <w:tcPr>
        <w:tcBorders>
          <w:top w:val="double" w:sz="6" w:space="0" w:color="404040" w:themeColor="accent5" w:themeTint="BF"/>
          <w:left w:val="single" w:sz="8" w:space="0" w:color="404040" w:themeColor="accent5" w:themeTint="BF"/>
          <w:bottom w:val="single" w:sz="8" w:space="0" w:color="404040" w:themeColor="accent5" w:themeTint="BF"/>
          <w:right w:val="single" w:sz="8" w:space="0" w:color="404040" w:themeColor="accent5" w:themeTint="BF"/>
          <w:insideH w:val="nil"/>
          <w:insideV w:val="nil"/>
        </w:tcBorders>
      </w:tcPr>
    </w:tblStylePr>
    <w:tblStylePr w:type="firstCol">
      <w:rPr>
        <w:b/>
        <w:bCs/>
      </w:rPr>
    </w:tblStylePr>
    <w:tblStylePr w:type="lastCol">
      <w:rPr>
        <w:b/>
        <w:bCs/>
      </w:rPr>
    </w:tblStylePr>
    <w:tblStylePr w:type="band1Vert">
      <w:tblPr/>
      <w:tcPr>
        <w:shd w:val="clear" w:color="auto" w:fill="C0C0C0" w:themeFill="accent5" w:themeFillTint="3F"/>
      </w:tcPr>
    </w:tblStylePr>
    <w:tblStylePr w:type="band1Horz">
      <w:tblPr/>
      <w:tcPr>
        <w:tcBorders>
          <w:insideH w:val="nil"/>
          <w:insideV w:val="nil"/>
        </w:tcBorders>
        <w:shd w:val="clear" w:color="auto" w:fill="C0C0C0" w:themeFill="accent5" w:themeFillTint="3F"/>
      </w:tcPr>
    </w:tblStylePr>
    <w:tblStylePr w:type="band2Horz">
      <w:tblPr/>
      <w:tcPr>
        <w:tcBorders>
          <w:insideH w:val="nil"/>
          <w:insideV w:val="nil"/>
        </w:tcBorders>
      </w:tcPr>
    </w:tblStylePr>
  </w:style>
  <w:style w:type="table" w:styleId="LightList">
    <w:name w:val="Light List"/>
    <w:basedOn w:val="TableNormal"/>
    <w:uiPriority w:val="61"/>
    <w:rsid w:val="00A871F4"/>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tblBorders>
    </w:tblPr>
    <w:tblStylePr w:type="firstRow">
      <w:pPr>
        <w:spacing w:before="0" w:after="0" w:line="240" w:lineRule="auto"/>
      </w:pPr>
      <w:rPr>
        <w:b/>
        <w:bCs/>
        <w:color w:val="FFFFFF" w:themeColor="background1"/>
      </w:rPr>
      <w:tblPr/>
      <w:tcPr>
        <w:shd w:val="clear" w:color="auto" w:fill="076A92" w:themeFill="text1"/>
      </w:tcPr>
    </w:tblStylePr>
    <w:tblStylePr w:type="lastRow">
      <w:pPr>
        <w:spacing w:before="0" w:after="0" w:line="240" w:lineRule="auto"/>
      </w:pPr>
      <w:rPr>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tcBorders>
      </w:tcPr>
    </w:tblStylePr>
    <w:tblStylePr w:type="firstCol">
      <w:rPr>
        <w:b/>
        <w:bCs/>
      </w:rPr>
    </w:tblStylePr>
    <w:tblStylePr w:type="lastCol">
      <w:rPr>
        <w:b/>
        <w:bCs/>
      </w:r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style>
  <w:style w:type="table" w:styleId="LightShading-Accent5">
    <w:name w:val="Light Shading Accent 5"/>
    <w:basedOn w:val="TableNormal"/>
    <w:uiPriority w:val="60"/>
    <w:rsid w:val="00A871F4"/>
    <w:pPr>
      <w:spacing w:before="0"/>
    </w:pPr>
    <w:rPr>
      <w:color w:val="000000" w:themeColor="accent5" w:themeShade="BF"/>
    </w:rPr>
    <w:tblPr>
      <w:tblStyleRowBandSize w:val="1"/>
      <w:tblStyleColBandSize w:val="1"/>
      <w:tblBorders>
        <w:top w:val="single" w:sz="8" w:space="0" w:color="000000" w:themeColor="accent5"/>
        <w:bottom w:val="single" w:sz="8" w:space="0" w:color="000000" w:themeColor="accent5"/>
      </w:tblBorders>
    </w:tblPr>
    <w:tblStylePr w:type="fir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lastRow">
      <w:pPr>
        <w:spacing w:before="0" w:after="0" w:line="240" w:lineRule="auto"/>
      </w:pPr>
      <w:rPr>
        <w:b/>
        <w:bCs/>
      </w:rPr>
      <w:tblPr/>
      <w:tcPr>
        <w:tcBorders>
          <w:top w:val="single" w:sz="8" w:space="0" w:color="000000" w:themeColor="accent5"/>
          <w:left w:val="nil"/>
          <w:bottom w:val="single" w:sz="8" w:space="0" w:color="000000"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accent5" w:themeFillTint="3F"/>
      </w:tcPr>
    </w:tblStylePr>
    <w:tblStylePr w:type="band1Horz">
      <w:tblPr/>
      <w:tcPr>
        <w:tcBorders>
          <w:left w:val="nil"/>
          <w:right w:val="nil"/>
          <w:insideH w:val="nil"/>
          <w:insideV w:val="nil"/>
        </w:tcBorders>
        <w:shd w:val="clear" w:color="auto" w:fill="C0C0C0" w:themeFill="accent5" w:themeFillTint="3F"/>
      </w:tcPr>
    </w:tblStylePr>
  </w:style>
  <w:style w:type="table" w:styleId="LightGrid-Accent3">
    <w:name w:val="Light Grid Accent 3"/>
    <w:basedOn w:val="TableNormal"/>
    <w:uiPriority w:val="62"/>
    <w:rsid w:val="00A871F4"/>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insideH w:val="single" w:sz="8" w:space="0" w:color="002060" w:themeColor="accent3"/>
        <w:insideV w:val="single" w:sz="8" w:space="0" w:color="002060" w:themeColor="accent3"/>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18" w:space="0" w:color="002060" w:themeColor="accent3"/>
          <w:right w:val="single" w:sz="8" w:space="0" w:color="002060" w:themeColor="accent3"/>
          <w:insideH w:val="nil"/>
          <w:insideV w:val="single" w:sz="8" w:space="0" w:color="002060"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insideH w:val="nil"/>
          <w:insideV w:val="single" w:sz="8" w:space="0" w:color="002060"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shd w:val="clear" w:color="auto" w:fill="98BAFF" w:themeFill="accent3" w:themeFillTint="3F"/>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shd w:val="clear" w:color="auto" w:fill="98BAFF" w:themeFill="accent3" w:themeFillTint="3F"/>
      </w:tcPr>
    </w:tblStylePr>
    <w:tblStylePr w:type="band2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insideV w:val="single" w:sz="8" w:space="0" w:color="002060" w:themeColor="accent3"/>
        </w:tcBorders>
      </w:tcPr>
    </w:tblStylePr>
  </w:style>
  <w:style w:type="paragraph" w:styleId="Bibliography">
    <w:name w:val="Bibliography"/>
    <w:basedOn w:val="Normal"/>
    <w:next w:val="Normal"/>
    <w:uiPriority w:val="37"/>
    <w:semiHidden/>
    <w:rsid w:val="00EE28F3"/>
  </w:style>
  <w:style w:type="paragraph" w:styleId="BodyText3">
    <w:name w:val="Body Text 3"/>
    <w:basedOn w:val="Normal"/>
    <w:link w:val="BodyText3Char"/>
    <w:unhideWhenUsed/>
    <w:rsid w:val="005C26CC"/>
    <w:pPr>
      <w:spacing w:after="120"/>
    </w:pPr>
    <w:rPr>
      <w:szCs w:val="16"/>
    </w:rPr>
  </w:style>
  <w:style w:type="character" w:customStyle="1" w:styleId="BodyText3Char">
    <w:name w:val="Body Text 3 Char"/>
    <w:basedOn w:val="DefaultParagraphFont"/>
    <w:link w:val="BodyText3"/>
    <w:uiPriority w:val="99"/>
    <w:rsid w:val="005C26CC"/>
    <w:rPr>
      <w:rFonts w:ascii="Arial" w:hAnsi="Arial"/>
      <w:szCs w:val="16"/>
    </w:rPr>
  </w:style>
  <w:style w:type="paragraph" w:styleId="TOC1">
    <w:name w:val="toc 1"/>
    <w:basedOn w:val="Normal"/>
    <w:next w:val="Normal"/>
    <w:autoRedefine/>
    <w:uiPriority w:val="39"/>
    <w:qFormat/>
    <w:rsid w:val="005B704A"/>
    <w:pPr>
      <w:tabs>
        <w:tab w:val="left" w:pos="426"/>
        <w:tab w:val="right" w:leader="dot" w:pos="8364"/>
      </w:tabs>
      <w:spacing w:after="100"/>
    </w:pPr>
    <w:rPr>
      <w:b/>
      <w:noProof/>
      <w:color w:val="70635A" w:themeColor="text2"/>
      <w:sz w:val="24"/>
      <w:lang w:val="en-US" w:eastAsia="ja-JP"/>
    </w:rPr>
  </w:style>
  <w:style w:type="paragraph" w:styleId="TOC2">
    <w:name w:val="toc 2"/>
    <w:basedOn w:val="Normal"/>
    <w:next w:val="Normal"/>
    <w:uiPriority w:val="39"/>
    <w:qFormat/>
    <w:rsid w:val="005D7BA2"/>
    <w:pPr>
      <w:tabs>
        <w:tab w:val="left" w:pos="880"/>
        <w:tab w:val="right" w:leader="dot" w:pos="8363"/>
      </w:tabs>
      <w:spacing w:after="100"/>
      <w:ind w:left="425"/>
    </w:pPr>
    <w:rPr>
      <w:b/>
      <w:noProof/>
      <w:color w:val="70635A" w:themeColor="text2"/>
      <w:sz w:val="24"/>
    </w:rPr>
  </w:style>
  <w:style w:type="paragraph" w:styleId="TOC3">
    <w:name w:val="toc 3"/>
    <w:basedOn w:val="Normal"/>
    <w:next w:val="Normal"/>
    <w:uiPriority w:val="39"/>
    <w:qFormat/>
    <w:rsid w:val="005D7BA2"/>
    <w:pPr>
      <w:tabs>
        <w:tab w:val="left" w:pos="1760"/>
        <w:tab w:val="right" w:leader="dot" w:pos="8363"/>
      </w:tabs>
      <w:spacing w:after="100"/>
      <w:ind w:left="851"/>
    </w:pPr>
    <w:rPr>
      <w:noProof/>
    </w:rPr>
  </w:style>
  <w:style w:type="paragraph" w:styleId="Title">
    <w:name w:val="Title"/>
    <w:basedOn w:val="Normal"/>
    <w:next w:val="Normal"/>
    <w:link w:val="TitleChar"/>
    <w:qFormat/>
    <w:rsid w:val="00174102"/>
    <w:pPr>
      <w:spacing w:before="720" w:after="120"/>
      <w:contextualSpacing/>
      <w:outlineLvl w:val="0"/>
    </w:pPr>
    <w:rPr>
      <w:rFonts w:asciiTheme="majorHAnsi" w:eastAsiaTheme="majorEastAsia" w:hAnsiTheme="majorHAnsi" w:cstheme="majorBidi"/>
      <w:color w:val="C14E00" w:themeColor="accent2"/>
      <w:spacing w:val="5"/>
      <w:kern w:val="28"/>
      <w:sz w:val="72"/>
      <w:szCs w:val="52"/>
    </w:rPr>
  </w:style>
  <w:style w:type="character" w:customStyle="1" w:styleId="TitleChar">
    <w:name w:val="Title Char"/>
    <w:basedOn w:val="DefaultParagraphFont"/>
    <w:link w:val="Title"/>
    <w:uiPriority w:val="10"/>
    <w:rsid w:val="00174102"/>
    <w:rPr>
      <w:rFonts w:asciiTheme="majorHAnsi" w:eastAsiaTheme="majorEastAsia" w:hAnsiTheme="majorHAnsi" w:cstheme="majorBidi"/>
      <w:color w:val="C14E00" w:themeColor="accent2"/>
      <w:spacing w:val="5"/>
      <w:kern w:val="28"/>
      <w:sz w:val="72"/>
      <w:szCs w:val="52"/>
    </w:rPr>
  </w:style>
  <w:style w:type="character" w:styleId="BookTitle">
    <w:name w:val="Book Title"/>
    <w:uiPriority w:val="33"/>
    <w:rsid w:val="0081034E"/>
    <w:rPr>
      <w:rFonts w:ascii="Arial" w:hAnsi="Arial"/>
      <w:bCs/>
      <w:i/>
      <w:caps w:val="0"/>
      <w:smallCaps w:val="0"/>
      <w:spacing w:val="0"/>
      <w:sz w:val="22"/>
    </w:rPr>
  </w:style>
  <w:style w:type="table" w:styleId="LightList-Accent1">
    <w:name w:val="Light List Accent 1"/>
    <w:basedOn w:val="TableNormal"/>
    <w:uiPriority w:val="61"/>
    <w:rsid w:val="0081034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tblBorders>
    </w:tblPr>
    <w:tblStylePr w:type="firstRow">
      <w:pPr>
        <w:spacing w:before="0" w:after="0" w:line="240" w:lineRule="auto"/>
      </w:pPr>
      <w:rPr>
        <w:b/>
        <w:bCs/>
        <w:color w:val="FFFFFF" w:themeColor="background1"/>
      </w:rPr>
      <w:tblPr/>
      <w:tcPr>
        <w:shd w:val="clear" w:color="auto" w:fill="2F002F" w:themeFill="accent1"/>
      </w:tcPr>
    </w:tblStylePr>
    <w:tblStylePr w:type="lastRow">
      <w:pPr>
        <w:spacing w:before="0" w:after="0" w:line="240" w:lineRule="auto"/>
      </w:pPr>
      <w:rPr>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tcBorders>
      </w:tcPr>
    </w:tblStylePr>
    <w:tblStylePr w:type="firstCol">
      <w:rPr>
        <w:b/>
        <w:bCs/>
      </w:rPr>
    </w:tblStylePr>
    <w:tblStylePr w:type="lastCol">
      <w:rPr>
        <w:b/>
        <w:bCs/>
      </w:r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style>
  <w:style w:type="table" w:styleId="LightList-Accent3">
    <w:name w:val="Light List Accent 3"/>
    <w:basedOn w:val="TableNormal"/>
    <w:uiPriority w:val="61"/>
    <w:rsid w:val="0081034E"/>
    <w:pPr>
      <w:spacing w:before="0"/>
    </w:pPr>
    <w:tblPr>
      <w:tblStyleRowBandSize w:val="1"/>
      <w:tblStyleColBandSize w:val="1"/>
      <w:tblBorders>
        <w:top w:val="single" w:sz="8" w:space="0" w:color="002060" w:themeColor="accent3"/>
        <w:left w:val="single" w:sz="8" w:space="0" w:color="002060" w:themeColor="accent3"/>
        <w:bottom w:val="single" w:sz="8" w:space="0" w:color="002060" w:themeColor="accent3"/>
        <w:right w:val="single" w:sz="8" w:space="0" w:color="002060" w:themeColor="accent3"/>
      </w:tblBorders>
    </w:tblPr>
    <w:tblStylePr w:type="firstRow">
      <w:pPr>
        <w:spacing w:before="0" w:after="0" w:line="240" w:lineRule="auto"/>
      </w:pPr>
      <w:rPr>
        <w:b/>
        <w:bCs/>
        <w:color w:val="FFFFFF" w:themeColor="background1"/>
      </w:rPr>
      <w:tblPr/>
      <w:tcPr>
        <w:shd w:val="clear" w:color="auto" w:fill="002060" w:themeFill="accent3"/>
      </w:tcPr>
    </w:tblStylePr>
    <w:tblStylePr w:type="lastRow">
      <w:pPr>
        <w:spacing w:before="0" w:after="0" w:line="240" w:lineRule="auto"/>
      </w:pPr>
      <w:rPr>
        <w:b/>
        <w:bCs/>
      </w:rPr>
      <w:tblPr/>
      <w:tcPr>
        <w:tcBorders>
          <w:top w:val="double" w:sz="6" w:space="0" w:color="002060" w:themeColor="accent3"/>
          <w:left w:val="single" w:sz="8" w:space="0" w:color="002060" w:themeColor="accent3"/>
          <w:bottom w:val="single" w:sz="8" w:space="0" w:color="002060" w:themeColor="accent3"/>
          <w:right w:val="single" w:sz="8" w:space="0" w:color="002060" w:themeColor="accent3"/>
        </w:tcBorders>
      </w:tcPr>
    </w:tblStylePr>
    <w:tblStylePr w:type="firstCol">
      <w:rPr>
        <w:b/>
        <w:bCs/>
      </w:rPr>
    </w:tblStylePr>
    <w:tblStylePr w:type="lastCol">
      <w:rPr>
        <w:b/>
        <w:bCs/>
      </w:rPr>
    </w:tblStylePr>
    <w:tblStylePr w:type="band1Vert">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tblStylePr w:type="band1Horz">
      <w:tblPr/>
      <w:tcPr>
        <w:tcBorders>
          <w:top w:val="single" w:sz="8" w:space="0" w:color="002060" w:themeColor="accent3"/>
          <w:left w:val="single" w:sz="8" w:space="0" w:color="002060" w:themeColor="accent3"/>
          <w:bottom w:val="single" w:sz="8" w:space="0" w:color="002060" w:themeColor="accent3"/>
          <w:right w:val="single" w:sz="8" w:space="0" w:color="002060" w:themeColor="accent3"/>
        </w:tcBorders>
      </w:tcPr>
    </w:tblStylePr>
  </w:style>
  <w:style w:type="table" w:styleId="LightList-Accent5">
    <w:name w:val="Light List Accent 5"/>
    <w:basedOn w:val="TableNormal"/>
    <w:uiPriority w:val="61"/>
    <w:rsid w:val="005B1E3C"/>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tblBorders>
    </w:tblPr>
    <w:tblStylePr w:type="firstRow">
      <w:pPr>
        <w:spacing w:before="0" w:after="0" w:line="240" w:lineRule="auto"/>
      </w:pPr>
      <w:rPr>
        <w:b/>
        <w:bCs/>
        <w:color w:val="auto"/>
      </w:rPr>
      <w:tblPr/>
      <w:tcPr>
        <w:shd w:val="clear" w:color="auto" w:fill="000000" w:themeFill="accent5"/>
      </w:tcPr>
    </w:tblStylePr>
    <w:tblStylePr w:type="lastRow">
      <w:pPr>
        <w:spacing w:before="0" w:after="0" w:line="240" w:lineRule="auto"/>
      </w:pPr>
      <w:rPr>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tcBorders>
      </w:tcPr>
    </w:tblStylePr>
    <w:tblStylePr w:type="firstCol">
      <w:rPr>
        <w:b/>
        <w:bCs/>
      </w:rPr>
    </w:tblStylePr>
    <w:tblStylePr w:type="lastCol">
      <w:rPr>
        <w:b/>
        <w:bCs/>
      </w:r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style>
  <w:style w:type="character" w:styleId="Emphasis">
    <w:name w:val="Emphasis"/>
    <w:basedOn w:val="DefaultParagraphFont"/>
    <w:uiPriority w:val="20"/>
    <w:qFormat/>
    <w:rsid w:val="00701CAB"/>
    <w:rPr>
      <w:i/>
      <w:iCs/>
    </w:rPr>
  </w:style>
  <w:style w:type="paragraph" w:styleId="NormalIndent">
    <w:name w:val="Normal Indent"/>
    <w:basedOn w:val="Normal"/>
    <w:uiPriority w:val="1"/>
    <w:rsid w:val="00202E03"/>
    <w:pPr>
      <w:tabs>
        <w:tab w:val="left" w:pos="680"/>
      </w:tabs>
      <w:ind w:left="680"/>
    </w:pPr>
  </w:style>
  <w:style w:type="paragraph" w:styleId="FootnoteText">
    <w:name w:val="footnote text"/>
    <w:aliases w:val="Footnote Text1,Footnote Text2,ALTS FOOTNOTE2,Footnote Text11,(NECG) Footnote Text,(NECG) Footnote Text1,ALTS FOOTNOTE,Footnote text,AR Footnote Text,AR Footnote Text Char Char Char Char Char Char,AR Footnote Text Char Char Char Char Char,f"/>
    <w:basedOn w:val="Normal"/>
    <w:link w:val="FootnoteTextChar"/>
    <w:uiPriority w:val="99"/>
    <w:unhideWhenUsed/>
    <w:qFormat/>
    <w:rsid w:val="00DE1093"/>
    <w:pPr>
      <w:tabs>
        <w:tab w:val="left" w:pos="340"/>
      </w:tabs>
      <w:spacing w:before="0" w:line="240" w:lineRule="exact"/>
      <w:ind w:left="340" w:hanging="340"/>
    </w:pPr>
    <w:rPr>
      <w:sz w:val="16"/>
      <w:szCs w:val="20"/>
    </w:rPr>
  </w:style>
  <w:style w:type="character" w:customStyle="1" w:styleId="FootnoteTextChar">
    <w:name w:val="Footnote Text Char"/>
    <w:aliases w:val="Footnote Text1 Char,Footnote Text2 Char,ALTS FOOTNOTE2 Char,Footnote Text11 Char,(NECG) Footnote Text Char,(NECG) Footnote Text1 Char,ALTS FOOTNOTE Char,Footnote text Char,AR Footnote Text Char,f Char"/>
    <w:basedOn w:val="DefaultParagraphFont"/>
    <w:link w:val="FootnoteText"/>
    <w:uiPriority w:val="99"/>
    <w:rsid w:val="00DE1093"/>
    <w:rPr>
      <w:rFonts w:ascii="Arial" w:hAnsi="Arial"/>
      <w:sz w:val="16"/>
      <w:szCs w:val="20"/>
    </w:rPr>
  </w:style>
  <w:style w:type="character" w:styleId="FootnoteReference">
    <w:name w:val="footnote reference"/>
    <w:aliases w:val="(NECG) Footnote Reference,(NECG) Footnote Reference1,(NECG) Footnote Reference2,(NECG) Footnote Reference3,(NECG) Footnote Reference4,(NECG) Footnote Reference5,(NECG) Footnote Reference6,(NECG) Footnote Reference7,o,Style 3,Style 12"/>
    <w:basedOn w:val="DefaultParagraphFont"/>
    <w:uiPriority w:val="99"/>
    <w:unhideWhenUsed/>
    <w:rsid w:val="00701CAB"/>
    <w:rPr>
      <w:vertAlign w:val="superscript"/>
    </w:rPr>
  </w:style>
  <w:style w:type="character" w:styleId="Strong">
    <w:name w:val="Strong"/>
    <w:aliases w:val="AER text bold"/>
    <w:basedOn w:val="DefaultParagraphFont"/>
    <w:uiPriority w:val="22"/>
    <w:qFormat/>
    <w:rsid w:val="00EF5110"/>
    <w:rPr>
      <w:b/>
      <w:bCs/>
    </w:rPr>
  </w:style>
  <w:style w:type="paragraph" w:styleId="Subtitle">
    <w:name w:val="Subtitle"/>
    <w:basedOn w:val="Normal"/>
    <w:next w:val="Normal"/>
    <w:link w:val="SubtitleChar"/>
    <w:uiPriority w:val="11"/>
    <w:rsid w:val="00CA489E"/>
    <w:pPr>
      <w:numPr>
        <w:ilvl w:val="1"/>
      </w:numPr>
    </w:pPr>
    <w:rPr>
      <w:rFonts w:asciiTheme="majorHAnsi" w:eastAsiaTheme="majorEastAsia" w:hAnsiTheme="majorHAnsi" w:cstheme="majorBidi"/>
      <w:i/>
      <w:iCs/>
      <w:color w:val="2F002F" w:themeColor="accent1"/>
      <w:spacing w:val="15"/>
      <w:sz w:val="24"/>
      <w:szCs w:val="24"/>
    </w:rPr>
  </w:style>
  <w:style w:type="character" w:customStyle="1" w:styleId="SubtitleChar">
    <w:name w:val="Subtitle Char"/>
    <w:basedOn w:val="DefaultParagraphFont"/>
    <w:link w:val="Subtitle"/>
    <w:uiPriority w:val="11"/>
    <w:rsid w:val="00CA489E"/>
    <w:rPr>
      <w:rFonts w:asciiTheme="majorHAnsi" w:eastAsiaTheme="majorEastAsia" w:hAnsiTheme="majorHAnsi" w:cstheme="majorBidi"/>
      <w:i/>
      <w:iCs/>
      <w:color w:val="2F002F" w:themeColor="accent1"/>
      <w:spacing w:val="15"/>
      <w:sz w:val="24"/>
      <w:szCs w:val="24"/>
    </w:rPr>
  </w:style>
  <w:style w:type="table" w:styleId="LightShading-Accent4">
    <w:name w:val="Light Shading Accent 4"/>
    <w:basedOn w:val="TableNormal"/>
    <w:uiPriority w:val="60"/>
    <w:rsid w:val="00746E01"/>
    <w:pPr>
      <w:spacing w:before="0"/>
    </w:pPr>
    <w:rPr>
      <w:color w:val="8F0000" w:themeColor="accent4" w:themeShade="BF"/>
    </w:rPr>
    <w:tblPr>
      <w:tblStyleRowBandSize w:val="1"/>
      <w:tblStyleColBandSize w:val="1"/>
      <w:tblBorders>
        <w:top w:val="single" w:sz="8" w:space="0" w:color="C00000" w:themeColor="accent4"/>
        <w:bottom w:val="single" w:sz="8" w:space="0" w:color="C00000" w:themeColor="accent4"/>
      </w:tblBorders>
    </w:tblPr>
    <w:tblStylePr w:type="fir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lastRow">
      <w:pPr>
        <w:spacing w:before="0" w:after="0" w:line="240" w:lineRule="auto"/>
      </w:pPr>
      <w:rPr>
        <w:b/>
        <w:bCs/>
      </w:rPr>
      <w:tblPr/>
      <w:tcPr>
        <w:tcBorders>
          <w:top w:val="single" w:sz="8" w:space="0" w:color="C00000" w:themeColor="accent4"/>
          <w:left w:val="nil"/>
          <w:bottom w:val="single" w:sz="8" w:space="0" w:color="C00000"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FB0B0" w:themeFill="accent4" w:themeFillTint="3F"/>
      </w:tcPr>
    </w:tblStylePr>
    <w:tblStylePr w:type="band1Horz">
      <w:tblPr/>
      <w:tcPr>
        <w:tcBorders>
          <w:left w:val="nil"/>
          <w:right w:val="nil"/>
          <w:insideH w:val="nil"/>
          <w:insideV w:val="nil"/>
        </w:tcBorders>
        <w:shd w:val="clear" w:color="auto" w:fill="FFB0B0" w:themeFill="accent4" w:themeFillTint="3F"/>
      </w:tcPr>
    </w:tblStylePr>
  </w:style>
  <w:style w:type="table" w:styleId="LightShading-Accent6">
    <w:name w:val="Light Shading Accent 6"/>
    <w:basedOn w:val="TableNormal"/>
    <w:uiPriority w:val="60"/>
    <w:rsid w:val="00746E01"/>
    <w:pPr>
      <w:spacing w:before="0"/>
    </w:pPr>
    <w:rPr>
      <w:color w:val="53242C" w:themeColor="accent6" w:themeShade="BF"/>
    </w:rPr>
    <w:tblPr>
      <w:tblStyleRowBandSize w:val="1"/>
      <w:tblStyleColBandSize w:val="1"/>
      <w:tblBorders>
        <w:top w:val="single" w:sz="8" w:space="0" w:color="70303C" w:themeColor="accent6"/>
        <w:bottom w:val="single" w:sz="8" w:space="0" w:color="70303C" w:themeColor="accent6"/>
      </w:tblBorders>
    </w:tblPr>
    <w:tblStylePr w:type="fir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lastRow">
      <w:pPr>
        <w:spacing w:before="0" w:after="0" w:line="240" w:lineRule="auto"/>
      </w:pPr>
      <w:rPr>
        <w:b/>
        <w:bCs/>
      </w:rPr>
      <w:tblPr/>
      <w:tcPr>
        <w:tcBorders>
          <w:top w:val="single" w:sz="8" w:space="0" w:color="70303C" w:themeColor="accent6"/>
          <w:left w:val="nil"/>
          <w:bottom w:val="single" w:sz="8" w:space="0" w:color="70303C"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5C2C8" w:themeFill="accent6" w:themeFillTint="3F"/>
      </w:tcPr>
    </w:tblStylePr>
    <w:tblStylePr w:type="band1Horz">
      <w:tblPr/>
      <w:tcPr>
        <w:tcBorders>
          <w:left w:val="nil"/>
          <w:right w:val="nil"/>
          <w:insideH w:val="nil"/>
          <w:insideV w:val="nil"/>
        </w:tcBorders>
        <w:shd w:val="clear" w:color="auto" w:fill="E5C2C8" w:themeFill="accent6" w:themeFillTint="3F"/>
      </w:tcPr>
    </w:tblStylePr>
  </w:style>
  <w:style w:type="paragraph" w:styleId="TOC4">
    <w:name w:val="toc 4"/>
    <w:basedOn w:val="Normal"/>
    <w:next w:val="Normal"/>
    <w:rsid w:val="005D7BA2"/>
    <w:pPr>
      <w:tabs>
        <w:tab w:val="right" w:leader="dot" w:pos="8363"/>
      </w:tabs>
      <w:spacing w:after="100"/>
      <w:ind w:left="1276"/>
    </w:pPr>
    <w:rPr>
      <w:noProof/>
    </w:rPr>
  </w:style>
  <w:style w:type="paragraph" w:styleId="TOC5">
    <w:name w:val="toc 5"/>
    <w:basedOn w:val="Normal"/>
    <w:next w:val="Normal"/>
    <w:rsid w:val="005D7BA2"/>
    <w:pPr>
      <w:tabs>
        <w:tab w:val="right" w:leader="dot" w:pos="8363"/>
      </w:tabs>
      <w:spacing w:after="100"/>
      <w:ind w:left="1701"/>
    </w:pPr>
    <w:rPr>
      <w:noProof/>
    </w:rPr>
  </w:style>
  <w:style w:type="paragraph" w:styleId="TOC6">
    <w:name w:val="toc 6"/>
    <w:basedOn w:val="Normal"/>
    <w:next w:val="Normal"/>
    <w:rsid w:val="005D7BA2"/>
    <w:pPr>
      <w:tabs>
        <w:tab w:val="right" w:leader="dot" w:pos="8363"/>
      </w:tabs>
      <w:spacing w:after="100"/>
      <w:ind w:left="2126"/>
    </w:pPr>
    <w:rPr>
      <w:noProof/>
    </w:rPr>
  </w:style>
  <w:style w:type="paragraph" w:styleId="TOC7">
    <w:name w:val="toc 7"/>
    <w:basedOn w:val="Normal"/>
    <w:next w:val="Normal"/>
    <w:rsid w:val="005D7BA2"/>
    <w:pPr>
      <w:tabs>
        <w:tab w:val="right" w:leader="dot" w:pos="8363"/>
      </w:tabs>
      <w:spacing w:after="100"/>
      <w:ind w:left="2552"/>
    </w:pPr>
    <w:rPr>
      <w:noProof/>
    </w:rPr>
  </w:style>
  <w:style w:type="paragraph" w:styleId="Salutation">
    <w:name w:val="Salutation"/>
    <w:basedOn w:val="Normal"/>
    <w:next w:val="Normal"/>
    <w:link w:val="SalutationChar"/>
    <w:uiPriority w:val="99"/>
    <w:unhideWhenUsed/>
    <w:rsid w:val="00CA489E"/>
  </w:style>
  <w:style w:type="table" w:customStyle="1" w:styleId="LightShading1">
    <w:name w:val="Light Shading1"/>
    <w:basedOn w:val="TableNormal"/>
    <w:next w:val="LightShading"/>
    <w:uiPriority w:val="60"/>
    <w:rsid w:val="00C53B5A"/>
    <w:pPr>
      <w:spacing w:before="120" w:after="120"/>
    </w:pPr>
    <w:rPr>
      <w:color w:val="054E6D" w:themeColor="text1" w:themeShade="BF"/>
      <w:sz w:val="20"/>
    </w:rPr>
    <w:tblPr>
      <w:tblBorders>
        <w:top w:val="single" w:sz="4" w:space="0" w:color="FFFFFF" w:themeColor="background2"/>
        <w:bottom w:val="single" w:sz="4" w:space="0" w:color="FFFFFF" w:themeColor="background2"/>
        <w:insideH w:val="single" w:sz="4" w:space="0" w:color="FFFFFF" w:themeColor="background2"/>
      </w:tblBorders>
    </w:tblPr>
    <w:tcPr>
      <w:shd w:val="clear" w:color="auto" w:fill="auto"/>
    </w:tcPr>
    <w:tblStylePr w:type="fir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shd w:val="clear" w:color="auto" w:fill="auto"/>
      </w:tcPr>
    </w:tblStylePr>
    <w:tblStylePr w:type="lastRow">
      <w:pPr>
        <w:wordWrap/>
        <w:spacing w:beforeLines="0" w:before="120" w:beforeAutospacing="0" w:afterLines="0" w:after="120" w:afterAutospacing="0" w:line="240" w:lineRule="auto"/>
      </w:pPr>
      <w:rPr>
        <w:rFonts w:ascii="Arial" w:hAnsi="Arial"/>
        <w:b/>
        <w:bCs/>
        <w:sz w:val="20"/>
      </w:rPr>
      <w:tblPr/>
      <w:tcPr>
        <w:tcBorders>
          <w:top w:val="single" w:sz="8" w:space="0" w:color="076A92" w:themeColor="text1"/>
          <w:left w:val="nil"/>
          <w:bottom w:val="single" w:sz="8" w:space="0" w:color="076A92" w:themeColor="text1"/>
          <w:right w:val="nil"/>
          <w:insideH w:val="nil"/>
          <w:insideV w:val="nil"/>
        </w:tcBorders>
        <w:vAlign w:val="center"/>
      </w:tcPr>
    </w:tblStylePr>
    <w:tblStylePr w:type="firstCol">
      <w:rPr>
        <w:b/>
        <w:bCs/>
        <w:sz w:val="20"/>
      </w:rPr>
    </w:tblStylePr>
    <w:tblStylePr w:type="lastCol">
      <w:rPr>
        <w:b/>
        <w:bCs/>
      </w:rPr>
    </w:tblStylePr>
  </w:style>
  <w:style w:type="table" w:styleId="LightList-Accent2">
    <w:name w:val="Light List Accent 2"/>
    <w:basedOn w:val="TableNormal"/>
    <w:uiPriority w:val="61"/>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tblBorders>
    </w:tblPr>
    <w:tblStylePr w:type="firstRow">
      <w:pPr>
        <w:spacing w:before="0" w:after="0" w:line="240" w:lineRule="auto"/>
      </w:pPr>
      <w:rPr>
        <w:b/>
        <w:bCs/>
        <w:color w:val="FFFFFF" w:themeColor="background1"/>
      </w:rPr>
      <w:tblPr/>
      <w:tcPr>
        <w:shd w:val="clear" w:color="auto" w:fill="C14E00" w:themeFill="accent2"/>
      </w:tcPr>
    </w:tblStylePr>
    <w:tblStylePr w:type="lastRow">
      <w:pPr>
        <w:spacing w:before="0" w:after="0" w:line="240" w:lineRule="auto"/>
      </w:pPr>
      <w:rPr>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tcBorders>
      </w:tcPr>
    </w:tblStylePr>
    <w:tblStylePr w:type="firstCol">
      <w:rPr>
        <w:b/>
        <w:bCs/>
      </w:rPr>
    </w:tblStylePr>
    <w:tblStylePr w:type="lastCol">
      <w:rPr>
        <w:b/>
        <w:bCs/>
      </w:r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style>
  <w:style w:type="table" w:styleId="LightList-Accent4">
    <w:name w:val="Light List Accent 4"/>
    <w:basedOn w:val="TableNormal"/>
    <w:uiPriority w:val="61"/>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tblBorders>
    </w:tblPr>
    <w:tblStylePr w:type="firstRow">
      <w:pPr>
        <w:spacing w:before="0" w:after="0" w:line="240" w:lineRule="auto"/>
      </w:pPr>
      <w:rPr>
        <w:b/>
        <w:bCs/>
        <w:color w:val="FFFFFF" w:themeColor="background1"/>
      </w:rPr>
      <w:tblPr/>
      <w:tcPr>
        <w:shd w:val="clear" w:color="auto" w:fill="C00000" w:themeFill="accent4"/>
      </w:tcPr>
    </w:tblStylePr>
    <w:tblStylePr w:type="lastRow">
      <w:pPr>
        <w:spacing w:before="0" w:after="0" w:line="240" w:lineRule="auto"/>
      </w:pPr>
      <w:rPr>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tcBorders>
      </w:tcPr>
    </w:tblStylePr>
    <w:tblStylePr w:type="firstCol">
      <w:rPr>
        <w:b/>
        <w:bCs/>
      </w:rPr>
    </w:tblStylePr>
    <w:tblStylePr w:type="lastCol">
      <w:rPr>
        <w:b/>
        <w:bCs/>
      </w:r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style>
  <w:style w:type="table" w:styleId="LightList-Accent6">
    <w:name w:val="Light List Accent 6"/>
    <w:basedOn w:val="TableNormal"/>
    <w:uiPriority w:val="61"/>
    <w:rsid w:val="009661DE"/>
    <w:pPr>
      <w:spacing w:before="0"/>
    </w:pPr>
    <w:tblPr>
      <w:tblStyleRowBandSize w:val="1"/>
      <w:tblStyleColBandSize w:val="1"/>
      <w:tblBorders>
        <w:top w:val="single" w:sz="8" w:space="0" w:color="70303C" w:themeColor="accent6"/>
        <w:left w:val="single" w:sz="8" w:space="0" w:color="70303C" w:themeColor="accent6"/>
        <w:bottom w:val="single" w:sz="8" w:space="0" w:color="70303C" w:themeColor="accent6"/>
        <w:right w:val="single" w:sz="8" w:space="0" w:color="70303C" w:themeColor="accent6"/>
      </w:tblBorders>
    </w:tblPr>
    <w:tblStylePr w:type="firstRow">
      <w:pPr>
        <w:spacing w:before="0" w:after="0" w:line="240" w:lineRule="auto"/>
      </w:pPr>
      <w:rPr>
        <w:b/>
        <w:bCs/>
        <w:color w:val="FFFFFF" w:themeColor="background1"/>
      </w:rPr>
      <w:tblPr/>
      <w:tcPr>
        <w:shd w:val="clear" w:color="auto" w:fill="70303C" w:themeFill="accent6"/>
      </w:tcPr>
    </w:tblStylePr>
    <w:tblStylePr w:type="lastRow">
      <w:pPr>
        <w:spacing w:before="0" w:after="0" w:line="240" w:lineRule="auto"/>
      </w:pPr>
      <w:rPr>
        <w:b/>
        <w:bCs/>
      </w:rPr>
      <w:tblPr/>
      <w:tcPr>
        <w:tcBorders>
          <w:top w:val="double" w:sz="6" w:space="0" w:color="70303C" w:themeColor="accent6"/>
          <w:left w:val="single" w:sz="8" w:space="0" w:color="70303C" w:themeColor="accent6"/>
          <w:bottom w:val="single" w:sz="8" w:space="0" w:color="70303C" w:themeColor="accent6"/>
          <w:right w:val="single" w:sz="8" w:space="0" w:color="70303C" w:themeColor="accent6"/>
        </w:tcBorders>
      </w:tcPr>
    </w:tblStylePr>
    <w:tblStylePr w:type="firstCol">
      <w:rPr>
        <w:b/>
        <w:bCs/>
      </w:rPr>
    </w:tblStylePr>
    <w:tblStylePr w:type="lastCol">
      <w:rPr>
        <w:b/>
        <w:bCs/>
      </w:rPr>
    </w:tblStylePr>
    <w:tblStylePr w:type="band1Vert">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tblStylePr w:type="band1Horz">
      <w:tblPr/>
      <w:tcPr>
        <w:tcBorders>
          <w:top w:val="single" w:sz="8" w:space="0" w:color="70303C" w:themeColor="accent6"/>
          <w:left w:val="single" w:sz="8" w:space="0" w:color="70303C" w:themeColor="accent6"/>
          <w:bottom w:val="single" w:sz="8" w:space="0" w:color="70303C" w:themeColor="accent6"/>
          <w:right w:val="single" w:sz="8" w:space="0" w:color="70303C" w:themeColor="accent6"/>
        </w:tcBorders>
      </w:tcPr>
    </w:tblStylePr>
  </w:style>
  <w:style w:type="table" w:styleId="LightGrid">
    <w:name w:val="Light Grid"/>
    <w:basedOn w:val="TableNormal"/>
    <w:uiPriority w:val="62"/>
    <w:rsid w:val="009661DE"/>
    <w:pPr>
      <w:spacing w:before="0"/>
    </w:pPr>
    <w:tblPr>
      <w:tblStyleRowBandSize w:val="1"/>
      <w:tblStyleColBandSize w:val="1"/>
      <w:tblBorders>
        <w:top w:val="single" w:sz="8" w:space="0" w:color="076A92" w:themeColor="text1"/>
        <w:left w:val="single" w:sz="8" w:space="0" w:color="076A92" w:themeColor="text1"/>
        <w:bottom w:val="single" w:sz="8" w:space="0" w:color="076A92" w:themeColor="text1"/>
        <w:right w:val="single" w:sz="8" w:space="0" w:color="076A92" w:themeColor="text1"/>
        <w:insideH w:val="single" w:sz="8" w:space="0" w:color="076A92" w:themeColor="text1"/>
        <w:insideV w:val="single" w:sz="8" w:space="0" w:color="076A92" w:themeColor="tex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18" w:space="0" w:color="076A92" w:themeColor="text1"/>
          <w:right w:val="single" w:sz="8" w:space="0" w:color="076A92" w:themeColor="text1"/>
          <w:insideH w:val="nil"/>
          <w:insideV w:val="single" w:sz="8" w:space="0" w:color="076A92"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76A92" w:themeColor="text1"/>
          <w:left w:val="single" w:sz="8" w:space="0" w:color="076A92" w:themeColor="text1"/>
          <w:bottom w:val="single" w:sz="8" w:space="0" w:color="076A92" w:themeColor="text1"/>
          <w:right w:val="single" w:sz="8" w:space="0" w:color="076A92" w:themeColor="text1"/>
          <w:insideH w:val="nil"/>
          <w:insideV w:val="single" w:sz="8" w:space="0" w:color="076A92"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76A92" w:themeColor="text1"/>
          <w:left w:val="single" w:sz="8" w:space="0" w:color="076A92" w:themeColor="text1"/>
          <w:bottom w:val="single" w:sz="8" w:space="0" w:color="076A92" w:themeColor="text1"/>
          <w:right w:val="single" w:sz="8" w:space="0" w:color="076A92" w:themeColor="text1"/>
        </w:tcBorders>
      </w:tcPr>
    </w:tblStylePr>
    <w:tblStylePr w:type="band1Vert">
      <w:tblPr/>
      <w:tcPr>
        <w:tcBorders>
          <w:top w:val="single" w:sz="8" w:space="0" w:color="076A92" w:themeColor="text1"/>
          <w:left w:val="single" w:sz="8" w:space="0" w:color="076A92" w:themeColor="text1"/>
          <w:bottom w:val="single" w:sz="8" w:space="0" w:color="076A92" w:themeColor="text1"/>
          <w:right w:val="single" w:sz="8" w:space="0" w:color="076A92" w:themeColor="text1"/>
        </w:tcBorders>
        <w:shd w:val="clear" w:color="auto" w:fill="AAE3FB" w:themeFill="text1" w:themeFillTint="3F"/>
      </w:tcPr>
    </w:tblStylePr>
    <w:tblStylePr w:type="band1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shd w:val="clear" w:color="auto" w:fill="AAE3FB" w:themeFill="text1" w:themeFillTint="3F"/>
      </w:tcPr>
    </w:tblStylePr>
    <w:tblStylePr w:type="band2Horz">
      <w:tblPr/>
      <w:tcPr>
        <w:tcBorders>
          <w:top w:val="single" w:sz="8" w:space="0" w:color="076A92" w:themeColor="text1"/>
          <w:left w:val="single" w:sz="8" w:space="0" w:color="076A92" w:themeColor="text1"/>
          <w:bottom w:val="single" w:sz="8" w:space="0" w:color="076A92" w:themeColor="text1"/>
          <w:right w:val="single" w:sz="8" w:space="0" w:color="076A92" w:themeColor="text1"/>
          <w:insideV w:val="single" w:sz="8" w:space="0" w:color="076A92" w:themeColor="text1"/>
        </w:tcBorders>
      </w:tcPr>
    </w:tblStylePr>
  </w:style>
  <w:style w:type="table" w:styleId="LightGrid-Accent1">
    <w:name w:val="Light Grid Accent 1"/>
    <w:basedOn w:val="TableNormal"/>
    <w:uiPriority w:val="62"/>
    <w:rsid w:val="009661DE"/>
    <w:pPr>
      <w:spacing w:before="0"/>
    </w:pPr>
    <w:tblPr>
      <w:tblStyleRowBandSize w:val="1"/>
      <w:tblStyleColBandSize w:val="1"/>
      <w:tblBorders>
        <w:top w:val="single" w:sz="8" w:space="0" w:color="2F002F" w:themeColor="accent1"/>
        <w:left w:val="single" w:sz="8" w:space="0" w:color="2F002F" w:themeColor="accent1"/>
        <w:bottom w:val="single" w:sz="8" w:space="0" w:color="2F002F" w:themeColor="accent1"/>
        <w:right w:val="single" w:sz="8" w:space="0" w:color="2F002F" w:themeColor="accent1"/>
        <w:insideH w:val="single" w:sz="8" w:space="0" w:color="2F002F" w:themeColor="accent1"/>
        <w:insideV w:val="single" w:sz="8" w:space="0" w:color="2F002F" w:themeColor="accent1"/>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18" w:space="0" w:color="2F002F" w:themeColor="accent1"/>
          <w:right w:val="single" w:sz="8" w:space="0" w:color="2F002F" w:themeColor="accent1"/>
          <w:insideH w:val="nil"/>
          <w:insideV w:val="single" w:sz="8" w:space="0" w:color="2F002F"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2F002F" w:themeColor="accent1"/>
          <w:left w:val="single" w:sz="8" w:space="0" w:color="2F002F" w:themeColor="accent1"/>
          <w:bottom w:val="single" w:sz="8" w:space="0" w:color="2F002F" w:themeColor="accent1"/>
          <w:right w:val="single" w:sz="8" w:space="0" w:color="2F002F" w:themeColor="accent1"/>
          <w:insideH w:val="nil"/>
          <w:insideV w:val="single" w:sz="8" w:space="0" w:color="2F002F"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tcPr>
    </w:tblStylePr>
    <w:tblStylePr w:type="band1Vert">
      <w:tblPr/>
      <w:tcPr>
        <w:tcBorders>
          <w:top w:val="single" w:sz="8" w:space="0" w:color="2F002F" w:themeColor="accent1"/>
          <w:left w:val="single" w:sz="8" w:space="0" w:color="2F002F" w:themeColor="accent1"/>
          <w:bottom w:val="single" w:sz="8" w:space="0" w:color="2F002F" w:themeColor="accent1"/>
          <w:right w:val="single" w:sz="8" w:space="0" w:color="2F002F" w:themeColor="accent1"/>
        </w:tcBorders>
        <w:shd w:val="clear" w:color="auto" w:fill="FF8CFF" w:themeFill="accent1" w:themeFillTint="3F"/>
      </w:tcPr>
    </w:tblStylePr>
    <w:tblStylePr w:type="band1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shd w:val="clear" w:color="auto" w:fill="FF8CFF" w:themeFill="accent1" w:themeFillTint="3F"/>
      </w:tcPr>
    </w:tblStylePr>
    <w:tblStylePr w:type="band2Horz">
      <w:tblPr/>
      <w:tcPr>
        <w:tcBorders>
          <w:top w:val="single" w:sz="8" w:space="0" w:color="2F002F" w:themeColor="accent1"/>
          <w:left w:val="single" w:sz="8" w:space="0" w:color="2F002F" w:themeColor="accent1"/>
          <w:bottom w:val="single" w:sz="8" w:space="0" w:color="2F002F" w:themeColor="accent1"/>
          <w:right w:val="single" w:sz="8" w:space="0" w:color="2F002F" w:themeColor="accent1"/>
          <w:insideV w:val="single" w:sz="8" w:space="0" w:color="2F002F" w:themeColor="accent1"/>
        </w:tcBorders>
      </w:tcPr>
    </w:tblStylePr>
  </w:style>
  <w:style w:type="table" w:styleId="LightGrid-Accent2">
    <w:name w:val="Light Grid Accent 2"/>
    <w:basedOn w:val="TableNormal"/>
    <w:uiPriority w:val="62"/>
    <w:rsid w:val="009661DE"/>
    <w:pPr>
      <w:spacing w:before="0"/>
    </w:pPr>
    <w:tblPr>
      <w:tblStyleRowBandSize w:val="1"/>
      <w:tblStyleColBandSize w:val="1"/>
      <w:tblBorders>
        <w:top w:val="single" w:sz="8" w:space="0" w:color="C14E00" w:themeColor="accent2"/>
        <w:left w:val="single" w:sz="8" w:space="0" w:color="C14E00" w:themeColor="accent2"/>
        <w:bottom w:val="single" w:sz="8" w:space="0" w:color="C14E00" w:themeColor="accent2"/>
        <w:right w:val="single" w:sz="8" w:space="0" w:color="C14E00" w:themeColor="accent2"/>
        <w:insideH w:val="single" w:sz="8" w:space="0" w:color="C14E00" w:themeColor="accent2"/>
        <w:insideV w:val="single" w:sz="8" w:space="0" w:color="C14E00" w:themeColor="accent2"/>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18" w:space="0" w:color="C14E00" w:themeColor="accent2"/>
          <w:right w:val="single" w:sz="8" w:space="0" w:color="C14E00" w:themeColor="accent2"/>
          <w:insideH w:val="nil"/>
          <w:insideV w:val="single" w:sz="8" w:space="0" w:color="C14E00"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14E00" w:themeColor="accent2"/>
          <w:left w:val="single" w:sz="8" w:space="0" w:color="C14E00" w:themeColor="accent2"/>
          <w:bottom w:val="single" w:sz="8" w:space="0" w:color="C14E00" w:themeColor="accent2"/>
          <w:right w:val="single" w:sz="8" w:space="0" w:color="C14E00" w:themeColor="accent2"/>
          <w:insideH w:val="nil"/>
          <w:insideV w:val="single" w:sz="8" w:space="0" w:color="C14E00"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tcPr>
    </w:tblStylePr>
    <w:tblStylePr w:type="band1Vert">
      <w:tblPr/>
      <w:tcPr>
        <w:tcBorders>
          <w:top w:val="single" w:sz="8" w:space="0" w:color="C14E00" w:themeColor="accent2"/>
          <w:left w:val="single" w:sz="8" w:space="0" w:color="C14E00" w:themeColor="accent2"/>
          <w:bottom w:val="single" w:sz="8" w:space="0" w:color="C14E00" w:themeColor="accent2"/>
          <w:right w:val="single" w:sz="8" w:space="0" w:color="C14E00" w:themeColor="accent2"/>
        </w:tcBorders>
        <w:shd w:val="clear" w:color="auto" w:fill="FFD0B0" w:themeFill="accent2" w:themeFillTint="3F"/>
      </w:tcPr>
    </w:tblStylePr>
    <w:tblStylePr w:type="band1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shd w:val="clear" w:color="auto" w:fill="FFD0B0" w:themeFill="accent2" w:themeFillTint="3F"/>
      </w:tcPr>
    </w:tblStylePr>
    <w:tblStylePr w:type="band2Horz">
      <w:tblPr/>
      <w:tcPr>
        <w:tcBorders>
          <w:top w:val="single" w:sz="8" w:space="0" w:color="C14E00" w:themeColor="accent2"/>
          <w:left w:val="single" w:sz="8" w:space="0" w:color="C14E00" w:themeColor="accent2"/>
          <w:bottom w:val="single" w:sz="8" w:space="0" w:color="C14E00" w:themeColor="accent2"/>
          <w:right w:val="single" w:sz="8" w:space="0" w:color="C14E00" w:themeColor="accent2"/>
          <w:insideV w:val="single" w:sz="8" w:space="0" w:color="C14E00" w:themeColor="accent2"/>
        </w:tcBorders>
      </w:tcPr>
    </w:tblStylePr>
  </w:style>
  <w:style w:type="table" w:styleId="LightGrid-Accent4">
    <w:name w:val="Light Grid Accent 4"/>
    <w:basedOn w:val="TableNormal"/>
    <w:uiPriority w:val="62"/>
    <w:rsid w:val="009661DE"/>
    <w:pPr>
      <w:spacing w:before="0"/>
    </w:pPr>
    <w:tblPr>
      <w:tblStyleRowBandSize w:val="1"/>
      <w:tblStyleColBandSize w:val="1"/>
      <w:tblBorders>
        <w:top w:val="single" w:sz="8" w:space="0" w:color="C00000" w:themeColor="accent4"/>
        <w:left w:val="single" w:sz="8" w:space="0" w:color="C00000" w:themeColor="accent4"/>
        <w:bottom w:val="single" w:sz="8" w:space="0" w:color="C00000" w:themeColor="accent4"/>
        <w:right w:val="single" w:sz="8" w:space="0" w:color="C00000" w:themeColor="accent4"/>
        <w:insideH w:val="single" w:sz="8" w:space="0" w:color="C00000" w:themeColor="accent4"/>
        <w:insideV w:val="single" w:sz="8" w:space="0" w:color="C00000" w:themeColor="accent4"/>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18" w:space="0" w:color="C00000" w:themeColor="accent4"/>
          <w:right w:val="single" w:sz="8" w:space="0" w:color="C00000" w:themeColor="accent4"/>
          <w:insideH w:val="nil"/>
          <w:insideV w:val="single" w:sz="8" w:space="0" w:color="C00000"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0000" w:themeColor="accent4"/>
          <w:left w:val="single" w:sz="8" w:space="0" w:color="C00000" w:themeColor="accent4"/>
          <w:bottom w:val="single" w:sz="8" w:space="0" w:color="C00000" w:themeColor="accent4"/>
          <w:right w:val="single" w:sz="8" w:space="0" w:color="C00000" w:themeColor="accent4"/>
          <w:insideH w:val="nil"/>
          <w:insideV w:val="single" w:sz="8" w:space="0" w:color="C00000"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tcPr>
    </w:tblStylePr>
    <w:tblStylePr w:type="band1Vert">
      <w:tblPr/>
      <w:tcPr>
        <w:tcBorders>
          <w:top w:val="single" w:sz="8" w:space="0" w:color="C00000" w:themeColor="accent4"/>
          <w:left w:val="single" w:sz="8" w:space="0" w:color="C00000" w:themeColor="accent4"/>
          <w:bottom w:val="single" w:sz="8" w:space="0" w:color="C00000" w:themeColor="accent4"/>
          <w:right w:val="single" w:sz="8" w:space="0" w:color="C00000" w:themeColor="accent4"/>
        </w:tcBorders>
        <w:shd w:val="clear" w:color="auto" w:fill="FFB0B0" w:themeFill="accent4" w:themeFillTint="3F"/>
      </w:tcPr>
    </w:tblStylePr>
    <w:tblStylePr w:type="band1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shd w:val="clear" w:color="auto" w:fill="FFB0B0" w:themeFill="accent4" w:themeFillTint="3F"/>
      </w:tcPr>
    </w:tblStylePr>
    <w:tblStylePr w:type="band2Horz">
      <w:tblPr/>
      <w:tcPr>
        <w:tcBorders>
          <w:top w:val="single" w:sz="8" w:space="0" w:color="C00000" w:themeColor="accent4"/>
          <w:left w:val="single" w:sz="8" w:space="0" w:color="C00000" w:themeColor="accent4"/>
          <w:bottom w:val="single" w:sz="8" w:space="0" w:color="C00000" w:themeColor="accent4"/>
          <w:right w:val="single" w:sz="8" w:space="0" w:color="C00000" w:themeColor="accent4"/>
          <w:insideV w:val="single" w:sz="8" w:space="0" w:color="C00000" w:themeColor="accent4"/>
        </w:tcBorders>
      </w:tcPr>
    </w:tblStylePr>
  </w:style>
  <w:style w:type="table" w:styleId="LightGrid-Accent5">
    <w:name w:val="Light Grid Accent 5"/>
    <w:basedOn w:val="TableNormal"/>
    <w:uiPriority w:val="62"/>
    <w:rsid w:val="009661DE"/>
    <w:pPr>
      <w:spacing w:before="0"/>
    </w:pPr>
    <w:tblPr>
      <w:tblStyleRowBandSize w:val="1"/>
      <w:tblStyleColBandSize w:val="1"/>
      <w:tblBorders>
        <w:top w:val="single" w:sz="8" w:space="0" w:color="000000" w:themeColor="accent5"/>
        <w:left w:val="single" w:sz="8" w:space="0" w:color="000000" w:themeColor="accent5"/>
        <w:bottom w:val="single" w:sz="8" w:space="0" w:color="000000" w:themeColor="accent5"/>
        <w:right w:val="single" w:sz="8" w:space="0" w:color="000000" w:themeColor="accent5"/>
        <w:insideH w:val="single" w:sz="8" w:space="0" w:color="000000" w:themeColor="accent5"/>
        <w:insideV w:val="single" w:sz="8" w:space="0" w:color="000000" w:themeColor="accent5"/>
      </w:tblBorders>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18" w:space="0" w:color="000000" w:themeColor="accent5"/>
          <w:right w:val="single" w:sz="8" w:space="0" w:color="000000" w:themeColor="accent5"/>
          <w:insideH w:val="nil"/>
          <w:insideV w:val="single" w:sz="8" w:space="0" w:color="000000"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accent5"/>
          <w:left w:val="single" w:sz="8" w:space="0" w:color="000000" w:themeColor="accent5"/>
          <w:bottom w:val="single" w:sz="8" w:space="0" w:color="000000" w:themeColor="accent5"/>
          <w:right w:val="single" w:sz="8" w:space="0" w:color="000000" w:themeColor="accent5"/>
          <w:insideH w:val="nil"/>
          <w:insideV w:val="single" w:sz="8" w:space="0" w:color="000000"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tcPr>
    </w:tblStylePr>
    <w:tblStylePr w:type="band1Vert">
      <w:tblPr/>
      <w:tcPr>
        <w:tcBorders>
          <w:top w:val="single" w:sz="8" w:space="0" w:color="000000" w:themeColor="accent5"/>
          <w:left w:val="single" w:sz="8" w:space="0" w:color="000000" w:themeColor="accent5"/>
          <w:bottom w:val="single" w:sz="8" w:space="0" w:color="000000" w:themeColor="accent5"/>
          <w:right w:val="single" w:sz="8" w:space="0" w:color="000000" w:themeColor="accent5"/>
        </w:tcBorders>
        <w:shd w:val="clear" w:color="auto" w:fill="C0C0C0" w:themeFill="accent5" w:themeFillTint="3F"/>
      </w:tcPr>
    </w:tblStylePr>
    <w:tblStylePr w:type="band1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shd w:val="clear" w:color="auto" w:fill="C0C0C0" w:themeFill="accent5" w:themeFillTint="3F"/>
      </w:tcPr>
    </w:tblStylePr>
    <w:tblStylePr w:type="band2Horz">
      <w:tblPr/>
      <w:tcPr>
        <w:tcBorders>
          <w:top w:val="single" w:sz="8" w:space="0" w:color="000000" w:themeColor="accent5"/>
          <w:left w:val="single" w:sz="8" w:space="0" w:color="000000" w:themeColor="accent5"/>
          <w:bottom w:val="single" w:sz="8" w:space="0" w:color="000000" w:themeColor="accent5"/>
          <w:right w:val="single" w:sz="8" w:space="0" w:color="000000" w:themeColor="accent5"/>
          <w:insideV w:val="single" w:sz="8" w:space="0" w:color="000000" w:themeColor="accent5"/>
        </w:tcBorders>
      </w:tcPr>
    </w:tblStylePr>
  </w:style>
  <w:style w:type="paragraph" w:customStyle="1" w:styleId="HeaderRight">
    <w:name w:val="Header Right"/>
    <w:basedOn w:val="Header"/>
    <w:uiPriority w:val="35"/>
    <w:qFormat/>
    <w:rsid w:val="00A84F46"/>
    <w:pPr>
      <w:tabs>
        <w:tab w:val="clear" w:pos="4513"/>
        <w:tab w:val="clear" w:pos="9026"/>
        <w:tab w:val="center" w:pos="4320"/>
        <w:tab w:val="right" w:pos="8640"/>
      </w:tabs>
      <w:spacing w:before="0" w:after="200"/>
      <w:jc w:val="right"/>
    </w:pPr>
    <w:rPr>
      <w:rFonts w:asciiTheme="minorHAnsi" w:hAnsiTheme="minorHAnsi" w:cs="Times New Roman"/>
      <w:szCs w:val="20"/>
      <w:lang w:val="en-US" w:eastAsia="ja-JP"/>
    </w:rPr>
  </w:style>
  <w:style w:type="paragraph" w:customStyle="1" w:styleId="Numbered111111111">
    <w:name w:val="Numbered 1.1.1.1.1.1.1.1.1"/>
    <w:basedOn w:val="Heading9"/>
    <w:next w:val="Normal"/>
    <w:uiPriority w:val="2"/>
    <w:rsid w:val="00757BDF"/>
    <w:pPr>
      <w:numPr>
        <w:numId w:val="15"/>
      </w:numPr>
      <w:tabs>
        <w:tab w:val="left" w:pos="2041"/>
      </w:tabs>
      <w:ind w:left="2041" w:hanging="2041"/>
    </w:pPr>
  </w:style>
  <w:style w:type="paragraph" w:styleId="Caption">
    <w:name w:val="caption"/>
    <w:basedOn w:val="Normal"/>
    <w:next w:val="Normal"/>
    <w:unhideWhenUsed/>
    <w:qFormat/>
    <w:rsid w:val="0066104A"/>
    <w:pPr>
      <w:keepNext/>
      <w:spacing w:before="240" w:after="120"/>
    </w:pPr>
    <w:rPr>
      <w:b/>
      <w:bCs/>
      <w:color w:val="076A92" w:themeColor="text1"/>
      <w:sz w:val="24"/>
      <w:szCs w:val="18"/>
    </w:rPr>
  </w:style>
  <w:style w:type="paragraph" w:styleId="List">
    <w:name w:val="List"/>
    <w:basedOn w:val="Normal"/>
    <w:unhideWhenUsed/>
    <w:qFormat/>
    <w:rsid w:val="00B514DD"/>
    <w:pPr>
      <w:tabs>
        <w:tab w:val="left" w:pos="340"/>
      </w:tabs>
      <w:spacing w:before="120"/>
      <w:ind w:left="340" w:hanging="340"/>
    </w:pPr>
  </w:style>
  <w:style w:type="paragraph" w:styleId="List2">
    <w:name w:val="List 2"/>
    <w:basedOn w:val="Normal"/>
    <w:uiPriority w:val="99"/>
    <w:unhideWhenUsed/>
    <w:rsid w:val="00F171E0"/>
    <w:pPr>
      <w:tabs>
        <w:tab w:val="left" w:pos="680"/>
      </w:tabs>
      <w:spacing w:before="120"/>
      <w:ind w:left="680" w:hanging="340"/>
    </w:pPr>
  </w:style>
  <w:style w:type="paragraph" w:styleId="List3">
    <w:name w:val="List 3"/>
    <w:basedOn w:val="Normal"/>
    <w:uiPriority w:val="99"/>
    <w:unhideWhenUsed/>
    <w:rsid w:val="00F171E0"/>
    <w:pPr>
      <w:tabs>
        <w:tab w:val="left" w:pos="1021"/>
      </w:tabs>
      <w:spacing w:before="120"/>
      <w:ind w:left="1020" w:hanging="340"/>
    </w:pPr>
  </w:style>
  <w:style w:type="paragraph" w:styleId="List4">
    <w:name w:val="List 4"/>
    <w:basedOn w:val="Normal"/>
    <w:uiPriority w:val="99"/>
    <w:unhideWhenUsed/>
    <w:rsid w:val="00F171E0"/>
    <w:pPr>
      <w:tabs>
        <w:tab w:val="left" w:pos="1361"/>
      </w:tabs>
      <w:spacing w:before="120"/>
      <w:ind w:left="1361" w:hanging="340"/>
    </w:pPr>
  </w:style>
  <w:style w:type="paragraph" w:styleId="List5">
    <w:name w:val="List 5"/>
    <w:basedOn w:val="Normal"/>
    <w:uiPriority w:val="99"/>
    <w:unhideWhenUsed/>
    <w:rsid w:val="00F171E0"/>
    <w:pPr>
      <w:tabs>
        <w:tab w:val="left" w:pos="1701"/>
      </w:tabs>
      <w:spacing w:before="120"/>
      <w:ind w:left="1701" w:hanging="340"/>
    </w:pPr>
  </w:style>
  <w:style w:type="paragraph" w:styleId="ListBullet3">
    <w:name w:val="List Bullet 3"/>
    <w:aliases w:val="AER numbered list 2 third"/>
    <w:basedOn w:val="Normal"/>
    <w:unhideWhenUsed/>
    <w:qFormat/>
    <w:rsid w:val="008E77DE"/>
    <w:pPr>
      <w:numPr>
        <w:numId w:val="4"/>
      </w:numPr>
      <w:spacing w:before="120"/>
    </w:pPr>
  </w:style>
  <w:style w:type="paragraph" w:styleId="ListBullet4">
    <w:name w:val="List Bullet 4"/>
    <w:basedOn w:val="Normal"/>
    <w:uiPriority w:val="99"/>
    <w:unhideWhenUsed/>
    <w:rsid w:val="00DB5074"/>
    <w:pPr>
      <w:numPr>
        <w:numId w:val="5"/>
      </w:numPr>
      <w:tabs>
        <w:tab w:val="clear" w:pos="1209"/>
        <w:tab w:val="num" w:pos="1361"/>
      </w:tabs>
      <w:spacing w:before="120"/>
      <w:ind w:left="1378" w:hanging="357"/>
    </w:pPr>
  </w:style>
  <w:style w:type="paragraph" w:styleId="ListBullet5">
    <w:name w:val="List Bullet 5"/>
    <w:basedOn w:val="Normal"/>
    <w:uiPriority w:val="99"/>
    <w:unhideWhenUsed/>
    <w:rsid w:val="00DB5074"/>
    <w:pPr>
      <w:numPr>
        <w:numId w:val="6"/>
      </w:numPr>
      <w:tabs>
        <w:tab w:val="clear" w:pos="1492"/>
        <w:tab w:val="num" w:pos="1701"/>
      </w:tabs>
      <w:spacing w:before="120"/>
      <w:ind w:left="1701" w:hanging="340"/>
    </w:pPr>
  </w:style>
  <w:style w:type="paragraph" w:styleId="ListContinue">
    <w:name w:val="List Continue"/>
    <w:aliases w:val="AER body text (indent 1)"/>
    <w:basedOn w:val="Normal"/>
    <w:unhideWhenUsed/>
    <w:qFormat/>
    <w:rsid w:val="00DB5074"/>
    <w:pPr>
      <w:tabs>
        <w:tab w:val="left" w:pos="340"/>
      </w:tabs>
      <w:spacing w:before="120"/>
      <w:ind w:left="340"/>
    </w:pPr>
  </w:style>
  <w:style w:type="paragraph" w:styleId="ListContinue2">
    <w:name w:val="List Continue 2"/>
    <w:aliases w:val="AER body text (indent 2)"/>
    <w:basedOn w:val="Normal"/>
    <w:unhideWhenUsed/>
    <w:qFormat/>
    <w:rsid w:val="00567BA5"/>
    <w:pPr>
      <w:tabs>
        <w:tab w:val="left" w:pos="680"/>
      </w:tabs>
      <w:spacing w:before="120"/>
      <w:ind w:left="680"/>
    </w:pPr>
  </w:style>
  <w:style w:type="paragraph" w:styleId="ListContinue3">
    <w:name w:val="List Continue 3"/>
    <w:aliases w:val="AER body text (indent 3)"/>
    <w:basedOn w:val="Normal"/>
    <w:unhideWhenUsed/>
    <w:qFormat/>
    <w:rsid w:val="00DB5074"/>
    <w:pPr>
      <w:tabs>
        <w:tab w:val="left" w:pos="1021"/>
      </w:tabs>
      <w:spacing w:before="120"/>
      <w:ind w:left="1021"/>
    </w:pPr>
  </w:style>
  <w:style w:type="paragraph" w:styleId="ListContinue4">
    <w:name w:val="List Continue 4"/>
    <w:basedOn w:val="Normal"/>
    <w:uiPriority w:val="99"/>
    <w:unhideWhenUsed/>
    <w:rsid w:val="00DB5074"/>
    <w:pPr>
      <w:tabs>
        <w:tab w:val="left" w:pos="1361"/>
      </w:tabs>
      <w:spacing w:before="120"/>
      <w:ind w:left="1361"/>
    </w:pPr>
  </w:style>
  <w:style w:type="paragraph" w:styleId="ListNumber3">
    <w:name w:val="List Number 3"/>
    <w:basedOn w:val="Normal"/>
    <w:uiPriority w:val="99"/>
    <w:unhideWhenUsed/>
    <w:rsid w:val="00567BA5"/>
    <w:pPr>
      <w:numPr>
        <w:numId w:val="9"/>
      </w:numPr>
      <w:spacing w:before="120"/>
    </w:pPr>
  </w:style>
  <w:style w:type="paragraph" w:styleId="ListNumber4">
    <w:name w:val="List Number 4"/>
    <w:basedOn w:val="Normal"/>
    <w:uiPriority w:val="99"/>
    <w:unhideWhenUsed/>
    <w:rsid w:val="00567BA5"/>
    <w:pPr>
      <w:numPr>
        <w:numId w:val="10"/>
      </w:numPr>
      <w:tabs>
        <w:tab w:val="clear" w:pos="1209"/>
        <w:tab w:val="num" w:pos="1361"/>
      </w:tabs>
      <w:spacing w:before="120"/>
      <w:ind w:left="1361" w:hanging="340"/>
    </w:pPr>
  </w:style>
  <w:style w:type="paragraph" w:styleId="ListNumber5">
    <w:name w:val="List Number 5"/>
    <w:basedOn w:val="Normal"/>
    <w:uiPriority w:val="99"/>
    <w:unhideWhenUsed/>
    <w:rsid w:val="00567BA5"/>
    <w:pPr>
      <w:numPr>
        <w:numId w:val="11"/>
      </w:numPr>
      <w:tabs>
        <w:tab w:val="clear" w:pos="1492"/>
        <w:tab w:val="num" w:pos="1701"/>
      </w:tabs>
      <w:spacing w:before="120"/>
      <w:ind w:left="1701" w:hanging="340"/>
    </w:pPr>
  </w:style>
  <w:style w:type="paragraph" w:customStyle="1" w:styleId="TableHeading">
    <w:name w:val="Table Heading"/>
    <w:basedOn w:val="Normal"/>
    <w:link w:val="TableHeadingChar"/>
    <w:qFormat/>
    <w:rsid w:val="00185CB9"/>
    <w:pPr>
      <w:spacing w:before="240" w:after="120"/>
    </w:pPr>
    <w:rPr>
      <w:color w:val="FFFFFF" w:themeColor="background1"/>
      <w:sz w:val="24"/>
    </w:rPr>
  </w:style>
  <w:style w:type="paragraph" w:customStyle="1" w:styleId="Tabletext-right">
    <w:name w:val="Table text - right"/>
    <w:basedOn w:val="Tabletext"/>
    <w:link w:val="Tabletext-rightChar"/>
    <w:rsid w:val="00063247"/>
    <w:pPr>
      <w:jc w:val="right"/>
    </w:pPr>
    <w:rPr>
      <w:rFonts w:eastAsia="Times New Roman" w:cs="Times New Roman"/>
      <w:szCs w:val="20"/>
    </w:rPr>
  </w:style>
  <w:style w:type="paragraph" w:customStyle="1" w:styleId="Tabletext-centred">
    <w:name w:val="Table text - centred"/>
    <w:basedOn w:val="Tabletext-right"/>
    <w:link w:val="Tabletext-centredChar"/>
    <w:rsid w:val="00063247"/>
    <w:pPr>
      <w:jc w:val="center"/>
    </w:pPr>
  </w:style>
  <w:style w:type="paragraph" w:customStyle="1" w:styleId="TableHeading-right">
    <w:name w:val="Table Heading - right"/>
    <w:basedOn w:val="TableHeading"/>
    <w:link w:val="TableHeading-rightChar"/>
    <w:rsid w:val="00185CB9"/>
    <w:pPr>
      <w:jc w:val="right"/>
    </w:pPr>
    <w:rPr>
      <w:rFonts w:eastAsia="Times New Roman" w:cs="Times New Roman"/>
      <w:bCs/>
      <w:szCs w:val="20"/>
    </w:rPr>
  </w:style>
  <w:style w:type="character" w:customStyle="1" w:styleId="Tabletext-rightChar">
    <w:name w:val="Table text - right Char"/>
    <w:basedOn w:val="TabletextChar"/>
    <w:link w:val="Tabletext-right"/>
    <w:rsid w:val="00063247"/>
    <w:rPr>
      <w:rFonts w:ascii="Arial" w:eastAsia="Times New Roman" w:hAnsi="Arial" w:cs="Times New Roman"/>
      <w:sz w:val="20"/>
      <w:szCs w:val="20"/>
    </w:rPr>
  </w:style>
  <w:style w:type="character" w:customStyle="1" w:styleId="TabletextChar">
    <w:name w:val="Table text Char"/>
    <w:basedOn w:val="DefaultParagraphFont"/>
    <w:link w:val="Tabletext"/>
    <w:uiPriority w:val="1"/>
    <w:rsid w:val="00584D8F"/>
    <w:rPr>
      <w:rFonts w:ascii="Arial" w:hAnsi="Arial"/>
      <w:sz w:val="20"/>
    </w:rPr>
  </w:style>
  <w:style w:type="character" w:customStyle="1" w:styleId="TableHeadingChar">
    <w:name w:val="Table Heading Char"/>
    <w:basedOn w:val="TabletextChar"/>
    <w:link w:val="TableHeading"/>
    <w:rsid w:val="00185CB9"/>
    <w:rPr>
      <w:rFonts w:ascii="Arial" w:hAnsi="Arial"/>
      <w:color w:val="FFFFFF" w:themeColor="background1"/>
      <w:sz w:val="24"/>
    </w:rPr>
  </w:style>
  <w:style w:type="character" w:customStyle="1" w:styleId="TableHeading-rightChar">
    <w:name w:val="Table Heading - right Char"/>
    <w:basedOn w:val="TableHeadingChar"/>
    <w:link w:val="TableHeading-right"/>
    <w:rsid w:val="00185CB9"/>
    <w:rPr>
      <w:rFonts w:ascii="Arial" w:eastAsia="Times New Roman" w:hAnsi="Arial" w:cs="Times New Roman"/>
      <w:bCs/>
      <w:color w:val="FFFFFF" w:themeColor="background1"/>
      <w:sz w:val="24"/>
      <w:szCs w:val="20"/>
    </w:rPr>
  </w:style>
  <w:style w:type="character" w:customStyle="1" w:styleId="Tabletext-centredChar">
    <w:name w:val="Table text - centred Char"/>
    <w:basedOn w:val="Tabletext-rightChar"/>
    <w:link w:val="Tabletext-centred"/>
    <w:rsid w:val="00063247"/>
    <w:rPr>
      <w:rFonts w:ascii="Arial" w:eastAsia="Times New Roman" w:hAnsi="Arial" w:cs="Times New Roman"/>
      <w:sz w:val="20"/>
      <w:szCs w:val="20"/>
    </w:rPr>
  </w:style>
  <w:style w:type="paragraph" w:customStyle="1" w:styleId="TableHeading-centred">
    <w:name w:val="Table Heading - centred"/>
    <w:basedOn w:val="TableHeading"/>
    <w:rsid w:val="00185CB9"/>
    <w:pPr>
      <w:jc w:val="center"/>
    </w:pPr>
    <w:rPr>
      <w:rFonts w:eastAsia="Times New Roman" w:cs="Times New Roman"/>
      <w:bCs/>
      <w:szCs w:val="20"/>
    </w:rPr>
  </w:style>
  <w:style w:type="character" w:customStyle="1" w:styleId="EndnoteTextChar">
    <w:name w:val="Endnote Text Char"/>
    <w:basedOn w:val="DefaultParagraphFont"/>
    <w:link w:val="EndnoteText"/>
    <w:uiPriority w:val="99"/>
    <w:rsid w:val="00334C8D"/>
    <w:rPr>
      <w:rFonts w:ascii="Arial" w:hAnsi="Arial"/>
      <w:sz w:val="20"/>
      <w:szCs w:val="20"/>
    </w:rPr>
  </w:style>
  <w:style w:type="paragraph" w:styleId="TableofFigures">
    <w:name w:val="table of figures"/>
    <w:basedOn w:val="Normal"/>
    <w:next w:val="Normal"/>
    <w:uiPriority w:val="99"/>
    <w:unhideWhenUsed/>
    <w:rsid w:val="00676679"/>
    <w:pPr>
      <w:spacing w:before="240" w:after="120"/>
    </w:pPr>
  </w:style>
  <w:style w:type="table" w:customStyle="1" w:styleId="ACCCTable3">
    <w:name w:val="ACCC Table 3"/>
    <w:basedOn w:val="TableNormal"/>
    <w:uiPriority w:val="99"/>
    <w:rsid w:val="00C53B5A"/>
    <w:pPr>
      <w:spacing w:before="0"/>
    </w:pPr>
    <w:rPr>
      <w:sz w:val="20"/>
    </w:rPr>
    <w:tblPr>
      <w:tblBorders>
        <w:insideV w:val="single" w:sz="4" w:space="0" w:color="FFFFFF" w:themeColor="background2"/>
      </w:tblBorders>
    </w:tblPr>
    <w:tblStylePr w:type="firstRow">
      <w:rPr>
        <w:rFonts w:asciiTheme="minorHAnsi" w:hAnsiTheme="minorHAnsi"/>
        <w:b/>
        <w:sz w:val="20"/>
      </w:rPr>
    </w:tblStylePr>
    <w:tblStylePr w:type="lastRow">
      <w:rPr>
        <w:rFonts w:ascii="Arial" w:hAnsi="Arial"/>
        <w:b/>
        <w:sz w:val="20"/>
      </w:rPr>
    </w:tblStylePr>
    <w:tblStylePr w:type="firstCol">
      <w:rPr>
        <w:rFonts w:ascii="Arial" w:hAnsi="Arial"/>
        <w:b/>
        <w:sz w:val="20"/>
      </w:rPr>
    </w:tblStylePr>
  </w:style>
  <w:style w:type="character" w:styleId="EndnoteReference">
    <w:name w:val="endnote reference"/>
    <w:basedOn w:val="DefaultParagraphFont"/>
    <w:uiPriority w:val="99"/>
    <w:rsid w:val="00263AC0"/>
    <w:rPr>
      <w:vertAlign w:val="superscript"/>
    </w:rPr>
  </w:style>
  <w:style w:type="paragraph" w:customStyle="1" w:styleId="Numberedparagraph11">
    <w:name w:val="Numbered paragraph 1.1"/>
    <w:basedOn w:val="Normal"/>
    <w:autoRedefine/>
    <w:qFormat/>
    <w:rsid w:val="00985C86"/>
    <w:pPr>
      <w:numPr>
        <w:ilvl w:val="1"/>
        <w:numId w:val="15"/>
      </w:numPr>
      <w:tabs>
        <w:tab w:val="left" w:pos="1021"/>
      </w:tabs>
      <w:spacing w:line="240" w:lineRule="atLeast"/>
      <w:ind w:left="680" w:hanging="680"/>
    </w:pPr>
    <w:rPr>
      <w:rFonts w:eastAsiaTheme="majorEastAsia" w:cs="Arial"/>
      <w:bCs/>
      <w:szCs w:val="26"/>
    </w:rPr>
  </w:style>
  <w:style w:type="paragraph" w:customStyle="1" w:styleId="AERquoteindent2">
    <w:name w:val="AER quote (indent 2)"/>
    <w:basedOn w:val="AERquoteindent1"/>
    <w:qFormat/>
    <w:rsid w:val="00DE1093"/>
    <w:pPr>
      <w:tabs>
        <w:tab w:val="clear" w:pos="680"/>
        <w:tab w:val="left" w:pos="1021"/>
      </w:tabs>
      <w:ind w:left="1021"/>
    </w:pPr>
  </w:style>
  <w:style w:type="paragraph" w:customStyle="1" w:styleId="Numberedparagraph">
    <w:name w:val="Numbered paragraph"/>
    <w:basedOn w:val="Normal"/>
    <w:rsid w:val="00C67A92"/>
    <w:pPr>
      <w:numPr>
        <w:numId w:val="1"/>
      </w:numPr>
      <w:tabs>
        <w:tab w:val="left" w:pos="680"/>
      </w:tabs>
      <w:ind w:left="680" w:hanging="680"/>
    </w:pPr>
    <w:rPr>
      <w:rFonts w:eastAsia="Times New Roman" w:cs="Times New Roman"/>
      <w:szCs w:val="20"/>
    </w:rPr>
  </w:style>
  <w:style w:type="paragraph" w:customStyle="1" w:styleId="Copyright">
    <w:name w:val="Copyright"/>
    <w:basedOn w:val="Normal"/>
    <w:next w:val="Normal"/>
    <w:link w:val="CopyrightChar"/>
    <w:rsid w:val="00951978"/>
    <w:pPr>
      <w:spacing w:line="288" w:lineRule="auto"/>
    </w:pPr>
    <w:rPr>
      <w:sz w:val="20"/>
      <w:szCs w:val="20"/>
    </w:rPr>
  </w:style>
  <w:style w:type="paragraph" w:customStyle="1" w:styleId="ReportTitle">
    <w:name w:val="Report Title"/>
    <w:basedOn w:val="Normal"/>
    <w:next w:val="Normal"/>
    <w:link w:val="ReportTitleChar"/>
    <w:qFormat/>
    <w:rsid w:val="00327A1E"/>
    <w:pPr>
      <w:tabs>
        <w:tab w:val="center" w:pos="4598"/>
        <w:tab w:val="right" w:pos="9026"/>
      </w:tabs>
      <w:spacing w:before="240"/>
      <w:contextualSpacing/>
      <w:jc w:val="center"/>
    </w:pPr>
    <w:rPr>
      <w:rFonts w:eastAsiaTheme="majorEastAsia" w:cstheme="majorBidi"/>
      <w:b/>
      <w:noProof/>
      <w:sz w:val="72"/>
      <w:szCs w:val="72"/>
      <w:lang w:eastAsia="en-AU"/>
    </w:rPr>
  </w:style>
  <w:style w:type="numbering" w:customStyle="1" w:styleId="AlphanumericList">
    <w:name w:val="Alphanumeric List"/>
    <w:uiPriority w:val="99"/>
    <w:rsid w:val="000A6C7B"/>
    <w:pPr>
      <w:numPr>
        <w:numId w:val="16"/>
      </w:numPr>
    </w:pPr>
  </w:style>
  <w:style w:type="table" w:customStyle="1" w:styleId="AERTable-Text">
    <w:name w:val="AER Table - Text"/>
    <w:basedOn w:val="TableNormal"/>
    <w:uiPriority w:val="99"/>
    <w:rsid w:val="000E4821"/>
    <w:pPr>
      <w:spacing w:before="120" w:after="120"/>
    </w:pPr>
    <w:rPr>
      <w:rFonts w:ascii="Arial" w:hAnsi="Arial"/>
      <w:sz w:val="20"/>
    </w:rPr>
    <w:tblPr>
      <w:tblStyleRowBandSize w:val="1"/>
      <w:tblBorders>
        <w:bottom w:val="single" w:sz="4" w:space="0" w:color="auto"/>
      </w:tblBorders>
    </w:tblPr>
    <w:tblStylePr w:type="firstRow">
      <w:pPr>
        <w:wordWrap/>
        <w:spacing w:beforeLines="0" w:before="240" w:beforeAutospacing="0" w:afterLines="0" w:after="120" w:afterAutospacing="0"/>
      </w:pPr>
      <w:rPr>
        <w:rFonts w:ascii="Arial" w:hAnsi="Arial"/>
        <w:b/>
        <w:color w:val="FFFFFF" w:themeColor="background1"/>
        <w:sz w:val="24"/>
      </w:rPr>
      <w:tblPr/>
      <w:tcPr>
        <w:shd w:val="clear" w:color="auto" w:fill="076A92"/>
      </w:tcPr>
    </w:tblStylePr>
    <w:tblStylePr w:type="band2Horz">
      <w:rPr>
        <w:rFonts w:ascii="Arial" w:hAnsi="Arial"/>
        <w:sz w:val="20"/>
      </w:rPr>
      <w:tblPr/>
      <w:tcPr>
        <w:shd w:val="clear" w:color="auto" w:fill="DBE5F1"/>
      </w:tcPr>
    </w:tblStylePr>
  </w:style>
  <w:style w:type="paragraph" w:customStyle="1" w:styleId="ReportDate">
    <w:name w:val="Report Date"/>
    <w:basedOn w:val="ReportTitle"/>
    <w:link w:val="ReportDateChar"/>
    <w:qFormat/>
    <w:rsid w:val="000A6C7B"/>
    <w:rPr>
      <w:b w:val="0"/>
      <w:sz w:val="36"/>
      <w:szCs w:val="36"/>
    </w:rPr>
  </w:style>
  <w:style w:type="paragraph" w:customStyle="1" w:styleId="ReportSubtitle">
    <w:name w:val="Report Subtitle"/>
    <w:basedOn w:val="ReportTitle"/>
    <w:link w:val="ReportSubtitleChar"/>
    <w:qFormat/>
    <w:rsid w:val="00327A1E"/>
    <w:rPr>
      <w:sz w:val="56"/>
      <w:szCs w:val="56"/>
    </w:rPr>
  </w:style>
  <w:style w:type="character" w:customStyle="1" w:styleId="ReportTitleChar">
    <w:name w:val="Report Title Char"/>
    <w:basedOn w:val="Heading1Char"/>
    <w:link w:val="ReportTitle"/>
    <w:rsid w:val="00327A1E"/>
    <w:rPr>
      <w:rFonts w:ascii="Arial" w:eastAsiaTheme="majorEastAsia" w:hAnsi="Arial" w:cstheme="majorBidi"/>
      <w:b w:val="0"/>
      <w:bCs w:val="0"/>
      <w:noProof/>
      <w:color w:val="70635A"/>
      <w:sz w:val="72"/>
      <w:szCs w:val="72"/>
      <w:lang w:eastAsia="en-AU"/>
    </w:rPr>
  </w:style>
  <w:style w:type="character" w:customStyle="1" w:styleId="ReportDateChar">
    <w:name w:val="Report Date Char"/>
    <w:basedOn w:val="ReportTitleChar"/>
    <w:link w:val="ReportDate"/>
    <w:rsid w:val="000A6C7B"/>
    <w:rPr>
      <w:rFonts w:ascii="Arial" w:eastAsiaTheme="majorEastAsia" w:hAnsi="Arial" w:cstheme="majorBidi"/>
      <w:b/>
      <w:bCs w:val="0"/>
      <w:noProof/>
      <w:color w:val="70635A"/>
      <w:sz w:val="36"/>
      <w:szCs w:val="36"/>
      <w:lang w:eastAsia="en-AU"/>
    </w:rPr>
  </w:style>
  <w:style w:type="character" w:customStyle="1" w:styleId="ReportSubtitleChar">
    <w:name w:val="Report Subtitle Char"/>
    <w:basedOn w:val="ReportTitleChar"/>
    <w:link w:val="ReportSubtitle"/>
    <w:rsid w:val="00327A1E"/>
    <w:rPr>
      <w:rFonts w:ascii="Arial" w:eastAsiaTheme="majorEastAsia" w:hAnsi="Arial" w:cstheme="majorBidi"/>
      <w:b w:val="0"/>
      <w:bCs w:val="0"/>
      <w:noProof/>
      <w:color w:val="70635A"/>
      <w:sz w:val="56"/>
      <w:szCs w:val="56"/>
      <w:lang w:eastAsia="en-AU"/>
    </w:rPr>
  </w:style>
  <w:style w:type="character" w:customStyle="1" w:styleId="CopyrightChar">
    <w:name w:val="Copyright Char"/>
    <w:basedOn w:val="DefaultParagraphFont"/>
    <w:link w:val="Copyright"/>
    <w:rsid w:val="00951978"/>
    <w:rPr>
      <w:rFonts w:ascii="Arial" w:hAnsi="Arial"/>
      <w:sz w:val="20"/>
      <w:szCs w:val="20"/>
    </w:rPr>
  </w:style>
  <w:style w:type="paragraph" w:styleId="BodyTextIndent">
    <w:name w:val="Body Text Indent"/>
    <w:basedOn w:val="Normal"/>
    <w:link w:val="BodyTextIndentChar"/>
    <w:unhideWhenUsed/>
    <w:rsid w:val="00F171E0"/>
    <w:pPr>
      <w:spacing w:after="120"/>
      <w:ind w:left="283"/>
    </w:pPr>
  </w:style>
  <w:style w:type="character" w:customStyle="1" w:styleId="BodyTextIndentChar">
    <w:name w:val="Body Text Indent Char"/>
    <w:basedOn w:val="DefaultParagraphFont"/>
    <w:link w:val="BodyTextIndent"/>
    <w:uiPriority w:val="99"/>
    <w:semiHidden/>
    <w:rsid w:val="00F171E0"/>
    <w:rPr>
      <w:rFonts w:ascii="Arial" w:hAnsi="Arial"/>
    </w:rPr>
  </w:style>
  <w:style w:type="paragraph" w:styleId="BodyTextFirstIndent2">
    <w:name w:val="Body Text First Indent 2"/>
    <w:basedOn w:val="BodyTextIndent"/>
    <w:link w:val="BodyTextFirstIndent2Char"/>
    <w:uiPriority w:val="99"/>
    <w:unhideWhenUsed/>
    <w:rsid w:val="00F171E0"/>
    <w:pPr>
      <w:spacing w:after="0"/>
      <w:ind w:left="360" w:firstLine="360"/>
    </w:pPr>
  </w:style>
  <w:style w:type="character" w:customStyle="1" w:styleId="BodyTextFirstIndent2Char">
    <w:name w:val="Body Text First Indent 2 Char"/>
    <w:basedOn w:val="BodyTextIndentChar"/>
    <w:link w:val="BodyTextFirstIndent2"/>
    <w:uiPriority w:val="99"/>
    <w:rsid w:val="00F171E0"/>
    <w:rPr>
      <w:rFonts w:ascii="Arial" w:hAnsi="Arial"/>
    </w:rPr>
  </w:style>
  <w:style w:type="paragraph" w:styleId="Closing">
    <w:name w:val="Closing"/>
    <w:basedOn w:val="Normal"/>
    <w:link w:val="ClosingChar"/>
    <w:uiPriority w:val="99"/>
    <w:unhideWhenUsed/>
    <w:rsid w:val="00F171E0"/>
    <w:pPr>
      <w:spacing w:before="0" w:line="240" w:lineRule="auto"/>
      <w:ind w:left="4252"/>
    </w:pPr>
  </w:style>
  <w:style w:type="character" w:customStyle="1" w:styleId="ClosingChar">
    <w:name w:val="Closing Char"/>
    <w:basedOn w:val="DefaultParagraphFont"/>
    <w:link w:val="Closing"/>
    <w:uiPriority w:val="99"/>
    <w:rsid w:val="00F171E0"/>
    <w:rPr>
      <w:rFonts w:ascii="Arial" w:hAnsi="Arial"/>
    </w:rPr>
  </w:style>
  <w:style w:type="paragraph" w:styleId="BodyTextFirstIndent">
    <w:name w:val="Body Text First Indent"/>
    <w:basedOn w:val="Normal"/>
    <w:link w:val="BodyTextFirstIndentChar"/>
    <w:uiPriority w:val="99"/>
    <w:unhideWhenUsed/>
    <w:rsid w:val="00F171E0"/>
    <w:pPr>
      <w:ind w:firstLine="360"/>
    </w:pPr>
  </w:style>
  <w:style w:type="character" w:customStyle="1" w:styleId="BodyTextFirstIndentChar">
    <w:name w:val="Body Text First Indent Char"/>
    <w:basedOn w:val="DefaultParagraphFont"/>
    <w:link w:val="BodyTextFirstIndent"/>
    <w:uiPriority w:val="99"/>
    <w:rsid w:val="00F171E0"/>
    <w:rPr>
      <w:rFonts w:ascii="Arial" w:hAnsi="Arial"/>
    </w:rPr>
  </w:style>
  <w:style w:type="paragraph" w:styleId="BodyText2">
    <w:name w:val="Body Text 2"/>
    <w:basedOn w:val="Normal"/>
    <w:link w:val="BodyText2Char"/>
    <w:unhideWhenUsed/>
    <w:rsid w:val="00F171E0"/>
    <w:pPr>
      <w:spacing w:after="120" w:line="480" w:lineRule="auto"/>
    </w:pPr>
  </w:style>
  <w:style w:type="character" w:customStyle="1" w:styleId="BodyText2Char">
    <w:name w:val="Body Text 2 Char"/>
    <w:basedOn w:val="DefaultParagraphFont"/>
    <w:link w:val="BodyText2"/>
    <w:uiPriority w:val="99"/>
    <w:rsid w:val="00F171E0"/>
    <w:rPr>
      <w:rFonts w:ascii="Arial" w:hAnsi="Arial"/>
    </w:rPr>
  </w:style>
  <w:style w:type="paragraph" w:customStyle="1" w:styleId="ListLegal">
    <w:name w:val="List Legal"/>
    <w:basedOn w:val="ListParagraph"/>
    <w:rsid w:val="00301B40"/>
    <w:pPr>
      <w:numPr>
        <w:numId w:val="19"/>
      </w:numPr>
      <w:tabs>
        <w:tab w:val="clear" w:pos="340"/>
        <w:tab w:val="left" w:pos="680"/>
      </w:tabs>
      <w:ind w:left="680" w:hanging="340"/>
    </w:pPr>
  </w:style>
  <w:style w:type="character" w:styleId="CommentReference">
    <w:name w:val="annotation reference"/>
    <w:basedOn w:val="DefaultParagraphFont"/>
    <w:uiPriority w:val="99"/>
    <w:unhideWhenUsed/>
    <w:rsid w:val="00F171E0"/>
    <w:rPr>
      <w:sz w:val="16"/>
      <w:szCs w:val="16"/>
    </w:rPr>
  </w:style>
  <w:style w:type="paragraph" w:customStyle="1" w:styleId="ListLegal2">
    <w:name w:val="List Legal 2"/>
    <w:basedOn w:val="ListLegal"/>
    <w:rsid w:val="00301B40"/>
    <w:pPr>
      <w:tabs>
        <w:tab w:val="clear" w:pos="680"/>
        <w:tab w:val="left" w:pos="1021"/>
      </w:tabs>
      <w:ind w:left="1020"/>
    </w:pPr>
  </w:style>
  <w:style w:type="paragraph" w:customStyle="1" w:styleId="AERnumberedlistthirdstyle">
    <w:name w:val="AER numbered list (third style)"/>
    <w:basedOn w:val="ListNumber3"/>
    <w:qFormat/>
    <w:rsid w:val="00571D57"/>
    <w:pPr>
      <w:numPr>
        <w:numId w:val="20"/>
      </w:numPr>
      <w:tabs>
        <w:tab w:val="left" w:pos="1361"/>
      </w:tabs>
      <w:ind w:left="1361" w:hanging="340"/>
    </w:pPr>
  </w:style>
  <w:style w:type="paragraph" w:customStyle="1" w:styleId="ListLegal4">
    <w:name w:val="List Legal 4"/>
    <w:basedOn w:val="AERnumberedlistthirdstyle"/>
    <w:rsid w:val="00571D57"/>
    <w:pPr>
      <w:tabs>
        <w:tab w:val="clear" w:pos="1361"/>
        <w:tab w:val="left" w:pos="1701"/>
      </w:tabs>
      <w:ind w:left="1701"/>
    </w:pPr>
  </w:style>
  <w:style w:type="paragraph" w:customStyle="1" w:styleId="ListLegal5">
    <w:name w:val="List Legal 5"/>
    <w:basedOn w:val="ListLegal4"/>
    <w:rsid w:val="00571D57"/>
    <w:pPr>
      <w:tabs>
        <w:tab w:val="clear" w:pos="1701"/>
        <w:tab w:val="left" w:pos="2041"/>
      </w:tabs>
      <w:ind w:left="2041"/>
    </w:pPr>
  </w:style>
  <w:style w:type="paragraph" w:styleId="Date">
    <w:name w:val="Date"/>
    <w:basedOn w:val="Normal"/>
    <w:next w:val="Normal"/>
    <w:link w:val="DateChar"/>
    <w:uiPriority w:val="99"/>
    <w:unhideWhenUsed/>
    <w:rsid w:val="00F171E0"/>
  </w:style>
  <w:style w:type="character" w:customStyle="1" w:styleId="DateChar">
    <w:name w:val="Date Char"/>
    <w:basedOn w:val="DefaultParagraphFont"/>
    <w:link w:val="Date"/>
    <w:uiPriority w:val="99"/>
    <w:rsid w:val="00F171E0"/>
    <w:rPr>
      <w:rFonts w:ascii="Arial" w:hAnsi="Arial"/>
    </w:rPr>
  </w:style>
  <w:style w:type="paragraph" w:styleId="DocumentMap">
    <w:name w:val="Document Map"/>
    <w:basedOn w:val="Normal"/>
    <w:link w:val="DocumentMapChar"/>
    <w:unhideWhenUsed/>
    <w:rsid w:val="00F171E0"/>
    <w:pPr>
      <w:spacing w:before="0" w:line="240" w:lineRule="auto"/>
    </w:pPr>
    <w:rPr>
      <w:rFonts w:ascii="Tahoma" w:hAnsi="Tahoma" w:cs="Tahoma"/>
      <w:sz w:val="16"/>
      <w:szCs w:val="16"/>
    </w:rPr>
  </w:style>
  <w:style w:type="character" w:customStyle="1" w:styleId="DocumentMapChar">
    <w:name w:val="Document Map Char"/>
    <w:basedOn w:val="DefaultParagraphFont"/>
    <w:link w:val="DocumentMap"/>
    <w:uiPriority w:val="99"/>
    <w:rsid w:val="00F171E0"/>
    <w:rPr>
      <w:rFonts w:ascii="Tahoma" w:hAnsi="Tahoma" w:cs="Tahoma"/>
      <w:sz w:val="16"/>
      <w:szCs w:val="16"/>
    </w:rPr>
  </w:style>
  <w:style w:type="paragraph" w:styleId="E-mailSignature">
    <w:name w:val="E-mail Signature"/>
    <w:basedOn w:val="Normal"/>
    <w:link w:val="E-mailSignatureChar"/>
    <w:uiPriority w:val="99"/>
    <w:unhideWhenUsed/>
    <w:rsid w:val="00F171E0"/>
    <w:pPr>
      <w:spacing w:before="0" w:line="240" w:lineRule="auto"/>
    </w:pPr>
  </w:style>
  <w:style w:type="character" w:customStyle="1" w:styleId="E-mailSignatureChar">
    <w:name w:val="E-mail Signature Char"/>
    <w:basedOn w:val="DefaultParagraphFont"/>
    <w:link w:val="E-mailSignature"/>
    <w:uiPriority w:val="99"/>
    <w:rsid w:val="00F171E0"/>
    <w:rPr>
      <w:rFonts w:ascii="Arial" w:hAnsi="Arial"/>
    </w:rPr>
  </w:style>
  <w:style w:type="paragraph" w:styleId="EnvelopeAddress">
    <w:name w:val="envelope address"/>
    <w:basedOn w:val="Normal"/>
    <w:uiPriority w:val="99"/>
    <w:unhideWhenUsed/>
    <w:rsid w:val="00F171E0"/>
    <w:pPr>
      <w:framePr w:w="7920" w:h="1980" w:hRule="exact" w:hSpace="180" w:wrap="auto" w:hAnchor="page" w:xAlign="center" w:yAlign="bottom"/>
      <w:spacing w:before="0" w:line="240" w:lineRule="auto"/>
      <w:ind w:left="2880"/>
    </w:pPr>
    <w:rPr>
      <w:rFonts w:asciiTheme="majorHAnsi" w:eastAsiaTheme="majorEastAsia" w:hAnsiTheme="majorHAnsi" w:cstheme="majorBidi"/>
      <w:sz w:val="24"/>
      <w:szCs w:val="24"/>
    </w:rPr>
  </w:style>
  <w:style w:type="paragraph" w:styleId="EnvelopeReturn">
    <w:name w:val="envelope return"/>
    <w:basedOn w:val="Normal"/>
    <w:uiPriority w:val="99"/>
    <w:unhideWhenUsed/>
    <w:rsid w:val="00F171E0"/>
    <w:pPr>
      <w:spacing w:before="0" w:line="240" w:lineRule="auto"/>
    </w:pPr>
    <w:rPr>
      <w:rFonts w:asciiTheme="majorHAnsi" w:eastAsiaTheme="majorEastAsia" w:hAnsiTheme="majorHAnsi" w:cstheme="majorBidi"/>
      <w:sz w:val="20"/>
      <w:szCs w:val="20"/>
    </w:rPr>
  </w:style>
  <w:style w:type="character" w:styleId="FollowedHyperlink">
    <w:name w:val="FollowedHyperlink"/>
    <w:basedOn w:val="DefaultParagraphFont"/>
    <w:unhideWhenUsed/>
    <w:rsid w:val="00F171E0"/>
    <w:rPr>
      <w:color w:val="800080" w:themeColor="followedHyperlink"/>
      <w:u w:val="single"/>
    </w:rPr>
  </w:style>
  <w:style w:type="paragraph" w:styleId="Index3">
    <w:name w:val="index 3"/>
    <w:basedOn w:val="Normal"/>
    <w:next w:val="Normal"/>
    <w:autoRedefine/>
    <w:uiPriority w:val="99"/>
    <w:unhideWhenUsed/>
    <w:rsid w:val="00F171E0"/>
    <w:pPr>
      <w:spacing w:before="0" w:line="240" w:lineRule="auto"/>
      <w:ind w:left="660" w:hanging="220"/>
    </w:pPr>
  </w:style>
  <w:style w:type="paragraph" w:styleId="Index4">
    <w:name w:val="index 4"/>
    <w:basedOn w:val="Normal"/>
    <w:next w:val="Normal"/>
    <w:autoRedefine/>
    <w:uiPriority w:val="99"/>
    <w:unhideWhenUsed/>
    <w:rsid w:val="00F171E0"/>
    <w:pPr>
      <w:spacing w:before="0" w:line="240" w:lineRule="auto"/>
      <w:ind w:left="880" w:hanging="220"/>
    </w:pPr>
  </w:style>
  <w:style w:type="paragraph" w:styleId="Index5">
    <w:name w:val="index 5"/>
    <w:basedOn w:val="Normal"/>
    <w:next w:val="Normal"/>
    <w:autoRedefine/>
    <w:uiPriority w:val="99"/>
    <w:unhideWhenUsed/>
    <w:rsid w:val="00F171E0"/>
    <w:pPr>
      <w:spacing w:before="0" w:line="240" w:lineRule="auto"/>
      <w:ind w:left="1100" w:hanging="220"/>
    </w:pPr>
  </w:style>
  <w:style w:type="paragraph" w:styleId="IndexHeading">
    <w:name w:val="index heading"/>
    <w:basedOn w:val="Normal"/>
    <w:next w:val="Index1"/>
    <w:uiPriority w:val="99"/>
    <w:unhideWhenUsed/>
    <w:rsid w:val="00F171E0"/>
    <w:rPr>
      <w:rFonts w:asciiTheme="majorHAnsi" w:eastAsiaTheme="majorEastAsia" w:hAnsiTheme="majorHAnsi" w:cstheme="majorBidi"/>
      <w:b/>
      <w:bCs/>
    </w:rPr>
  </w:style>
  <w:style w:type="character" w:styleId="IntenseEmphasis">
    <w:name w:val="Intense Emphasis"/>
    <w:basedOn w:val="DefaultParagraphFont"/>
    <w:uiPriority w:val="21"/>
    <w:unhideWhenUsed/>
    <w:rsid w:val="00F171E0"/>
    <w:rPr>
      <w:b/>
      <w:bCs/>
      <w:i/>
      <w:iCs/>
      <w:color w:val="2F002F" w:themeColor="accent1"/>
    </w:rPr>
  </w:style>
  <w:style w:type="paragraph" w:styleId="IntenseQuote">
    <w:name w:val="Intense Quote"/>
    <w:basedOn w:val="Normal"/>
    <w:next w:val="Normal"/>
    <w:link w:val="IntenseQuoteChar"/>
    <w:uiPriority w:val="30"/>
    <w:unhideWhenUsed/>
    <w:rsid w:val="00F171E0"/>
    <w:pPr>
      <w:pBdr>
        <w:bottom w:val="single" w:sz="4" w:space="4" w:color="2F002F" w:themeColor="accent1"/>
      </w:pBdr>
      <w:spacing w:after="280"/>
      <w:ind w:left="936" w:right="936"/>
    </w:pPr>
    <w:rPr>
      <w:b/>
      <w:bCs/>
      <w:i/>
      <w:iCs/>
      <w:color w:val="2F002F" w:themeColor="accent1"/>
    </w:rPr>
  </w:style>
  <w:style w:type="character" w:customStyle="1" w:styleId="IntenseQuoteChar">
    <w:name w:val="Intense Quote Char"/>
    <w:basedOn w:val="DefaultParagraphFont"/>
    <w:link w:val="IntenseQuote"/>
    <w:uiPriority w:val="30"/>
    <w:rsid w:val="00F171E0"/>
    <w:rPr>
      <w:rFonts w:ascii="Arial" w:hAnsi="Arial"/>
      <w:b/>
      <w:bCs/>
      <w:i/>
      <w:iCs/>
      <w:color w:val="2F002F" w:themeColor="accent1"/>
    </w:rPr>
  </w:style>
  <w:style w:type="character" w:styleId="IntenseReference">
    <w:name w:val="Intense Reference"/>
    <w:basedOn w:val="DefaultParagraphFont"/>
    <w:uiPriority w:val="32"/>
    <w:unhideWhenUsed/>
    <w:rsid w:val="00F171E0"/>
    <w:rPr>
      <w:b/>
      <w:bCs/>
      <w:smallCaps/>
      <w:color w:val="C14E00" w:themeColor="accent2"/>
      <w:spacing w:val="5"/>
      <w:u w:val="single"/>
    </w:rPr>
  </w:style>
  <w:style w:type="character" w:styleId="LineNumber">
    <w:name w:val="line number"/>
    <w:basedOn w:val="DefaultParagraphFont"/>
    <w:uiPriority w:val="99"/>
    <w:unhideWhenUsed/>
    <w:rsid w:val="00F171E0"/>
  </w:style>
  <w:style w:type="paragraph" w:customStyle="1" w:styleId="AERnumberedlistsecondstyle">
    <w:name w:val="AER numbered list (second style)"/>
    <w:basedOn w:val="Listalphabet"/>
    <w:qFormat/>
    <w:rsid w:val="00DB5074"/>
    <w:pPr>
      <w:numPr>
        <w:numId w:val="18"/>
      </w:numPr>
      <w:tabs>
        <w:tab w:val="clear" w:pos="340"/>
        <w:tab w:val="left" w:pos="680"/>
      </w:tabs>
      <w:ind w:left="680" w:hanging="340"/>
    </w:pPr>
  </w:style>
  <w:style w:type="paragraph" w:customStyle="1" w:styleId="Listalphabet3">
    <w:name w:val="List alphabet 3"/>
    <w:basedOn w:val="AERnumberedlistsecondstyle"/>
    <w:rsid w:val="00DB5074"/>
    <w:pPr>
      <w:tabs>
        <w:tab w:val="clear" w:pos="680"/>
        <w:tab w:val="left" w:pos="1021"/>
      </w:tabs>
      <w:ind w:left="1020"/>
    </w:pPr>
  </w:style>
  <w:style w:type="paragraph" w:customStyle="1" w:styleId="Listalphabet4">
    <w:name w:val="List alphabet 4"/>
    <w:basedOn w:val="Listalphabet3"/>
    <w:rsid w:val="00DB5074"/>
    <w:pPr>
      <w:tabs>
        <w:tab w:val="clear" w:pos="1021"/>
        <w:tab w:val="left" w:pos="1361"/>
      </w:tabs>
      <w:ind w:left="1361"/>
    </w:pPr>
  </w:style>
  <w:style w:type="paragraph" w:customStyle="1" w:styleId="Listalphabet5">
    <w:name w:val="List alphabet 5"/>
    <w:basedOn w:val="Listalphabet4"/>
    <w:rsid w:val="00DB5074"/>
    <w:pPr>
      <w:tabs>
        <w:tab w:val="clear" w:pos="1361"/>
        <w:tab w:val="left" w:pos="1701"/>
      </w:tabs>
      <w:ind w:left="1701"/>
    </w:pPr>
  </w:style>
  <w:style w:type="paragraph" w:styleId="ListContinue5">
    <w:name w:val="List Continue 5"/>
    <w:basedOn w:val="Normal"/>
    <w:uiPriority w:val="99"/>
    <w:unhideWhenUsed/>
    <w:rsid w:val="00DB5074"/>
    <w:pPr>
      <w:tabs>
        <w:tab w:val="left" w:pos="1701"/>
      </w:tabs>
      <w:spacing w:after="120"/>
      <w:ind w:left="1701"/>
      <w:contextualSpacing/>
    </w:pPr>
  </w:style>
  <w:style w:type="paragraph" w:styleId="ListNumber2">
    <w:name w:val="List Number 2"/>
    <w:basedOn w:val="Normal"/>
    <w:uiPriority w:val="99"/>
    <w:unhideWhenUsed/>
    <w:rsid w:val="00571D57"/>
    <w:pPr>
      <w:numPr>
        <w:numId w:val="8"/>
      </w:numPr>
      <w:tabs>
        <w:tab w:val="left" w:pos="680"/>
      </w:tabs>
      <w:spacing w:before="80" w:line="360" w:lineRule="auto"/>
      <w:ind w:left="680" w:hanging="340"/>
      <w:contextualSpacing/>
    </w:pPr>
  </w:style>
  <w:style w:type="character" w:customStyle="1" w:styleId="SalutationChar">
    <w:name w:val="Salutation Char"/>
    <w:basedOn w:val="DefaultParagraphFont"/>
    <w:link w:val="Salutation"/>
    <w:uiPriority w:val="99"/>
    <w:rsid w:val="00CA489E"/>
    <w:rPr>
      <w:rFonts w:ascii="Arial" w:hAnsi="Arial"/>
    </w:rPr>
  </w:style>
  <w:style w:type="paragraph" w:styleId="Signature">
    <w:name w:val="Signature"/>
    <w:basedOn w:val="Normal"/>
    <w:link w:val="SignatureChar"/>
    <w:uiPriority w:val="99"/>
    <w:unhideWhenUsed/>
    <w:rsid w:val="00CA489E"/>
    <w:pPr>
      <w:spacing w:before="0" w:line="240" w:lineRule="auto"/>
      <w:ind w:left="4252"/>
    </w:pPr>
  </w:style>
  <w:style w:type="character" w:customStyle="1" w:styleId="SignatureChar">
    <w:name w:val="Signature Char"/>
    <w:basedOn w:val="DefaultParagraphFont"/>
    <w:link w:val="Signature"/>
    <w:uiPriority w:val="99"/>
    <w:rsid w:val="00CA489E"/>
    <w:rPr>
      <w:rFonts w:ascii="Arial" w:hAnsi="Arial"/>
    </w:rPr>
  </w:style>
  <w:style w:type="character" w:styleId="SubtleEmphasis">
    <w:name w:val="Subtle Emphasis"/>
    <w:basedOn w:val="DefaultParagraphFont"/>
    <w:uiPriority w:val="19"/>
    <w:unhideWhenUsed/>
    <w:rsid w:val="00CA489E"/>
    <w:rPr>
      <w:b/>
      <w:i/>
      <w:iCs/>
      <w:color w:val="2F002F" w:themeColor="accent1"/>
    </w:rPr>
  </w:style>
  <w:style w:type="character" w:styleId="SubtleReference">
    <w:name w:val="Subtle Reference"/>
    <w:basedOn w:val="DefaultParagraphFont"/>
    <w:uiPriority w:val="31"/>
    <w:unhideWhenUsed/>
    <w:rsid w:val="00CA489E"/>
    <w:rPr>
      <w:smallCaps/>
      <w:color w:val="C14E00" w:themeColor="accent2"/>
      <w:u w:val="single"/>
    </w:rPr>
  </w:style>
  <w:style w:type="paragraph" w:customStyle="1" w:styleId="AERquoteindent1">
    <w:name w:val="AER quote (indent 1)"/>
    <w:basedOn w:val="Normal"/>
    <w:qFormat/>
    <w:rsid w:val="00DE1093"/>
    <w:pPr>
      <w:tabs>
        <w:tab w:val="left" w:pos="680"/>
      </w:tabs>
      <w:spacing w:after="160" w:line="240" w:lineRule="auto"/>
      <w:ind w:left="680" w:right="794"/>
    </w:pPr>
    <w:rPr>
      <w:rFonts w:eastAsia="Times New Roman" w:cs="Times New Roman"/>
      <w:sz w:val="20"/>
      <w:szCs w:val="20"/>
      <w:lang w:eastAsia="en-AU"/>
    </w:rPr>
  </w:style>
  <w:style w:type="character" w:styleId="PageNumber">
    <w:name w:val="page number"/>
    <w:basedOn w:val="DefaultParagraphFont"/>
    <w:rsid w:val="0020492C"/>
  </w:style>
  <w:style w:type="character" w:styleId="PlaceholderText">
    <w:name w:val="Placeholder Text"/>
    <w:basedOn w:val="DefaultParagraphFont"/>
    <w:uiPriority w:val="99"/>
    <w:rsid w:val="008D1661"/>
    <w:rPr>
      <w:color w:val="808080"/>
    </w:rPr>
  </w:style>
  <w:style w:type="paragraph" w:customStyle="1" w:styleId="StyleCopyrightBefore0pt">
    <w:name w:val="Style Copyright + Before:  0 pt"/>
    <w:basedOn w:val="Copyright"/>
    <w:rsid w:val="00185CB9"/>
    <w:pPr>
      <w:spacing w:before="120"/>
    </w:pPr>
    <w:rPr>
      <w:rFonts w:eastAsia="Times New Roman" w:cs="Times New Roman"/>
    </w:rPr>
  </w:style>
  <w:style w:type="character" w:customStyle="1" w:styleId="Bold">
    <w:name w:val="Bold"/>
    <w:basedOn w:val="DefaultParagraphFont"/>
    <w:rsid w:val="0020492C"/>
    <w:rPr>
      <w:b/>
      <w:bCs/>
    </w:rPr>
  </w:style>
  <w:style w:type="paragraph" w:customStyle="1" w:styleId="LegalNumbering">
    <w:name w:val="Legal Numbering"/>
    <w:basedOn w:val="Normal"/>
    <w:rsid w:val="005829C2"/>
    <w:pPr>
      <w:numPr>
        <w:numId w:val="21"/>
      </w:numPr>
      <w:tabs>
        <w:tab w:val="left" w:pos="680"/>
        <w:tab w:val="left" w:pos="1021"/>
        <w:tab w:val="left" w:pos="1361"/>
      </w:tabs>
      <w:spacing w:line="240" w:lineRule="auto"/>
    </w:pPr>
  </w:style>
  <w:style w:type="paragraph" w:customStyle="1" w:styleId="AERquoteindent3">
    <w:name w:val="AER quote (indent 3)"/>
    <w:basedOn w:val="AERquoteindent2"/>
    <w:qFormat/>
    <w:rsid w:val="00DE1093"/>
    <w:pPr>
      <w:ind w:left="1361"/>
    </w:pPr>
  </w:style>
  <w:style w:type="paragraph" w:customStyle="1" w:styleId="AERquotebullet1">
    <w:name w:val="AER quote bullet 1"/>
    <w:basedOn w:val="AERquoteindent1"/>
    <w:qFormat/>
    <w:rsid w:val="00DE1093"/>
    <w:pPr>
      <w:numPr>
        <w:numId w:val="22"/>
      </w:numPr>
      <w:ind w:left="1037" w:hanging="357"/>
    </w:pPr>
  </w:style>
  <w:style w:type="paragraph" w:customStyle="1" w:styleId="AERbulletlistthirdstyle">
    <w:name w:val="AER bullet list (third style)"/>
    <w:basedOn w:val="AERbulletlistsecondstyle"/>
    <w:qFormat/>
    <w:rsid w:val="00343A18"/>
    <w:pPr>
      <w:numPr>
        <w:ilvl w:val="2"/>
      </w:numPr>
      <w:tabs>
        <w:tab w:val="left" w:pos="1361"/>
      </w:tabs>
      <w:ind w:left="1361" w:hanging="340"/>
    </w:pPr>
  </w:style>
  <w:style w:type="character" w:customStyle="1" w:styleId="AERsubscript">
    <w:name w:val="AER subscript"/>
    <w:basedOn w:val="DefaultParagraphFont"/>
    <w:qFormat/>
    <w:rsid w:val="00343A18"/>
    <w:rPr>
      <w:sz w:val="16"/>
      <w:vertAlign w:val="subscript"/>
    </w:rPr>
  </w:style>
  <w:style w:type="character" w:customStyle="1" w:styleId="AERtextbolditalics">
    <w:name w:val="AER text bold italics"/>
    <w:basedOn w:val="DefaultParagraphFont"/>
    <w:qFormat/>
    <w:rsid w:val="00343A18"/>
    <w:rPr>
      <w:b/>
      <w:bCs/>
      <w:i/>
      <w:iCs/>
    </w:rPr>
  </w:style>
  <w:style w:type="character" w:customStyle="1" w:styleId="AERsuperscript">
    <w:name w:val="AER superscript"/>
    <w:qFormat/>
    <w:rsid w:val="00343A18"/>
    <w:rPr>
      <w:rFonts w:ascii="Arial" w:hAnsi="Arial"/>
      <w:sz w:val="16"/>
      <w:vertAlign w:val="superscript"/>
    </w:rPr>
  </w:style>
  <w:style w:type="character" w:customStyle="1" w:styleId="AERtextunderline">
    <w:name w:val="AER text underline"/>
    <w:basedOn w:val="DefaultParagraphFont"/>
    <w:qFormat/>
    <w:rsid w:val="00343A18"/>
    <w:rPr>
      <w:u w:val="single"/>
    </w:rPr>
  </w:style>
  <w:style w:type="paragraph" w:customStyle="1" w:styleId="AERtextconfidential">
    <w:name w:val="AER text confidential"/>
    <w:basedOn w:val="Normal"/>
    <w:qFormat/>
    <w:rsid w:val="008B5FCC"/>
    <w:rPr>
      <w:shd w:val="clear" w:color="auto" w:fill="CCFFFF"/>
    </w:rPr>
  </w:style>
  <w:style w:type="paragraph" w:customStyle="1" w:styleId="UnnumberedHeading">
    <w:name w:val="Unnumbered Heading"/>
    <w:basedOn w:val="Heading1"/>
    <w:link w:val="UnnumberedHeadingChar"/>
    <w:qFormat/>
    <w:rsid w:val="008B5FCC"/>
    <w:pPr>
      <w:numPr>
        <w:numId w:val="0"/>
      </w:numPr>
    </w:pPr>
  </w:style>
  <w:style w:type="numbering" w:customStyle="1" w:styleId="AERHeadings">
    <w:name w:val="AER Headings"/>
    <w:uiPriority w:val="99"/>
    <w:rsid w:val="00126A4C"/>
    <w:pPr>
      <w:numPr>
        <w:numId w:val="23"/>
      </w:numPr>
    </w:pPr>
  </w:style>
  <w:style w:type="character" w:customStyle="1" w:styleId="AERbody">
    <w:name w:val="AER body"/>
    <w:basedOn w:val="DefaultParagraphFont"/>
    <w:qFormat/>
    <w:rsid w:val="00126A4C"/>
    <w:rPr>
      <w:rFonts w:ascii="Arial" w:hAnsi="Arial"/>
      <w:color w:val="auto"/>
      <w:sz w:val="22"/>
    </w:rPr>
  </w:style>
  <w:style w:type="numbering" w:customStyle="1" w:styleId="AERnumberedlist">
    <w:name w:val="AER numbered list"/>
    <w:uiPriority w:val="99"/>
    <w:rsid w:val="00126A4C"/>
    <w:pPr>
      <w:numPr>
        <w:numId w:val="24"/>
      </w:numPr>
    </w:pPr>
  </w:style>
  <w:style w:type="character" w:customStyle="1" w:styleId="UnnumberedHeadingChar">
    <w:name w:val="Unnumbered Heading Char"/>
    <w:basedOn w:val="Heading1Char"/>
    <w:link w:val="UnnumberedHeading"/>
    <w:rsid w:val="00126A4C"/>
    <w:rPr>
      <w:rFonts w:ascii="Arial" w:eastAsiaTheme="majorEastAsia" w:hAnsi="Arial" w:cstheme="majorBidi"/>
      <w:b/>
      <w:bCs/>
      <w:color w:val="70635A"/>
      <w:sz w:val="36"/>
      <w:szCs w:val="28"/>
    </w:rPr>
  </w:style>
  <w:style w:type="paragraph" w:customStyle="1" w:styleId="AERbodytextnospace">
    <w:name w:val="AER body text no space"/>
    <w:basedOn w:val="Normal"/>
    <w:qFormat/>
    <w:rsid w:val="00683C89"/>
    <w:pPr>
      <w:tabs>
        <w:tab w:val="num" w:pos="0"/>
      </w:tabs>
      <w:spacing w:before="0" w:line="288" w:lineRule="auto"/>
      <w:jc w:val="both"/>
    </w:pPr>
    <w:rPr>
      <w:rFonts w:asciiTheme="minorHAnsi" w:eastAsia="Times New Roman" w:hAnsiTheme="minorHAnsi" w:cs="Times New Roman"/>
      <w:sz w:val="20"/>
      <w:szCs w:val="24"/>
    </w:rPr>
  </w:style>
  <w:style w:type="paragraph" w:customStyle="1" w:styleId="AERnumberedlist2first">
    <w:name w:val="AER numbered list 2 first"/>
    <w:basedOn w:val="Normal"/>
    <w:qFormat/>
    <w:rsid w:val="00683C89"/>
    <w:pPr>
      <w:tabs>
        <w:tab w:val="num" w:pos="454"/>
      </w:tabs>
      <w:spacing w:before="0" w:after="240" w:line="288" w:lineRule="auto"/>
      <w:ind w:left="454" w:hanging="454"/>
      <w:jc w:val="both"/>
    </w:pPr>
    <w:rPr>
      <w:rFonts w:asciiTheme="minorHAnsi" w:eastAsia="Times New Roman" w:hAnsiTheme="minorHAnsi" w:cs="Times New Roman"/>
      <w:sz w:val="20"/>
      <w:szCs w:val="24"/>
    </w:rPr>
  </w:style>
  <w:style w:type="character" w:customStyle="1" w:styleId="AERbodytextChar">
    <w:name w:val="AER body text Char"/>
    <w:basedOn w:val="DefaultParagraphFont"/>
    <w:rsid w:val="00126A4C"/>
    <w:rPr>
      <w:rFonts w:eastAsia="Times New Roman"/>
      <w:szCs w:val="24"/>
      <w:lang w:eastAsia="en-US"/>
    </w:rPr>
  </w:style>
  <w:style w:type="character" w:customStyle="1" w:styleId="HeadingBoldBlueChar">
    <w:name w:val="Heading Bold Blue Char"/>
    <w:basedOn w:val="AERbodytextChar"/>
    <w:link w:val="HeadingBoldBlue"/>
    <w:rsid w:val="00126A4C"/>
    <w:rPr>
      <w:rFonts w:ascii="Arial" w:eastAsiaTheme="majorEastAsia" w:hAnsi="Arial" w:cstheme="majorBidi"/>
      <w:b/>
      <w:bCs/>
      <w:color w:val="70635A" w:themeColor="text2"/>
      <w:sz w:val="28"/>
      <w:szCs w:val="24"/>
      <w:lang w:eastAsia="en-US"/>
    </w:rPr>
  </w:style>
  <w:style w:type="table" w:customStyle="1" w:styleId="AERtable-text0">
    <w:name w:val="AER table - text"/>
    <w:basedOn w:val="TableNormal"/>
    <w:uiPriority w:val="99"/>
    <w:rsid w:val="00683C89"/>
    <w:pPr>
      <w:spacing w:before="120" w:after="80"/>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character" w:customStyle="1" w:styleId="AERtextsize8">
    <w:name w:val="AER text size 8"/>
    <w:basedOn w:val="AERbody"/>
    <w:uiPriority w:val="1"/>
    <w:qFormat/>
    <w:rsid w:val="00126A4C"/>
    <w:rPr>
      <w:rFonts w:ascii="Arial" w:hAnsi="Arial"/>
      <w:color w:val="auto"/>
      <w:sz w:val="16"/>
    </w:rPr>
  </w:style>
  <w:style w:type="paragraph" w:styleId="Index7">
    <w:name w:val="index 7"/>
    <w:basedOn w:val="Normal"/>
    <w:next w:val="Normal"/>
    <w:autoRedefine/>
    <w:uiPriority w:val="99"/>
    <w:unhideWhenUsed/>
    <w:rsid w:val="00126A4C"/>
    <w:pPr>
      <w:spacing w:before="0" w:line="240" w:lineRule="auto"/>
      <w:ind w:left="1540" w:hanging="220"/>
    </w:pPr>
  </w:style>
  <w:style w:type="paragraph" w:customStyle="1" w:styleId="AERtablesource">
    <w:name w:val="AER table source"/>
    <w:next w:val="Normal"/>
    <w:qFormat/>
    <w:rsid w:val="0066104A"/>
    <w:pPr>
      <w:tabs>
        <w:tab w:val="left" w:pos="794"/>
      </w:tabs>
      <w:spacing w:before="160" w:after="360" w:line="360" w:lineRule="auto"/>
      <w:ind w:left="794" w:hanging="794"/>
      <w:contextualSpacing/>
      <w:jc w:val="both"/>
    </w:pPr>
    <w:rPr>
      <w:rFonts w:ascii="Arial" w:eastAsia="Times New Roman" w:hAnsi="Arial" w:cs="Times New Roman"/>
      <w:sz w:val="16"/>
      <w:szCs w:val="24"/>
    </w:rPr>
  </w:style>
  <w:style w:type="character" w:customStyle="1" w:styleId="AERtexthighlight">
    <w:name w:val="AER text highlight"/>
    <w:qFormat/>
    <w:rsid w:val="00126A4C"/>
    <w:rPr>
      <w:bdr w:val="none" w:sz="0" w:space="0" w:color="auto"/>
      <w:shd w:val="clear" w:color="auto" w:fill="FFFF00"/>
    </w:rPr>
  </w:style>
  <w:style w:type="character" w:customStyle="1" w:styleId="AERtextitalic">
    <w:name w:val="AER text italic"/>
    <w:qFormat/>
    <w:rsid w:val="00126A4C"/>
    <w:rPr>
      <w:i/>
    </w:rPr>
  </w:style>
  <w:style w:type="paragraph" w:customStyle="1" w:styleId="AERquote">
    <w:name w:val="AER quote"/>
    <w:next w:val="Normal"/>
    <w:qFormat/>
    <w:rsid w:val="00DE1093"/>
    <w:pPr>
      <w:tabs>
        <w:tab w:val="num" w:pos="709"/>
      </w:tabs>
      <w:spacing w:after="160" w:line="288" w:lineRule="auto"/>
      <w:ind w:left="709" w:right="720"/>
      <w:jc w:val="both"/>
    </w:pPr>
    <w:rPr>
      <w:rFonts w:ascii="Arial" w:eastAsia="Times New Roman" w:hAnsi="Arial" w:cs="Times New Roman"/>
      <w:color w:val="000000"/>
      <w:sz w:val="20"/>
      <w:szCs w:val="24"/>
    </w:rPr>
  </w:style>
  <w:style w:type="paragraph" w:customStyle="1" w:styleId="AERtabletextleft">
    <w:name w:val="AER table text left"/>
    <w:qFormat/>
    <w:rsid w:val="00983C25"/>
    <w:pPr>
      <w:spacing w:before="80" w:after="120" w:line="288" w:lineRule="auto"/>
    </w:pPr>
    <w:rPr>
      <w:rFonts w:ascii="Arial" w:eastAsia="Times New Roman" w:hAnsi="Arial" w:cs="Times New Roman"/>
      <w:sz w:val="20"/>
      <w:szCs w:val="24"/>
    </w:rPr>
  </w:style>
  <w:style w:type="character" w:customStyle="1" w:styleId="AERtextboldunderline">
    <w:name w:val="AER text bold underline"/>
    <w:qFormat/>
    <w:rsid w:val="000E4821"/>
    <w:rPr>
      <w:b/>
      <w:u w:val="single"/>
    </w:rPr>
  </w:style>
  <w:style w:type="numbering" w:customStyle="1" w:styleId="OldAERheadings">
    <w:name w:val="Old AER headings"/>
    <w:uiPriority w:val="99"/>
    <w:locked/>
    <w:rsid w:val="000E4821"/>
    <w:pPr>
      <w:numPr>
        <w:numId w:val="26"/>
      </w:numPr>
    </w:pPr>
  </w:style>
  <w:style w:type="character" w:customStyle="1" w:styleId="AERtextorange">
    <w:name w:val="AER text orange"/>
    <w:uiPriority w:val="1"/>
    <w:qFormat/>
    <w:rsid w:val="000E4821"/>
    <w:rPr>
      <w:color w:val="E36C0A"/>
    </w:rPr>
  </w:style>
  <w:style w:type="paragraph" w:customStyle="1" w:styleId="AERtitle1">
    <w:name w:val="AER title 1"/>
    <w:qFormat/>
    <w:rsid w:val="00683C89"/>
    <w:pPr>
      <w:spacing w:before="0" w:after="240" w:line="288" w:lineRule="auto"/>
      <w:jc w:val="center"/>
    </w:pPr>
    <w:rPr>
      <w:rFonts w:asciiTheme="majorHAnsi" w:eastAsia="Times New Roman" w:hAnsiTheme="majorHAnsi" w:cs="Times New Roman"/>
      <w:b/>
      <w:sz w:val="40"/>
      <w:szCs w:val="24"/>
      <w:lang w:eastAsia="en-AU"/>
    </w:rPr>
  </w:style>
  <w:style w:type="paragraph" w:customStyle="1" w:styleId="AERtitle2">
    <w:name w:val="AER title 2"/>
    <w:qFormat/>
    <w:rsid w:val="00683C89"/>
    <w:pPr>
      <w:spacing w:before="0" w:after="240" w:line="288" w:lineRule="auto"/>
      <w:jc w:val="center"/>
    </w:pPr>
    <w:rPr>
      <w:rFonts w:asciiTheme="majorHAnsi" w:eastAsia="Times New Roman" w:hAnsiTheme="majorHAnsi" w:cs="Times New Roman"/>
      <w:sz w:val="32"/>
      <w:szCs w:val="24"/>
    </w:rPr>
  </w:style>
  <w:style w:type="character" w:customStyle="1" w:styleId="AERtextblue">
    <w:name w:val="AER text blue"/>
    <w:uiPriority w:val="1"/>
    <w:qFormat/>
    <w:rsid w:val="000E4821"/>
    <w:rPr>
      <w:color w:val="365F91"/>
    </w:rPr>
  </w:style>
  <w:style w:type="table" w:customStyle="1" w:styleId="AERtable-numbers">
    <w:name w:val="AER table - numbers"/>
    <w:basedOn w:val="TableNormal"/>
    <w:uiPriority w:val="99"/>
    <w:rsid w:val="00683C89"/>
    <w:pPr>
      <w:spacing w:before="120" w:after="80"/>
      <w:jc w:val="right"/>
    </w:pPr>
    <w:rPr>
      <w:rFonts w:eastAsia="Calibri" w:cs="Times New Roman"/>
      <w:sz w:val="16"/>
      <w:szCs w:val="20"/>
      <w:lang w:eastAsia="en-AU"/>
    </w:rPr>
    <w:tblPr>
      <w:tblStyleRowBandSize w:val="1"/>
      <w:tblBorders>
        <w:bottom w:val="single" w:sz="4" w:space="0" w:color="365F91"/>
      </w:tblBorders>
    </w:tblPr>
    <w:tcPr>
      <w:vAlign w:val="center"/>
    </w:tcPr>
    <w:tblStylePr w:type="firstRow">
      <w:rPr>
        <w:b/>
        <w:color w:val="FFFFFF"/>
      </w:rPr>
      <w:tblPr/>
      <w:tcPr>
        <w:shd w:val="clear" w:color="auto" w:fill="365F91"/>
      </w:tcPr>
    </w:tblStylePr>
    <w:tblStylePr w:type="firstCol">
      <w:pPr>
        <w:jc w:val="left"/>
      </w:pPr>
    </w:tblStylePr>
    <w:tblStylePr w:type="band2Horz">
      <w:tblPr/>
      <w:tcPr>
        <w:shd w:val="clear" w:color="auto" w:fill="DBE5F1"/>
      </w:tcPr>
    </w:tblStylePr>
  </w:style>
  <w:style w:type="table" w:styleId="TableGrid1">
    <w:name w:val="Table Grid 1"/>
    <w:basedOn w:val="TableNormal"/>
    <w:uiPriority w:val="99"/>
    <w:semiHidden/>
    <w:unhideWhenUsed/>
    <w:rsid w:val="00683C89"/>
    <w:pPr>
      <w:spacing w:before="0"/>
    </w:pPr>
    <w:rPr>
      <w:rFonts w:eastAsia="Calibri" w:cs="Times New Roman"/>
      <w:sz w:val="20"/>
      <w:szCs w:val="20"/>
      <w:lang w:eastAsia="en-A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cPr>
      <w:shd w:val="clear" w:color="auto" w:fill="auto"/>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paragraph" w:customStyle="1" w:styleId="AERtabletextright">
    <w:name w:val="AER table text right"/>
    <w:basedOn w:val="AERtabletextleft"/>
    <w:qFormat/>
    <w:rsid w:val="000E4821"/>
    <w:pPr>
      <w:spacing w:before="120" w:after="80"/>
      <w:jc w:val="right"/>
    </w:pPr>
  </w:style>
  <w:style w:type="paragraph" w:styleId="CommentText">
    <w:name w:val="annotation text"/>
    <w:basedOn w:val="Normal"/>
    <w:link w:val="CommentTextChar"/>
    <w:uiPriority w:val="99"/>
    <w:unhideWhenUsed/>
    <w:rsid w:val="00683C89"/>
    <w:pPr>
      <w:spacing w:before="0" w:after="240" w:line="240" w:lineRule="auto"/>
      <w:jc w:val="both"/>
    </w:pPr>
    <w:rPr>
      <w:rFonts w:asciiTheme="minorHAnsi" w:eastAsia="Calibri" w:hAnsiTheme="minorHAnsi" w:cs="Times New Roman"/>
      <w:sz w:val="20"/>
      <w:szCs w:val="20"/>
    </w:rPr>
  </w:style>
  <w:style w:type="character" w:customStyle="1" w:styleId="CommentTextChar">
    <w:name w:val="Comment Text Char"/>
    <w:basedOn w:val="DefaultParagraphFont"/>
    <w:link w:val="CommentText"/>
    <w:uiPriority w:val="99"/>
    <w:semiHidden/>
    <w:rsid w:val="00683C89"/>
    <w:rPr>
      <w:rFonts w:eastAsia="Calibri" w:cs="Times New Roman"/>
      <w:sz w:val="20"/>
      <w:szCs w:val="20"/>
    </w:rPr>
  </w:style>
  <w:style w:type="paragraph" w:styleId="CommentSubject">
    <w:name w:val="annotation subject"/>
    <w:basedOn w:val="CommentText"/>
    <w:next w:val="CommentText"/>
    <w:link w:val="CommentSubjectChar"/>
    <w:semiHidden/>
    <w:unhideWhenUsed/>
    <w:rsid w:val="00683C89"/>
    <w:rPr>
      <w:b/>
      <w:bCs/>
    </w:rPr>
  </w:style>
  <w:style w:type="character" w:customStyle="1" w:styleId="CommentSubjectChar">
    <w:name w:val="Comment Subject Char"/>
    <w:basedOn w:val="CommentTextChar"/>
    <w:link w:val="CommentSubject"/>
    <w:uiPriority w:val="99"/>
    <w:semiHidden/>
    <w:rsid w:val="00683C89"/>
    <w:rPr>
      <w:rFonts w:eastAsia="Calibri" w:cs="Times New Roman"/>
      <w:b/>
      <w:bCs/>
      <w:sz w:val="20"/>
      <w:szCs w:val="20"/>
    </w:rPr>
  </w:style>
  <w:style w:type="character" w:customStyle="1" w:styleId="AERtextsize10">
    <w:name w:val="AER text size 10"/>
    <w:uiPriority w:val="1"/>
    <w:qFormat/>
    <w:rsid w:val="000E4821"/>
    <w:rPr>
      <w:sz w:val="20"/>
    </w:rPr>
  </w:style>
  <w:style w:type="paragraph" w:customStyle="1" w:styleId="AERbodytextnospaceleftalign">
    <w:name w:val="AER body text no space left align"/>
    <w:basedOn w:val="AERbodytextnospace"/>
    <w:qFormat/>
    <w:rsid w:val="000E4821"/>
    <w:pPr>
      <w:jc w:val="left"/>
    </w:pPr>
  </w:style>
  <w:style w:type="paragraph" w:customStyle="1" w:styleId="AERbodytextleftalign">
    <w:name w:val="AER body text left align"/>
    <w:basedOn w:val="Normal"/>
    <w:qFormat/>
    <w:rsid w:val="00683C89"/>
    <w:pPr>
      <w:tabs>
        <w:tab w:val="num" w:pos="1492"/>
      </w:tabs>
      <w:spacing w:before="0" w:after="240" w:line="288" w:lineRule="auto"/>
      <w:ind w:left="1492" w:hanging="360"/>
    </w:pPr>
    <w:rPr>
      <w:rFonts w:asciiTheme="minorHAnsi" w:eastAsia="Times New Roman" w:hAnsiTheme="minorHAnsi" w:cs="Times New Roman"/>
      <w:sz w:val="20"/>
      <w:szCs w:val="24"/>
    </w:rPr>
  </w:style>
  <w:style w:type="paragraph" w:customStyle="1" w:styleId="AERbodytextcentre">
    <w:name w:val="AER body text centre"/>
    <w:basedOn w:val="Normal"/>
    <w:qFormat/>
    <w:rsid w:val="00683C89"/>
    <w:pPr>
      <w:tabs>
        <w:tab w:val="num" w:pos="1492"/>
      </w:tabs>
      <w:spacing w:before="0" w:after="240" w:line="288" w:lineRule="auto"/>
      <w:ind w:left="1492" w:hanging="360"/>
      <w:jc w:val="center"/>
    </w:pPr>
    <w:rPr>
      <w:rFonts w:asciiTheme="minorHAnsi" w:eastAsia="Times New Roman" w:hAnsiTheme="minorHAnsi" w:cs="Times New Roman"/>
      <w:sz w:val="20"/>
      <w:szCs w:val="24"/>
    </w:rPr>
  </w:style>
  <w:style w:type="paragraph" w:customStyle="1" w:styleId="AERbodytextnospacecentre">
    <w:name w:val="AER body text no space centre"/>
    <w:basedOn w:val="AERbodytextnospace"/>
    <w:qFormat/>
    <w:rsid w:val="000E4821"/>
    <w:pPr>
      <w:tabs>
        <w:tab w:val="clear" w:pos="0"/>
        <w:tab w:val="num" w:pos="1492"/>
      </w:tabs>
      <w:ind w:left="1492" w:hanging="360"/>
      <w:jc w:val="center"/>
    </w:pPr>
  </w:style>
  <w:style w:type="paragraph" w:styleId="Revision">
    <w:name w:val="Revision"/>
    <w:hidden/>
    <w:uiPriority w:val="99"/>
    <w:semiHidden/>
    <w:rsid w:val="000E4821"/>
    <w:pPr>
      <w:spacing w:before="0"/>
    </w:pPr>
    <w:rPr>
      <w:rFonts w:ascii="Gautami" w:eastAsia="Calibri" w:hAnsi="Gautami" w:cs="Times New Roman"/>
      <w:sz w:val="20"/>
      <w:szCs w:val="20"/>
    </w:rPr>
  </w:style>
  <w:style w:type="table" w:customStyle="1" w:styleId="AERtable-text1">
    <w:name w:val="AER table - text1"/>
    <w:basedOn w:val="TableNormal"/>
    <w:uiPriority w:val="99"/>
    <w:rsid w:val="00683C89"/>
    <w:pPr>
      <w:spacing w:before="120" w:after="80"/>
    </w:pPr>
    <w:rPr>
      <w:rFonts w:eastAsia="Calibri" w:cs="Times New Roman"/>
      <w:sz w:val="16"/>
      <w:szCs w:val="20"/>
      <w:lang w:eastAsia="en-AU"/>
    </w:rPr>
    <w:tblPr>
      <w:tblStyleRowBandSize w:val="1"/>
      <w:tblInd w:w="0" w:type="nil"/>
      <w:tblBorders>
        <w:bottom w:val="single" w:sz="4" w:space="0" w:color="365F91"/>
      </w:tblBorders>
    </w:tblPr>
    <w:tcPr>
      <w:vAlign w:val="center"/>
    </w:tcPr>
    <w:tblStylePr w:type="firstRow">
      <w:rPr>
        <w:b/>
        <w:color w:val="FFFFFF"/>
      </w:rPr>
      <w:tblPr/>
      <w:tcPr>
        <w:shd w:val="clear" w:color="auto" w:fill="365F91"/>
      </w:tcPr>
    </w:tblStylePr>
    <w:tblStylePr w:type="band2Horz">
      <w:tblPr/>
      <w:tcPr>
        <w:shd w:val="clear" w:color="auto" w:fill="DBE5F1"/>
      </w:tcPr>
    </w:tblStylePr>
  </w:style>
  <w:style w:type="paragraph" w:styleId="NormalWeb">
    <w:name w:val="Normal (Web)"/>
    <w:basedOn w:val="Normal"/>
    <w:uiPriority w:val="99"/>
    <w:semiHidden/>
    <w:unhideWhenUsed/>
    <w:rsid w:val="00FC71DC"/>
    <w:pPr>
      <w:spacing w:before="0" w:after="240" w:line="288" w:lineRule="auto"/>
      <w:jc w:val="both"/>
    </w:pPr>
    <w:rPr>
      <w:rFonts w:ascii="Times New Roman" w:eastAsia="Calibri" w:hAnsi="Times New Roman" w:cs="Times New Roman"/>
      <w:sz w:val="24"/>
      <w:szCs w:val="24"/>
    </w:rPr>
  </w:style>
  <w:style w:type="paragraph" w:styleId="BodyText">
    <w:name w:val="Body Text"/>
    <w:basedOn w:val="Normal"/>
    <w:link w:val="BodyTextChar"/>
    <w:rsid w:val="00DE772C"/>
    <w:pPr>
      <w:shd w:val="pct10" w:color="auto" w:fill="auto"/>
      <w:spacing w:before="0" w:after="120" w:line="-240" w:lineRule="auto"/>
      <w:ind w:right="18"/>
    </w:pPr>
    <w:rPr>
      <w:rFonts w:ascii="Times New Roman" w:eastAsia="Times New Roman" w:hAnsi="Times New Roman" w:cs="Times New Roman"/>
      <w:sz w:val="20"/>
      <w:szCs w:val="20"/>
      <w:lang w:val="en-US" w:eastAsia="en-AU"/>
    </w:rPr>
  </w:style>
  <w:style w:type="character" w:customStyle="1" w:styleId="BodyTextChar">
    <w:name w:val="Body Text Char"/>
    <w:basedOn w:val="DefaultParagraphFont"/>
    <w:link w:val="BodyText"/>
    <w:rsid w:val="00DE772C"/>
    <w:rPr>
      <w:rFonts w:ascii="Times New Roman" w:eastAsia="Times New Roman" w:hAnsi="Times New Roman" w:cs="Times New Roman"/>
      <w:sz w:val="20"/>
      <w:szCs w:val="20"/>
      <w:shd w:val="pct10" w:color="auto" w:fill="auto"/>
      <w:lang w:val="en-US" w:eastAsia="en-AU"/>
    </w:rPr>
  </w:style>
  <w:style w:type="paragraph" w:styleId="BodyTextIndent3">
    <w:name w:val="Body Text Indent 3"/>
    <w:basedOn w:val="Normal"/>
    <w:link w:val="BodyTextIndent3Char"/>
    <w:rsid w:val="00DE772C"/>
    <w:pPr>
      <w:tabs>
        <w:tab w:val="num" w:pos="284"/>
        <w:tab w:val="left" w:pos="1418"/>
      </w:tabs>
      <w:spacing w:before="0" w:line="240" w:lineRule="auto"/>
      <w:ind w:left="426"/>
    </w:pPr>
    <w:rPr>
      <w:rFonts w:ascii="Arial Narrow" w:eastAsia="Times New Roman" w:hAnsi="Arial Narrow" w:cs="Times New Roman"/>
      <w:sz w:val="24"/>
      <w:szCs w:val="20"/>
      <w:lang w:val="en-US" w:eastAsia="en-AU"/>
    </w:rPr>
  </w:style>
  <w:style w:type="character" w:customStyle="1" w:styleId="BodyTextIndent3Char">
    <w:name w:val="Body Text Indent 3 Char"/>
    <w:basedOn w:val="DefaultParagraphFont"/>
    <w:link w:val="BodyTextIndent3"/>
    <w:rsid w:val="00DE772C"/>
    <w:rPr>
      <w:rFonts w:ascii="Arial Narrow" w:eastAsia="Times New Roman" w:hAnsi="Arial Narrow" w:cs="Times New Roman"/>
      <w:sz w:val="24"/>
      <w:szCs w:val="20"/>
      <w:lang w:val="en-US" w:eastAsia="en-AU"/>
    </w:rPr>
  </w:style>
  <w:style w:type="paragraph" w:customStyle="1" w:styleId="Default">
    <w:name w:val="Default"/>
    <w:rsid w:val="00AB4A8F"/>
    <w:pPr>
      <w:autoSpaceDE w:val="0"/>
      <w:autoSpaceDN w:val="0"/>
      <w:adjustRightInd w:val="0"/>
      <w:spacing w:before="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0886671">
      <w:bodyDiv w:val="1"/>
      <w:marLeft w:val="0"/>
      <w:marRight w:val="0"/>
      <w:marTop w:val="0"/>
      <w:marBottom w:val="0"/>
      <w:divBdr>
        <w:top w:val="none" w:sz="0" w:space="0" w:color="auto"/>
        <w:left w:val="none" w:sz="0" w:space="0" w:color="auto"/>
        <w:bottom w:val="none" w:sz="0" w:space="0" w:color="auto"/>
        <w:right w:val="none" w:sz="0" w:space="0" w:color="auto"/>
      </w:divBdr>
    </w:div>
    <w:div w:id="552425704">
      <w:bodyDiv w:val="1"/>
      <w:marLeft w:val="0"/>
      <w:marRight w:val="0"/>
      <w:marTop w:val="0"/>
      <w:marBottom w:val="0"/>
      <w:divBdr>
        <w:top w:val="none" w:sz="0" w:space="0" w:color="auto"/>
        <w:left w:val="none" w:sz="0" w:space="0" w:color="auto"/>
        <w:bottom w:val="none" w:sz="0" w:space="0" w:color="auto"/>
        <w:right w:val="none" w:sz="0" w:space="0" w:color="auto"/>
      </w:divBdr>
    </w:div>
    <w:div w:id="635840213">
      <w:bodyDiv w:val="1"/>
      <w:marLeft w:val="0"/>
      <w:marRight w:val="0"/>
      <w:marTop w:val="0"/>
      <w:marBottom w:val="0"/>
      <w:divBdr>
        <w:top w:val="none" w:sz="0" w:space="0" w:color="auto"/>
        <w:left w:val="none" w:sz="0" w:space="0" w:color="auto"/>
        <w:bottom w:val="none" w:sz="0" w:space="0" w:color="auto"/>
        <w:right w:val="none" w:sz="0" w:space="0" w:color="auto"/>
      </w:divBdr>
    </w:div>
    <w:div w:id="1045834519">
      <w:bodyDiv w:val="1"/>
      <w:marLeft w:val="0"/>
      <w:marRight w:val="0"/>
      <w:marTop w:val="0"/>
      <w:marBottom w:val="0"/>
      <w:divBdr>
        <w:top w:val="none" w:sz="0" w:space="0" w:color="auto"/>
        <w:left w:val="none" w:sz="0" w:space="0" w:color="auto"/>
        <w:bottom w:val="none" w:sz="0" w:space="0" w:color="auto"/>
        <w:right w:val="none" w:sz="0" w:space="0" w:color="auto"/>
      </w:divBdr>
    </w:div>
    <w:div w:id="121546134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image" Target="cid:image001.png@01D0CF67.8C41FBA0" TargetMode="External"/><Relationship Id="rId18" Type="http://schemas.openxmlformats.org/officeDocument/2006/relationships/footer" Target="footer2.xml"/><Relationship Id="rId3" Type="http://schemas.openxmlformats.org/officeDocument/2006/relationships/numbering" Target="numbering.xml"/><Relationship Id="rId21" Type="http://schemas.openxmlformats.org/officeDocument/2006/relationships/theme" Target="theme/theme1.xml"/><Relationship Id="rId7" Type="http://schemas.openxmlformats.org/officeDocument/2006/relationships/webSettings" Target="webSettings.xml"/><Relationship Id="rId12" Type="http://schemas.openxmlformats.org/officeDocument/2006/relationships/image" Target="media/image2.png"/><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AERInquiry@aer.gov.au" TargetMode="External"/><Relationship Id="rId5" Type="http://schemas.microsoft.com/office/2007/relationships/stylesWithEffects" Target="stylesWithEffects.xml"/><Relationship Id="rId15" Type="http://schemas.openxmlformats.org/officeDocument/2006/relationships/image" Target="media/image4.jpeg"/><Relationship Id="rId10" Type="http://schemas.openxmlformats.org/officeDocument/2006/relationships/image" Target="media/image1.jpeg"/><Relationship Id="rId19" Type="http://schemas.openxmlformats.org/officeDocument/2006/relationships/header" Target="header2.xml"/><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image" Target="media/image3.jpeg"/></Relationships>
</file>

<file path=word/theme/theme1.xml><?xml version="1.0" encoding="utf-8"?>
<a:theme xmlns:a="http://schemas.openxmlformats.org/drawingml/2006/main" name="AER">
  <a:themeElements>
    <a:clrScheme name="AER Colour theme">
      <a:dk1>
        <a:srgbClr val="076A92"/>
      </a:dk1>
      <a:lt1>
        <a:sysClr val="window" lastClr="FFFFFF"/>
      </a:lt1>
      <a:dk2>
        <a:srgbClr val="70635A"/>
      </a:dk2>
      <a:lt2>
        <a:srgbClr val="FFFFFF"/>
      </a:lt2>
      <a:accent1>
        <a:srgbClr val="2F002F"/>
      </a:accent1>
      <a:accent2>
        <a:srgbClr val="C14E00"/>
      </a:accent2>
      <a:accent3>
        <a:srgbClr val="002060"/>
      </a:accent3>
      <a:accent4>
        <a:srgbClr val="C00000"/>
      </a:accent4>
      <a:accent5>
        <a:srgbClr val="000000"/>
      </a:accent5>
      <a:accent6>
        <a:srgbClr val="70303C"/>
      </a:accent6>
      <a:hlink>
        <a:srgbClr val="0000FF"/>
      </a:hlink>
      <a:folHlink>
        <a:srgbClr val="800080"/>
      </a:folHlink>
    </a:clrScheme>
    <a:fontScheme name="Custom 1">
      <a:majorFont>
        <a:latin typeface="Arial"/>
        <a:ea typeface=""/>
        <a:cs typeface=""/>
      </a:majorFont>
      <a:minorFont>
        <a:latin typeface="Arial"/>
        <a:ea typeface=""/>
        <a:cs typeface=""/>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
  <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E3D3DFB2-6D78-4302-96B7-669C056EA6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9F33E3BF</Template>
  <TotalTime>0</TotalTime>
  <Pages>28</Pages>
  <Words>6799</Words>
  <Characters>38759</Characters>
  <Application>Microsoft Office Word</Application>
  <DocSecurity>0</DocSecurity>
  <Lines>322</Lines>
  <Paragraphs>90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45468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lastModifiedBy/>
  <cp:revision>1</cp:revision>
  <dcterms:created xsi:type="dcterms:W3CDTF">2015-10-26T06:46:00Z</dcterms:created>
  <dcterms:modified xsi:type="dcterms:W3CDTF">2015-10-26T06:46:00Z</dcterms:modified>
  <cp:contentStatus>Final</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RI">
    <vt:lpwstr>8429782</vt:lpwstr>
  </property>
  <property fmtid="{D5CDD505-2E9C-101B-9397-08002B2CF9AE}" pid="3" name="_MarkAsFinal">
    <vt:bool>true</vt:bool>
  </property>
</Properties>
</file>