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1C950A8" wp14:editId="33281FA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487A50"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741C46">
            <w:t>5</w:t>
          </w:r>
          <w:r w:rsidR="00DA4752">
            <w:t xml:space="preserve"> </w:t>
          </w:r>
          <w:r w:rsidR="00415F31">
            <w:rPr>
              <w:rFonts w:cs="Arial"/>
            </w:rPr>
            <w:t>–</w:t>
          </w:r>
          <w:r w:rsidR="00DA4752">
            <w:t xml:space="preserve"> </w:t>
          </w:r>
          <w:r w:rsidR="00741C46">
            <w:t>Regulatory depreciation</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3196171"/>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487A50">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2E5A94" w:rsidRDefault="0070011E" w:rsidP="00DD74E7">
      <w:r>
        <w:t>Attach</w:t>
      </w:r>
      <w:r w:rsidR="009A5113">
        <w:t xml:space="preserve">ment 18 - </w:t>
      </w:r>
      <w:r w:rsidR="002E5A94">
        <w:t>f-</w:t>
      </w:r>
      <w:r w:rsidR="002E5A94" w:rsidRPr="001663B6">
        <w:t>factor scheme</w:t>
      </w:r>
    </w:p>
    <w:p w:rsidR="00DE563D" w:rsidRPr="00A72B34" w:rsidRDefault="00DE563D" w:rsidP="00DE772C">
      <w:pPr>
        <w:pStyle w:val="UnnumberedHeading"/>
        <w:numPr>
          <w:ilvl w:val="0"/>
          <w:numId w:val="23"/>
        </w:numPr>
      </w:pPr>
      <w:bookmarkStart w:id="6" w:name="_Toc403144133"/>
      <w:bookmarkStart w:id="7" w:name="_Toc43319617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noProof/>
        </w:rPr>
      </w:sdtEndPr>
      <w:sdtContent>
        <w:p w:rsidR="00DD74E7"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196171" w:history="1">
            <w:r w:rsidR="00DD74E7" w:rsidRPr="00007285">
              <w:rPr>
                <w:rStyle w:val="Hyperlink"/>
              </w:rPr>
              <w:t>Note</w:t>
            </w:r>
            <w:r w:rsidR="00DD74E7">
              <w:rPr>
                <w:webHidden/>
              </w:rPr>
              <w:tab/>
            </w:r>
            <w:r w:rsidR="00DD74E7">
              <w:rPr>
                <w:webHidden/>
              </w:rPr>
              <w:fldChar w:fldCharType="begin"/>
            </w:r>
            <w:r w:rsidR="00DD74E7">
              <w:rPr>
                <w:webHidden/>
              </w:rPr>
              <w:instrText xml:space="preserve"> PAGEREF _Toc433196171 \h </w:instrText>
            </w:r>
            <w:r w:rsidR="00DD74E7">
              <w:rPr>
                <w:webHidden/>
              </w:rPr>
            </w:r>
            <w:r w:rsidR="00DD74E7">
              <w:rPr>
                <w:webHidden/>
              </w:rPr>
              <w:fldChar w:fldCharType="separate"/>
            </w:r>
            <w:r w:rsidR="00DD74E7">
              <w:rPr>
                <w:webHidden/>
              </w:rPr>
              <w:t>5-2</w:t>
            </w:r>
            <w:r w:rsidR="00DD74E7">
              <w:rPr>
                <w:webHidden/>
              </w:rPr>
              <w:fldChar w:fldCharType="end"/>
            </w:r>
          </w:hyperlink>
        </w:p>
        <w:p w:rsidR="00DD74E7" w:rsidRDefault="00A95360">
          <w:pPr>
            <w:pStyle w:val="TOC1"/>
            <w:rPr>
              <w:rFonts w:asciiTheme="minorHAnsi" w:eastAsiaTheme="minorEastAsia" w:hAnsiTheme="minorHAnsi"/>
              <w:b w:val="0"/>
              <w:color w:val="auto"/>
              <w:sz w:val="22"/>
              <w:lang w:val="en-AU" w:eastAsia="en-AU"/>
            </w:rPr>
          </w:pPr>
          <w:hyperlink w:anchor="_Toc433196172" w:history="1">
            <w:r w:rsidR="00DD74E7" w:rsidRPr="00007285">
              <w:rPr>
                <w:rStyle w:val="Hyperlink"/>
              </w:rPr>
              <w:t>Contents</w:t>
            </w:r>
            <w:r w:rsidR="00DD74E7">
              <w:rPr>
                <w:webHidden/>
              </w:rPr>
              <w:tab/>
            </w:r>
            <w:r w:rsidR="00DD74E7">
              <w:rPr>
                <w:webHidden/>
              </w:rPr>
              <w:fldChar w:fldCharType="begin"/>
            </w:r>
            <w:r w:rsidR="00DD74E7">
              <w:rPr>
                <w:webHidden/>
              </w:rPr>
              <w:instrText xml:space="preserve"> PAGEREF _Toc433196172 \h </w:instrText>
            </w:r>
            <w:r w:rsidR="00DD74E7">
              <w:rPr>
                <w:webHidden/>
              </w:rPr>
            </w:r>
            <w:r w:rsidR="00DD74E7">
              <w:rPr>
                <w:webHidden/>
              </w:rPr>
              <w:fldChar w:fldCharType="separate"/>
            </w:r>
            <w:r w:rsidR="00DD74E7">
              <w:rPr>
                <w:webHidden/>
              </w:rPr>
              <w:t>5-3</w:t>
            </w:r>
            <w:r w:rsidR="00DD74E7">
              <w:rPr>
                <w:webHidden/>
              </w:rPr>
              <w:fldChar w:fldCharType="end"/>
            </w:r>
          </w:hyperlink>
        </w:p>
        <w:p w:rsidR="00DD74E7" w:rsidRDefault="00A95360">
          <w:pPr>
            <w:pStyle w:val="TOC1"/>
            <w:rPr>
              <w:rFonts w:asciiTheme="minorHAnsi" w:eastAsiaTheme="minorEastAsia" w:hAnsiTheme="minorHAnsi"/>
              <w:b w:val="0"/>
              <w:color w:val="auto"/>
              <w:sz w:val="22"/>
              <w:lang w:val="en-AU" w:eastAsia="en-AU"/>
            </w:rPr>
          </w:pPr>
          <w:hyperlink w:anchor="_Toc433196173" w:history="1">
            <w:r w:rsidR="00DD74E7" w:rsidRPr="00007285">
              <w:rPr>
                <w:rStyle w:val="Hyperlink"/>
              </w:rPr>
              <w:t>Shortened forms</w:t>
            </w:r>
            <w:r w:rsidR="00DD74E7">
              <w:rPr>
                <w:webHidden/>
              </w:rPr>
              <w:tab/>
            </w:r>
            <w:r w:rsidR="00DD74E7">
              <w:rPr>
                <w:webHidden/>
              </w:rPr>
              <w:fldChar w:fldCharType="begin"/>
            </w:r>
            <w:r w:rsidR="00DD74E7">
              <w:rPr>
                <w:webHidden/>
              </w:rPr>
              <w:instrText xml:space="preserve"> PAGEREF _Toc433196173 \h </w:instrText>
            </w:r>
            <w:r w:rsidR="00DD74E7">
              <w:rPr>
                <w:webHidden/>
              </w:rPr>
            </w:r>
            <w:r w:rsidR="00DD74E7">
              <w:rPr>
                <w:webHidden/>
              </w:rPr>
              <w:fldChar w:fldCharType="separate"/>
            </w:r>
            <w:r w:rsidR="00DD74E7">
              <w:rPr>
                <w:webHidden/>
              </w:rPr>
              <w:t>5-4</w:t>
            </w:r>
            <w:r w:rsidR="00DD74E7">
              <w:rPr>
                <w:webHidden/>
              </w:rPr>
              <w:fldChar w:fldCharType="end"/>
            </w:r>
          </w:hyperlink>
        </w:p>
        <w:p w:rsidR="00DD74E7" w:rsidRDefault="00A95360">
          <w:pPr>
            <w:pStyle w:val="TOC1"/>
            <w:rPr>
              <w:rFonts w:asciiTheme="minorHAnsi" w:eastAsiaTheme="minorEastAsia" w:hAnsiTheme="minorHAnsi"/>
              <w:b w:val="0"/>
              <w:color w:val="auto"/>
              <w:sz w:val="22"/>
              <w:lang w:val="en-AU" w:eastAsia="en-AU"/>
            </w:rPr>
          </w:pPr>
          <w:hyperlink w:anchor="_Toc433196174" w:history="1">
            <w:r w:rsidR="00DD74E7" w:rsidRPr="00007285">
              <w:rPr>
                <w:rStyle w:val="Hyperlink"/>
              </w:rPr>
              <w:t>5</w:t>
            </w:r>
            <w:r w:rsidR="00DD74E7">
              <w:rPr>
                <w:rFonts w:asciiTheme="minorHAnsi" w:eastAsiaTheme="minorEastAsia" w:hAnsiTheme="minorHAnsi"/>
                <w:b w:val="0"/>
                <w:color w:val="auto"/>
                <w:sz w:val="22"/>
                <w:lang w:val="en-AU" w:eastAsia="en-AU"/>
              </w:rPr>
              <w:tab/>
            </w:r>
            <w:r w:rsidR="00DD74E7" w:rsidRPr="00007285">
              <w:rPr>
                <w:rStyle w:val="Hyperlink"/>
              </w:rPr>
              <w:t>Regulatory depreciation</w:t>
            </w:r>
            <w:r w:rsidR="00DD74E7">
              <w:rPr>
                <w:webHidden/>
              </w:rPr>
              <w:tab/>
            </w:r>
            <w:r w:rsidR="00DD74E7">
              <w:rPr>
                <w:webHidden/>
              </w:rPr>
              <w:fldChar w:fldCharType="begin"/>
            </w:r>
            <w:r w:rsidR="00DD74E7">
              <w:rPr>
                <w:webHidden/>
              </w:rPr>
              <w:instrText xml:space="preserve"> PAGEREF _Toc433196174 \h </w:instrText>
            </w:r>
            <w:r w:rsidR="00DD74E7">
              <w:rPr>
                <w:webHidden/>
              </w:rPr>
            </w:r>
            <w:r w:rsidR="00DD74E7">
              <w:rPr>
                <w:webHidden/>
              </w:rPr>
              <w:fldChar w:fldCharType="separate"/>
            </w:r>
            <w:r w:rsidR="00DD74E7">
              <w:rPr>
                <w:webHidden/>
              </w:rPr>
              <w:t>5-6</w:t>
            </w:r>
            <w:r w:rsidR="00DD74E7">
              <w:rPr>
                <w:webHidden/>
              </w:rPr>
              <w:fldChar w:fldCharType="end"/>
            </w:r>
          </w:hyperlink>
        </w:p>
        <w:p w:rsidR="00DD74E7" w:rsidRDefault="00A95360">
          <w:pPr>
            <w:pStyle w:val="TOC2"/>
            <w:rPr>
              <w:rFonts w:asciiTheme="minorHAnsi" w:eastAsiaTheme="minorEastAsia" w:hAnsiTheme="minorHAnsi"/>
              <w:b w:val="0"/>
              <w:color w:val="auto"/>
              <w:sz w:val="22"/>
              <w:lang w:eastAsia="en-AU"/>
            </w:rPr>
          </w:pPr>
          <w:hyperlink w:anchor="_Toc433196175" w:history="1">
            <w:r w:rsidR="00DD74E7" w:rsidRPr="00007285">
              <w:rPr>
                <w:rStyle w:val="Hyperlink"/>
              </w:rPr>
              <w:t>5.1</w:t>
            </w:r>
            <w:r w:rsidR="00DD74E7">
              <w:rPr>
                <w:rFonts w:asciiTheme="minorHAnsi" w:eastAsiaTheme="minorEastAsia" w:hAnsiTheme="minorHAnsi"/>
                <w:b w:val="0"/>
                <w:color w:val="auto"/>
                <w:sz w:val="22"/>
                <w:lang w:eastAsia="en-AU"/>
              </w:rPr>
              <w:tab/>
            </w:r>
            <w:r w:rsidR="00DD74E7" w:rsidRPr="00007285">
              <w:rPr>
                <w:rStyle w:val="Hyperlink"/>
              </w:rPr>
              <w:t>Preliminary decision</w:t>
            </w:r>
            <w:r w:rsidR="00DD74E7">
              <w:rPr>
                <w:webHidden/>
              </w:rPr>
              <w:tab/>
            </w:r>
            <w:r w:rsidR="00DD74E7">
              <w:rPr>
                <w:webHidden/>
              </w:rPr>
              <w:fldChar w:fldCharType="begin"/>
            </w:r>
            <w:r w:rsidR="00DD74E7">
              <w:rPr>
                <w:webHidden/>
              </w:rPr>
              <w:instrText xml:space="preserve"> PAGEREF _Toc433196175 \h </w:instrText>
            </w:r>
            <w:r w:rsidR="00DD74E7">
              <w:rPr>
                <w:webHidden/>
              </w:rPr>
            </w:r>
            <w:r w:rsidR="00DD74E7">
              <w:rPr>
                <w:webHidden/>
              </w:rPr>
              <w:fldChar w:fldCharType="separate"/>
            </w:r>
            <w:r w:rsidR="00DD74E7">
              <w:rPr>
                <w:webHidden/>
              </w:rPr>
              <w:t>5-6</w:t>
            </w:r>
            <w:r w:rsidR="00DD74E7">
              <w:rPr>
                <w:webHidden/>
              </w:rPr>
              <w:fldChar w:fldCharType="end"/>
            </w:r>
          </w:hyperlink>
        </w:p>
        <w:p w:rsidR="00DD74E7" w:rsidRDefault="00A95360">
          <w:pPr>
            <w:pStyle w:val="TOC2"/>
            <w:rPr>
              <w:rFonts w:asciiTheme="minorHAnsi" w:eastAsiaTheme="minorEastAsia" w:hAnsiTheme="minorHAnsi"/>
              <w:b w:val="0"/>
              <w:color w:val="auto"/>
              <w:sz w:val="22"/>
              <w:lang w:eastAsia="en-AU"/>
            </w:rPr>
          </w:pPr>
          <w:hyperlink w:anchor="_Toc433196176" w:history="1">
            <w:r w:rsidR="00DD74E7" w:rsidRPr="00007285">
              <w:rPr>
                <w:rStyle w:val="Hyperlink"/>
              </w:rPr>
              <w:t>5.2</w:t>
            </w:r>
            <w:r w:rsidR="00DD74E7">
              <w:rPr>
                <w:rFonts w:asciiTheme="minorHAnsi" w:eastAsiaTheme="minorEastAsia" w:hAnsiTheme="minorHAnsi"/>
                <w:b w:val="0"/>
                <w:color w:val="auto"/>
                <w:sz w:val="22"/>
                <w:lang w:eastAsia="en-AU"/>
              </w:rPr>
              <w:tab/>
            </w:r>
            <w:r w:rsidR="00DD74E7" w:rsidRPr="00007285">
              <w:rPr>
                <w:rStyle w:val="Hyperlink"/>
              </w:rPr>
              <w:t>United Energy's proposal</w:t>
            </w:r>
            <w:r w:rsidR="00DD74E7">
              <w:rPr>
                <w:webHidden/>
              </w:rPr>
              <w:tab/>
            </w:r>
            <w:r w:rsidR="00DD74E7">
              <w:rPr>
                <w:webHidden/>
              </w:rPr>
              <w:fldChar w:fldCharType="begin"/>
            </w:r>
            <w:r w:rsidR="00DD74E7">
              <w:rPr>
                <w:webHidden/>
              </w:rPr>
              <w:instrText xml:space="preserve"> PAGEREF _Toc433196176 \h </w:instrText>
            </w:r>
            <w:r w:rsidR="00DD74E7">
              <w:rPr>
                <w:webHidden/>
              </w:rPr>
            </w:r>
            <w:r w:rsidR="00DD74E7">
              <w:rPr>
                <w:webHidden/>
              </w:rPr>
              <w:fldChar w:fldCharType="separate"/>
            </w:r>
            <w:r w:rsidR="00DD74E7">
              <w:rPr>
                <w:webHidden/>
              </w:rPr>
              <w:t>5-7</w:t>
            </w:r>
            <w:r w:rsidR="00DD74E7">
              <w:rPr>
                <w:webHidden/>
              </w:rPr>
              <w:fldChar w:fldCharType="end"/>
            </w:r>
          </w:hyperlink>
        </w:p>
        <w:p w:rsidR="00DD74E7" w:rsidRDefault="00A95360">
          <w:pPr>
            <w:pStyle w:val="TOC2"/>
            <w:rPr>
              <w:rFonts w:asciiTheme="minorHAnsi" w:eastAsiaTheme="minorEastAsia" w:hAnsiTheme="minorHAnsi"/>
              <w:b w:val="0"/>
              <w:color w:val="auto"/>
              <w:sz w:val="22"/>
              <w:lang w:eastAsia="en-AU"/>
            </w:rPr>
          </w:pPr>
          <w:hyperlink w:anchor="_Toc433196177" w:history="1">
            <w:r w:rsidR="00DD74E7" w:rsidRPr="00007285">
              <w:rPr>
                <w:rStyle w:val="Hyperlink"/>
              </w:rPr>
              <w:t>5.3</w:t>
            </w:r>
            <w:r w:rsidR="00DD74E7">
              <w:rPr>
                <w:rFonts w:asciiTheme="minorHAnsi" w:eastAsiaTheme="minorEastAsia" w:hAnsiTheme="minorHAnsi"/>
                <w:b w:val="0"/>
                <w:color w:val="auto"/>
                <w:sz w:val="22"/>
                <w:lang w:eastAsia="en-AU"/>
              </w:rPr>
              <w:tab/>
            </w:r>
            <w:r w:rsidR="00DD74E7" w:rsidRPr="00007285">
              <w:rPr>
                <w:rStyle w:val="Hyperlink"/>
              </w:rPr>
              <w:t>AER’s assessment approach</w:t>
            </w:r>
            <w:r w:rsidR="00DD74E7">
              <w:rPr>
                <w:webHidden/>
              </w:rPr>
              <w:tab/>
            </w:r>
            <w:r w:rsidR="00DD74E7">
              <w:rPr>
                <w:webHidden/>
              </w:rPr>
              <w:fldChar w:fldCharType="begin"/>
            </w:r>
            <w:r w:rsidR="00DD74E7">
              <w:rPr>
                <w:webHidden/>
              </w:rPr>
              <w:instrText xml:space="preserve"> PAGEREF _Toc433196177 \h </w:instrText>
            </w:r>
            <w:r w:rsidR="00DD74E7">
              <w:rPr>
                <w:webHidden/>
              </w:rPr>
            </w:r>
            <w:r w:rsidR="00DD74E7">
              <w:rPr>
                <w:webHidden/>
              </w:rPr>
              <w:fldChar w:fldCharType="separate"/>
            </w:r>
            <w:r w:rsidR="00DD74E7">
              <w:rPr>
                <w:webHidden/>
              </w:rPr>
              <w:t>5-8</w:t>
            </w:r>
            <w:r w:rsidR="00DD74E7">
              <w:rPr>
                <w:webHidden/>
              </w:rPr>
              <w:fldChar w:fldCharType="end"/>
            </w:r>
          </w:hyperlink>
        </w:p>
        <w:p w:rsidR="00DD74E7" w:rsidRDefault="00A95360">
          <w:pPr>
            <w:pStyle w:val="TOC3"/>
            <w:rPr>
              <w:rFonts w:asciiTheme="minorHAnsi" w:eastAsiaTheme="minorEastAsia" w:hAnsiTheme="minorHAnsi"/>
              <w:lang w:eastAsia="en-AU"/>
            </w:rPr>
          </w:pPr>
          <w:hyperlink w:anchor="_Toc433196178" w:history="1">
            <w:r w:rsidR="00DD74E7" w:rsidRPr="00007285">
              <w:rPr>
                <w:rStyle w:val="Hyperlink"/>
              </w:rPr>
              <w:t>5.3.1</w:t>
            </w:r>
            <w:r w:rsidR="00DD74E7">
              <w:rPr>
                <w:rFonts w:asciiTheme="minorHAnsi" w:eastAsiaTheme="minorEastAsia" w:hAnsiTheme="minorHAnsi"/>
                <w:lang w:eastAsia="en-AU"/>
              </w:rPr>
              <w:tab/>
            </w:r>
            <w:r w:rsidR="00DD74E7" w:rsidRPr="00007285">
              <w:rPr>
                <w:rStyle w:val="Hyperlink"/>
              </w:rPr>
              <w:t>Interrelationships</w:t>
            </w:r>
            <w:r w:rsidR="00DD74E7">
              <w:rPr>
                <w:webHidden/>
              </w:rPr>
              <w:tab/>
            </w:r>
            <w:r w:rsidR="00DD74E7">
              <w:rPr>
                <w:webHidden/>
              </w:rPr>
              <w:fldChar w:fldCharType="begin"/>
            </w:r>
            <w:r w:rsidR="00DD74E7">
              <w:rPr>
                <w:webHidden/>
              </w:rPr>
              <w:instrText xml:space="preserve"> PAGEREF _Toc433196178 \h </w:instrText>
            </w:r>
            <w:r w:rsidR="00DD74E7">
              <w:rPr>
                <w:webHidden/>
              </w:rPr>
            </w:r>
            <w:r w:rsidR="00DD74E7">
              <w:rPr>
                <w:webHidden/>
              </w:rPr>
              <w:fldChar w:fldCharType="separate"/>
            </w:r>
            <w:r w:rsidR="00DD74E7">
              <w:rPr>
                <w:webHidden/>
              </w:rPr>
              <w:t>5-9</w:t>
            </w:r>
            <w:r w:rsidR="00DD74E7">
              <w:rPr>
                <w:webHidden/>
              </w:rPr>
              <w:fldChar w:fldCharType="end"/>
            </w:r>
          </w:hyperlink>
        </w:p>
        <w:p w:rsidR="00DD74E7" w:rsidRDefault="00A95360">
          <w:pPr>
            <w:pStyle w:val="TOC2"/>
            <w:rPr>
              <w:rFonts w:asciiTheme="minorHAnsi" w:eastAsiaTheme="minorEastAsia" w:hAnsiTheme="minorHAnsi"/>
              <w:b w:val="0"/>
              <w:color w:val="auto"/>
              <w:sz w:val="22"/>
              <w:lang w:eastAsia="en-AU"/>
            </w:rPr>
          </w:pPr>
          <w:hyperlink w:anchor="_Toc433196179" w:history="1">
            <w:r w:rsidR="00DD74E7" w:rsidRPr="00007285">
              <w:rPr>
                <w:rStyle w:val="Hyperlink"/>
              </w:rPr>
              <w:t>5.4</w:t>
            </w:r>
            <w:r w:rsidR="00DD74E7">
              <w:rPr>
                <w:rFonts w:asciiTheme="minorHAnsi" w:eastAsiaTheme="minorEastAsia" w:hAnsiTheme="minorHAnsi"/>
                <w:b w:val="0"/>
                <w:color w:val="auto"/>
                <w:sz w:val="22"/>
                <w:lang w:eastAsia="en-AU"/>
              </w:rPr>
              <w:tab/>
            </w:r>
            <w:r w:rsidR="00DD74E7" w:rsidRPr="00007285">
              <w:rPr>
                <w:rStyle w:val="Hyperlink"/>
              </w:rPr>
              <w:t>Reasons for preliminary decision</w:t>
            </w:r>
            <w:r w:rsidR="00DD74E7">
              <w:rPr>
                <w:webHidden/>
              </w:rPr>
              <w:tab/>
            </w:r>
            <w:r w:rsidR="00DD74E7">
              <w:rPr>
                <w:webHidden/>
              </w:rPr>
              <w:fldChar w:fldCharType="begin"/>
            </w:r>
            <w:r w:rsidR="00DD74E7">
              <w:rPr>
                <w:webHidden/>
              </w:rPr>
              <w:instrText xml:space="preserve"> PAGEREF _Toc433196179 \h </w:instrText>
            </w:r>
            <w:r w:rsidR="00DD74E7">
              <w:rPr>
                <w:webHidden/>
              </w:rPr>
            </w:r>
            <w:r w:rsidR="00DD74E7">
              <w:rPr>
                <w:webHidden/>
              </w:rPr>
              <w:fldChar w:fldCharType="separate"/>
            </w:r>
            <w:r w:rsidR="00DD74E7">
              <w:rPr>
                <w:webHidden/>
              </w:rPr>
              <w:t>5-10</w:t>
            </w:r>
            <w:r w:rsidR="00DD74E7">
              <w:rPr>
                <w:webHidden/>
              </w:rPr>
              <w:fldChar w:fldCharType="end"/>
            </w:r>
          </w:hyperlink>
        </w:p>
        <w:p w:rsidR="00DD74E7" w:rsidRDefault="00A95360">
          <w:pPr>
            <w:pStyle w:val="TOC3"/>
            <w:rPr>
              <w:rFonts w:asciiTheme="minorHAnsi" w:eastAsiaTheme="minorEastAsia" w:hAnsiTheme="minorHAnsi"/>
              <w:lang w:eastAsia="en-AU"/>
            </w:rPr>
          </w:pPr>
          <w:hyperlink w:anchor="_Toc433196180" w:history="1">
            <w:r w:rsidR="00DD74E7" w:rsidRPr="00007285">
              <w:rPr>
                <w:rStyle w:val="Hyperlink"/>
              </w:rPr>
              <w:t>5.4.1</w:t>
            </w:r>
            <w:r w:rsidR="00DD74E7">
              <w:rPr>
                <w:rFonts w:asciiTheme="minorHAnsi" w:eastAsiaTheme="minorEastAsia" w:hAnsiTheme="minorHAnsi"/>
                <w:lang w:eastAsia="en-AU"/>
              </w:rPr>
              <w:tab/>
            </w:r>
            <w:r w:rsidR="00DD74E7" w:rsidRPr="00007285">
              <w:rPr>
                <w:rStyle w:val="Hyperlink"/>
              </w:rPr>
              <w:t>Standard asset lives</w:t>
            </w:r>
            <w:r w:rsidR="00DD74E7">
              <w:rPr>
                <w:webHidden/>
              </w:rPr>
              <w:tab/>
            </w:r>
            <w:r w:rsidR="00DD74E7">
              <w:rPr>
                <w:webHidden/>
              </w:rPr>
              <w:fldChar w:fldCharType="begin"/>
            </w:r>
            <w:r w:rsidR="00DD74E7">
              <w:rPr>
                <w:webHidden/>
              </w:rPr>
              <w:instrText xml:space="preserve"> PAGEREF _Toc433196180 \h </w:instrText>
            </w:r>
            <w:r w:rsidR="00DD74E7">
              <w:rPr>
                <w:webHidden/>
              </w:rPr>
            </w:r>
            <w:r w:rsidR="00DD74E7">
              <w:rPr>
                <w:webHidden/>
              </w:rPr>
              <w:fldChar w:fldCharType="separate"/>
            </w:r>
            <w:r w:rsidR="00DD74E7">
              <w:rPr>
                <w:webHidden/>
              </w:rPr>
              <w:t>5-10</w:t>
            </w:r>
            <w:r w:rsidR="00DD74E7">
              <w:rPr>
                <w:webHidden/>
              </w:rPr>
              <w:fldChar w:fldCharType="end"/>
            </w:r>
          </w:hyperlink>
        </w:p>
        <w:p w:rsidR="00DE563D" w:rsidRDefault="00A95360" w:rsidP="00DD74E7">
          <w:pPr>
            <w:pStyle w:val="TOC3"/>
          </w:pPr>
          <w:hyperlink w:anchor="_Toc433196181" w:history="1">
            <w:r w:rsidR="00DD74E7" w:rsidRPr="00007285">
              <w:rPr>
                <w:rStyle w:val="Hyperlink"/>
              </w:rPr>
              <w:t>5.4.2</w:t>
            </w:r>
            <w:r w:rsidR="00DD74E7">
              <w:rPr>
                <w:rFonts w:asciiTheme="minorHAnsi" w:eastAsiaTheme="minorEastAsia" w:hAnsiTheme="minorHAnsi"/>
                <w:lang w:eastAsia="en-AU"/>
              </w:rPr>
              <w:tab/>
            </w:r>
            <w:r w:rsidR="00DD74E7" w:rsidRPr="00007285">
              <w:rPr>
                <w:rStyle w:val="Hyperlink"/>
              </w:rPr>
              <w:t>Remaining asset lives</w:t>
            </w:r>
            <w:r w:rsidR="00DD74E7">
              <w:rPr>
                <w:webHidden/>
              </w:rPr>
              <w:tab/>
            </w:r>
            <w:r w:rsidR="00DD74E7">
              <w:rPr>
                <w:webHidden/>
              </w:rPr>
              <w:fldChar w:fldCharType="begin"/>
            </w:r>
            <w:r w:rsidR="00DD74E7">
              <w:rPr>
                <w:webHidden/>
              </w:rPr>
              <w:instrText xml:space="preserve"> PAGEREF _Toc433196181 \h </w:instrText>
            </w:r>
            <w:r w:rsidR="00DD74E7">
              <w:rPr>
                <w:webHidden/>
              </w:rPr>
            </w:r>
            <w:r w:rsidR="00DD74E7">
              <w:rPr>
                <w:webHidden/>
              </w:rPr>
              <w:fldChar w:fldCharType="separate"/>
            </w:r>
            <w:r w:rsidR="00DD74E7">
              <w:rPr>
                <w:webHidden/>
              </w:rPr>
              <w:t>5-12</w:t>
            </w:r>
            <w:r w:rsidR="00DD74E7">
              <w:rPr>
                <w:webHidden/>
              </w:rPr>
              <w:fldChar w:fldCharType="end"/>
            </w:r>
          </w:hyperlink>
          <w:r w:rsidR="00091B15">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196173"/>
      <w:r>
        <w:lastRenderedPageBreak/>
        <w:t>Shortened forms</w:t>
      </w:r>
      <w:bookmarkEnd w:id="8"/>
      <w:bookmarkEnd w:id="9"/>
    </w:p>
    <w:tbl>
      <w:tblPr>
        <w:tblStyle w:val="AERtable-text0"/>
        <w:tblW w:w="0" w:type="auto"/>
        <w:tblLook w:val="04A0" w:firstRow="1" w:lastRow="0" w:firstColumn="1" w:lastColumn="0" w:noHBand="0" w:noVBand="1"/>
      </w:tblPr>
      <w:tblGrid>
        <w:gridCol w:w="3369"/>
        <w:gridCol w:w="5324"/>
      </w:tblGrid>
      <w:tr w:rsidR="001F05A4" w:rsidTr="00355CE4">
        <w:trPr>
          <w:cnfStyle w:val="100000000000" w:firstRow="1" w:lastRow="0" w:firstColumn="0" w:lastColumn="0" w:oddVBand="0" w:evenVBand="0" w:oddHBand="0" w:evenHBand="0" w:firstRowFirstColumn="0" w:firstRowLastColumn="0" w:lastRowFirstColumn="0" w:lastRowLastColumn="0"/>
          <w:tblHeader/>
        </w:trPr>
        <w:tc>
          <w:tcPr>
            <w:tcW w:w="3369" w:type="dxa"/>
          </w:tcPr>
          <w:p w:rsidR="001F05A4" w:rsidRDefault="001F05A4" w:rsidP="00DE772C">
            <w:pPr>
              <w:numPr>
                <w:ilvl w:val="0"/>
                <w:numId w:val="24"/>
              </w:numPr>
            </w:pPr>
            <w:r>
              <w:t>Shortened form</w:t>
            </w:r>
          </w:p>
        </w:tc>
        <w:tc>
          <w:tcPr>
            <w:tcW w:w="5324" w:type="dxa"/>
          </w:tcPr>
          <w:p w:rsidR="001F05A4" w:rsidRDefault="001F05A4" w:rsidP="00DE772C">
            <w:pPr>
              <w:numPr>
                <w:ilvl w:val="0"/>
                <w:numId w:val="24"/>
              </w:numPr>
            </w:pPr>
            <w:r>
              <w:t>Extended form</w:t>
            </w:r>
          </w:p>
        </w:tc>
      </w:tr>
      <w:tr w:rsidR="005C4C9C" w:rsidTr="00355CE4">
        <w:tc>
          <w:tcPr>
            <w:tcW w:w="3369" w:type="dxa"/>
          </w:tcPr>
          <w:p w:rsidR="005C4C9C" w:rsidRPr="005C4C9C" w:rsidRDefault="005C4C9C" w:rsidP="005C4C9C">
            <w:pPr>
              <w:numPr>
                <w:ilvl w:val="0"/>
                <w:numId w:val="24"/>
              </w:numPr>
            </w:pPr>
            <w:r w:rsidRPr="005C4C9C">
              <w:t>AEMC</w:t>
            </w:r>
          </w:p>
        </w:tc>
        <w:tc>
          <w:tcPr>
            <w:tcW w:w="5324" w:type="dxa"/>
          </w:tcPr>
          <w:p w:rsidR="005C4C9C" w:rsidRPr="005C4C9C" w:rsidRDefault="005C4C9C" w:rsidP="005C4C9C">
            <w:pPr>
              <w:numPr>
                <w:ilvl w:val="0"/>
                <w:numId w:val="24"/>
              </w:numPr>
            </w:pPr>
            <w:r w:rsidRPr="005C4C9C">
              <w:t>Australian Energy Market Commission</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AEMO</w:t>
            </w:r>
          </w:p>
        </w:tc>
        <w:tc>
          <w:tcPr>
            <w:tcW w:w="5324" w:type="dxa"/>
          </w:tcPr>
          <w:p w:rsidR="005C4C9C" w:rsidRPr="005C4C9C" w:rsidRDefault="005C4C9C" w:rsidP="005C4C9C">
            <w:pPr>
              <w:numPr>
                <w:ilvl w:val="0"/>
                <w:numId w:val="24"/>
              </w:numPr>
            </w:pPr>
            <w:r w:rsidRPr="005C4C9C">
              <w:t>Australian Energy Market Operator</w:t>
            </w:r>
          </w:p>
        </w:tc>
      </w:tr>
      <w:tr w:rsidR="005C4C9C" w:rsidTr="00355CE4">
        <w:tc>
          <w:tcPr>
            <w:tcW w:w="3369" w:type="dxa"/>
          </w:tcPr>
          <w:p w:rsidR="005C4C9C" w:rsidRPr="005C4C9C" w:rsidRDefault="005C4C9C" w:rsidP="005C4C9C">
            <w:pPr>
              <w:numPr>
                <w:ilvl w:val="0"/>
                <w:numId w:val="24"/>
              </w:numPr>
            </w:pPr>
            <w:r w:rsidRPr="005C4C9C">
              <w:t>AER</w:t>
            </w:r>
          </w:p>
        </w:tc>
        <w:tc>
          <w:tcPr>
            <w:tcW w:w="5324" w:type="dxa"/>
          </w:tcPr>
          <w:p w:rsidR="005C4C9C" w:rsidRPr="005C4C9C" w:rsidRDefault="005C4C9C" w:rsidP="005C4C9C">
            <w:pPr>
              <w:numPr>
                <w:ilvl w:val="0"/>
                <w:numId w:val="24"/>
              </w:numPr>
            </w:pPr>
            <w:r w:rsidRPr="005C4C9C">
              <w:t>Australian Energy Regulator</w:t>
            </w:r>
          </w:p>
        </w:tc>
      </w:tr>
      <w:tr w:rsidR="00DD74E7"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DD74E7" w:rsidRPr="005C4C9C" w:rsidRDefault="00DD74E7" w:rsidP="005C4C9C">
            <w:pPr>
              <w:numPr>
                <w:ilvl w:val="0"/>
                <w:numId w:val="24"/>
              </w:numPr>
            </w:pPr>
            <w:r>
              <w:t>AMI</w:t>
            </w:r>
          </w:p>
        </w:tc>
        <w:tc>
          <w:tcPr>
            <w:tcW w:w="5324" w:type="dxa"/>
          </w:tcPr>
          <w:p w:rsidR="00DD74E7" w:rsidRPr="005C4C9C" w:rsidRDefault="00DD74E7" w:rsidP="005C4C9C">
            <w:pPr>
              <w:numPr>
                <w:ilvl w:val="0"/>
                <w:numId w:val="24"/>
              </w:numPr>
            </w:pPr>
            <w:r>
              <w:t>Advanced metering infrastructure</w:t>
            </w:r>
          </w:p>
        </w:tc>
      </w:tr>
      <w:tr w:rsidR="005C4C9C" w:rsidTr="00355CE4">
        <w:tc>
          <w:tcPr>
            <w:tcW w:w="3369" w:type="dxa"/>
          </w:tcPr>
          <w:p w:rsidR="005C4C9C" w:rsidRPr="005C4C9C" w:rsidRDefault="005C4C9C" w:rsidP="005C4C9C">
            <w:pPr>
              <w:numPr>
                <w:ilvl w:val="0"/>
                <w:numId w:val="24"/>
              </w:numPr>
            </w:pPr>
            <w:proofErr w:type="spellStart"/>
            <w:r w:rsidRPr="005C4C9C">
              <w:t>augex</w:t>
            </w:r>
            <w:proofErr w:type="spellEnd"/>
          </w:p>
        </w:tc>
        <w:tc>
          <w:tcPr>
            <w:tcW w:w="5324" w:type="dxa"/>
          </w:tcPr>
          <w:p w:rsidR="005C4C9C" w:rsidRPr="005C4C9C" w:rsidRDefault="005C4C9C" w:rsidP="005C4C9C">
            <w:pPr>
              <w:numPr>
                <w:ilvl w:val="0"/>
                <w:numId w:val="24"/>
              </w:numPr>
            </w:pPr>
            <w:r w:rsidRPr="005C4C9C">
              <w:t>augmentation expenditure</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capex</w:t>
            </w:r>
          </w:p>
        </w:tc>
        <w:tc>
          <w:tcPr>
            <w:tcW w:w="5324" w:type="dxa"/>
          </w:tcPr>
          <w:p w:rsidR="005C4C9C" w:rsidRPr="005C4C9C" w:rsidRDefault="005C4C9C" w:rsidP="005C4C9C">
            <w:pPr>
              <w:numPr>
                <w:ilvl w:val="0"/>
                <w:numId w:val="24"/>
              </w:numPr>
            </w:pPr>
            <w:r w:rsidRPr="005C4C9C">
              <w:t>capital expenditure</w:t>
            </w:r>
          </w:p>
        </w:tc>
      </w:tr>
      <w:tr w:rsidR="005C4C9C" w:rsidTr="00355CE4">
        <w:tc>
          <w:tcPr>
            <w:tcW w:w="3369" w:type="dxa"/>
          </w:tcPr>
          <w:p w:rsidR="005C4C9C" w:rsidRPr="005C4C9C" w:rsidRDefault="005C4C9C" w:rsidP="005C4C9C">
            <w:pPr>
              <w:numPr>
                <w:ilvl w:val="0"/>
                <w:numId w:val="24"/>
              </w:numPr>
            </w:pPr>
            <w:r w:rsidRPr="005C4C9C">
              <w:t>CCP</w:t>
            </w:r>
          </w:p>
        </w:tc>
        <w:tc>
          <w:tcPr>
            <w:tcW w:w="5324" w:type="dxa"/>
          </w:tcPr>
          <w:p w:rsidR="005C4C9C" w:rsidRPr="005C4C9C" w:rsidRDefault="005C4C9C" w:rsidP="005C4C9C">
            <w:pPr>
              <w:numPr>
                <w:ilvl w:val="0"/>
                <w:numId w:val="24"/>
              </w:numPr>
            </w:pPr>
            <w:r w:rsidRPr="005C4C9C">
              <w:t>Consumer Challenge Panel</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CESS</w:t>
            </w:r>
          </w:p>
        </w:tc>
        <w:tc>
          <w:tcPr>
            <w:tcW w:w="5324" w:type="dxa"/>
          </w:tcPr>
          <w:p w:rsidR="005C4C9C" w:rsidRPr="005C4C9C" w:rsidRDefault="005C4C9C" w:rsidP="005C4C9C">
            <w:pPr>
              <w:numPr>
                <w:ilvl w:val="0"/>
                <w:numId w:val="24"/>
              </w:numPr>
            </w:pPr>
            <w:r w:rsidRPr="005C4C9C">
              <w:t>capital expenditure sharing scheme</w:t>
            </w:r>
          </w:p>
        </w:tc>
      </w:tr>
      <w:tr w:rsidR="005C4C9C" w:rsidTr="00355CE4">
        <w:tc>
          <w:tcPr>
            <w:tcW w:w="3369" w:type="dxa"/>
          </w:tcPr>
          <w:p w:rsidR="005C4C9C" w:rsidRPr="005C4C9C" w:rsidRDefault="005C4C9C" w:rsidP="005C4C9C">
            <w:pPr>
              <w:numPr>
                <w:ilvl w:val="0"/>
                <w:numId w:val="24"/>
              </w:numPr>
            </w:pPr>
            <w:r w:rsidRPr="005C4C9C">
              <w:t>CPI</w:t>
            </w:r>
          </w:p>
        </w:tc>
        <w:tc>
          <w:tcPr>
            <w:tcW w:w="5324" w:type="dxa"/>
          </w:tcPr>
          <w:p w:rsidR="005C4C9C" w:rsidRPr="005C4C9C" w:rsidRDefault="005C4C9C" w:rsidP="005C4C9C">
            <w:pPr>
              <w:numPr>
                <w:ilvl w:val="0"/>
                <w:numId w:val="24"/>
              </w:numPr>
            </w:pPr>
            <w:r w:rsidRPr="005C4C9C">
              <w:t>consumer price index</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DRP</w:t>
            </w:r>
          </w:p>
        </w:tc>
        <w:tc>
          <w:tcPr>
            <w:tcW w:w="5324" w:type="dxa"/>
          </w:tcPr>
          <w:p w:rsidR="005C4C9C" w:rsidRPr="005C4C9C" w:rsidRDefault="005C4C9C" w:rsidP="005C4C9C">
            <w:pPr>
              <w:numPr>
                <w:ilvl w:val="0"/>
                <w:numId w:val="24"/>
              </w:numPr>
            </w:pPr>
            <w:r w:rsidRPr="005C4C9C">
              <w:t>debt risk premium</w:t>
            </w:r>
          </w:p>
        </w:tc>
      </w:tr>
      <w:tr w:rsidR="005C4C9C" w:rsidTr="00355CE4">
        <w:tc>
          <w:tcPr>
            <w:tcW w:w="3369" w:type="dxa"/>
          </w:tcPr>
          <w:p w:rsidR="005C4C9C" w:rsidRPr="005C4C9C" w:rsidRDefault="005C4C9C" w:rsidP="005C4C9C">
            <w:pPr>
              <w:numPr>
                <w:ilvl w:val="0"/>
                <w:numId w:val="24"/>
              </w:numPr>
            </w:pPr>
            <w:r w:rsidRPr="005C4C9C">
              <w:t>DMIA</w:t>
            </w:r>
          </w:p>
        </w:tc>
        <w:tc>
          <w:tcPr>
            <w:tcW w:w="5324" w:type="dxa"/>
          </w:tcPr>
          <w:p w:rsidR="005C4C9C" w:rsidRPr="005C4C9C" w:rsidRDefault="005C4C9C" w:rsidP="005C4C9C">
            <w:pPr>
              <w:numPr>
                <w:ilvl w:val="0"/>
                <w:numId w:val="24"/>
              </w:numPr>
            </w:pPr>
            <w:r w:rsidRPr="005C4C9C">
              <w:t>demand management innovation allowance</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DMIS</w:t>
            </w:r>
          </w:p>
        </w:tc>
        <w:tc>
          <w:tcPr>
            <w:tcW w:w="5324" w:type="dxa"/>
          </w:tcPr>
          <w:p w:rsidR="005C4C9C" w:rsidRPr="005C4C9C" w:rsidRDefault="005C4C9C" w:rsidP="005C4C9C">
            <w:pPr>
              <w:numPr>
                <w:ilvl w:val="0"/>
                <w:numId w:val="24"/>
              </w:numPr>
            </w:pPr>
            <w:r w:rsidRPr="005C4C9C">
              <w:t>demand management incentive scheme</w:t>
            </w:r>
          </w:p>
        </w:tc>
      </w:tr>
      <w:tr w:rsidR="005C4C9C" w:rsidTr="00355CE4">
        <w:tc>
          <w:tcPr>
            <w:tcW w:w="3369" w:type="dxa"/>
          </w:tcPr>
          <w:p w:rsidR="005C4C9C" w:rsidRPr="005C4C9C" w:rsidRDefault="005C4C9C" w:rsidP="005C4C9C">
            <w:pPr>
              <w:numPr>
                <w:ilvl w:val="0"/>
                <w:numId w:val="24"/>
              </w:numPr>
            </w:pPr>
            <w:r w:rsidRPr="005C4C9C">
              <w:t>distributor</w:t>
            </w:r>
          </w:p>
        </w:tc>
        <w:tc>
          <w:tcPr>
            <w:tcW w:w="5324" w:type="dxa"/>
          </w:tcPr>
          <w:p w:rsidR="005C4C9C" w:rsidRPr="005C4C9C" w:rsidRDefault="005C4C9C" w:rsidP="005C4C9C">
            <w:pPr>
              <w:numPr>
                <w:ilvl w:val="0"/>
                <w:numId w:val="24"/>
              </w:numPr>
            </w:pPr>
            <w:r w:rsidRPr="005C4C9C">
              <w:t>distribution network service provider</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DUoS</w:t>
            </w:r>
            <w:proofErr w:type="spellEnd"/>
          </w:p>
        </w:tc>
        <w:tc>
          <w:tcPr>
            <w:tcW w:w="5324" w:type="dxa"/>
          </w:tcPr>
          <w:p w:rsidR="005C4C9C" w:rsidRPr="005C4C9C" w:rsidRDefault="005C4C9C" w:rsidP="005C4C9C">
            <w:pPr>
              <w:numPr>
                <w:ilvl w:val="0"/>
                <w:numId w:val="24"/>
              </w:numPr>
            </w:pPr>
            <w:r w:rsidRPr="005C4C9C">
              <w:t>distribution use of system</w:t>
            </w:r>
          </w:p>
        </w:tc>
      </w:tr>
      <w:tr w:rsidR="005C4C9C" w:rsidTr="00355CE4">
        <w:tc>
          <w:tcPr>
            <w:tcW w:w="3369" w:type="dxa"/>
          </w:tcPr>
          <w:p w:rsidR="005C4C9C" w:rsidRPr="005C4C9C" w:rsidRDefault="005C4C9C" w:rsidP="005C4C9C">
            <w:pPr>
              <w:numPr>
                <w:ilvl w:val="0"/>
                <w:numId w:val="24"/>
              </w:numPr>
            </w:pPr>
            <w:r w:rsidRPr="005C4C9C">
              <w:t>EBSS</w:t>
            </w:r>
          </w:p>
        </w:tc>
        <w:tc>
          <w:tcPr>
            <w:tcW w:w="5324" w:type="dxa"/>
          </w:tcPr>
          <w:p w:rsidR="005C4C9C" w:rsidRPr="005C4C9C" w:rsidRDefault="005C4C9C" w:rsidP="005C4C9C">
            <w:pPr>
              <w:numPr>
                <w:ilvl w:val="0"/>
                <w:numId w:val="24"/>
              </w:numPr>
            </w:pPr>
            <w:r w:rsidRPr="005C4C9C">
              <w:t>efficiency benefit sharing scheme</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ERP</w:t>
            </w:r>
          </w:p>
        </w:tc>
        <w:tc>
          <w:tcPr>
            <w:tcW w:w="5324" w:type="dxa"/>
          </w:tcPr>
          <w:p w:rsidR="005C4C9C" w:rsidRPr="005C4C9C" w:rsidRDefault="005C4C9C" w:rsidP="005C4C9C">
            <w:pPr>
              <w:numPr>
                <w:ilvl w:val="0"/>
                <w:numId w:val="24"/>
              </w:numPr>
            </w:pPr>
            <w:r w:rsidRPr="005C4C9C">
              <w:t>equity risk premium</w:t>
            </w:r>
          </w:p>
        </w:tc>
      </w:tr>
      <w:tr w:rsidR="005C4C9C" w:rsidTr="00355CE4">
        <w:tc>
          <w:tcPr>
            <w:tcW w:w="3369" w:type="dxa"/>
          </w:tcPr>
          <w:p w:rsidR="005C4C9C" w:rsidRPr="005C4C9C" w:rsidRDefault="005C4C9C" w:rsidP="005C4C9C">
            <w:pPr>
              <w:numPr>
                <w:ilvl w:val="0"/>
                <w:numId w:val="24"/>
              </w:numPr>
            </w:pPr>
            <w:r w:rsidRPr="005C4C9C">
              <w:t>Expenditure Assessment Guideline</w:t>
            </w:r>
          </w:p>
        </w:tc>
        <w:tc>
          <w:tcPr>
            <w:tcW w:w="532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F&amp;A</w:t>
            </w:r>
          </w:p>
        </w:tc>
        <w:tc>
          <w:tcPr>
            <w:tcW w:w="5324" w:type="dxa"/>
          </w:tcPr>
          <w:p w:rsidR="005C4C9C" w:rsidRPr="005C4C9C" w:rsidRDefault="005C4C9C" w:rsidP="005C4C9C">
            <w:pPr>
              <w:numPr>
                <w:ilvl w:val="0"/>
                <w:numId w:val="24"/>
              </w:numPr>
            </w:pPr>
            <w:r w:rsidRPr="005C4C9C">
              <w:t>framework and approach</w:t>
            </w:r>
          </w:p>
        </w:tc>
      </w:tr>
      <w:tr w:rsidR="005C4C9C" w:rsidTr="00355CE4">
        <w:tc>
          <w:tcPr>
            <w:tcW w:w="3369" w:type="dxa"/>
          </w:tcPr>
          <w:p w:rsidR="005C4C9C" w:rsidRPr="005C4C9C" w:rsidRDefault="005C4C9C" w:rsidP="005C4C9C">
            <w:pPr>
              <w:numPr>
                <w:ilvl w:val="0"/>
                <w:numId w:val="24"/>
              </w:numPr>
            </w:pPr>
            <w:r w:rsidRPr="005C4C9C">
              <w:t>MRP</w:t>
            </w:r>
          </w:p>
        </w:tc>
        <w:tc>
          <w:tcPr>
            <w:tcW w:w="5324" w:type="dxa"/>
          </w:tcPr>
          <w:p w:rsidR="005C4C9C" w:rsidRPr="005C4C9C" w:rsidRDefault="005C4C9C" w:rsidP="005C4C9C">
            <w:pPr>
              <w:numPr>
                <w:ilvl w:val="0"/>
                <w:numId w:val="24"/>
              </w:numPr>
            </w:pPr>
            <w:r w:rsidRPr="005C4C9C">
              <w:t>market risk premium</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NEL</w:t>
            </w:r>
          </w:p>
        </w:tc>
        <w:tc>
          <w:tcPr>
            <w:tcW w:w="5324" w:type="dxa"/>
          </w:tcPr>
          <w:p w:rsidR="005C4C9C" w:rsidRPr="005C4C9C" w:rsidRDefault="005C4C9C" w:rsidP="005C4C9C">
            <w:pPr>
              <w:numPr>
                <w:ilvl w:val="0"/>
                <w:numId w:val="24"/>
              </w:numPr>
            </w:pPr>
            <w:r w:rsidRPr="005C4C9C">
              <w:t>national electricity law</w:t>
            </w:r>
          </w:p>
        </w:tc>
      </w:tr>
      <w:tr w:rsidR="005C4C9C" w:rsidTr="00355CE4">
        <w:tc>
          <w:tcPr>
            <w:tcW w:w="3369" w:type="dxa"/>
          </w:tcPr>
          <w:p w:rsidR="005C4C9C" w:rsidRPr="005C4C9C" w:rsidRDefault="005C4C9C" w:rsidP="005C4C9C">
            <w:pPr>
              <w:numPr>
                <w:ilvl w:val="0"/>
                <w:numId w:val="24"/>
              </w:numPr>
            </w:pPr>
            <w:r w:rsidRPr="005C4C9C">
              <w:t>NEM</w:t>
            </w:r>
          </w:p>
        </w:tc>
        <w:tc>
          <w:tcPr>
            <w:tcW w:w="5324" w:type="dxa"/>
          </w:tcPr>
          <w:p w:rsidR="005C4C9C" w:rsidRPr="005C4C9C" w:rsidRDefault="005C4C9C" w:rsidP="005C4C9C">
            <w:pPr>
              <w:numPr>
                <w:ilvl w:val="0"/>
                <w:numId w:val="24"/>
              </w:numPr>
            </w:pPr>
            <w:r w:rsidRPr="005C4C9C">
              <w:t>national electricity market</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NEO</w:t>
            </w:r>
          </w:p>
        </w:tc>
        <w:tc>
          <w:tcPr>
            <w:tcW w:w="5324" w:type="dxa"/>
          </w:tcPr>
          <w:p w:rsidR="005C4C9C" w:rsidRPr="005C4C9C" w:rsidRDefault="005C4C9C" w:rsidP="005C4C9C">
            <w:pPr>
              <w:numPr>
                <w:ilvl w:val="0"/>
                <w:numId w:val="24"/>
              </w:numPr>
            </w:pPr>
            <w:r w:rsidRPr="005C4C9C">
              <w:t>national electricity objective</w:t>
            </w:r>
          </w:p>
        </w:tc>
      </w:tr>
      <w:tr w:rsidR="005C4C9C" w:rsidTr="00355CE4">
        <w:tc>
          <w:tcPr>
            <w:tcW w:w="3369" w:type="dxa"/>
          </w:tcPr>
          <w:p w:rsidR="005C4C9C" w:rsidRPr="005C4C9C" w:rsidRDefault="005C4C9C" w:rsidP="005C4C9C">
            <w:pPr>
              <w:numPr>
                <w:ilvl w:val="0"/>
                <w:numId w:val="24"/>
              </w:numPr>
            </w:pPr>
            <w:r w:rsidRPr="005C4C9C">
              <w:t>NER</w:t>
            </w:r>
          </w:p>
        </w:tc>
        <w:tc>
          <w:tcPr>
            <w:tcW w:w="5324" w:type="dxa"/>
          </w:tcPr>
          <w:p w:rsidR="005C4C9C" w:rsidRPr="005C4C9C" w:rsidRDefault="005C4C9C" w:rsidP="005C4C9C">
            <w:pPr>
              <w:numPr>
                <w:ilvl w:val="0"/>
                <w:numId w:val="24"/>
              </w:numPr>
            </w:pPr>
            <w:r w:rsidRPr="005C4C9C">
              <w:t>national electricity rules</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NSP</w:t>
            </w:r>
          </w:p>
        </w:tc>
        <w:tc>
          <w:tcPr>
            <w:tcW w:w="5324" w:type="dxa"/>
          </w:tcPr>
          <w:p w:rsidR="005C4C9C" w:rsidRPr="005C4C9C" w:rsidRDefault="005C4C9C" w:rsidP="005C4C9C">
            <w:pPr>
              <w:numPr>
                <w:ilvl w:val="0"/>
                <w:numId w:val="24"/>
              </w:numPr>
            </w:pPr>
            <w:r w:rsidRPr="005C4C9C">
              <w:t>network service provider</w:t>
            </w:r>
          </w:p>
        </w:tc>
      </w:tr>
      <w:tr w:rsidR="005C4C9C" w:rsidTr="00355CE4">
        <w:tc>
          <w:tcPr>
            <w:tcW w:w="3369" w:type="dxa"/>
          </w:tcPr>
          <w:p w:rsidR="005C4C9C" w:rsidRPr="005C4C9C" w:rsidRDefault="005C4C9C" w:rsidP="005C4C9C">
            <w:pPr>
              <w:numPr>
                <w:ilvl w:val="0"/>
                <w:numId w:val="24"/>
              </w:numPr>
            </w:pPr>
            <w:proofErr w:type="spellStart"/>
            <w:r w:rsidRPr="005C4C9C">
              <w:t>opex</w:t>
            </w:r>
            <w:proofErr w:type="spellEnd"/>
          </w:p>
        </w:tc>
        <w:tc>
          <w:tcPr>
            <w:tcW w:w="5324" w:type="dxa"/>
          </w:tcPr>
          <w:p w:rsidR="005C4C9C" w:rsidRPr="005C4C9C" w:rsidRDefault="005C4C9C" w:rsidP="005C4C9C">
            <w:pPr>
              <w:numPr>
                <w:ilvl w:val="0"/>
                <w:numId w:val="24"/>
              </w:numPr>
            </w:pPr>
            <w:r w:rsidRPr="005C4C9C">
              <w:t>operating expenditure</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PPI</w:t>
            </w:r>
          </w:p>
        </w:tc>
        <w:tc>
          <w:tcPr>
            <w:tcW w:w="5324" w:type="dxa"/>
          </w:tcPr>
          <w:p w:rsidR="005C4C9C" w:rsidRPr="005C4C9C" w:rsidRDefault="005C4C9C" w:rsidP="005C4C9C">
            <w:pPr>
              <w:numPr>
                <w:ilvl w:val="0"/>
                <w:numId w:val="24"/>
              </w:numPr>
            </w:pPr>
            <w:r w:rsidRPr="005C4C9C">
              <w:t>partial performance indicators</w:t>
            </w:r>
          </w:p>
        </w:tc>
      </w:tr>
      <w:tr w:rsidR="005C4C9C" w:rsidTr="00355CE4">
        <w:tc>
          <w:tcPr>
            <w:tcW w:w="3369" w:type="dxa"/>
          </w:tcPr>
          <w:p w:rsidR="005C4C9C" w:rsidRPr="005C4C9C" w:rsidRDefault="005C4C9C" w:rsidP="005C4C9C">
            <w:pPr>
              <w:numPr>
                <w:ilvl w:val="0"/>
                <w:numId w:val="24"/>
              </w:numPr>
            </w:pPr>
            <w:r w:rsidRPr="005C4C9C">
              <w:t>PTRM</w:t>
            </w:r>
          </w:p>
        </w:tc>
        <w:tc>
          <w:tcPr>
            <w:tcW w:w="5324" w:type="dxa"/>
          </w:tcPr>
          <w:p w:rsidR="005C4C9C" w:rsidRPr="005C4C9C" w:rsidRDefault="005C4C9C" w:rsidP="005C4C9C">
            <w:pPr>
              <w:numPr>
                <w:ilvl w:val="0"/>
                <w:numId w:val="24"/>
              </w:numPr>
            </w:pPr>
            <w:r w:rsidRPr="005C4C9C">
              <w:t>post-tax revenue model</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RAB</w:t>
            </w:r>
          </w:p>
        </w:tc>
        <w:tc>
          <w:tcPr>
            <w:tcW w:w="5324" w:type="dxa"/>
          </w:tcPr>
          <w:p w:rsidR="005C4C9C" w:rsidRPr="005C4C9C" w:rsidRDefault="005C4C9C" w:rsidP="005C4C9C">
            <w:pPr>
              <w:numPr>
                <w:ilvl w:val="0"/>
                <w:numId w:val="24"/>
              </w:numPr>
            </w:pPr>
            <w:r w:rsidRPr="005C4C9C">
              <w:t>regulatory asset base</w:t>
            </w:r>
          </w:p>
        </w:tc>
      </w:tr>
      <w:tr w:rsidR="005C4C9C" w:rsidTr="00355CE4">
        <w:tc>
          <w:tcPr>
            <w:tcW w:w="3369" w:type="dxa"/>
          </w:tcPr>
          <w:p w:rsidR="005C4C9C" w:rsidRPr="005C4C9C" w:rsidRDefault="005C4C9C" w:rsidP="005C4C9C">
            <w:pPr>
              <w:numPr>
                <w:ilvl w:val="0"/>
                <w:numId w:val="24"/>
              </w:numPr>
            </w:pPr>
            <w:r w:rsidRPr="005C4C9C">
              <w:t>RBA</w:t>
            </w:r>
          </w:p>
        </w:tc>
        <w:tc>
          <w:tcPr>
            <w:tcW w:w="5324" w:type="dxa"/>
          </w:tcPr>
          <w:p w:rsidR="005C4C9C" w:rsidRPr="005C4C9C" w:rsidRDefault="005C4C9C" w:rsidP="005C4C9C">
            <w:pPr>
              <w:numPr>
                <w:ilvl w:val="0"/>
                <w:numId w:val="24"/>
              </w:numPr>
            </w:pPr>
            <w:r w:rsidRPr="005C4C9C">
              <w:t>Reserve Bank of Australia</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repex</w:t>
            </w:r>
            <w:proofErr w:type="spellEnd"/>
          </w:p>
        </w:tc>
        <w:tc>
          <w:tcPr>
            <w:tcW w:w="5324" w:type="dxa"/>
          </w:tcPr>
          <w:p w:rsidR="005C4C9C" w:rsidRPr="005C4C9C" w:rsidRDefault="005C4C9C" w:rsidP="005C4C9C">
            <w:pPr>
              <w:numPr>
                <w:ilvl w:val="0"/>
                <w:numId w:val="24"/>
              </w:numPr>
            </w:pPr>
            <w:r w:rsidRPr="005C4C9C">
              <w:t>replacement expenditure</w:t>
            </w:r>
          </w:p>
        </w:tc>
      </w:tr>
      <w:tr w:rsidR="005C4C9C" w:rsidTr="00355CE4">
        <w:tc>
          <w:tcPr>
            <w:tcW w:w="3369" w:type="dxa"/>
          </w:tcPr>
          <w:p w:rsidR="005C4C9C" w:rsidRPr="005C4C9C" w:rsidRDefault="005C4C9C" w:rsidP="005C4C9C">
            <w:pPr>
              <w:numPr>
                <w:ilvl w:val="0"/>
                <w:numId w:val="24"/>
              </w:numPr>
            </w:pPr>
            <w:r w:rsidRPr="005C4C9C">
              <w:lastRenderedPageBreak/>
              <w:t>RFM</w:t>
            </w:r>
          </w:p>
        </w:tc>
        <w:tc>
          <w:tcPr>
            <w:tcW w:w="5324" w:type="dxa"/>
          </w:tcPr>
          <w:p w:rsidR="005C4C9C" w:rsidRPr="005C4C9C" w:rsidRDefault="005C4C9C" w:rsidP="005C4C9C">
            <w:pPr>
              <w:numPr>
                <w:ilvl w:val="0"/>
                <w:numId w:val="24"/>
              </w:numPr>
            </w:pPr>
            <w:r w:rsidRPr="005C4C9C">
              <w:t>roll forward model</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RIN</w:t>
            </w:r>
          </w:p>
        </w:tc>
        <w:tc>
          <w:tcPr>
            <w:tcW w:w="5324" w:type="dxa"/>
          </w:tcPr>
          <w:p w:rsidR="005C4C9C" w:rsidRPr="005C4C9C" w:rsidRDefault="005C4C9C" w:rsidP="005C4C9C">
            <w:pPr>
              <w:numPr>
                <w:ilvl w:val="0"/>
                <w:numId w:val="24"/>
              </w:numPr>
            </w:pPr>
            <w:r w:rsidRPr="005C4C9C">
              <w:t>regulatory information notice</w:t>
            </w:r>
          </w:p>
        </w:tc>
      </w:tr>
      <w:tr w:rsidR="005C4C9C" w:rsidTr="00355CE4">
        <w:tc>
          <w:tcPr>
            <w:tcW w:w="3369" w:type="dxa"/>
          </w:tcPr>
          <w:p w:rsidR="005C4C9C" w:rsidRPr="005C4C9C" w:rsidRDefault="005C4C9C" w:rsidP="005C4C9C">
            <w:pPr>
              <w:numPr>
                <w:ilvl w:val="0"/>
                <w:numId w:val="24"/>
              </w:numPr>
            </w:pPr>
            <w:r w:rsidRPr="005C4C9C">
              <w:t>RPP</w:t>
            </w:r>
          </w:p>
        </w:tc>
        <w:tc>
          <w:tcPr>
            <w:tcW w:w="5324" w:type="dxa"/>
          </w:tcPr>
          <w:p w:rsidR="005C4C9C" w:rsidRPr="005C4C9C" w:rsidRDefault="005C4C9C" w:rsidP="005C4C9C">
            <w:pPr>
              <w:numPr>
                <w:ilvl w:val="0"/>
                <w:numId w:val="24"/>
              </w:numPr>
            </w:pPr>
            <w:r w:rsidRPr="005C4C9C">
              <w:t>revenue and pricing principles</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SAIDI</w:t>
            </w:r>
          </w:p>
        </w:tc>
        <w:tc>
          <w:tcPr>
            <w:tcW w:w="5324" w:type="dxa"/>
          </w:tcPr>
          <w:p w:rsidR="005C4C9C" w:rsidRPr="005C4C9C" w:rsidRDefault="005C4C9C" w:rsidP="005C4C9C">
            <w:pPr>
              <w:numPr>
                <w:ilvl w:val="0"/>
                <w:numId w:val="24"/>
              </w:numPr>
            </w:pPr>
            <w:r w:rsidRPr="005C4C9C">
              <w:t>system average interruption duration index</w:t>
            </w:r>
          </w:p>
        </w:tc>
      </w:tr>
      <w:tr w:rsidR="005C4C9C" w:rsidTr="00355CE4">
        <w:tc>
          <w:tcPr>
            <w:tcW w:w="3369" w:type="dxa"/>
          </w:tcPr>
          <w:p w:rsidR="005C4C9C" w:rsidRPr="005C4C9C" w:rsidRDefault="005C4C9C" w:rsidP="005C4C9C">
            <w:pPr>
              <w:numPr>
                <w:ilvl w:val="0"/>
                <w:numId w:val="24"/>
              </w:numPr>
            </w:pPr>
            <w:r w:rsidRPr="005C4C9C">
              <w:t>SAIFI</w:t>
            </w:r>
          </w:p>
        </w:tc>
        <w:tc>
          <w:tcPr>
            <w:tcW w:w="5324" w:type="dxa"/>
          </w:tcPr>
          <w:p w:rsidR="005C4C9C" w:rsidRPr="005C4C9C" w:rsidRDefault="005C4C9C" w:rsidP="005C4C9C">
            <w:pPr>
              <w:numPr>
                <w:ilvl w:val="0"/>
                <w:numId w:val="24"/>
              </w:numPr>
            </w:pPr>
            <w:r w:rsidRPr="005C4C9C">
              <w:t>system average interruption frequency index</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SLCAPM</w:t>
            </w:r>
          </w:p>
        </w:tc>
        <w:tc>
          <w:tcPr>
            <w:tcW w:w="532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355CE4">
        <w:tc>
          <w:tcPr>
            <w:tcW w:w="3369" w:type="dxa"/>
          </w:tcPr>
          <w:p w:rsidR="005C4C9C" w:rsidRPr="005C4C9C" w:rsidRDefault="005C4C9C" w:rsidP="005C4C9C">
            <w:pPr>
              <w:numPr>
                <w:ilvl w:val="0"/>
                <w:numId w:val="24"/>
              </w:numPr>
            </w:pPr>
            <w:r w:rsidRPr="005C4C9C">
              <w:t>STPIS</w:t>
            </w:r>
          </w:p>
        </w:tc>
        <w:tc>
          <w:tcPr>
            <w:tcW w:w="5324" w:type="dxa"/>
          </w:tcPr>
          <w:p w:rsidR="005C4C9C" w:rsidRPr="005C4C9C" w:rsidRDefault="005C4C9C" w:rsidP="005C4C9C">
            <w:pPr>
              <w:numPr>
                <w:ilvl w:val="0"/>
                <w:numId w:val="24"/>
              </w:numPr>
            </w:pPr>
            <w:r w:rsidRPr="005C4C9C">
              <w:t>service target performance incentive scheme</w:t>
            </w:r>
          </w:p>
        </w:tc>
      </w:tr>
      <w:tr w:rsidR="005C4C9C" w:rsidTr="00355CE4">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WACC</w:t>
            </w:r>
          </w:p>
        </w:tc>
        <w:tc>
          <w:tcPr>
            <w:tcW w:w="532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741C46" w:rsidP="00741C46">
      <w:pPr>
        <w:pStyle w:val="Heading1"/>
      </w:pPr>
      <w:bookmarkStart w:id="10" w:name="_Toc433196174"/>
      <w:r>
        <w:lastRenderedPageBreak/>
        <w:t>Regulatory depreciation</w:t>
      </w:r>
      <w:bookmarkEnd w:id="10"/>
    </w:p>
    <w:p w:rsidR="008012DE" w:rsidRPr="009C3A35" w:rsidRDefault="008012DE" w:rsidP="008012DE">
      <w:r w:rsidRPr="009C3A35">
        <w:t xml:space="preserve">Depreciation is the allowance provided so capital investors recover their investment over the economic life of the asset (return of capital). </w:t>
      </w:r>
      <w:r w:rsidR="002E7523">
        <w:t xml:space="preserve">In </w:t>
      </w:r>
      <w:r w:rsidRPr="009C3A35">
        <w:t>decid</w:t>
      </w:r>
      <w:r w:rsidR="002E7523">
        <w:t>ing</w:t>
      </w:r>
      <w:r w:rsidRPr="009C3A35">
        <w:t xml:space="preserve"> whether to approve the depreciation schedules submitted by </w:t>
      </w:r>
      <w:r w:rsidR="00B439E9">
        <w:t>United Energy</w:t>
      </w:r>
      <w:r w:rsidRPr="009C3A35">
        <w:t xml:space="preserve">, we make determinations on the indexation of the regulatory asset base (RAB) and depreciation building blocks for </w:t>
      </w:r>
      <w:r w:rsidR="00B439E9">
        <w:t>United Energy</w:t>
      </w:r>
      <w:r>
        <w:t>'s</w:t>
      </w:r>
      <w:r w:rsidRPr="009C3A35">
        <w:t xml:space="preserve"> </w:t>
      </w:r>
      <w:r w:rsidR="00B439E9">
        <w:t>2016–20</w:t>
      </w:r>
      <w:r w:rsidRPr="009C3A35">
        <w:t xml:space="preserve"> regulatory control period.</w:t>
      </w:r>
      <w:r w:rsidRPr="00F433A3">
        <w:rPr>
          <w:rStyle w:val="FootnoteReference"/>
        </w:rPr>
        <w:footnoteReference w:id="1"/>
      </w:r>
      <w:r w:rsidRPr="009C3A35">
        <w:t xml:space="preserve"> The regulatory depreciation allowance is the net total of the straight-line depreciation (negative) and the indexation </w:t>
      </w:r>
      <w:r>
        <w:t xml:space="preserve">(positive) </w:t>
      </w:r>
      <w:r w:rsidRPr="009C3A35">
        <w:t xml:space="preserve">of the RAB. </w:t>
      </w:r>
    </w:p>
    <w:p w:rsidR="008012DE" w:rsidRDefault="008012DE" w:rsidP="008012DE">
      <w:r w:rsidRPr="009C3A35">
        <w:t xml:space="preserve">This attachment sets out our preliminary decision on </w:t>
      </w:r>
      <w:r w:rsidR="00B439E9">
        <w:t>United Energy</w:t>
      </w:r>
      <w:r>
        <w:t>'s</w:t>
      </w:r>
      <w:r w:rsidRPr="009C3A35">
        <w:t xml:space="preserve"> regulatory depreciation allowance. It also presents our preliminary decision on the proposed depreciation schedules, including an assessment of the proposed standard </w:t>
      </w:r>
      <w:r>
        <w:t xml:space="preserve">asset lives </w:t>
      </w:r>
      <w:r w:rsidRPr="009C3A35">
        <w:t>and remaining asset lives to be used for forecasting the depreciation allowance.</w:t>
      </w:r>
    </w:p>
    <w:p w:rsidR="009A5113" w:rsidRDefault="005C0A7F" w:rsidP="009A5113">
      <w:pPr>
        <w:pStyle w:val="Heading2"/>
      </w:pPr>
      <w:bookmarkStart w:id="11" w:name="_Toc408404320"/>
      <w:bookmarkStart w:id="12" w:name="_Toc433196175"/>
      <w:r>
        <w:t>Preliminary</w:t>
      </w:r>
      <w:r w:rsidR="009A5113" w:rsidRPr="0074565D">
        <w:t xml:space="preserve"> decision</w:t>
      </w:r>
      <w:bookmarkEnd w:id="11"/>
      <w:bookmarkEnd w:id="12"/>
    </w:p>
    <w:p w:rsidR="008012DE" w:rsidRDefault="008012DE" w:rsidP="008012DE">
      <w:r w:rsidRPr="00F433A3">
        <w:t>We do not accept</w:t>
      </w:r>
      <w:r w:rsidR="00F34B73">
        <w:t xml:space="preserve"> </w:t>
      </w:r>
      <w:r w:rsidR="00B439E9">
        <w:t>United Energy</w:t>
      </w:r>
      <w:r>
        <w:t>'s</w:t>
      </w:r>
      <w:r w:rsidRPr="00F433A3">
        <w:t xml:space="preserve"> proposed regulatory depreciation allowance of $</w:t>
      </w:r>
      <w:r w:rsidR="00327E32">
        <w:t xml:space="preserve">388.2 </w:t>
      </w:r>
      <w:r w:rsidRPr="00F433A3">
        <w:t xml:space="preserve">million ($ nominal) for the </w:t>
      </w:r>
      <w:r w:rsidR="00B439E9">
        <w:t>2016–20</w:t>
      </w:r>
      <w:r w:rsidRPr="00F433A3">
        <w:t xml:space="preserve"> regulatory control period.</w:t>
      </w:r>
      <w:r w:rsidRPr="00F433A3">
        <w:rPr>
          <w:rStyle w:val="FootnoteReference"/>
        </w:rPr>
        <w:footnoteReference w:id="2"/>
      </w:r>
      <w:r w:rsidRPr="00F433A3">
        <w:t xml:space="preserve"> Instead, we determine a regulatory depreciation allowance of $</w:t>
      </w:r>
      <w:r w:rsidR="00E666BD">
        <w:t>315.4</w:t>
      </w:r>
      <w:r w:rsidRPr="00F433A3">
        <w:t xml:space="preserve"> million ($ nominal) for </w:t>
      </w:r>
      <w:r w:rsidR="00B439E9">
        <w:t>United Energy</w:t>
      </w:r>
      <w:r w:rsidRPr="00F433A3">
        <w:t xml:space="preserve">. This </w:t>
      </w:r>
      <w:r>
        <w:t xml:space="preserve">amount </w:t>
      </w:r>
      <w:r w:rsidRPr="00F433A3">
        <w:t>represents a decrease of $</w:t>
      </w:r>
      <w:r w:rsidR="008E73FE">
        <w:t>72.7</w:t>
      </w:r>
      <w:r w:rsidR="00E9615E">
        <w:t> </w:t>
      </w:r>
      <w:r w:rsidRPr="00F433A3">
        <w:t xml:space="preserve">million (or </w:t>
      </w:r>
      <w:r w:rsidR="00E666BD">
        <w:t>18.</w:t>
      </w:r>
      <w:r w:rsidR="008E73FE">
        <w:t>7</w:t>
      </w:r>
      <w:r w:rsidRPr="00F433A3">
        <w:t xml:space="preserve"> per</w:t>
      </w:r>
      <w:r w:rsidR="00E9615E">
        <w:t> </w:t>
      </w:r>
      <w:r w:rsidRPr="00F433A3">
        <w:t xml:space="preserve">cent) </w:t>
      </w:r>
      <w:r>
        <w:t xml:space="preserve">on the </w:t>
      </w:r>
      <w:r w:rsidRPr="00F433A3">
        <w:t>proposed</w:t>
      </w:r>
      <w:r>
        <w:t xml:space="preserve"> amount</w:t>
      </w:r>
      <w:r w:rsidRPr="00F433A3">
        <w:t>. In coming to this decision</w:t>
      </w:r>
      <w:r>
        <w:t>:</w:t>
      </w:r>
    </w:p>
    <w:p w:rsidR="008012DE" w:rsidRDefault="008012DE" w:rsidP="008012DE">
      <w:pPr>
        <w:pStyle w:val="AERbulletlistfirststyle"/>
      </w:pPr>
      <w:r>
        <w:t>We a</w:t>
      </w:r>
      <w:r w:rsidRPr="00F433A3">
        <w:t xml:space="preserve">ccept </w:t>
      </w:r>
      <w:r w:rsidR="00B439E9">
        <w:t>United Energy</w:t>
      </w:r>
      <w:r>
        <w:t>'s</w:t>
      </w:r>
      <w:r w:rsidRPr="00F433A3">
        <w:t xml:space="preserve"> proposed asset classes, </w:t>
      </w:r>
      <w:r>
        <w:t xml:space="preserve">its </w:t>
      </w:r>
      <w:r w:rsidRPr="00F433A3">
        <w:t>straight-line depreciation method, and the standard asset lives used to calculate the regulatory depreciation allowance.</w:t>
      </w:r>
      <w:r w:rsidR="00170026">
        <w:rPr>
          <w:rStyle w:val="FootnoteReference"/>
        </w:rPr>
        <w:footnoteReference w:id="3"/>
      </w:r>
      <w:r w:rsidRPr="00F433A3">
        <w:t xml:space="preserve"> We consider </w:t>
      </w:r>
      <w:r w:rsidR="00B439E9">
        <w:t>United Energy</w:t>
      </w:r>
      <w:r>
        <w:t xml:space="preserve">'s </w:t>
      </w:r>
      <w:r w:rsidRPr="00F433A3">
        <w:t>proposed asset classes and standard asset lives are consistent with those approved at the 201</w:t>
      </w:r>
      <w:r w:rsidR="002E7523">
        <w:t>1</w:t>
      </w:r>
      <w:r w:rsidR="00E9615E">
        <w:t>–</w:t>
      </w:r>
      <w:r w:rsidRPr="00F433A3">
        <w:t>15 distribution determination</w:t>
      </w:r>
      <w:r>
        <w:t>,</w:t>
      </w:r>
      <w:r w:rsidRPr="00F433A3">
        <w:t xml:space="preserve"> and reflect the nature and economic lives of the assets</w:t>
      </w:r>
      <w:r w:rsidR="00F51227">
        <w:t xml:space="preserve"> (section </w:t>
      </w:r>
      <w:r w:rsidR="00DD74E7">
        <w:fldChar w:fldCharType="begin"/>
      </w:r>
      <w:r w:rsidR="00DD74E7">
        <w:instrText xml:space="preserve"> REF _Ref433195972 \r \h </w:instrText>
      </w:r>
      <w:r w:rsidR="00DD74E7">
        <w:fldChar w:fldCharType="separate"/>
      </w:r>
      <w:r w:rsidR="008600C5">
        <w:t>5.4.1</w:t>
      </w:r>
      <w:r w:rsidR="00DD74E7">
        <w:fldChar w:fldCharType="end"/>
      </w:r>
      <w:r w:rsidR="00F51227">
        <w:t>)</w:t>
      </w:r>
      <w:r w:rsidRPr="00F433A3">
        <w:t>.</w:t>
      </w:r>
      <w:r w:rsidRPr="00F433A3">
        <w:rPr>
          <w:rStyle w:val="FootnoteReference"/>
        </w:rPr>
        <w:footnoteReference w:id="4"/>
      </w:r>
    </w:p>
    <w:p w:rsidR="008012DE" w:rsidRDefault="008012DE" w:rsidP="00336DE3">
      <w:pPr>
        <w:pStyle w:val="AERbulletlistfirststyle"/>
      </w:pPr>
      <w:r>
        <w:t xml:space="preserve">We accept the </w:t>
      </w:r>
      <w:r w:rsidR="00336DE3">
        <w:t>creation</w:t>
      </w:r>
      <w:r w:rsidR="00D60E4F">
        <w:t xml:space="preserve"> of </w:t>
      </w:r>
      <w:r w:rsidR="00336DE3">
        <w:t>a new ‘SCADA (10-year asset)’ asset class</w:t>
      </w:r>
      <w:r>
        <w:t xml:space="preserve">. </w:t>
      </w:r>
      <w:r w:rsidR="00336DE3">
        <w:t xml:space="preserve">This asset class will contain SCADA, network control and protection system capex incurred from 1 January 2016. </w:t>
      </w:r>
      <w:r>
        <w:t xml:space="preserve">We also accept the proposed standard asset life for this </w:t>
      </w:r>
      <w:r w:rsidR="007359C2">
        <w:t xml:space="preserve">new </w:t>
      </w:r>
      <w:r>
        <w:t>asset class</w:t>
      </w:r>
      <w:r w:rsidR="00F51227">
        <w:t xml:space="preserve"> (section </w:t>
      </w:r>
      <w:r w:rsidR="00DD74E7">
        <w:fldChar w:fldCharType="begin"/>
      </w:r>
      <w:r w:rsidR="00DD74E7">
        <w:instrText xml:space="preserve"> REF _Ref433195977 \r \h </w:instrText>
      </w:r>
      <w:r w:rsidR="00DD74E7">
        <w:fldChar w:fldCharType="separate"/>
      </w:r>
      <w:r w:rsidR="008600C5">
        <w:t>5.4.1</w:t>
      </w:r>
      <w:r w:rsidR="00DD74E7">
        <w:fldChar w:fldCharType="end"/>
      </w:r>
      <w:r w:rsidR="00F51227">
        <w:t>)</w:t>
      </w:r>
      <w:r>
        <w:t xml:space="preserve">. </w:t>
      </w:r>
    </w:p>
    <w:p w:rsidR="00336DE3" w:rsidRDefault="00336DE3" w:rsidP="00336DE3">
      <w:pPr>
        <w:pStyle w:val="AERbulletlistfirststyle"/>
      </w:pPr>
      <w:r>
        <w:t xml:space="preserve">We accept the creation of a new non-depreciating ‘Land’ asset class. This asset class will contain any </w:t>
      </w:r>
      <w:r w:rsidR="007359C2">
        <w:t>l</w:t>
      </w:r>
      <w:r>
        <w:t>and related capex incurred from 1 January 2016</w:t>
      </w:r>
      <w:r w:rsidR="00F51227">
        <w:t xml:space="preserve"> (section </w:t>
      </w:r>
      <w:r w:rsidR="00DD74E7">
        <w:fldChar w:fldCharType="begin"/>
      </w:r>
      <w:r w:rsidR="00DD74E7">
        <w:instrText xml:space="preserve"> REF _Ref433195986 \r \h </w:instrText>
      </w:r>
      <w:r w:rsidR="00DD74E7">
        <w:fldChar w:fldCharType="separate"/>
      </w:r>
      <w:r w:rsidR="008600C5">
        <w:t>5.4.1</w:t>
      </w:r>
      <w:r w:rsidR="00DD74E7">
        <w:fldChar w:fldCharType="end"/>
      </w:r>
      <w:r w:rsidR="00F51227">
        <w:t>)</w:t>
      </w:r>
      <w:r>
        <w:t xml:space="preserve">. </w:t>
      </w:r>
    </w:p>
    <w:p w:rsidR="00F51227" w:rsidRDefault="00F51227" w:rsidP="00F51227">
      <w:pPr>
        <w:pStyle w:val="AERbulletlistfirststyle"/>
      </w:pPr>
      <w:r>
        <w:t>We do not accept</w:t>
      </w:r>
      <w:r w:rsidRPr="00F01ABB">
        <w:t xml:space="preserve"> </w:t>
      </w:r>
      <w:r>
        <w:t>United Energy</w:t>
      </w:r>
      <w:r w:rsidRPr="00F01ABB">
        <w:t xml:space="preserve">'s proposed average </w:t>
      </w:r>
      <w:r>
        <w:t xml:space="preserve">depreciation </w:t>
      </w:r>
      <w:r w:rsidRPr="00F01ABB">
        <w:t>method to calculate remaining asset</w:t>
      </w:r>
      <w:r>
        <w:t xml:space="preserve"> </w:t>
      </w:r>
      <w:r w:rsidRPr="00F01ABB">
        <w:t xml:space="preserve">lives at </w:t>
      </w:r>
      <w:r>
        <w:t>1 January 2016</w:t>
      </w:r>
      <w:r w:rsidRPr="00F01ABB">
        <w:t xml:space="preserve">. </w:t>
      </w:r>
      <w:r>
        <w:t>W</w:t>
      </w:r>
      <w:r w:rsidRPr="00F01ABB">
        <w:t xml:space="preserve">e have </w:t>
      </w:r>
      <w:r>
        <w:t xml:space="preserve">instead applied a weighted average remaining life (WARL) approach (section </w:t>
      </w:r>
      <w:r w:rsidR="00DD74E7">
        <w:fldChar w:fldCharType="begin"/>
      </w:r>
      <w:r w:rsidR="00DD74E7">
        <w:instrText xml:space="preserve"> REF _Ref433195992 \r \h </w:instrText>
      </w:r>
      <w:r w:rsidR="00DD74E7">
        <w:fldChar w:fldCharType="separate"/>
      </w:r>
      <w:r w:rsidR="008600C5">
        <w:t>5.4.2</w:t>
      </w:r>
      <w:r w:rsidR="00DD74E7">
        <w:fldChar w:fldCharType="end"/>
      </w:r>
      <w:r>
        <w:t xml:space="preserve">). The revised </w:t>
      </w:r>
      <w:r>
        <w:lastRenderedPageBreak/>
        <w:t>remaining asset lives also reflect</w:t>
      </w:r>
      <w:r w:rsidRPr="00F01ABB">
        <w:t xml:space="preserve"> </w:t>
      </w:r>
      <w:r>
        <w:t xml:space="preserve">other </w:t>
      </w:r>
      <w:r w:rsidRPr="00F01ABB">
        <w:t xml:space="preserve">adjustments to the RAB in the roll forward model (RFM), as discussed in attachment </w:t>
      </w:r>
      <w:r>
        <w:t>2.</w:t>
      </w:r>
    </w:p>
    <w:p w:rsidR="008012DE" w:rsidRPr="00B65CF2" w:rsidRDefault="008012DE" w:rsidP="008012DE">
      <w:pPr>
        <w:pStyle w:val="AERbulletlistfirststyle"/>
      </w:pPr>
      <w:r>
        <w:t>We m</w:t>
      </w:r>
      <w:r w:rsidRPr="00F01ABB">
        <w:t xml:space="preserve">ade determinations on other components of </w:t>
      </w:r>
      <w:r w:rsidR="00B439E9">
        <w:t>United Energy</w:t>
      </w:r>
      <w:r>
        <w:t xml:space="preserve">'s </w:t>
      </w:r>
      <w:r w:rsidRPr="00F01ABB">
        <w:t xml:space="preserve">proposal </w:t>
      </w:r>
      <w:r>
        <w:t xml:space="preserve">that </w:t>
      </w:r>
      <w:r w:rsidRPr="00F01ABB">
        <w:t>also affect the forecast regulatory depreciation allowance—for example, the forecast capex (attachment 6)</w:t>
      </w:r>
      <w:r w:rsidR="00566A1F">
        <w:rPr>
          <w:rStyle w:val="CommentReference"/>
        </w:rPr>
        <w:t xml:space="preserve">, </w:t>
      </w:r>
      <w:r w:rsidRPr="00F01ABB">
        <w:t>the opening RAB value (attachment 2)</w:t>
      </w:r>
      <w:r w:rsidR="00566A1F">
        <w:t xml:space="preserve"> and the forecast inflation rate (attachment 3)</w:t>
      </w:r>
      <w:r w:rsidRPr="00F01ABB">
        <w:t>.</w:t>
      </w:r>
      <w:r w:rsidRPr="005B6543">
        <w:rPr>
          <w:rStyle w:val="AERbody"/>
          <w:vertAlign w:val="superscript"/>
        </w:rPr>
        <w:footnoteReference w:id="5"/>
      </w:r>
    </w:p>
    <w:p w:rsidR="008012DE" w:rsidRDefault="008012DE" w:rsidP="008012DE">
      <w:r>
        <w:fldChar w:fldCharType="begin"/>
      </w:r>
      <w:r>
        <w:instrText xml:space="preserve"> REF _Ref410380127 \h </w:instrText>
      </w:r>
      <w:r>
        <w:fldChar w:fldCharType="separate"/>
      </w:r>
      <w:r w:rsidR="008600C5">
        <w:t xml:space="preserve">Table </w:t>
      </w:r>
      <w:r w:rsidR="008600C5">
        <w:rPr>
          <w:noProof/>
        </w:rPr>
        <w:t>5</w:t>
      </w:r>
      <w:r w:rsidR="008600C5">
        <w:t>.</w:t>
      </w:r>
      <w:r w:rsidR="008600C5">
        <w:rPr>
          <w:noProof/>
        </w:rPr>
        <w:t>1</w:t>
      </w:r>
      <w:r>
        <w:fldChar w:fldCharType="end"/>
      </w:r>
      <w:r>
        <w:t xml:space="preserve"> </w:t>
      </w:r>
      <w:r w:rsidRPr="00F01ABB">
        <w:t xml:space="preserve">sets out our preliminary decision on the annual regulatory depreciation allowance for </w:t>
      </w:r>
      <w:r w:rsidR="00B439E9">
        <w:t>United Energy</w:t>
      </w:r>
      <w:r>
        <w:t>'s</w:t>
      </w:r>
      <w:r w:rsidRPr="00F01ABB">
        <w:t xml:space="preserve"> </w:t>
      </w:r>
      <w:r w:rsidR="00B439E9">
        <w:t>2016–20</w:t>
      </w:r>
      <w:r w:rsidRPr="00F01ABB">
        <w:t xml:space="preserve"> regulatory control </w:t>
      </w:r>
      <w:proofErr w:type="gramStart"/>
      <w:r w:rsidRPr="00F01ABB">
        <w:t>period</w:t>
      </w:r>
      <w:proofErr w:type="gramEnd"/>
      <w:r w:rsidRPr="00F01ABB">
        <w:t>.</w:t>
      </w:r>
    </w:p>
    <w:p w:rsidR="008012DE" w:rsidRDefault="008012DE" w:rsidP="008012DE">
      <w:pPr>
        <w:pStyle w:val="Caption"/>
      </w:pPr>
      <w:bookmarkStart w:id="13" w:name="_Ref410380127"/>
      <w:proofErr w:type="gramStart"/>
      <w:r>
        <w:t xml:space="preserve">Table </w:t>
      </w:r>
      <w:r w:rsidR="00A95360">
        <w:fldChar w:fldCharType="begin"/>
      </w:r>
      <w:r w:rsidR="00A95360">
        <w:instrText xml:space="preserve"> STYLEREF 1 \s </w:instrText>
      </w:r>
      <w:r w:rsidR="00A95360">
        <w:fldChar w:fldCharType="separate"/>
      </w:r>
      <w:r w:rsidR="008600C5">
        <w:rPr>
          <w:noProof/>
        </w:rPr>
        <w:t>5</w:t>
      </w:r>
      <w:r w:rsidR="00A95360">
        <w:rPr>
          <w:noProof/>
        </w:rPr>
        <w:fldChar w:fldCharType="end"/>
      </w:r>
      <w:r w:rsidR="00DC53F7">
        <w:t>.</w:t>
      </w:r>
      <w:proofErr w:type="gramEnd"/>
      <w:r w:rsidR="00A95360">
        <w:fldChar w:fldCharType="begin"/>
      </w:r>
      <w:r w:rsidR="00A95360">
        <w:instrText xml:space="preserve"> SEQ Table \* ARABIC \s 1 </w:instrText>
      </w:r>
      <w:r w:rsidR="00A95360">
        <w:fldChar w:fldCharType="separate"/>
      </w:r>
      <w:r w:rsidR="008600C5">
        <w:rPr>
          <w:noProof/>
        </w:rPr>
        <w:t>1</w:t>
      </w:r>
      <w:r w:rsidR="00A95360">
        <w:rPr>
          <w:noProof/>
        </w:rPr>
        <w:fldChar w:fldCharType="end"/>
      </w:r>
      <w:bookmarkEnd w:id="13"/>
      <w:r>
        <w:tab/>
      </w:r>
      <w:r w:rsidRPr="00F01ABB">
        <w:t xml:space="preserve">AER's preliminary decision on </w:t>
      </w:r>
      <w:r w:rsidR="00B439E9">
        <w:t>United Energy</w:t>
      </w:r>
      <w:r>
        <w:t xml:space="preserve">'s </w:t>
      </w:r>
      <w:r w:rsidRPr="00F01ABB">
        <w:t xml:space="preserve">depreciation allowance for the </w:t>
      </w:r>
      <w:r w:rsidR="00B439E9">
        <w:t>2016–20</w:t>
      </w:r>
      <w:r w:rsidRPr="00F01ABB">
        <w:t xml:space="preserve">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8012DE" w:rsidRPr="00204479" w:rsidTr="00DC53F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012DE" w:rsidRPr="00F01ABB" w:rsidRDefault="008012DE" w:rsidP="00DC53F7">
            <w:r w:rsidRPr="00204479">
              <w:t> </w:t>
            </w:r>
          </w:p>
        </w:tc>
        <w:tc>
          <w:tcPr>
            <w:tcW w:w="897" w:type="dxa"/>
            <w:noWrap/>
            <w:hideMark/>
          </w:tcPr>
          <w:p w:rsidR="008012DE" w:rsidRPr="00F01ABB" w:rsidRDefault="00F34B73" w:rsidP="00DC53F7">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8012DE" w:rsidRPr="00F01ABB" w:rsidRDefault="00F34B73" w:rsidP="00DC53F7">
            <w:pPr>
              <w:cnfStyle w:val="100000000000" w:firstRow="1" w:lastRow="0" w:firstColumn="0" w:lastColumn="0" w:oddVBand="0" w:evenVBand="0" w:oddHBand="0" w:evenHBand="0" w:firstRowFirstColumn="0" w:firstRowLastColumn="0" w:lastRowFirstColumn="0" w:lastRowLastColumn="0"/>
            </w:pPr>
            <w:r>
              <w:t>201</w:t>
            </w:r>
            <w:r w:rsidR="008012DE" w:rsidRPr="00204479">
              <w:t>7</w:t>
            </w:r>
          </w:p>
        </w:tc>
        <w:tc>
          <w:tcPr>
            <w:tcW w:w="898" w:type="dxa"/>
            <w:noWrap/>
            <w:hideMark/>
          </w:tcPr>
          <w:p w:rsidR="008012DE" w:rsidRPr="00F01ABB" w:rsidRDefault="00F34B73" w:rsidP="00DC53F7">
            <w:pPr>
              <w:cnfStyle w:val="100000000000" w:firstRow="1" w:lastRow="0" w:firstColumn="0" w:lastColumn="0" w:oddVBand="0" w:evenVBand="0" w:oddHBand="0" w:evenHBand="0" w:firstRowFirstColumn="0" w:firstRowLastColumn="0" w:lastRowFirstColumn="0" w:lastRowLastColumn="0"/>
            </w:pPr>
            <w:r>
              <w:t>201</w:t>
            </w:r>
            <w:r w:rsidR="008012DE" w:rsidRPr="00204479">
              <w:t>8</w:t>
            </w:r>
          </w:p>
        </w:tc>
        <w:tc>
          <w:tcPr>
            <w:tcW w:w="897" w:type="dxa"/>
            <w:noWrap/>
            <w:hideMark/>
          </w:tcPr>
          <w:p w:rsidR="008012DE" w:rsidRPr="00F01ABB" w:rsidRDefault="00F34B73" w:rsidP="00DC53F7">
            <w:pPr>
              <w:cnfStyle w:val="100000000000" w:firstRow="1" w:lastRow="0" w:firstColumn="0" w:lastColumn="0" w:oddVBand="0" w:evenVBand="0" w:oddHBand="0" w:evenHBand="0" w:firstRowFirstColumn="0" w:firstRowLastColumn="0" w:lastRowFirstColumn="0" w:lastRowLastColumn="0"/>
            </w:pPr>
            <w:r>
              <w:t>201</w:t>
            </w:r>
            <w:r w:rsidR="008012DE" w:rsidRPr="00204479">
              <w:t>9</w:t>
            </w:r>
          </w:p>
        </w:tc>
        <w:tc>
          <w:tcPr>
            <w:tcW w:w="898" w:type="dxa"/>
            <w:noWrap/>
            <w:hideMark/>
          </w:tcPr>
          <w:p w:rsidR="008012DE" w:rsidRPr="00F01ABB" w:rsidRDefault="00F34B73" w:rsidP="00DC53F7">
            <w:pPr>
              <w:cnfStyle w:val="100000000000" w:firstRow="1" w:lastRow="0" w:firstColumn="0" w:lastColumn="0" w:oddVBand="0" w:evenVBand="0" w:oddHBand="0" w:evenHBand="0" w:firstRowFirstColumn="0" w:firstRowLastColumn="0" w:lastRowFirstColumn="0" w:lastRowLastColumn="0"/>
            </w:pPr>
            <w:r>
              <w:t>20</w:t>
            </w:r>
            <w:r w:rsidR="008012DE" w:rsidRPr="00F01ABB">
              <w:t>20</w:t>
            </w:r>
          </w:p>
        </w:tc>
        <w:tc>
          <w:tcPr>
            <w:tcW w:w="898" w:type="dxa"/>
            <w:noWrap/>
            <w:hideMark/>
          </w:tcPr>
          <w:p w:rsidR="008012DE" w:rsidRPr="00F01ABB" w:rsidRDefault="008012DE" w:rsidP="00DC53F7">
            <w:pPr>
              <w:cnfStyle w:val="100000000000" w:firstRow="1" w:lastRow="0" w:firstColumn="0" w:lastColumn="0" w:oddVBand="0" w:evenVBand="0" w:oddHBand="0" w:evenHBand="0" w:firstRowFirstColumn="0" w:firstRowLastColumn="0" w:lastRowFirstColumn="0" w:lastRowLastColumn="0"/>
            </w:pPr>
            <w:r w:rsidRPr="00204479">
              <w:t>Total</w:t>
            </w:r>
          </w:p>
        </w:tc>
      </w:tr>
      <w:tr w:rsidR="008E73FE" w:rsidRPr="00204479" w:rsidTr="00DC53F7">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E73FE" w:rsidRPr="00CC6EF3" w:rsidRDefault="008E73FE" w:rsidP="00DC53F7">
            <w:r w:rsidRPr="00CC6EF3">
              <w:t>Straight-line depreciation</w:t>
            </w:r>
          </w:p>
        </w:tc>
        <w:tc>
          <w:tcPr>
            <w:tcW w:w="897"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pPr>
            <w:r w:rsidRPr="008E73FE">
              <w:t>105.7</w:t>
            </w:r>
          </w:p>
        </w:tc>
        <w:tc>
          <w:tcPr>
            <w:tcW w:w="898"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pPr>
            <w:r w:rsidRPr="008E73FE">
              <w:t>115.0</w:t>
            </w:r>
          </w:p>
        </w:tc>
        <w:tc>
          <w:tcPr>
            <w:tcW w:w="898"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pPr>
            <w:r w:rsidRPr="008E73FE">
              <w:t>126.4</w:t>
            </w:r>
          </w:p>
        </w:tc>
        <w:tc>
          <w:tcPr>
            <w:tcW w:w="897"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pPr>
            <w:r w:rsidRPr="008E73FE">
              <w:t>129.0</w:t>
            </w:r>
          </w:p>
        </w:tc>
        <w:tc>
          <w:tcPr>
            <w:tcW w:w="898"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pPr>
            <w:r w:rsidRPr="008E73FE">
              <w:t>125.8</w:t>
            </w:r>
          </w:p>
        </w:tc>
        <w:tc>
          <w:tcPr>
            <w:tcW w:w="898"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pPr>
            <w:r w:rsidRPr="008E73FE">
              <w:t>601.9</w:t>
            </w:r>
          </w:p>
        </w:tc>
      </w:tr>
      <w:tr w:rsidR="008E73FE" w:rsidRPr="00204479" w:rsidTr="00DC53F7">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E73FE" w:rsidRPr="00CC6EF3" w:rsidRDefault="008E73FE" w:rsidP="00DC53F7">
            <w:r w:rsidRPr="00CC6EF3">
              <w:rPr>
                <w:rStyle w:val="AERtextitalic"/>
              </w:rPr>
              <w:t>Less:</w:t>
            </w:r>
            <w:r w:rsidRPr="00CC6EF3">
              <w:t xml:space="preserve"> inflation indexation on opening RAB</w:t>
            </w:r>
          </w:p>
        </w:tc>
        <w:tc>
          <w:tcPr>
            <w:tcW w:w="897" w:type="dxa"/>
            <w:noWrap/>
            <w:vAlign w:val="bottom"/>
          </w:tcPr>
          <w:p w:rsidR="008E73FE" w:rsidRPr="008E73FE" w:rsidRDefault="008E73FE" w:rsidP="008E73FE">
            <w:pPr>
              <w:cnfStyle w:val="000000010000" w:firstRow="0" w:lastRow="0" w:firstColumn="0" w:lastColumn="0" w:oddVBand="0" w:evenVBand="0" w:oddHBand="0" w:evenHBand="1" w:firstRowFirstColumn="0" w:firstRowLastColumn="0" w:lastRowFirstColumn="0" w:lastRowLastColumn="0"/>
            </w:pPr>
            <w:r w:rsidRPr="008E73FE">
              <w:t>51.3</w:t>
            </w:r>
          </w:p>
        </w:tc>
        <w:tc>
          <w:tcPr>
            <w:tcW w:w="898" w:type="dxa"/>
            <w:noWrap/>
            <w:vAlign w:val="bottom"/>
          </w:tcPr>
          <w:p w:rsidR="008E73FE" w:rsidRPr="008E73FE" w:rsidRDefault="008E73FE" w:rsidP="008E73FE">
            <w:pPr>
              <w:cnfStyle w:val="000000010000" w:firstRow="0" w:lastRow="0" w:firstColumn="0" w:lastColumn="0" w:oddVBand="0" w:evenVBand="0" w:oddHBand="0" w:evenHBand="1" w:firstRowFirstColumn="0" w:firstRowLastColumn="0" w:lastRowFirstColumn="0" w:lastRowLastColumn="0"/>
            </w:pPr>
            <w:r w:rsidRPr="008E73FE">
              <w:t>54.4</w:t>
            </w:r>
          </w:p>
        </w:tc>
        <w:tc>
          <w:tcPr>
            <w:tcW w:w="898" w:type="dxa"/>
            <w:noWrap/>
            <w:vAlign w:val="bottom"/>
          </w:tcPr>
          <w:p w:rsidR="008E73FE" w:rsidRPr="008E73FE" w:rsidRDefault="008E73FE" w:rsidP="008E73FE">
            <w:pPr>
              <w:cnfStyle w:val="000000010000" w:firstRow="0" w:lastRow="0" w:firstColumn="0" w:lastColumn="0" w:oddVBand="0" w:evenVBand="0" w:oddHBand="0" w:evenHBand="1" w:firstRowFirstColumn="0" w:firstRowLastColumn="0" w:lastRowFirstColumn="0" w:lastRowLastColumn="0"/>
            </w:pPr>
            <w:r w:rsidRPr="008E73FE">
              <w:t>57.5</w:t>
            </w:r>
          </w:p>
        </w:tc>
        <w:tc>
          <w:tcPr>
            <w:tcW w:w="897" w:type="dxa"/>
            <w:noWrap/>
            <w:vAlign w:val="bottom"/>
          </w:tcPr>
          <w:p w:rsidR="008E73FE" w:rsidRPr="008E73FE" w:rsidRDefault="008E73FE" w:rsidP="008E73FE">
            <w:pPr>
              <w:cnfStyle w:val="000000010000" w:firstRow="0" w:lastRow="0" w:firstColumn="0" w:lastColumn="0" w:oddVBand="0" w:evenVBand="0" w:oddHBand="0" w:evenHBand="1" w:firstRowFirstColumn="0" w:firstRowLastColumn="0" w:lastRowFirstColumn="0" w:lastRowLastColumn="0"/>
            </w:pPr>
            <w:r w:rsidRPr="008E73FE">
              <w:t>60.3</w:t>
            </w:r>
          </w:p>
        </w:tc>
        <w:tc>
          <w:tcPr>
            <w:tcW w:w="898" w:type="dxa"/>
            <w:noWrap/>
            <w:vAlign w:val="bottom"/>
          </w:tcPr>
          <w:p w:rsidR="008E73FE" w:rsidRPr="008E73FE" w:rsidRDefault="008E73FE" w:rsidP="008E73FE">
            <w:pPr>
              <w:cnfStyle w:val="000000010000" w:firstRow="0" w:lastRow="0" w:firstColumn="0" w:lastColumn="0" w:oddVBand="0" w:evenVBand="0" w:oddHBand="0" w:evenHBand="1" w:firstRowFirstColumn="0" w:firstRowLastColumn="0" w:lastRowFirstColumn="0" w:lastRowLastColumn="0"/>
            </w:pPr>
            <w:r w:rsidRPr="008E73FE">
              <w:t>63.0</w:t>
            </w:r>
          </w:p>
        </w:tc>
        <w:tc>
          <w:tcPr>
            <w:tcW w:w="898" w:type="dxa"/>
            <w:noWrap/>
            <w:vAlign w:val="bottom"/>
          </w:tcPr>
          <w:p w:rsidR="008E73FE" w:rsidRPr="008E73FE" w:rsidRDefault="008E73FE" w:rsidP="008E73FE">
            <w:pPr>
              <w:cnfStyle w:val="000000010000" w:firstRow="0" w:lastRow="0" w:firstColumn="0" w:lastColumn="0" w:oddVBand="0" w:evenVBand="0" w:oddHBand="0" w:evenHBand="1" w:firstRowFirstColumn="0" w:firstRowLastColumn="0" w:lastRowFirstColumn="0" w:lastRowLastColumn="0"/>
            </w:pPr>
            <w:r w:rsidRPr="008E73FE">
              <w:t>286.5</w:t>
            </w:r>
          </w:p>
        </w:tc>
      </w:tr>
      <w:tr w:rsidR="008E73FE" w:rsidRPr="008E73FE" w:rsidTr="00DC53F7">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E73FE" w:rsidRPr="008E73FE" w:rsidRDefault="008E73FE" w:rsidP="00DC53F7">
            <w:pPr>
              <w:rPr>
                <w:rStyle w:val="Strong"/>
              </w:rPr>
            </w:pPr>
            <w:r w:rsidRPr="008E73FE">
              <w:rPr>
                <w:rStyle w:val="Strong"/>
              </w:rPr>
              <w:t>Regulatory depreciation</w:t>
            </w:r>
          </w:p>
        </w:tc>
        <w:tc>
          <w:tcPr>
            <w:tcW w:w="897"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rPr>
                <w:rStyle w:val="Strong"/>
              </w:rPr>
            </w:pPr>
            <w:r w:rsidRPr="008E73FE">
              <w:rPr>
                <w:rStyle w:val="Strong"/>
              </w:rPr>
              <w:t>54.4</w:t>
            </w:r>
          </w:p>
        </w:tc>
        <w:tc>
          <w:tcPr>
            <w:tcW w:w="898"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rPr>
                <w:rStyle w:val="Strong"/>
              </w:rPr>
            </w:pPr>
            <w:r w:rsidRPr="008E73FE">
              <w:rPr>
                <w:rStyle w:val="Strong"/>
              </w:rPr>
              <w:t>60.6</w:t>
            </w:r>
          </w:p>
        </w:tc>
        <w:tc>
          <w:tcPr>
            <w:tcW w:w="898"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rPr>
                <w:rStyle w:val="Strong"/>
              </w:rPr>
            </w:pPr>
            <w:r w:rsidRPr="008E73FE">
              <w:rPr>
                <w:rStyle w:val="Strong"/>
              </w:rPr>
              <w:t>68.9</w:t>
            </w:r>
          </w:p>
        </w:tc>
        <w:tc>
          <w:tcPr>
            <w:tcW w:w="897"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rPr>
                <w:rStyle w:val="Strong"/>
              </w:rPr>
            </w:pPr>
            <w:r w:rsidRPr="008E73FE">
              <w:rPr>
                <w:rStyle w:val="Strong"/>
              </w:rPr>
              <w:t>68.7</w:t>
            </w:r>
          </w:p>
        </w:tc>
        <w:tc>
          <w:tcPr>
            <w:tcW w:w="898"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rPr>
                <w:rStyle w:val="Strong"/>
              </w:rPr>
            </w:pPr>
            <w:r w:rsidRPr="008E73FE">
              <w:rPr>
                <w:rStyle w:val="Strong"/>
              </w:rPr>
              <w:t>62.8</w:t>
            </w:r>
          </w:p>
        </w:tc>
        <w:tc>
          <w:tcPr>
            <w:tcW w:w="898" w:type="dxa"/>
            <w:noWrap/>
            <w:vAlign w:val="bottom"/>
          </w:tcPr>
          <w:p w:rsidR="008E73FE" w:rsidRPr="008E73FE" w:rsidRDefault="008E73FE" w:rsidP="008E73FE">
            <w:pPr>
              <w:cnfStyle w:val="000000000000" w:firstRow="0" w:lastRow="0" w:firstColumn="0" w:lastColumn="0" w:oddVBand="0" w:evenVBand="0" w:oddHBand="0" w:evenHBand="0" w:firstRowFirstColumn="0" w:firstRowLastColumn="0" w:lastRowFirstColumn="0" w:lastRowLastColumn="0"/>
              <w:rPr>
                <w:rStyle w:val="Strong"/>
              </w:rPr>
            </w:pPr>
            <w:r w:rsidRPr="008E73FE">
              <w:rPr>
                <w:rStyle w:val="Strong"/>
              </w:rPr>
              <w:t>315.4</w:t>
            </w:r>
          </w:p>
        </w:tc>
      </w:tr>
    </w:tbl>
    <w:p w:rsidR="008012DE" w:rsidRDefault="008012DE" w:rsidP="008012DE">
      <w:pPr>
        <w:pStyle w:val="AERtablesource"/>
      </w:pPr>
      <w:r>
        <w:t xml:space="preserve">Source: </w:t>
      </w:r>
      <w:r>
        <w:tab/>
        <w:t>AER analysis.</w:t>
      </w:r>
    </w:p>
    <w:p w:rsidR="009A5113" w:rsidRDefault="00487A50" w:rsidP="009A5113">
      <w:pPr>
        <w:pStyle w:val="Heading2"/>
      </w:pPr>
      <w:bookmarkStart w:id="14" w:name="_Toc433196176"/>
      <w:r>
        <w:t>United Energy</w:t>
      </w:r>
      <w:r w:rsidR="005C0A7F">
        <w:t>'s proposal</w:t>
      </w:r>
      <w:bookmarkEnd w:id="14"/>
    </w:p>
    <w:p w:rsidR="008012DE" w:rsidRDefault="008012DE" w:rsidP="008012DE">
      <w:r w:rsidRPr="009C3A35">
        <w:t xml:space="preserve">For the </w:t>
      </w:r>
      <w:r w:rsidR="00B439E9">
        <w:t>2016–20</w:t>
      </w:r>
      <w:r w:rsidRPr="009C3A35">
        <w:t xml:space="preserve"> regulatory control period, </w:t>
      </w:r>
      <w:r w:rsidR="00B439E9">
        <w:t>United Energy</w:t>
      </w:r>
      <w:r w:rsidRPr="009C3A35">
        <w:t xml:space="preserve"> proposed a total forecast regulatory depreciation allowance of $</w:t>
      </w:r>
      <w:r w:rsidR="00AF0C66">
        <w:t>388.</w:t>
      </w:r>
      <w:r w:rsidR="00327E32">
        <w:t>2</w:t>
      </w:r>
      <w:r>
        <w:t> </w:t>
      </w:r>
      <w:r w:rsidRPr="009C3A35">
        <w:t>million ($</w:t>
      </w:r>
      <w:r>
        <w:t> </w:t>
      </w:r>
      <w:r w:rsidRPr="009C3A35">
        <w:t xml:space="preserve">nominal). To calculate the depreciation allowance, </w:t>
      </w:r>
      <w:r w:rsidR="00B439E9">
        <w:t>United Energy</w:t>
      </w:r>
      <w:r>
        <w:t xml:space="preserve"> </w:t>
      </w:r>
      <w:r w:rsidRPr="009C3A35">
        <w:t>proposed to use:</w:t>
      </w:r>
      <w:r>
        <w:rPr>
          <w:rStyle w:val="FootnoteReference"/>
        </w:rPr>
        <w:footnoteReference w:id="6"/>
      </w:r>
    </w:p>
    <w:p w:rsidR="008012DE" w:rsidRDefault="008012DE" w:rsidP="008012DE">
      <w:pPr>
        <w:pStyle w:val="AERbulletlistfirststyle"/>
      </w:pPr>
      <w:r w:rsidRPr="00997BA2">
        <w:t xml:space="preserve">the straight-line depreciation method employed in </w:t>
      </w:r>
      <w:r>
        <w:t xml:space="preserve">our </w:t>
      </w:r>
      <w:r w:rsidRPr="00997BA2">
        <w:t>post-tax revenue model (PTRM)</w:t>
      </w:r>
    </w:p>
    <w:p w:rsidR="008012DE" w:rsidRPr="00997BA2" w:rsidRDefault="008012DE" w:rsidP="008012DE">
      <w:pPr>
        <w:pStyle w:val="AERbulletlistfirststyle"/>
      </w:pPr>
      <w:r w:rsidRPr="00997BA2">
        <w:t xml:space="preserve">the closing RAB value at </w:t>
      </w:r>
      <w:r w:rsidR="008E1E09">
        <w:t>31 December 2015</w:t>
      </w:r>
      <w:r w:rsidRPr="00997BA2">
        <w:t xml:space="preserve"> derived from </w:t>
      </w:r>
      <w:r>
        <w:t xml:space="preserve">our </w:t>
      </w:r>
      <w:r w:rsidR="007475A0">
        <w:t>roll forward model (</w:t>
      </w:r>
      <w:r w:rsidRPr="00997BA2">
        <w:t>RFM</w:t>
      </w:r>
      <w:r w:rsidR="007475A0">
        <w:t>)</w:t>
      </w:r>
    </w:p>
    <w:p w:rsidR="008012DE" w:rsidRPr="00997BA2" w:rsidRDefault="008012DE" w:rsidP="008012DE">
      <w:pPr>
        <w:pStyle w:val="AERbulletlistfirststyle"/>
      </w:pPr>
      <w:r w:rsidRPr="00997BA2">
        <w:t xml:space="preserve">proposed forecast capex for the </w:t>
      </w:r>
      <w:r w:rsidR="00B439E9">
        <w:t>2016–20</w:t>
      </w:r>
      <w:r w:rsidRPr="00997BA2">
        <w:t xml:space="preserve"> regulatory control period</w:t>
      </w:r>
    </w:p>
    <w:p w:rsidR="008012DE" w:rsidRPr="00997BA2" w:rsidRDefault="00260F08" w:rsidP="008012DE">
      <w:pPr>
        <w:pStyle w:val="AERbulletlistfirststyle"/>
      </w:pPr>
      <w:r>
        <w:t>an</w:t>
      </w:r>
      <w:r w:rsidR="008012DE" w:rsidRPr="00997BA2">
        <w:t xml:space="preserve"> average </w:t>
      </w:r>
      <w:r>
        <w:t xml:space="preserve">depreciation approach to determine </w:t>
      </w:r>
      <w:r w:rsidR="008012DE" w:rsidRPr="00997BA2">
        <w:t xml:space="preserve">remaining asset lives of </w:t>
      </w:r>
      <w:r w:rsidR="008012DE">
        <w:t xml:space="preserve">existing </w:t>
      </w:r>
      <w:r w:rsidR="008012DE" w:rsidRPr="00997BA2">
        <w:t xml:space="preserve">assets at </w:t>
      </w:r>
      <w:r w:rsidR="008E1E09">
        <w:t>31 December 2015</w:t>
      </w:r>
      <w:r w:rsidR="007475A0">
        <w:rPr>
          <w:rStyle w:val="FootnoteReference"/>
        </w:rPr>
        <w:footnoteReference w:id="7"/>
      </w:r>
    </w:p>
    <w:p w:rsidR="008012DE" w:rsidRDefault="008012DE" w:rsidP="008012DE">
      <w:pPr>
        <w:pStyle w:val="AERbulletlistfirststyle"/>
      </w:pPr>
      <w:r w:rsidRPr="00997BA2">
        <w:t xml:space="preserve">standard asset lives for depreciating new assets associated with forecast capex for the </w:t>
      </w:r>
      <w:r w:rsidR="00B439E9">
        <w:t>2016–20</w:t>
      </w:r>
      <w:r w:rsidRPr="00997BA2">
        <w:t xml:space="preserve"> regulatory control period consistent with those approved </w:t>
      </w:r>
      <w:r>
        <w:t xml:space="preserve">in </w:t>
      </w:r>
      <w:r w:rsidRPr="00997BA2">
        <w:t xml:space="preserve">the </w:t>
      </w:r>
      <w:r w:rsidR="00B439E9">
        <w:t>2011–15</w:t>
      </w:r>
      <w:r w:rsidRPr="00997BA2">
        <w:t xml:space="preserve"> distribution determination</w:t>
      </w:r>
    </w:p>
    <w:p w:rsidR="00E56973" w:rsidRDefault="00E56973" w:rsidP="00E56973">
      <w:pPr>
        <w:pStyle w:val="AERbulletlistfirststyle"/>
      </w:pPr>
      <w:proofErr w:type="gramStart"/>
      <w:r>
        <w:t>a</w:t>
      </w:r>
      <w:proofErr w:type="gramEnd"/>
      <w:r>
        <w:t xml:space="preserve"> new ‘SCADA (10-year asset)’ asset class to depreciate SCADA, network control and protection system capex incurred from 1 January 2016.</w:t>
      </w:r>
    </w:p>
    <w:p w:rsidR="008012DE" w:rsidRDefault="008012DE" w:rsidP="008012DE">
      <w:r>
        <w:lastRenderedPageBreak/>
        <w:fldChar w:fldCharType="begin"/>
      </w:r>
      <w:r>
        <w:instrText xml:space="preserve"> REF _Ref410378606 \h </w:instrText>
      </w:r>
      <w:r>
        <w:fldChar w:fldCharType="separate"/>
      </w:r>
      <w:r w:rsidR="008600C5">
        <w:t xml:space="preserve">Table </w:t>
      </w:r>
      <w:r w:rsidR="008600C5">
        <w:rPr>
          <w:noProof/>
        </w:rPr>
        <w:t>5</w:t>
      </w:r>
      <w:r w:rsidR="008600C5">
        <w:t>.</w:t>
      </w:r>
      <w:r w:rsidR="008600C5">
        <w:rPr>
          <w:noProof/>
        </w:rPr>
        <w:t>2</w:t>
      </w:r>
      <w:r>
        <w:fldChar w:fldCharType="end"/>
      </w:r>
      <w:r>
        <w:t xml:space="preserve"> </w:t>
      </w:r>
      <w:r w:rsidRPr="00D26FBD">
        <w:t xml:space="preserve">sets out </w:t>
      </w:r>
      <w:r w:rsidR="00B439E9">
        <w:t>United Energy</w:t>
      </w:r>
      <w:r>
        <w:t>'s</w:t>
      </w:r>
      <w:r w:rsidRPr="00D26FBD">
        <w:t xml:space="preserve"> proposed depreciation allowance for the </w:t>
      </w:r>
      <w:r w:rsidR="00B439E9">
        <w:t>2016–20</w:t>
      </w:r>
      <w:r w:rsidRPr="00D26FBD">
        <w:t xml:space="preserve"> regulatory control </w:t>
      </w:r>
      <w:proofErr w:type="gramStart"/>
      <w:r w:rsidRPr="00D26FBD">
        <w:t>period</w:t>
      </w:r>
      <w:proofErr w:type="gramEnd"/>
      <w:r>
        <w:t>.</w:t>
      </w:r>
    </w:p>
    <w:p w:rsidR="008012DE" w:rsidRDefault="008012DE" w:rsidP="008012DE">
      <w:pPr>
        <w:pStyle w:val="Caption"/>
      </w:pPr>
      <w:bookmarkStart w:id="15" w:name="_Ref410378606"/>
      <w:proofErr w:type="gramStart"/>
      <w:r>
        <w:t xml:space="preserve">Table </w:t>
      </w:r>
      <w:r w:rsidR="00A95360">
        <w:fldChar w:fldCharType="begin"/>
      </w:r>
      <w:r w:rsidR="00A95360">
        <w:instrText xml:space="preserve"> STYLEREF 1 \s </w:instrText>
      </w:r>
      <w:r w:rsidR="00A95360">
        <w:fldChar w:fldCharType="separate"/>
      </w:r>
      <w:r w:rsidR="008600C5">
        <w:rPr>
          <w:noProof/>
        </w:rPr>
        <w:t>5</w:t>
      </w:r>
      <w:r w:rsidR="00A95360">
        <w:rPr>
          <w:noProof/>
        </w:rPr>
        <w:fldChar w:fldCharType="end"/>
      </w:r>
      <w:r w:rsidR="00DC53F7">
        <w:t>.</w:t>
      </w:r>
      <w:proofErr w:type="gramEnd"/>
      <w:r w:rsidR="00A95360">
        <w:fldChar w:fldCharType="begin"/>
      </w:r>
      <w:r w:rsidR="00A95360">
        <w:instrText xml:space="preserve"> SEQ Table \* ARABIC \s 1 </w:instrText>
      </w:r>
      <w:r w:rsidR="00A95360">
        <w:fldChar w:fldCharType="separate"/>
      </w:r>
      <w:r w:rsidR="008600C5">
        <w:rPr>
          <w:noProof/>
        </w:rPr>
        <w:t>2</w:t>
      </w:r>
      <w:r w:rsidR="00A95360">
        <w:rPr>
          <w:noProof/>
        </w:rPr>
        <w:fldChar w:fldCharType="end"/>
      </w:r>
      <w:bookmarkEnd w:id="15"/>
      <w:r>
        <w:tab/>
      </w:r>
      <w:r w:rsidR="00B439E9">
        <w:t>United Energy</w:t>
      </w:r>
      <w:r>
        <w:t xml:space="preserve">'s </w:t>
      </w:r>
      <w:r w:rsidRPr="00D26FBD">
        <w:t xml:space="preserve">proposed depreciation allowance for the </w:t>
      </w:r>
      <w:r w:rsidR="00B439E9">
        <w:t>2016–20</w:t>
      </w:r>
      <w:r w:rsidRPr="00D26FBD">
        <w:t xml:space="preserve">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8012DE" w:rsidRPr="00204479" w:rsidTr="00DC53F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012DE" w:rsidRPr="00D26FBD" w:rsidRDefault="008012DE" w:rsidP="00DC53F7">
            <w:r w:rsidRPr="00204479">
              <w:t> </w:t>
            </w:r>
          </w:p>
        </w:tc>
        <w:tc>
          <w:tcPr>
            <w:tcW w:w="897" w:type="dxa"/>
            <w:noWrap/>
            <w:hideMark/>
          </w:tcPr>
          <w:p w:rsidR="008012DE" w:rsidRPr="00D26FBD" w:rsidRDefault="008012DE" w:rsidP="00F34B73">
            <w:pPr>
              <w:cnfStyle w:val="100000000000" w:firstRow="1" w:lastRow="0" w:firstColumn="0" w:lastColumn="0" w:oddVBand="0" w:evenVBand="0" w:oddHBand="0" w:evenHBand="0" w:firstRowFirstColumn="0" w:firstRowLastColumn="0" w:lastRowFirstColumn="0" w:lastRowLastColumn="0"/>
            </w:pPr>
            <w:r w:rsidRPr="00204479">
              <w:t>2016</w:t>
            </w:r>
          </w:p>
        </w:tc>
        <w:tc>
          <w:tcPr>
            <w:tcW w:w="898" w:type="dxa"/>
            <w:noWrap/>
            <w:hideMark/>
          </w:tcPr>
          <w:p w:rsidR="008012DE" w:rsidRPr="00D26FBD" w:rsidRDefault="008012DE" w:rsidP="00F34B73">
            <w:pPr>
              <w:cnfStyle w:val="100000000000" w:firstRow="1" w:lastRow="0" w:firstColumn="0" w:lastColumn="0" w:oddVBand="0" w:evenVBand="0" w:oddHBand="0" w:evenHBand="0" w:firstRowFirstColumn="0" w:firstRowLastColumn="0" w:lastRowFirstColumn="0" w:lastRowLastColumn="0"/>
            </w:pPr>
            <w:r w:rsidRPr="00204479">
              <w:t>2017</w:t>
            </w:r>
          </w:p>
        </w:tc>
        <w:tc>
          <w:tcPr>
            <w:tcW w:w="898" w:type="dxa"/>
            <w:noWrap/>
            <w:hideMark/>
          </w:tcPr>
          <w:p w:rsidR="008012DE" w:rsidRPr="00D26FBD" w:rsidRDefault="008012DE" w:rsidP="00F34B73">
            <w:pPr>
              <w:cnfStyle w:val="100000000000" w:firstRow="1" w:lastRow="0" w:firstColumn="0" w:lastColumn="0" w:oddVBand="0" w:evenVBand="0" w:oddHBand="0" w:evenHBand="0" w:firstRowFirstColumn="0" w:firstRowLastColumn="0" w:lastRowFirstColumn="0" w:lastRowLastColumn="0"/>
            </w:pPr>
            <w:r w:rsidRPr="00204479">
              <w:t>2018</w:t>
            </w:r>
          </w:p>
        </w:tc>
        <w:tc>
          <w:tcPr>
            <w:tcW w:w="897" w:type="dxa"/>
            <w:noWrap/>
            <w:hideMark/>
          </w:tcPr>
          <w:p w:rsidR="008012DE" w:rsidRPr="00D26FBD" w:rsidRDefault="008012DE" w:rsidP="00F34B73">
            <w:pPr>
              <w:cnfStyle w:val="100000000000" w:firstRow="1" w:lastRow="0" w:firstColumn="0" w:lastColumn="0" w:oddVBand="0" w:evenVBand="0" w:oddHBand="0" w:evenHBand="0" w:firstRowFirstColumn="0" w:firstRowLastColumn="0" w:lastRowFirstColumn="0" w:lastRowLastColumn="0"/>
            </w:pPr>
            <w:r w:rsidRPr="00204479">
              <w:t>2019</w:t>
            </w:r>
          </w:p>
        </w:tc>
        <w:tc>
          <w:tcPr>
            <w:tcW w:w="898" w:type="dxa"/>
            <w:noWrap/>
            <w:hideMark/>
          </w:tcPr>
          <w:p w:rsidR="008012DE" w:rsidRPr="00D26FBD" w:rsidRDefault="008012DE" w:rsidP="00F34B73">
            <w:pPr>
              <w:cnfStyle w:val="100000000000" w:firstRow="1" w:lastRow="0" w:firstColumn="0" w:lastColumn="0" w:oddVBand="0" w:evenVBand="0" w:oddHBand="0" w:evenHBand="0" w:firstRowFirstColumn="0" w:firstRowLastColumn="0" w:lastRowFirstColumn="0" w:lastRowLastColumn="0"/>
            </w:pPr>
            <w:r>
              <w:t>2020</w:t>
            </w:r>
          </w:p>
        </w:tc>
        <w:tc>
          <w:tcPr>
            <w:tcW w:w="898" w:type="dxa"/>
            <w:noWrap/>
            <w:hideMark/>
          </w:tcPr>
          <w:p w:rsidR="008012DE" w:rsidRPr="00D26FBD" w:rsidRDefault="008012DE" w:rsidP="00DC53F7">
            <w:pPr>
              <w:cnfStyle w:val="100000000000" w:firstRow="1" w:lastRow="0" w:firstColumn="0" w:lastColumn="0" w:oddVBand="0" w:evenVBand="0" w:oddHBand="0" w:evenHBand="0" w:firstRowFirstColumn="0" w:firstRowLastColumn="0" w:lastRowFirstColumn="0" w:lastRowLastColumn="0"/>
            </w:pPr>
            <w:r w:rsidRPr="00204479">
              <w:t>Total</w:t>
            </w:r>
          </w:p>
        </w:tc>
      </w:tr>
      <w:tr w:rsidR="008012DE" w:rsidRPr="00204479" w:rsidTr="00DC53F7">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012DE" w:rsidRPr="00D26FBD" w:rsidRDefault="008012DE" w:rsidP="00DC53F7">
            <w:r w:rsidRPr="00D26FBD">
              <w:t>Straight-line depreciation</w:t>
            </w:r>
          </w:p>
        </w:tc>
        <w:tc>
          <w:tcPr>
            <w:tcW w:w="897" w:type="dxa"/>
            <w:noWrap/>
            <w:vAlign w:val="bottom"/>
          </w:tcPr>
          <w:p w:rsidR="008012DE" w:rsidRPr="00D26FBD" w:rsidRDefault="00713CED" w:rsidP="00DC53F7">
            <w:pPr>
              <w:cnfStyle w:val="000000000000" w:firstRow="0" w:lastRow="0" w:firstColumn="0" w:lastColumn="0" w:oddVBand="0" w:evenVBand="0" w:oddHBand="0" w:evenHBand="0" w:firstRowFirstColumn="0" w:firstRowLastColumn="0" w:lastRowFirstColumn="0" w:lastRowLastColumn="0"/>
            </w:pPr>
            <w:r>
              <w:t>121.4</w:t>
            </w:r>
          </w:p>
        </w:tc>
        <w:tc>
          <w:tcPr>
            <w:tcW w:w="898" w:type="dxa"/>
            <w:noWrap/>
            <w:vAlign w:val="bottom"/>
          </w:tcPr>
          <w:p w:rsidR="008012DE" w:rsidRPr="00D26FBD" w:rsidRDefault="00713CED" w:rsidP="00DC53F7">
            <w:pPr>
              <w:cnfStyle w:val="000000000000" w:firstRow="0" w:lastRow="0" w:firstColumn="0" w:lastColumn="0" w:oddVBand="0" w:evenVBand="0" w:oddHBand="0" w:evenHBand="0" w:firstRowFirstColumn="0" w:firstRowLastColumn="0" w:lastRowFirstColumn="0" w:lastRowLastColumn="0"/>
            </w:pPr>
            <w:r>
              <w:t>136.9</w:t>
            </w:r>
          </w:p>
        </w:tc>
        <w:tc>
          <w:tcPr>
            <w:tcW w:w="898" w:type="dxa"/>
            <w:noWrap/>
            <w:vAlign w:val="bottom"/>
          </w:tcPr>
          <w:p w:rsidR="008012DE" w:rsidRPr="00D26FBD" w:rsidRDefault="00713CED" w:rsidP="00DC53F7">
            <w:pPr>
              <w:cnfStyle w:val="000000000000" w:firstRow="0" w:lastRow="0" w:firstColumn="0" w:lastColumn="0" w:oddVBand="0" w:evenVBand="0" w:oddHBand="0" w:evenHBand="0" w:firstRowFirstColumn="0" w:firstRowLastColumn="0" w:lastRowFirstColumn="0" w:lastRowLastColumn="0"/>
            </w:pPr>
            <w:r>
              <w:t>148.7</w:t>
            </w:r>
          </w:p>
        </w:tc>
        <w:tc>
          <w:tcPr>
            <w:tcW w:w="897" w:type="dxa"/>
            <w:noWrap/>
            <w:vAlign w:val="bottom"/>
          </w:tcPr>
          <w:p w:rsidR="008012DE" w:rsidRPr="00D26FBD" w:rsidRDefault="00713CED" w:rsidP="00DC53F7">
            <w:pPr>
              <w:cnfStyle w:val="000000000000" w:firstRow="0" w:lastRow="0" w:firstColumn="0" w:lastColumn="0" w:oddVBand="0" w:evenVBand="0" w:oddHBand="0" w:evenHBand="0" w:firstRowFirstColumn="0" w:firstRowLastColumn="0" w:lastRowFirstColumn="0" w:lastRowLastColumn="0"/>
            </w:pPr>
            <w:r>
              <w:t>137.2</w:t>
            </w:r>
          </w:p>
        </w:tc>
        <w:tc>
          <w:tcPr>
            <w:tcW w:w="898" w:type="dxa"/>
            <w:noWrap/>
            <w:vAlign w:val="bottom"/>
          </w:tcPr>
          <w:p w:rsidR="008012DE" w:rsidRPr="00D26FBD" w:rsidRDefault="00713CED" w:rsidP="00DC53F7">
            <w:pPr>
              <w:cnfStyle w:val="000000000000" w:firstRow="0" w:lastRow="0" w:firstColumn="0" w:lastColumn="0" w:oddVBand="0" w:evenVBand="0" w:oddHBand="0" w:evenHBand="0" w:firstRowFirstColumn="0" w:firstRowLastColumn="0" w:lastRowFirstColumn="0" w:lastRowLastColumn="0"/>
            </w:pPr>
            <w:r>
              <w:t>145.8</w:t>
            </w:r>
          </w:p>
        </w:tc>
        <w:tc>
          <w:tcPr>
            <w:tcW w:w="898" w:type="dxa"/>
            <w:noWrap/>
            <w:vAlign w:val="bottom"/>
          </w:tcPr>
          <w:p w:rsidR="008012DE" w:rsidRPr="00D26FBD" w:rsidRDefault="00713CED" w:rsidP="00DC53F7">
            <w:pPr>
              <w:cnfStyle w:val="000000000000" w:firstRow="0" w:lastRow="0" w:firstColumn="0" w:lastColumn="0" w:oddVBand="0" w:evenVBand="0" w:oddHBand="0" w:evenHBand="0" w:firstRowFirstColumn="0" w:firstRowLastColumn="0" w:lastRowFirstColumn="0" w:lastRowLastColumn="0"/>
            </w:pPr>
            <w:r>
              <w:t>690.0</w:t>
            </w:r>
          </w:p>
        </w:tc>
      </w:tr>
      <w:tr w:rsidR="008012DE" w:rsidRPr="00204479" w:rsidTr="00DC53F7">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012DE" w:rsidRPr="00D26FBD" w:rsidRDefault="008012DE" w:rsidP="00DC53F7">
            <w:r w:rsidRPr="00D95C49">
              <w:rPr>
                <w:rStyle w:val="AERtextitalic"/>
              </w:rPr>
              <w:t>Less:</w:t>
            </w:r>
            <w:r w:rsidRPr="00D26FBD">
              <w:t xml:space="preserve"> inflation indexation on opening RAB</w:t>
            </w:r>
          </w:p>
        </w:tc>
        <w:tc>
          <w:tcPr>
            <w:tcW w:w="897" w:type="dxa"/>
            <w:noWrap/>
            <w:vAlign w:val="bottom"/>
          </w:tcPr>
          <w:p w:rsidR="008012DE" w:rsidRPr="00D26FBD" w:rsidRDefault="00713CED" w:rsidP="00DC53F7">
            <w:pPr>
              <w:cnfStyle w:val="000000010000" w:firstRow="0" w:lastRow="0" w:firstColumn="0" w:lastColumn="0" w:oddVBand="0" w:evenVBand="0" w:oddHBand="0" w:evenHBand="1" w:firstRowFirstColumn="0" w:firstRowLastColumn="0" w:lastRowFirstColumn="0" w:lastRowLastColumn="0"/>
            </w:pPr>
            <w:r>
              <w:t>51.7</w:t>
            </w:r>
          </w:p>
        </w:tc>
        <w:tc>
          <w:tcPr>
            <w:tcW w:w="898" w:type="dxa"/>
            <w:noWrap/>
            <w:vAlign w:val="bottom"/>
          </w:tcPr>
          <w:p w:rsidR="008012DE" w:rsidRPr="00D26FBD" w:rsidRDefault="00713CED" w:rsidP="00DC53F7">
            <w:pPr>
              <w:cnfStyle w:val="000000010000" w:firstRow="0" w:lastRow="0" w:firstColumn="0" w:lastColumn="0" w:oddVBand="0" w:evenVBand="0" w:oddHBand="0" w:evenHBand="1" w:firstRowFirstColumn="0" w:firstRowLastColumn="0" w:lastRowFirstColumn="0" w:lastRowLastColumn="0"/>
            </w:pPr>
            <w:r>
              <w:t>56.1</w:t>
            </w:r>
          </w:p>
        </w:tc>
        <w:tc>
          <w:tcPr>
            <w:tcW w:w="898" w:type="dxa"/>
            <w:noWrap/>
            <w:vAlign w:val="bottom"/>
          </w:tcPr>
          <w:p w:rsidR="008012DE" w:rsidRPr="00D26FBD" w:rsidRDefault="00713CED" w:rsidP="00DC53F7">
            <w:pPr>
              <w:cnfStyle w:val="000000010000" w:firstRow="0" w:lastRow="0" w:firstColumn="0" w:lastColumn="0" w:oddVBand="0" w:evenVBand="0" w:oddHBand="0" w:evenHBand="1" w:firstRowFirstColumn="0" w:firstRowLastColumn="0" w:lastRowFirstColumn="0" w:lastRowLastColumn="0"/>
            </w:pPr>
            <w:r>
              <w:t>60.5</w:t>
            </w:r>
          </w:p>
        </w:tc>
        <w:tc>
          <w:tcPr>
            <w:tcW w:w="897" w:type="dxa"/>
            <w:noWrap/>
            <w:vAlign w:val="bottom"/>
          </w:tcPr>
          <w:p w:rsidR="008012DE" w:rsidRPr="00D26FBD" w:rsidRDefault="00713CED" w:rsidP="00DC53F7">
            <w:pPr>
              <w:cnfStyle w:val="000000010000" w:firstRow="0" w:lastRow="0" w:firstColumn="0" w:lastColumn="0" w:oddVBand="0" w:evenVBand="0" w:oddHBand="0" w:evenHBand="1" w:firstRowFirstColumn="0" w:firstRowLastColumn="0" w:lastRowFirstColumn="0" w:lastRowLastColumn="0"/>
            </w:pPr>
            <w:r>
              <w:t>64.7</w:t>
            </w:r>
          </w:p>
        </w:tc>
        <w:tc>
          <w:tcPr>
            <w:tcW w:w="898" w:type="dxa"/>
            <w:noWrap/>
            <w:vAlign w:val="bottom"/>
          </w:tcPr>
          <w:p w:rsidR="008012DE" w:rsidRPr="00D26FBD" w:rsidRDefault="00713CED" w:rsidP="00DC53F7">
            <w:pPr>
              <w:cnfStyle w:val="000000010000" w:firstRow="0" w:lastRow="0" w:firstColumn="0" w:lastColumn="0" w:oddVBand="0" w:evenVBand="0" w:oddHBand="0" w:evenHBand="1" w:firstRowFirstColumn="0" w:firstRowLastColumn="0" w:lastRowFirstColumn="0" w:lastRowLastColumn="0"/>
            </w:pPr>
            <w:r>
              <w:t>68.8</w:t>
            </w:r>
          </w:p>
        </w:tc>
        <w:tc>
          <w:tcPr>
            <w:tcW w:w="898" w:type="dxa"/>
            <w:noWrap/>
            <w:vAlign w:val="bottom"/>
          </w:tcPr>
          <w:p w:rsidR="008012DE" w:rsidRPr="00D26FBD" w:rsidRDefault="00713CED" w:rsidP="00DC53F7">
            <w:pPr>
              <w:cnfStyle w:val="000000010000" w:firstRow="0" w:lastRow="0" w:firstColumn="0" w:lastColumn="0" w:oddVBand="0" w:evenVBand="0" w:oddHBand="0" w:evenHBand="1" w:firstRowFirstColumn="0" w:firstRowLastColumn="0" w:lastRowFirstColumn="0" w:lastRowLastColumn="0"/>
            </w:pPr>
            <w:r>
              <w:t>301.8</w:t>
            </w:r>
          </w:p>
        </w:tc>
      </w:tr>
      <w:tr w:rsidR="008012DE" w:rsidRPr="00C75625" w:rsidTr="00DC53F7">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012DE" w:rsidRPr="00D95C49" w:rsidRDefault="008012DE" w:rsidP="00DC53F7">
            <w:pPr>
              <w:rPr>
                <w:rStyle w:val="Strong"/>
              </w:rPr>
            </w:pPr>
            <w:r w:rsidRPr="00D95C49">
              <w:rPr>
                <w:rStyle w:val="Strong"/>
              </w:rPr>
              <w:t>Regulatory depreciation</w:t>
            </w:r>
          </w:p>
        </w:tc>
        <w:tc>
          <w:tcPr>
            <w:tcW w:w="897" w:type="dxa"/>
            <w:noWrap/>
            <w:vAlign w:val="bottom"/>
          </w:tcPr>
          <w:p w:rsidR="008012DE" w:rsidRPr="00D95C49" w:rsidRDefault="0069350E" w:rsidP="00327E3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69.</w:t>
            </w:r>
            <w:r w:rsidR="00327E32">
              <w:rPr>
                <w:rStyle w:val="Strong"/>
              </w:rPr>
              <w:t>6</w:t>
            </w:r>
          </w:p>
        </w:tc>
        <w:tc>
          <w:tcPr>
            <w:tcW w:w="898" w:type="dxa"/>
            <w:noWrap/>
            <w:vAlign w:val="bottom"/>
          </w:tcPr>
          <w:p w:rsidR="008012DE" w:rsidRPr="00D95C49" w:rsidRDefault="0069350E" w:rsidP="00DC53F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80.8</w:t>
            </w:r>
          </w:p>
        </w:tc>
        <w:tc>
          <w:tcPr>
            <w:tcW w:w="898" w:type="dxa"/>
            <w:noWrap/>
            <w:vAlign w:val="bottom"/>
          </w:tcPr>
          <w:p w:rsidR="008012DE" w:rsidRPr="00D95C49" w:rsidRDefault="0069350E" w:rsidP="00327E3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88.</w:t>
            </w:r>
            <w:r w:rsidR="00327E32">
              <w:rPr>
                <w:rStyle w:val="Strong"/>
              </w:rPr>
              <w:t>3</w:t>
            </w:r>
          </w:p>
        </w:tc>
        <w:tc>
          <w:tcPr>
            <w:tcW w:w="897" w:type="dxa"/>
            <w:noWrap/>
            <w:vAlign w:val="bottom"/>
          </w:tcPr>
          <w:p w:rsidR="008012DE" w:rsidRPr="00D95C49" w:rsidRDefault="0069350E" w:rsidP="00DC53F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72.5</w:t>
            </w:r>
          </w:p>
        </w:tc>
        <w:tc>
          <w:tcPr>
            <w:tcW w:w="898" w:type="dxa"/>
            <w:noWrap/>
            <w:vAlign w:val="bottom"/>
          </w:tcPr>
          <w:p w:rsidR="008012DE" w:rsidRPr="00D95C49" w:rsidRDefault="0069350E" w:rsidP="00DC53F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77.0</w:t>
            </w:r>
          </w:p>
        </w:tc>
        <w:tc>
          <w:tcPr>
            <w:tcW w:w="898" w:type="dxa"/>
            <w:noWrap/>
            <w:vAlign w:val="bottom"/>
          </w:tcPr>
          <w:p w:rsidR="008012DE" w:rsidRPr="00D95C49" w:rsidRDefault="0069350E" w:rsidP="00DC53F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388.2</w:t>
            </w:r>
          </w:p>
        </w:tc>
      </w:tr>
    </w:tbl>
    <w:p w:rsidR="008012DE" w:rsidRDefault="008012DE" w:rsidP="008012DE">
      <w:pPr>
        <w:pStyle w:val="AERtablesource"/>
      </w:pPr>
      <w:r>
        <w:t>Source:</w:t>
      </w:r>
      <w:r>
        <w:tab/>
      </w:r>
      <w:r w:rsidR="00E56973">
        <w:t xml:space="preserve">United Energy, </w:t>
      </w:r>
      <w:r w:rsidR="00E56973" w:rsidRPr="00445029">
        <w:rPr>
          <w:rStyle w:val="AERtextitalic"/>
        </w:rPr>
        <w:t>Regulatory proposal</w:t>
      </w:r>
      <w:r w:rsidR="00E56973" w:rsidRPr="00445029">
        <w:t xml:space="preserve">, </w:t>
      </w:r>
      <w:r w:rsidR="00E56973">
        <w:t>April 2015</w:t>
      </w:r>
      <w:r w:rsidR="00E56973" w:rsidRPr="00445029">
        <w:t>,</w:t>
      </w:r>
      <w:r w:rsidR="00E56973">
        <w:t xml:space="preserve"> Document ID: REG3.2 (PTRM)</w:t>
      </w:r>
      <w:r w:rsidR="00A05F00">
        <w:t>.</w:t>
      </w:r>
    </w:p>
    <w:p w:rsidR="009A5113" w:rsidRDefault="009A5113" w:rsidP="009A5113">
      <w:pPr>
        <w:pStyle w:val="Heading2"/>
      </w:pPr>
      <w:bookmarkStart w:id="16" w:name="_Toc408404322"/>
      <w:bookmarkStart w:id="17" w:name="_Toc433196177"/>
      <w:r w:rsidRPr="0074565D">
        <w:t>AER’s assessment approach</w:t>
      </w:r>
      <w:bookmarkEnd w:id="16"/>
      <w:bookmarkEnd w:id="17"/>
    </w:p>
    <w:p w:rsidR="008012DE" w:rsidRPr="00322A9B" w:rsidRDefault="008012DE" w:rsidP="008012DE">
      <w:pPr>
        <w:numPr>
          <w:ilvl w:val="0"/>
          <w:numId w:val="24"/>
        </w:numPr>
      </w:pPr>
      <w:r w:rsidRPr="00322A9B">
        <w:t xml:space="preserve">We determine the regulatory depreciation allowance </w:t>
      </w:r>
      <w:r w:rsidR="002E7523">
        <w:t xml:space="preserve">using the PTRM </w:t>
      </w:r>
      <w:r w:rsidRPr="00322A9B">
        <w:t>as a part of a service provider's annual revenue requirement.</w:t>
      </w:r>
      <w:r w:rsidRPr="00322A9B">
        <w:rPr>
          <w:rStyle w:val="FootnoteReference"/>
        </w:rPr>
        <w:footnoteReference w:id="8"/>
      </w:r>
      <w:r w:rsidRPr="00322A9B">
        <w:t xml:space="preserve"> The calculation of depreciation in each year is governed by the value of assets included in the RAB at the beginning of the regulatory year</w:t>
      </w:r>
      <w:r>
        <w:t>,</w:t>
      </w:r>
      <w:r w:rsidRPr="00322A9B">
        <w:t xml:space="preserve"> and </w:t>
      </w:r>
      <w:r>
        <w:t xml:space="preserve">by </w:t>
      </w:r>
      <w:r w:rsidRPr="00322A9B">
        <w:t>the depreciation schedules.</w:t>
      </w:r>
      <w:r w:rsidRPr="00322A9B">
        <w:rPr>
          <w:rStyle w:val="FootnoteReference"/>
        </w:rPr>
        <w:footnoteReference w:id="9"/>
      </w:r>
      <w:r w:rsidRPr="00322A9B">
        <w:t xml:space="preserve"> </w:t>
      </w:r>
    </w:p>
    <w:p w:rsidR="008012DE" w:rsidRPr="00322A9B" w:rsidRDefault="008012DE" w:rsidP="008012DE">
      <w:pPr>
        <w:numPr>
          <w:ilvl w:val="0"/>
          <w:numId w:val="24"/>
        </w:numPr>
      </w:pPr>
      <w:r w:rsidRPr="00322A9B">
        <w:t>Our standard approach to calculating depreciation is to employ the straight-line method set out in the PTRM. We consider the straight-line method satisfies the NER requirements in clause 6.5.5(b)</w:t>
      </w:r>
      <w:r w:rsidR="002E7523">
        <w:t xml:space="preserve"> as i</w:t>
      </w:r>
      <w:r w:rsidRPr="00322A9B">
        <w:t>t provides an expenditure profile that reflects the nature of assets over their economic life.</w:t>
      </w:r>
      <w:r w:rsidRPr="00322A9B">
        <w:rPr>
          <w:rStyle w:val="FootnoteReference"/>
        </w:rPr>
        <w:footnoteReference w:id="10"/>
      </w:r>
      <w:r w:rsidRPr="00322A9B">
        <w:t xml:space="preserve"> Regulatory practice has been to assign a standard asset life to each category of assets that represents the economic or technical life of the asset or asset class. We must consider whether the proposed depreciation schedules conform to the following </w:t>
      </w:r>
      <w:r>
        <w:t xml:space="preserve">key </w:t>
      </w:r>
      <w:r w:rsidRPr="00322A9B">
        <w:t>requirements:</w:t>
      </w:r>
    </w:p>
    <w:p w:rsidR="008012DE" w:rsidRPr="00322A9B" w:rsidRDefault="008012DE" w:rsidP="008012DE">
      <w:pPr>
        <w:pStyle w:val="AERbulletlistfirststyle"/>
      </w:pPr>
      <w:r w:rsidRPr="00322A9B">
        <w:t xml:space="preserve">the schedules depreciate using a profile that reflects the nature of the assets </w:t>
      </w:r>
      <w:r>
        <w:t>of</w:t>
      </w:r>
      <w:r w:rsidRPr="00322A9B">
        <w:t xml:space="preserve"> category of assets over the economic life of that asset or category of assets</w:t>
      </w:r>
      <w:r w:rsidRPr="00322A9B">
        <w:rPr>
          <w:rStyle w:val="FootnoteReference"/>
        </w:rPr>
        <w:footnoteReference w:id="11"/>
      </w:r>
    </w:p>
    <w:p w:rsidR="008012DE" w:rsidRPr="00322A9B" w:rsidRDefault="008012DE" w:rsidP="008012DE">
      <w:pPr>
        <w:pStyle w:val="AERbulletlistfirststyle"/>
      </w:pPr>
      <w:proofErr w:type="gramStart"/>
      <w:r w:rsidRPr="00322A9B">
        <w:t>the</w:t>
      </w:r>
      <w:proofErr w:type="gramEnd"/>
      <w:r w:rsidRPr="00322A9B">
        <w:t xml:space="preserve"> sum of the real value of the depreciation that is attributable to any asset o</w:t>
      </w:r>
      <w:r>
        <w:t>r</w:t>
      </w:r>
      <w:r w:rsidRPr="00322A9B">
        <w:t xml:space="preserve"> category of assets must be equivalent to the value at which that asset of category of assets was first included in the RAB for the relevant distribution system.</w:t>
      </w:r>
      <w:r w:rsidRPr="00322A9B">
        <w:rPr>
          <w:rStyle w:val="FootnoteReference"/>
        </w:rPr>
        <w:footnoteReference w:id="12"/>
      </w:r>
    </w:p>
    <w:p w:rsidR="008012DE" w:rsidRPr="00322A9B" w:rsidRDefault="008012DE" w:rsidP="008012DE">
      <w:pPr>
        <w:rPr>
          <w:rStyle w:val="AERbody"/>
        </w:rPr>
      </w:pPr>
      <w:r w:rsidRPr="00322A9B">
        <w:rPr>
          <w:rStyle w:val="AERbody"/>
        </w:rPr>
        <w:t>If a service provider‘s building block proposal does not comply with the above requirements, then we must determine the depreciation schedules for the purpose of calculating the depreciation for each regulatory year.</w:t>
      </w:r>
      <w:r w:rsidRPr="00322A9B">
        <w:rPr>
          <w:rStyle w:val="FootnoteReference"/>
        </w:rPr>
        <w:footnoteReference w:id="13"/>
      </w:r>
    </w:p>
    <w:p w:rsidR="008012DE" w:rsidRPr="00322A9B" w:rsidRDefault="008012DE" w:rsidP="008012DE">
      <w:pPr>
        <w:rPr>
          <w:rStyle w:val="AERbody"/>
        </w:rPr>
      </w:pPr>
      <w:r w:rsidRPr="00322A9B">
        <w:rPr>
          <w:rStyle w:val="AERbody"/>
        </w:rPr>
        <w:lastRenderedPageBreak/>
        <w:t xml:space="preserve">The regulatory depreciation allowance is an output of the PTRM. </w:t>
      </w:r>
      <w:r>
        <w:rPr>
          <w:rStyle w:val="AERbody"/>
        </w:rPr>
        <w:t xml:space="preserve">We </w:t>
      </w:r>
      <w:r w:rsidRPr="00322A9B">
        <w:rPr>
          <w:rStyle w:val="AERbody"/>
        </w:rPr>
        <w:t xml:space="preserve">therefore assessed the service provider's proposed regulatory depreciation allowance by analysing the proposed inputs to the PTRM for calculating </w:t>
      </w:r>
      <w:r>
        <w:rPr>
          <w:rStyle w:val="AERbody"/>
        </w:rPr>
        <w:t xml:space="preserve">that </w:t>
      </w:r>
      <w:r w:rsidRPr="00322A9B">
        <w:rPr>
          <w:rStyle w:val="AERbody"/>
        </w:rPr>
        <w:t>allowance. The</w:t>
      </w:r>
      <w:r>
        <w:rPr>
          <w:rStyle w:val="AERbody"/>
        </w:rPr>
        <w:t xml:space="preserve"> key</w:t>
      </w:r>
      <w:r w:rsidRPr="00322A9B">
        <w:rPr>
          <w:rStyle w:val="AERbody"/>
        </w:rPr>
        <w:t xml:space="preserve"> inputs include:</w:t>
      </w:r>
    </w:p>
    <w:p w:rsidR="008012DE" w:rsidRPr="00322A9B" w:rsidRDefault="008012DE" w:rsidP="008012DE">
      <w:pPr>
        <w:pStyle w:val="AERbulletlistfirststyle"/>
      </w:pPr>
      <w:r w:rsidRPr="00322A9B">
        <w:t xml:space="preserve">the opening RAB at </w:t>
      </w:r>
      <w:r w:rsidR="00B439E9">
        <w:t>1 January 2016</w:t>
      </w:r>
    </w:p>
    <w:p w:rsidR="008012DE" w:rsidRPr="00322A9B" w:rsidRDefault="008012DE" w:rsidP="008012DE">
      <w:pPr>
        <w:pStyle w:val="AERbulletlistfirststyle"/>
      </w:pPr>
      <w:r w:rsidRPr="00322A9B">
        <w:t xml:space="preserve">the forecast net capex in the </w:t>
      </w:r>
      <w:r w:rsidR="00B439E9">
        <w:t>2016–20</w:t>
      </w:r>
      <w:r w:rsidRPr="00322A9B">
        <w:t xml:space="preserve"> regulatory control period</w:t>
      </w:r>
    </w:p>
    <w:p w:rsidR="008012DE" w:rsidRPr="00322A9B" w:rsidRDefault="008012DE" w:rsidP="008012DE">
      <w:pPr>
        <w:pStyle w:val="AERbulletlistfirststyle"/>
      </w:pPr>
      <w:r w:rsidRPr="00322A9B">
        <w:t>the forecast inflation rate for th</w:t>
      </w:r>
      <w:r>
        <w:t xml:space="preserve">at </w:t>
      </w:r>
      <w:r w:rsidRPr="00322A9B">
        <w:t>period</w:t>
      </w:r>
    </w:p>
    <w:p w:rsidR="008012DE" w:rsidRPr="00322A9B" w:rsidRDefault="008012DE" w:rsidP="008012DE">
      <w:pPr>
        <w:pStyle w:val="AERbulletlistfirststyle"/>
      </w:pPr>
      <w:r w:rsidRPr="00322A9B">
        <w:t xml:space="preserve">the standard asset life for each asset class—used for calculating the depreciation of new assets associated with forecast net capex in the </w:t>
      </w:r>
      <w:r>
        <w:t>regulatory control</w:t>
      </w:r>
      <w:r w:rsidRPr="00322A9B">
        <w:t xml:space="preserve"> period</w:t>
      </w:r>
    </w:p>
    <w:p w:rsidR="008012DE" w:rsidRPr="00322A9B" w:rsidRDefault="008012DE" w:rsidP="008012DE">
      <w:pPr>
        <w:pStyle w:val="AERbulletlistfirststyle"/>
      </w:pPr>
      <w:r w:rsidRPr="00322A9B">
        <w:t xml:space="preserve">the remaining asset life for each asset class—used for calculating the depreciation of existing assets </w:t>
      </w:r>
      <w:r>
        <w:t xml:space="preserve">included in </w:t>
      </w:r>
      <w:r w:rsidRPr="00322A9B">
        <w:t xml:space="preserve">the opening RAB at </w:t>
      </w:r>
      <w:r w:rsidR="00B439E9">
        <w:t>1 January 2016</w:t>
      </w:r>
      <w:r w:rsidRPr="00322A9B">
        <w:t>.</w:t>
      </w:r>
    </w:p>
    <w:p w:rsidR="008012DE" w:rsidRPr="00322A9B" w:rsidRDefault="008012DE" w:rsidP="008012DE">
      <w:pPr>
        <w:numPr>
          <w:ilvl w:val="0"/>
          <w:numId w:val="24"/>
        </w:numPr>
      </w:pPr>
      <w:r w:rsidRPr="00322A9B">
        <w:t xml:space="preserve">Our preliminary decision on a service provider's regulatory depreciation allowance reflects our determinations on the forecast capex, forecast inflation and opening RAB at </w:t>
      </w:r>
      <w:r w:rsidR="00B439E9">
        <w:t>1 January 2016</w:t>
      </w:r>
      <w:r w:rsidRPr="00322A9B">
        <w:t xml:space="preserve"> (the first three </w:t>
      </w:r>
      <w:r>
        <w:t xml:space="preserve">building block components </w:t>
      </w:r>
      <w:r w:rsidRPr="00322A9B">
        <w:t>in the above list). Our determinations on these components of the service provider's proposal are discussed in attachments 6, 3 and 2 respectively.</w:t>
      </w:r>
    </w:p>
    <w:p w:rsidR="008012DE" w:rsidRPr="00322A9B" w:rsidRDefault="008012DE" w:rsidP="008012DE">
      <w:pPr>
        <w:numPr>
          <w:ilvl w:val="0"/>
          <w:numId w:val="24"/>
        </w:numPr>
      </w:pPr>
      <w:r>
        <w:t>In this attachment, we assess</w:t>
      </w:r>
      <w:r w:rsidRPr="00322A9B">
        <w:t xml:space="preserve"> </w:t>
      </w:r>
      <w:r w:rsidR="00B439E9">
        <w:t>United Energy</w:t>
      </w:r>
      <w:r>
        <w:t>'s</w:t>
      </w:r>
      <w:r w:rsidRPr="00322A9B">
        <w:t xml:space="preserve"> proposed standard asset lives against:</w:t>
      </w:r>
    </w:p>
    <w:p w:rsidR="008012DE" w:rsidRPr="00322A9B" w:rsidRDefault="008012DE" w:rsidP="008012DE">
      <w:pPr>
        <w:pStyle w:val="AERbulletlistfirststyle"/>
      </w:pPr>
      <w:r w:rsidRPr="00322A9B">
        <w:t xml:space="preserve">the approved standard asset lives in the distribution determination for the </w:t>
      </w:r>
      <w:r w:rsidR="00B439E9">
        <w:t>2011–15</w:t>
      </w:r>
      <w:r w:rsidRPr="00322A9B">
        <w:t xml:space="preserve"> regulatory control period</w:t>
      </w:r>
    </w:p>
    <w:p w:rsidR="008012DE" w:rsidRPr="00322A9B" w:rsidRDefault="008012DE" w:rsidP="008012DE">
      <w:pPr>
        <w:pStyle w:val="AERbulletlistfirststyle"/>
      </w:pPr>
      <w:proofErr w:type="gramStart"/>
      <w:r w:rsidRPr="00322A9B">
        <w:t>the</w:t>
      </w:r>
      <w:proofErr w:type="gramEnd"/>
      <w:r w:rsidRPr="00322A9B">
        <w:t xml:space="preserve"> standard asset lives of comparable asset classes approved in our recent distribution determinations for other service providers.</w:t>
      </w:r>
    </w:p>
    <w:p w:rsidR="008012DE" w:rsidRDefault="008012DE" w:rsidP="008012DE">
      <w:pPr>
        <w:rPr>
          <w:rStyle w:val="AERbody"/>
        </w:rPr>
      </w:pPr>
      <w:r w:rsidRPr="00322A9B">
        <w:rPr>
          <w:rStyle w:val="AERbody"/>
        </w:rPr>
        <w:t xml:space="preserve">We </w:t>
      </w:r>
      <w:r>
        <w:rPr>
          <w:rStyle w:val="AERbody"/>
        </w:rPr>
        <w:t xml:space="preserve">use </w:t>
      </w:r>
      <w:r w:rsidRPr="00322A9B">
        <w:rPr>
          <w:rStyle w:val="AERbody"/>
        </w:rPr>
        <w:t xml:space="preserve">our standard approach </w:t>
      </w:r>
      <w:r>
        <w:rPr>
          <w:rStyle w:val="AERbody"/>
        </w:rPr>
        <w:t xml:space="preserve">to </w:t>
      </w:r>
      <w:r w:rsidRPr="00322A9B">
        <w:rPr>
          <w:rStyle w:val="AERbody"/>
        </w:rPr>
        <w:t xml:space="preserve">depreciating a service provider's existing assets in the PTRM by using the remaining asset lives at the start of a regulatory control period. Our preferred method to establish a remaining asset life for each asset class is the weighted average </w:t>
      </w:r>
      <w:r w:rsidR="00B83022">
        <w:rPr>
          <w:rStyle w:val="AERbody"/>
        </w:rPr>
        <w:t xml:space="preserve">remaining life </w:t>
      </w:r>
      <w:r w:rsidRPr="00322A9B">
        <w:rPr>
          <w:rStyle w:val="AERbody"/>
        </w:rPr>
        <w:t xml:space="preserve">method. This method rolls forward the remaining asset life for an asset class from the beginning of the </w:t>
      </w:r>
      <w:r w:rsidR="00B439E9">
        <w:rPr>
          <w:rStyle w:val="AERbody"/>
        </w:rPr>
        <w:t>2011–15</w:t>
      </w:r>
      <w:r w:rsidRPr="00322A9B">
        <w:rPr>
          <w:rStyle w:val="AERbody"/>
        </w:rPr>
        <w:t xml:space="preserve"> regulatory control </w:t>
      </w:r>
      <w:proofErr w:type="gramStart"/>
      <w:r w:rsidRPr="00322A9B">
        <w:rPr>
          <w:rStyle w:val="AERbody"/>
        </w:rPr>
        <w:t>period</w:t>
      </w:r>
      <w:proofErr w:type="gramEnd"/>
      <w:r w:rsidRPr="00322A9B">
        <w:rPr>
          <w:rStyle w:val="AERbody"/>
        </w:rPr>
        <w:t xml:space="preserve">. We consider this method better reflects the mix of assets within </w:t>
      </w:r>
      <w:r>
        <w:rPr>
          <w:rStyle w:val="AERbody"/>
        </w:rPr>
        <w:t xml:space="preserve">an </w:t>
      </w:r>
      <w:r w:rsidRPr="00322A9B">
        <w:rPr>
          <w:rStyle w:val="AERbody"/>
        </w:rPr>
        <w:t xml:space="preserve">asset class, when they were acquired over that period (or if they were existing assets), and the remaining value of those assets (used as a weight) at the end of the period. </w:t>
      </w:r>
      <w:r w:rsidR="00A05F00">
        <w:rPr>
          <w:rStyle w:val="AERbody"/>
        </w:rPr>
        <w:t>In this attachment w</w:t>
      </w:r>
      <w:r w:rsidR="00A05F00" w:rsidRPr="003119AB">
        <w:rPr>
          <w:rStyle w:val="AERbody"/>
        </w:rPr>
        <w:t xml:space="preserve">e assess the outcomes </w:t>
      </w:r>
      <w:r w:rsidR="00A05F00">
        <w:rPr>
          <w:rStyle w:val="AERbody"/>
        </w:rPr>
        <w:t xml:space="preserve">of </w:t>
      </w:r>
      <w:r w:rsidR="00A05F00" w:rsidRPr="003119AB">
        <w:rPr>
          <w:rStyle w:val="AERbody"/>
        </w:rPr>
        <w:t xml:space="preserve">the average depreciation approach proposed by </w:t>
      </w:r>
      <w:r w:rsidR="00A05F00">
        <w:rPr>
          <w:rStyle w:val="AERbody"/>
        </w:rPr>
        <w:t xml:space="preserve">United Energy </w:t>
      </w:r>
      <w:r w:rsidR="00A05F00" w:rsidRPr="003119AB">
        <w:rPr>
          <w:rStyle w:val="AERbody"/>
        </w:rPr>
        <w:t xml:space="preserve">against the outcomes of </w:t>
      </w:r>
      <w:r w:rsidR="00A05F00">
        <w:rPr>
          <w:rStyle w:val="AERbody"/>
        </w:rPr>
        <w:t>our</w:t>
      </w:r>
      <w:r w:rsidR="00A05F00" w:rsidRPr="003119AB">
        <w:rPr>
          <w:rStyle w:val="AERbody"/>
        </w:rPr>
        <w:t xml:space="preserve"> preferred method.</w:t>
      </w:r>
    </w:p>
    <w:p w:rsidR="005C0A7F" w:rsidRDefault="005C0A7F" w:rsidP="005C0A7F">
      <w:pPr>
        <w:pStyle w:val="Heading3"/>
      </w:pPr>
      <w:bookmarkStart w:id="18" w:name="_Toc433196178"/>
      <w:r>
        <w:t>Interrelationships</w:t>
      </w:r>
      <w:bookmarkEnd w:id="18"/>
    </w:p>
    <w:p w:rsidR="008012DE" w:rsidRPr="00322A9B" w:rsidRDefault="008012DE" w:rsidP="008012DE">
      <w:pPr>
        <w:numPr>
          <w:ilvl w:val="0"/>
          <w:numId w:val="23"/>
        </w:numPr>
      </w:pPr>
      <w:r w:rsidRPr="00322A9B">
        <w:t>The regulatory depreciation allowance is a building block component of the annual revenue requirement.</w:t>
      </w:r>
      <w:r w:rsidRPr="00322A9B">
        <w:rPr>
          <w:rStyle w:val="FootnoteReference"/>
        </w:rPr>
        <w:footnoteReference w:id="14"/>
      </w:r>
      <w:r w:rsidRPr="00322A9B">
        <w:t xml:space="preserve"> Higher (or quicker) depreciation leads to higher revenues over the regulatory control period. It also causes the RAB to reduce more quickly (assuming </w:t>
      </w:r>
      <w:r w:rsidRPr="00322A9B">
        <w:lastRenderedPageBreak/>
        <w:t xml:space="preserve">no further capex). This </w:t>
      </w:r>
      <w:r>
        <w:t xml:space="preserve">outcome </w:t>
      </w:r>
      <w:r w:rsidRPr="00322A9B">
        <w:t xml:space="preserve">reduces the return on capital allowance, although this impact is usually secondary to the increased depreciation allowance. </w:t>
      </w:r>
    </w:p>
    <w:p w:rsidR="008012DE" w:rsidRPr="00322A9B" w:rsidRDefault="008012DE" w:rsidP="008012DE">
      <w:pPr>
        <w:numPr>
          <w:ilvl w:val="0"/>
          <w:numId w:val="23"/>
        </w:numPr>
      </w:pPr>
      <w:r w:rsidRPr="00322A9B">
        <w:t xml:space="preserve">Ultimately, however, a service provider can </w:t>
      </w:r>
      <w:r w:rsidR="002E7523">
        <w:t xml:space="preserve">only </w:t>
      </w:r>
      <w:r w:rsidRPr="00322A9B">
        <w:t xml:space="preserve">recover the capex </w:t>
      </w:r>
      <w:r>
        <w:t xml:space="preserve">that </w:t>
      </w:r>
      <w:r w:rsidRPr="00322A9B">
        <w:t>it incurred on assets</w:t>
      </w:r>
      <w:r w:rsidR="002E7523">
        <w:t xml:space="preserve"> once</w:t>
      </w:r>
      <w:r w:rsidRPr="00322A9B">
        <w:t>. The depreciation allowance reflects how quickly the RAB is being recovered</w:t>
      </w:r>
      <w:r>
        <w:t>,</w:t>
      </w:r>
      <w:r w:rsidRPr="00322A9B">
        <w:t xml:space="preserve"> and </w:t>
      </w:r>
      <w:r>
        <w:t xml:space="preserve">it </w:t>
      </w:r>
      <w:r w:rsidRPr="00322A9B">
        <w:t xml:space="preserve">is based on the remaining and standard asset lives used in the depreciation calculation. </w:t>
      </w:r>
      <w:r>
        <w:t xml:space="preserve">It also </w:t>
      </w:r>
      <w:r w:rsidRPr="00322A9B">
        <w:t xml:space="preserve">depends on the level of the opening RAB and the forecast capex. Any increase in these factors also increases the depreciation allowance. </w:t>
      </w:r>
    </w:p>
    <w:p w:rsidR="008012DE" w:rsidRPr="00322A9B" w:rsidRDefault="008012DE" w:rsidP="008012DE">
      <w:pPr>
        <w:numPr>
          <w:ilvl w:val="0"/>
          <w:numId w:val="23"/>
        </w:numPr>
      </w:pPr>
      <w:r w:rsidRPr="00322A9B">
        <w:t xml:space="preserve">To prevent double counting of inflation through the WACC and </w:t>
      </w:r>
      <w:r>
        <w:t xml:space="preserve">the </w:t>
      </w:r>
      <w:r w:rsidRPr="00322A9B">
        <w:t>RAB, the regulatory depreciation allowance also has an offsetting reduction for indexation of the RAB.</w:t>
      </w:r>
      <w:r w:rsidRPr="00322A9B">
        <w:rPr>
          <w:rStyle w:val="FootnoteReference"/>
        </w:rPr>
        <w:footnoteReference w:id="15"/>
      </w:r>
      <w:r w:rsidRPr="00322A9B">
        <w:t xml:space="preserve"> Factors that affect forecast inflation and/or the size of the RAB will affect the size of this indexation adjustment.</w:t>
      </w:r>
      <w:r>
        <w:t xml:space="preserve"> </w:t>
      </w:r>
    </w:p>
    <w:p w:rsidR="008012DE" w:rsidRPr="008012DE" w:rsidRDefault="008012DE" w:rsidP="008012DE">
      <w:r w:rsidRPr="00322A9B">
        <w:t>Figure</w:t>
      </w:r>
      <w:r>
        <w:t xml:space="preserve"> 2.1 </w:t>
      </w:r>
      <w:r w:rsidRPr="00322A9B">
        <w:t xml:space="preserve">(in attachment 2) shows the relative size of the inflation and straight-line depreciation and their impact on the RAB. A </w:t>
      </w:r>
      <w:r>
        <w:t>10</w:t>
      </w:r>
      <w:r w:rsidRPr="00322A9B">
        <w:t xml:space="preserve"> per cent increase in the straight-line depreciation causes revenues to increase by </w:t>
      </w:r>
      <w:r w:rsidRPr="00CC6EF3">
        <w:t xml:space="preserve">about </w:t>
      </w:r>
      <w:r w:rsidR="00F216AC">
        <w:t>3.5</w:t>
      </w:r>
      <w:r w:rsidRPr="00CC6EF3">
        <w:t xml:space="preserve"> per</w:t>
      </w:r>
      <w:r w:rsidRPr="00322A9B">
        <w:t xml:space="preserve"> cent. </w:t>
      </w:r>
    </w:p>
    <w:p w:rsidR="003A7B22" w:rsidRDefault="009A5113" w:rsidP="009A5113">
      <w:pPr>
        <w:pStyle w:val="Heading2"/>
      </w:pPr>
      <w:bookmarkStart w:id="19" w:name="_Toc408404324"/>
      <w:bookmarkStart w:id="20" w:name="_Toc433196179"/>
      <w:r w:rsidRPr="0074565D">
        <w:t xml:space="preserve">Reasons for </w:t>
      </w:r>
      <w:r w:rsidR="008C37AB">
        <w:t>preliminary</w:t>
      </w:r>
      <w:r w:rsidR="00651CB2" w:rsidRPr="0074565D">
        <w:t xml:space="preserve"> </w:t>
      </w:r>
      <w:r w:rsidRPr="0074565D">
        <w:t>decision</w:t>
      </w:r>
      <w:bookmarkEnd w:id="19"/>
      <w:bookmarkEnd w:id="20"/>
      <w:r w:rsidRPr="0074565D">
        <w:t xml:space="preserve"> </w:t>
      </w:r>
    </w:p>
    <w:p w:rsidR="005C74E3" w:rsidRDefault="005C74E3" w:rsidP="00D35F38">
      <w:r>
        <w:t xml:space="preserve">We accept United Energy's proposed straight-line depreciation method for calculating the regulatory depreciation allowance as </w:t>
      </w:r>
      <w:r w:rsidRPr="00D35F38">
        <w:t>set</w:t>
      </w:r>
      <w:r>
        <w:t xml:space="preserve"> out in the PTRM</w:t>
      </w:r>
      <w:r w:rsidR="00EC49C6">
        <w:t>. We also accept</w:t>
      </w:r>
      <w:r>
        <w:t xml:space="preserve"> the proposed standard asset lives</w:t>
      </w:r>
      <w:r w:rsidR="00EC49C6">
        <w:t>, with the exception for the ‘Equity raising cost’ asset class</w:t>
      </w:r>
      <w:r>
        <w:t>. However, we do not accept the proposed average depreciation method used to calculate the remaining asset lives at 1 January 2016.</w:t>
      </w:r>
    </w:p>
    <w:p w:rsidR="00D4731E" w:rsidRDefault="005C74E3" w:rsidP="00D35F38">
      <w:r>
        <w:t>Overall, we reduced United Energy's proposed forecast regulatory depreciation allowance by $</w:t>
      </w:r>
      <w:r w:rsidR="008E73FE">
        <w:t>72.7</w:t>
      </w:r>
      <w:r>
        <w:t xml:space="preserve"> million (or </w:t>
      </w:r>
      <w:r w:rsidR="00DB50B7">
        <w:t>18.</w:t>
      </w:r>
      <w:r w:rsidR="008E73FE">
        <w:t>7</w:t>
      </w:r>
      <w:r>
        <w:t> per cent) to $</w:t>
      </w:r>
      <w:r w:rsidR="00DB50B7">
        <w:t>315.4</w:t>
      </w:r>
      <w:r>
        <w:t> million</w:t>
      </w:r>
      <w:r w:rsidR="00D35F38">
        <w:t xml:space="preserve"> ($ nominal)</w:t>
      </w:r>
      <w:r>
        <w:t xml:space="preserve">. This amendment also reflects our </w:t>
      </w:r>
      <w:r w:rsidRPr="00D35F38">
        <w:t>determination</w:t>
      </w:r>
      <w:r w:rsidR="00F51227">
        <w:t>s</w:t>
      </w:r>
      <w:r>
        <w:t xml:space="preserve"> </w:t>
      </w:r>
      <w:r w:rsidR="00F51227">
        <w:t>regarding</w:t>
      </w:r>
      <w:r>
        <w:t xml:space="preserve"> other components of United Energy's regulatory proposal—for example, the forecast capex (attachment 6), the forecast inflation rate </w:t>
      </w:r>
      <w:r w:rsidRPr="005C74E3">
        <w:t xml:space="preserve">(attachment 3) and the opening RAB as at 1 </w:t>
      </w:r>
      <w:r>
        <w:t>January</w:t>
      </w:r>
      <w:r w:rsidRPr="005C74E3">
        <w:t xml:space="preserve"> 201</w:t>
      </w:r>
      <w:r>
        <w:t>6</w:t>
      </w:r>
      <w:r w:rsidRPr="005C74E3">
        <w:t xml:space="preserve"> (attachment 2)—that affect the forecast regulatory depreciation allowance.</w:t>
      </w:r>
    </w:p>
    <w:p w:rsidR="005C74E3" w:rsidRDefault="005C74E3" w:rsidP="005C74E3">
      <w:pPr>
        <w:pStyle w:val="Heading3"/>
      </w:pPr>
      <w:bookmarkStart w:id="21" w:name="_Ref433195972"/>
      <w:bookmarkStart w:id="22" w:name="_Ref433195977"/>
      <w:bookmarkStart w:id="23" w:name="_Ref433195986"/>
      <w:bookmarkStart w:id="24" w:name="_Toc433196180"/>
      <w:r>
        <w:t>Standard asset lives</w:t>
      </w:r>
      <w:bookmarkEnd w:id="21"/>
      <w:bookmarkEnd w:id="22"/>
      <w:bookmarkEnd w:id="23"/>
      <w:bookmarkEnd w:id="24"/>
    </w:p>
    <w:p w:rsidR="005C74E3" w:rsidRDefault="005C74E3" w:rsidP="00D35F38">
      <w:r>
        <w:t>We accept United Energy's proposed standard asset lives for its existing asset classes</w:t>
      </w:r>
      <w:r w:rsidR="00C9197A">
        <w:t xml:space="preserve">, with the exception for the ‘Equity </w:t>
      </w:r>
      <w:proofErr w:type="gramStart"/>
      <w:r w:rsidR="00C9197A">
        <w:t>raising</w:t>
      </w:r>
      <w:proofErr w:type="gramEnd"/>
      <w:r w:rsidR="00C9197A">
        <w:t xml:space="preserve"> cost’ asset class</w:t>
      </w:r>
      <w:r>
        <w:t xml:space="preserve">. These </w:t>
      </w:r>
      <w:r w:rsidR="00BB7088">
        <w:t xml:space="preserve">asset </w:t>
      </w:r>
      <w:r>
        <w:t>lives are consistent with the approved standard asset lives for the 2011–16 regulatory control period and comparable with the standard asset lives approved in our recent determinations for other electricity distribution service providers.</w:t>
      </w:r>
      <w:r w:rsidR="0012633D">
        <w:rPr>
          <w:rStyle w:val="FootnoteReference"/>
        </w:rPr>
        <w:footnoteReference w:id="16"/>
      </w:r>
      <w:r>
        <w:t xml:space="preserve"> We are satisfied </w:t>
      </w:r>
      <w:r>
        <w:lastRenderedPageBreak/>
        <w:t>these proposed standard asset lives reflect the nature of the assets over the economic lives of the asset classes.</w:t>
      </w:r>
      <w:r>
        <w:rPr>
          <w:rStyle w:val="FootnoteReference"/>
        </w:rPr>
        <w:footnoteReference w:id="17"/>
      </w:r>
    </w:p>
    <w:p w:rsidR="001D2185" w:rsidRDefault="001D2185" w:rsidP="001D2185">
      <w:r>
        <w:t xml:space="preserve">We accept </w:t>
      </w:r>
      <w:r w:rsidR="00E54EB3">
        <w:t>United Energy’s</w:t>
      </w:r>
      <w:r>
        <w:t xml:space="preserve"> proposed new asset class of ‘SCADA (10-year asset)’ and </w:t>
      </w:r>
      <w:proofErr w:type="gramStart"/>
      <w:r w:rsidR="00E54EB3">
        <w:t>its</w:t>
      </w:r>
      <w:proofErr w:type="gramEnd"/>
      <w:r>
        <w:t xml:space="preserve"> proposed standard asset life of 10 years.</w:t>
      </w:r>
      <w:r w:rsidR="00E54EB3">
        <w:rPr>
          <w:rStyle w:val="FootnoteReference"/>
        </w:rPr>
        <w:footnoteReference w:id="18"/>
      </w:r>
      <w:r>
        <w:t xml:space="preserve"> This asset class will contain </w:t>
      </w:r>
      <w:r w:rsidR="00E54EB3">
        <w:t xml:space="preserve">SCADA, network control and protection </w:t>
      </w:r>
      <w:r>
        <w:t xml:space="preserve">capex from 1 January 2016. We </w:t>
      </w:r>
      <w:r w:rsidR="00C9197A">
        <w:t>are satisfied</w:t>
      </w:r>
      <w:r>
        <w:t xml:space="preserve"> that most SCADA, network control and protection system assets have an economic life longer than the 5 year standard life </w:t>
      </w:r>
      <w:r w:rsidR="00E54EB3">
        <w:t>(</w:t>
      </w:r>
      <w:r>
        <w:t>approved at the previous determination for ‘</w:t>
      </w:r>
      <w:r w:rsidRPr="001D2185">
        <w:t>SCADA/Network control</w:t>
      </w:r>
      <w:r>
        <w:t>’</w:t>
      </w:r>
      <w:r w:rsidR="00E54EB3">
        <w:t xml:space="preserve">), but shorter than </w:t>
      </w:r>
      <w:r>
        <w:t>the primary distribution system assets</w:t>
      </w:r>
      <w:r w:rsidR="00E54EB3">
        <w:t>. We therefore accept the proposal to include a new ‘SCADA (10-year asset)’ asset class and rename the previous ‘SCADA/Network control’ asset class to ‘</w:t>
      </w:r>
      <w:r w:rsidR="00E54EB3" w:rsidRPr="00E54EB3">
        <w:t>SCADA (5-year asset)</w:t>
      </w:r>
      <w:r w:rsidR="00E54EB3">
        <w:t xml:space="preserve">’. </w:t>
      </w:r>
    </w:p>
    <w:p w:rsidR="00F51227" w:rsidRDefault="00F51227" w:rsidP="00D4731E">
      <w:pPr>
        <w:pStyle w:val="AERbulletlistfirststyle"/>
        <w:numPr>
          <w:ilvl w:val="0"/>
          <w:numId w:val="24"/>
        </w:numPr>
      </w:pPr>
      <w:r>
        <w:t xml:space="preserve">We also accept the creation of a new non-depreciating ‘Land’ asset class </w:t>
      </w:r>
      <w:r w:rsidRPr="00E209FE">
        <w:t>(assigned a term of 'n/a' for modelling purposes</w:t>
      </w:r>
      <w:r>
        <w:t>).</w:t>
      </w:r>
      <w:r>
        <w:rPr>
          <w:rStyle w:val="FootnoteReference"/>
        </w:rPr>
        <w:footnoteReference w:id="19"/>
      </w:r>
      <w:r>
        <w:t xml:space="preserve"> This asset class will contain any land related capex incurred from 1 January 2016.</w:t>
      </w:r>
    </w:p>
    <w:p w:rsidR="006E0084" w:rsidRDefault="005C74E3" w:rsidP="006E0084">
      <w:pPr>
        <w:numPr>
          <w:ilvl w:val="0"/>
          <w:numId w:val="24"/>
        </w:numPr>
      </w:pPr>
      <w:r>
        <w:t xml:space="preserve">We </w:t>
      </w:r>
      <w:r w:rsidR="00AB45BA">
        <w:t xml:space="preserve">do not accept United Energy’s </w:t>
      </w:r>
      <w:r w:rsidR="00AB45BA" w:rsidRPr="00D35F38">
        <w:t>proposed</w:t>
      </w:r>
      <w:r>
        <w:t xml:space="preserve"> standard asset life for the 'Equity </w:t>
      </w:r>
      <w:proofErr w:type="gramStart"/>
      <w:r>
        <w:t>raising</w:t>
      </w:r>
      <w:proofErr w:type="gramEnd"/>
      <w:r>
        <w:t xml:space="preserve"> costs' </w:t>
      </w:r>
      <w:r w:rsidR="00AB45BA">
        <w:t>asset class of 35 years</w:t>
      </w:r>
      <w:r>
        <w:t xml:space="preserve">. We </w:t>
      </w:r>
      <w:r w:rsidR="00AB45BA">
        <w:t>instead determine a standard asset life of 40.4</w:t>
      </w:r>
      <w:r w:rsidR="00EC49C6">
        <w:t> </w:t>
      </w:r>
      <w:r w:rsidR="00AB45BA">
        <w:t xml:space="preserve">years for </w:t>
      </w:r>
      <w:r w:rsidR="00C9197A">
        <w:t xml:space="preserve">amortising </w:t>
      </w:r>
      <w:r w:rsidR="00AB45BA">
        <w:t xml:space="preserve">equity raising costs. This is consistent with </w:t>
      </w:r>
      <w:r w:rsidR="0069234F">
        <w:t>the standard asset life approved for the 2011–1</w:t>
      </w:r>
      <w:r w:rsidR="001473DF">
        <w:t>5</w:t>
      </w:r>
      <w:r w:rsidR="0069234F">
        <w:t xml:space="preserve"> regulatory control period.</w:t>
      </w:r>
      <w:r w:rsidR="001473DF">
        <w:rPr>
          <w:rStyle w:val="FootnoteReference"/>
        </w:rPr>
        <w:footnoteReference w:id="20"/>
      </w:r>
      <w:r w:rsidR="006E0084">
        <w:t xml:space="preserve"> </w:t>
      </w:r>
    </w:p>
    <w:p w:rsidR="00CA049D" w:rsidRDefault="00CA049D" w:rsidP="00CA049D">
      <w:pPr>
        <w:pStyle w:val="ListParagraph"/>
        <w:numPr>
          <w:ilvl w:val="0"/>
          <w:numId w:val="24"/>
        </w:numPr>
      </w:pPr>
      <w:r>
        <w:t xml:space="preserve">We received submissions from the CCP and the Victorian Energy Consumer and User Alliance (VECUA) stating that the standard asset lives for </w:t>
      </w:r>
      <w:r w:rsidR="00FA517E">
        <w:t>United Energy</w:t>
      </w:r>
      <w:r>
        <w:t xml:space="preserve"> differed from the actual lives, and from the standard asset lives for equivalent assets used by other distributors.</w:t>
      </w:r>
      <w:r>
        <w:rPr>
          <w:rStyle w:val="FootnoteReference"/>
        </w:rPr>
        <w:footnoteReference w:id="21"/>
      </w:r>
      <w:r>
        <w:t xml:space="preserve"> Each submitted that these variations have major implications for depreciation and allowed distributors to </w:t>
      </w:r>
      <w:r w:rsidRPr="008B4252">
        <w:t>choose asset lives that optimise their returns for</w:t>
      </w:r>
      <w:r>
        <w:t xml:space="preserve"> </w:t>
      </w:r>
      <w:r w:rsidRPr="008B4252">
        <w:t>each revenue reset</w:t>
      </w:r>
      <w:r>
        <w:t>.</w:t>
      </w:r>
    </w:p>
    <w:p w:rsidR="00652FD7" w:rsidRDefault="00CA049D" w:rsidP="00CA049D">
      <w:pPr>
        <w:pStyle w:val="ListParagraph"/>
        <w:numPr>
          <w:ilvl w:val="0"/>
          <w:numId w:val="24"/>
        </w:numPr>
      </w:pPr>
      <w:r>
        <w:t>We note that the standard asset lives reported by CCP and VECUA are from disaggregated categories used to model replacement capital expenditure (</w:t>
      </w:r>
      <w:proofErr w:type="spellStart"/>
      <w:r>
        <w:t>repex</w:t>
      </w:r>
      <w:proofErr w:type="spellEnd"/>
      <w:r>
        <w:t>), rather than the higher-level categories used when calculating the regulatory depreciation allowance.</w:t>
      </w:r>
      <w:r>
        <w:rPr>
          <w:rStyle w:val="FootnoteReference"/>
        </w:rPr>
        <w:footnoteReference w:id="22"/>
      </w:r>
      <w:r>
        <w:t xml:space="preserve"> Although individual distributors may have higher or lower </w:t>
      </w:r>
      <w:r>
        <w:lastRenderedPageBreak/>
        <w:t xml:space="preserve">standard asset lives for specific </w:t>
      </w:r>
      <w:proofErr w:type="spellStart"/>
      <w:r>
        <w:t>repex</w:t>
      </w:r>
      <w:proofErr w:type="spellEnd"/>
      <w:r>
        <w:t xml:space="preserve"> asset categories, there is less variation in the standard asset lives of the aggregated categories.</w:t>
      </w:r>
      <w:r>
        <w:rPr>
          <w:rStyle w:val="FootnoteReference"/>
        </w:rPr>
        <w:footnoteReference w:id="23"/>
      </w:r>
      <w:r>
        <w:t xml:space="preserve"> The exceptions are the two 'Other assets' categories reported by CPP and VECUA, where the variation reflects different categorisation and reporting of assets across the different distributors. We consider that the standard asset lives approved for </w:t>
      </w:r>
      <w:r w:rsidR="00FA517E">
        <w:t>United Energy</w:t>
      </w:r>
      <w:r>
        <w:t xml:space="preserve"> to calculate the regulatory depreciation allowance are comparable to the equivalent categories used in other regulatory determinations.</w:t>
      </w:r>
      <w:r>
        <w:rPr>
          <w:rStyle w:val="FootnoteReference"/>
        </w:rPr>
        <w:footnoteReference w:id="24"/>
      </w:r>
      <w:r w:rsidDel="00CA049D">
        <w:t xml:space="preserve"> </w:t>
      </w:r>
    </w:p>
    <w:p w:rsidR="005C74E3" w:rsidRDefault="006E0084" w:rsidP="006E0084">
      <w:pPr>
        <w:numPr>
          <w:ilvl w:val="0"/>
          <w:numId w:val="24"/>
        </w:numPr>
      </w:pPr>
      <w:r>
        <w:fldChar w:fldCharType="begin"/>
      </w:r>
      <w:r>
        <w:instrText xml:space="preserve"> REF _Ref426705087 \h </w:instrText>
      </w:r>
      <w:r>
        <w:fldChar w:fldCharType="separate"/>
      </w:r>
      <w:r w:rsidR="008600C5">
        <w:t xml:space="preserve">Table </w:t>
      </w:r>
      <w:r w:rsidR="008600C5">
        <w:rPr>
          <w:noProof/>
        </w:rPr>
        <w:t>5</w:t>
      </w:r>
      <w:r w:rsidR="008600C5">
        <w:t>.</w:t>
      </w:r>
      <w:r w:rsidR="008600C5">
        <w:rPr>
          <w:noProof/>
        </w:rPr>
        <w:t>4</w:t>
      </w:r>
      <w:r>
        <w:fldChar w:fldCharType="end"/>
      </w:r>
      <w:r>
        <w:t xml:space="preserve"> </w:t>
      </w:r>
      <w:r w:rsidRPr="00FA3D3E">
        <w:t xml:space="preserve">sets out our </w:t>
      </w:r>
      <w:r>
        <w:t>preliminary decision</w:t>
      </w:r>
      <w:r w:rsidRPr="00FA3D3E">
        <w:t xml:space="preserve"> on </w:t>
      </w:r>
      <w:r>
        <w:t>United Energy’s</w:t>
      </w:r>
      <w:r w:rsidRPr="00FA3D3E">
        <w:t xml:space="preserve"> standard asset lives for the </w:t>
      </w:r>
      <w:r>
        <w:t xml:space="preserve">2016–20 regulatory control </w:t>
      </w:r>
      <w:proofErr w:type="gramStart"/>
      <w:r>
        <w:t>period</w:t>
      </w:r>
      <w:proofErr w:type="gramEnd"/>
      <w:r>
        <w:t>.</w:t>
      </w:r>
    </w:p>
    <w:p w:rsidR="00260F08" w:rsidRDefault="00D30C46" w:rsidP="00260F08">
      <w:pPr>
        <w:pStyle w:val="Heading3"/>
      </w:pPr>
      <w:bookmarkStart w:id="25" w:name="_Ref433195992"/>
      <w:bookmarkStart w:id="26" w:name="_Toc433196181"/>
      <w:r>
        <w:t>Remaining asset lives</w:t>
      </w:r>
      <w:bookmarkEnd w:id="25"/>
      <w:bookmarkEnd w:id="26"/>
    </w:p>
    <w:p w:rsidR="009D2708" w:rsidRDefault="0035479E" w:rsidP="00260F08">
      <w:r>
        <w:t xml:space="preserve">We </w:t>
      </w:r>
      <w:r w:rsidR="00036C00">
        <w:t>do not accept</w:t>
      </w:r>
      <w:r>
        <w:t xml:space="preserve"> United Energy’s proposed average depreciation approach to determining remaining asset lives as at 1 January 2016.</w:t>
      </w:r>
      <w:r>
        <w:rPr>
          <w:rStyle w:val="FootnoteReference"/>
        </w:rPr>
        <w:footnoteReference w:id="25"/>
      </w:r>
      <w:r>
        <w:t xml:space="preserve"> </w:t>
      </w:r>
      <w:r w:rsidR="00C61E30">
        <w:rPr>
          <w:rStyle w:val="AERbody"/>
        </w:rPr>
        <w:t xml:space="preserve">We consider that United Energy’s </w:t>
      </w:r>
      <w:r w:rsidR="00C61E30" w:rsidRPr="00926B90">
        <w:t>proposed approach</w:t>
      </w:r>
      <w:r w:rsidR="00C61E30">
        <w:rPr>
          <w:rStyle w:val="AERbody"/>
        </w:rPr>
        <w:t xml:space="preserve"> consistently underestimates the remaining asset lives</w:t>
      </w:r>
      <w:r w:rsidR="00C61E30" w:rsidRPr="00926B90">
        <w:t>. We</w:t>
      </w:r>
      <w:r w:rsidR="00D64801">
        <w:t xml:space="preserve"> have</w:t>
      </w:r>
      <w:r w:rsidR="00C61E30" w:rsidRPr="00926B90">
        <w:t xml:space="preserve"> instead </w:t>
      </w:r>
      <w:r w:rsidR="00D64801">
        <w:t>calculated the</w:t>
      </w:r>
      <w:r w:rsidR="00D64801" w:rsidRPr="00926B90">
        <w:t xml:space="preserve"> </w:t>
      </w:r>
      <w:r w:rsidR="00C61E30" w:rsidRPr="00926B90">
        <w:t xml:space="preserve">remaining asset lives </w:t>
      </w:r>
      <w:r w:rsidR="00D64801">
        <w:t xml:space="preserve">using </w:t>
      </w:r>
      <w:r w:rsidR="00EA5B2A">
        <w:t>the</w:t>
      </w:r>
      <w:r w:rsidR="00C61E30" w:rsidRPr="00926B90">
        <w:t xml:space="preserve"> </w:t>
      </w:r>
      <w:r w:rsidR="00C61E30">
        <w:t xml:space="preserve">WARL </w:t>
      </w:r>
      <w:r w:rsidR="00C61E30" w:rsidRPr="00926B90">
        <w:t>approach</w:t>
      </w:r>
      <w:r w:rsidR="00C61E30">
        <w:t xml:space="preserve"> as set out in</w:t>
      </w:r>
      <w:r w:rsidR="00DC53F7">
        <w:t xml:space="preserve"> </w:t>
      </w:r>
      <w:r w:rsidR="00CB303D">
        <w:fldChar w:fldCharType="begin"/>
      </w:r>
      <w:r w:rsidR="00CB303D">
        <w:instrText xml:space="preserve"> REF _Ref426705087 \h </w:instrText>
      </w:r>
      <w:r w:rsidR="00CB303D">
        <w:fldChar w:fldCharType="separate"/>
      </w:r>
      <w:r w:rsidR="008600C5">
        <w:t xml:space="preserve">Table </w:t>
      </w:r>
      <w:r w:rsidR="008600C5">
        <w:rPr>
          <w:noProof/>
        </w:rPr>
        <w:t>5</w:t>
      </w:r>
      <w:r w:rsidR="008600C5">
        <w:t>.</w:t>
      </w:r>
      <w:r w:rsidR="008600C5">
        <w:rPr>
          <w:noProof/>
        </w:rPr>
        <w:t>4</w:t>
      </w:r>
      <w:r w:rsidR="00CB303D">
        <w:fldChar w:fldCharType="end"/>
      </w:r>
      <w:r w:rsidR="00C61E30" w:rsidRPr="00926B90">
        <w:t xml:space="preserve">. We </w:t>
      </w:r>
      <w:r w:rsidR="00C61E30">
        <w:t>are satisfied the remaining asset lives determined by our approach meet</w:t>
      </w:r>
      <w:r w:rsidR="00C61E30" w:rsidRPr="00926B90">
        <w:t xml:space="preserve"> </w:t>
      </w:r>
      <w:r w:rsidR="00C61E30">
        <w:t xml:space="preserve">the requirements of </w:t>
      </w:r>
      <w:r w:rsidR="00C61E30" w:rsidRPr="00926B90">
        <w:t xml:space="preserve">the </w:t>
      </w:r>
      <w:r w:rsidR="00C61E30">
        <w:t xml:space="preserve">NEL and </w:t>
      </w:r>
      <w:r w:rsidR="00C61E30" w:rsidRPr="00926B90">
        <w:t>NER.</w:t>
      </w:r>
      <w:r w:rsidR="00C61E30">
        <w:rPr>
          <w:rStyle w:val="FootnoteReference"/>
        </w:rPr>
        <w:footnoteReference w:id="26"/>
      </w:r>
      <w:r w:rsidR="00403996" w:rsidRPr="00403996">
        <w:t xml:space="preserve"> </w:t>
      </w:r>
      <w:r w:rsidR="00403996">
        <w:t>The impact of our changes to</w:t>
      </w:r>
      <w:r w:rsidR="00170026">
        <w:t xml:space="preserve"> the</w:t>
      </w:r>
      <w:r w:rsidR="00403996">
        <w:t xml:space="preserve"> remaining asset lives is to reduce revenues over the 2016–20 regulatory control </w:t>
      </w:r>
      <w:proofErr w:type="gramStart"/>
      <w:r w:rsidR="00403996">
        <w:t>period</w:t>
      </w:r>
      <w:proofErr w:type="gramEnd"/>
      <w:r w:rsidR="00403996">
        <w:t xml:space="preserve"> by about $26 million, or 1.1 per cent, compared to United Energy’s proposal.</w:t>
      </w:r>
    </w:p>
    <w:p w:rsidR="00236BD7" w:rsidRDefault="009D2708" w:rsidP="00260F08">
      <w:r>
        <w:t xml:space="preserve">In response to our information request, </w:t>
      </w:r>
      <w:r w:rsidR="0035479E">
        <w:t xml:space="preserve">United Energy stated it had determined remaining asset lives by taking the 31 December 2015 value for a given asset class and dividing it by the annual deprecation for that asset class </w:t>
      </w:r>
      <w:r w:rsidR="0035479E" w:rsidRPr="0035479E">
        <w:t>in 2015</w:t>
      </w:r>
      <w:r w:rsidR="0035479E">
        <w:t>.</w:t>
      </w:r>
      <w:r w:rsidR="0035479E">
        <w:rPr>
          <w:rStyle w:val="FootnoteReference"/>
        </w:rPr>
        <w:footnoteReference w:id="27"/>
      </w:r>
      <w:r w:rsidR="0035479E">
        <w:t xml:space="preserve"> </w:t>
      </w:r>
      <w:r>
        <w:t xml:space="preserve">This is a form of average depreciation approach that the AER has raised concerns with in the past. Recently we rejected similar average depreciation approaches </w:t>
      </w:r>
      <w:r w:rsidR="00CF5F33">
        <w:t xml:space="preserve">as </w:t>
      </w:r>
      <w:r>
        <w:t>proposed by both SA</w:t>
      </w:r>
      <w:r w:rsidR="00F51227">
        <w:t xml:space="preserve"> </w:t>
      </w:r>
      <w:r>
        <w:t>P</w:t>
      </w:r>
      <w:r w:rsidR="00F51227">
        <w:t xml:space="preserve">ower </w:t>
      </w:r>
      <w:r>
        <w:t>N</w:t>
      </w:r>
      <w:r w:rsidR="00F51227">
        <w:t>etworks</w:t>
      </w:r>
      <w:r w:rsidR="008B6BE1">
        <w:t xml:space="preserve"> (SAPN)</w:t>
      </w:r>
      <w:r>
        <w:t xml:space="preserve"> and Ergon Energy in preliminary decisions.</w:t>
      </w:r>
      <w:r w:rsidR="00416A44">
        <w:rPr>
          <w:rStyle w:val="FootnoteReference"/>
        </w:rPr>
        <w:footnoteReference w:id="28"/>
      </w:r>
      <w:r>
        <w:t xml:space="preserve"> The </w:t>
      </w:r>
      <w:r w:rsidR="008B6BE1">
        <w:t xml:space="preserve">AER in its </w:t>
      </w:r>
      <w:r w:rsidR="003E5544">
        <w:t>preliminary</w:t>
      </w:r>
      <w:r w:rsidR="008B6BE1">
        <w:t xml:space="preserve"> decision for Ergon Energy and SAPN considered that </w:t>
      </w:r>
      <w:r>
        <w:t>an</w:t>
      </w:r>
      <w:r w:rsidR="00416A44">
        <w:t xml:space="preserve"> average de</w:t>
      </w:r>
      <w:r>
        <w:t xml:space="preserve">preciation approach leads to </w:t>
      </w:r>
      <w:r w:rsidR="002E7523">
        <w:t xml:space="preserve">a shorter </w:t>
      </w:r>
      <w:r>
        <w:t>depreciation</w:t>
      </w:r>
      <w:r w:rsidR="002E7523">
        <w:t xml:space="preserve"> schedule that does not reflect the economic life of the assets</w:t>
      </w:r>
      <w:r>
        <w:t>. It locks in an inappropriately low remaining asset li</w:t>
      </w:r>
      <w:r w:rsidR="00416A44">
        <w:t>fe for an asset class</w:t>
      </w:r>
      <w:r>
        <w:t xml:space="preserve"> as it does not account for when existing assets expire.</w:t>
      </w:r>
      <w:r w:rsidR="00263A6B">
        <w:rPr>
          <w:rStyle w:val="FootnoteReference"/>
        </w:rPr>
        <w:footnoteReference w:id="29"/>
      </w:r>
      <w:r w:rsidR="00236BD7">
        <w:t xml:space="preserve"> </w:t>
      </w:r>
    </w:p>
    <w:p w:rsidR="00D30C46" w:rsidRDefault="00236BD7" w:rsidP="00260F08">
      <w:r>
        <w:lastRenderedPageBreak/>
        <w:t xml:space="preserve">We consider it is important to take a long term view of the approach to assess whether it </w:t>
      </w:r>
      <w:r w:rsidRPr="00C26E1E">
        <w:t>contribute</w:t>
      </w:r>
      <w:r>
        <w:t>s to the achievement of the NEO.</w:t>
      </w:r>
      <w:r>
        <w:rPr>
          <w:rStyle w:val="FootnoteReference"/>
        </w:rPr>
        <w:footnoteReference w:id="30"/>
      </w:r>
      <w:r>
        <w:t xml:space="preserve"> This requires us to consider whether the approach </w:t>
      </w:r>
      <w:r w:rsidRPr="005F637C">
        <w:t>promot</w:t>
      </w:r>
      <w:r>
        <w:t xml:space="preserve">es </w:t>
      </w:r>
      <w:r w:rsidRPr="005F637C">
        <w:t>efficient investment in, and efficient operation and use of, electricity services for the long term interests of consumers</w:t>
      </w:r>
      <w:r>
        <w:t xml:space="preserve">. An approach that underestimates the remaining life of assets results in </w:t>
      </w:r>
      <w:r w:rsidRPr="00541A86">
        <w:t xml:space="preserve">customers paying for assets too quickly (such that the asset is fully depreciated before the end of its </w:t>
      </w:r>
      <w:r w:rsidR="009A14E4">
        <w:t>technical</w:t>
      </w:r>
      <w:r w:rsidR="009A14E4" w:rsidRPr="00541A86">
        <w:t xml:space="preserve"> </w:t>
      </w:r>
      <w:r w:rsidRPr="00541A86">
        <w:t>life</w:t>
      </w:r>
      <w:r>
        <w:t>)</w:t>
      </w:r>
      <w:r w:rsidR="00BF4945">
        <w:t xml:space="preserve"> and is therefore not in the longer term interests of consumers. Also, t</w:t>
      </w:r>
      <w:r>
        <w:t xml:space="preserve">his </w:t>
      </w:r>
      <w:r w:rsidRPr="00541A86">
        <w:t xml:space="preserve">may encourage inefficient </w:t>
      </w:r>
      <w:r>
        <w:t xml:space="preserve">use and </w:t>
      </w:r>
      <w:r w:rsidRPr="00541A86">
        <w:t>early replacement</w:t>
      </w:r>
      <w:r>
        <w:t xml:space="preserve"> of assets inconsistent with the NEL.</w:t>
      </w:r>
      <w:r>
        <w:rPr>
          <w:rStyle w:val="FootnoteReference"/>
        </w:rPr>
        <w:footnoteReference w:id="31"/>
      </w:r>
    </w:p>
    <w:p w:rsidR="001C1848" w:rsidRDefault="001C1848" w:rsidP="00260F08">
      <w:r>
        <w:fldChar w:fldCharType="begin"/>
      </w:r>
      <w:r>
        <w:instrText xml:space="preserve"> REF _Ref426016688 \h </w:instrText>
      </w:r>
      <w:r>
        <w:fldChar w:fldCharType="separate"/>
      </w:r>
      <w:r w:rsidR="008600C5" w:rsidRPr="00B7508B">
        <w:t xml:space="preserve">Table </w:t>
      </w:r>
      <w:r w:rsidR="008600C5">
        <w:rPr>
          <w:noProof/>
        </w:rPr>
        <w:t>5</w:t>
      </w:r>
      <w:r w:rsidR="008600C5">
        <w:t>.</w:t>
      </w:r>
      <w:r w:rsidR="008600C5">
        <w:rPr>
          <w:noProof/>
        </w:rPr>
        <w:t>3</w:t>
      </w:r>
      <w:r>
        <w:fldChar w:fldCharType="end"/>
      </w:r>
      <w:r>
        <w:t xml:space="preserve"> sets </w:t>
      </w:r>
      <w:r w:rsidRPr="00236BD7">
        <w:t xml:space="preserve">out </w:t>
      </w:r>
      <w:r w:rsidRPr="00926B90">
        <w:t xml:space="preserve">the divergence in remaining </w:t>
      </w:r>
      <w:r>
        <w:t xml:space="preserve">asset </w:t>
      </w:r>
      <w:r w:rsidRPr="00926B90">
        <w:t xml:space="preserve">lives between the </w:t>
      </w:r>
      <w:r>
        <w:t>WARL and average depreciation</w:t>
      </w:r>
      <w:r w:rsidRPr="00926B90">
        <w:t xml:space="preserve"> approaches is </w:t>
      </w:r>
      <w:r>
        <w:t>quite</w:t>
      </w:r>
      <w:r w:rsidRPr="00926B90">
        <w:t xml:space="preserve"> </w:t>
      </w:r>
      <w:r>
        <w:t>significant</w:t>
      </w:r>
      <w:r w:rsidRPr="00926B90">
        <w:t xml:space="preserve"> </w:t>
      </w:r>
      <w:r>
        <w:t>for certain asset classes</w:t>
      </w:r>
      <w:r w:rsidRPr="00236BD7">
        <w:t xml:space="preserve"> </w:t>
      </w:r>
      <w:r>
        <w:t>use</w:t>
      </w:r>
      <w:r w:rsidR="00163725">
        <w:t>d</w:t>
      </w:r>
      <w:r>
        <w:t xml:space="preserve"> by United Energy</w:t>
      </w:r>
      <w:r w:rsidRPr="00236BD7">
        <w:t>.</w:t>
      </w:r>
    </w:p>
    <w:p w:rsidR="00403996" w:rsidRPr="00B7508B" w:rsidRDefault="00403996" w:rsidP="00403996">
      <w:pPr>
        <w:pStyle w:val="Tabletitle"/>
        <w:rPr>
          <w:rStyle w:val="AERbody"/>
          <w:color w:val="076A92" w:themeColor="text1"/>
          <w:sz w:val="24"/>
        </w:rPr>
      </w:pPr>
      <w:bookmarkStart w:id="27" w:name="_Ref426016688"/>
      <w:proofErr w:type="gramStart"/>
      <w:r w:rsidRPr="00B7508B">
        <w:t xml:space="preserve">Table </w:t>
      </w:r>
      <w:r w:rsidR="00A95360">
        <w:fldChar w:fldCharType="begin"/>
      </w:r>
      <w:r w:rsidR="00A95360">
        <w:instrText xml:space="preserve"> STYLEREF 1</w:instrText>
      </w:r>
      <w:r w:rsidR="00A95360">
        <w:instrText xml:space="preserve"> \s </w:instrText>
      </w:r>
      <w:r w:rsidR="00A95360">
        <w:fldChar w:fldCharType="separate"/>
      </w:r>
      <w:r w:rsidR="008600C5">
        <w:rPr>
          <w:noProof/>
        </w:rPr>
        <w:t>5</w:t>
      </w:r>
      <w:r w:rsidR="00A95360">
        <w:rPr>
          <w:noProof/>
        </w:rPr>
        <w:fldChar w:fldCharType="end"/>
      </w:r>
      <w:r w:rsidR="00DC53F7">
        <w:t>.</w:t>
      </w:r>
      <w:proofErr w:type="gramEnd"/>
      <w:r w:rsidR="00A95360">
        <w:fldChar w:fldCharType="begin"/>
      </w:r>
      <w:r w:rsidR="00A95360">
        <w:instrText xml:space="preserve"> SEQ Table \* ARABIC \s 1 </w:instrText>
      </w:r>
      <w:r w:rsidR="00A95360">
        <w:fldChar w:fldCharType="separate"/>
      </w:r>
      <w:r w:rsidR="008600C5">
        <w:rPr>
          <w:noProof/>
        </w:rPr>
        <w:t>3</w:t>
      </w:r>
      <w:r w:rsidR="00A95360">
        <w:rPr>
          <w:noProof/>
        </w:rPr>
        <w:fldChar w:fldCharType="end"/>
      </w:r>
      <w:bookmarkEnd w:id="27"/>
      <w:r w:rsidRPr="00B7508B">
        <w:tab/>
      </w:r>
      <w:r w:rsidRPr="00B7508B">
        <w:rPr>
          <w:rStyle w:val="AERbody"/>
          <w:color w:val="076A92" w:themeColor="text1"/>
          <w:sz w:val="24"/>
        </w:rPr>
        <w:t xml:space="preserve">Difference in remaining asset lives at 1 </w:t>
      </w:r>
      <w:r>
        <w:rPr>
          <w:rStyle w:val="AERbody"/>
          <w:color w:val="076A92" w:themeColor="text1"/>
          <w:sz w:val="24"/>
        </w:rPr>
        <w:t>January 2016</w:t>
      </w:r>
      <w:r w:rsidRPr="00B7508B">
        <w:rPr>
          <w:rStyle w:val="AERbody"/>
          <w:color w:val="076A92" w:themeColor="text1"/>
          <w:sz w:val="24"/>
        </w:rPr>
        <w:t xml:space="preserve"> for key asset classes—WARL versus average depreciation</w:t>
      </w:r>
    </w:p>
    <w:tbl>
      <w:tblPr>
        <w:tblStyle w:val="AERtable-numbers"/>
        <w:tblW w:w="8755" w:type="dxa"/>
        <w:tblLayout w:type="fixed"/>
        <w:tblLook w:val="04A0" w:firstRow="1" w:lastRow="0" w:firstColumn="1" w:lastColumn="0" w:noHBand="0" w:noVBand="1"/>
      </w:tblPr>
      <w:tblGrid>
        <w:gridCol w:w="2911"/>
        <w:gridCol w:w="1867"/>
        <w:gridCol w:w="1867"/>
        <w:gridCol w:w="2110"/>
      </w:tblGrid>
      <w:tr w:rsidR="00403996" w:rsidRPr="00140295" w:rsidTr="00DC53F7">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hideMark/>
          </w:tcPr>
          <w:p w:rsidR="00403996" w:rsidRPr="00E33176" w:rsidRDefault="00403996" w:rsidP="00DC53F7">
            <w:r w:rsidRPr="00140295">
              <w:t>Asset class</w:t>
            </w:r>
          </w:p>
        </w:tc>
        <w:tc>
          <w:tcPr>
            <w:tcW w:w="1867" w:type="dxa"/>
            <w:noWrap/>
          </w:tcPr>
          <w:p w:rsidR="00403996" w:rsidRPr="00E33176" w:rsidRDefault="00403996" w:rsidP="00DC53F7">
            <w:pPr>
              <w:cnfStyle w:val="100000000000" w:firstRow="1" w:lastRow="0" w:firstColumn="0" w:lastColumn="0" w:oddVBand="0" w:evenVBand="0" w:oddHBand="0" w:evenHBand="0" w:firstRowFirstColumn="0" w:firstRowLastColumn="0" w:lastRowFirstColumn="0" w:lastRowLastColumn="0"/>
            </w:pPr>
            <w:r w:rsidRPr="00926B90">
              <w:t xml:space="preserve">Remaining asset lives </w:t>
            </w:r>
            <w:r>
              <w:t xml:space="preserve">under </w:t>
            </w:r>
            <w:r w:rsidRPr="00E33176">
              <w:t>WARL approach</w:t>
            </w:r>
            <w:r>
              <w:t xml:space="preserve"> (</w:t>
            </w:r>
            <w:r w:rsidRPr="00E33176">
              <w:t>year</w:t>
            </w:r>
            <w:r>
              <w:t>s</w:t>
            </w:r>
            <w:r w:rsidRPr="00E33176">
              <w:t>)</w:t>
            </w:r>
          </w:p>
        </w:tc>
        <w:tc>
          <w:tcPr>
            <w:tcW w:w="1867" w:type="dxa"/>
            <w:noWrap/>
            <w:hideMark/>
          </w:tcPr>
          <w:p w:rsidR="00403996" w:rsidRPr="00E33176" w:rsidRDefault="00403996" w:rsidP="00DC53F7">
            <w:pPr>
              <w:cnfStyle w:val="100000000000" w:firstRow="1" w:lastRow="0" w:firstColumn="0" w:lastColumn="0" w:oddVBand="0" w:evenVBand="0" w:oddHBand="0" w:evenHBand="0" w:firstRowFirstColumn="0" w:firstRowLastColumn="0" w:lastRowFirstColumn="0" w:lastRowLastColumn="0"/>
            </w:pPr>
            <w:r>
              <w:t>Remaining asset lives under a</w:t>
            </w:r>
            <w:r w:rsidRPr="00926B90">
              <w:t>verage depreciation approach</w:t>
            </w:r>
            <w:r>
              <w:t xml:space="preserve"> (</w:t>
            </w:r>
            <w:r w:rsidRPr="00926B90">
              <w:t>year</w:t>
            </w:r>
            <w:r>
              <w:t>s</w:t>
            </w:r>
            <w:r w:rsidRPr="00926B90">
              <w:t>)</w:t>
            </w:r>
          </w:p>
        </w:tc>
        <w:tc>
          <w:tcPr>
            <w:tcW w:w="2110" w:type="dxa"/>
          </w:tcPr>
          <w:p w:rsidR="00403996" w:rsidRPr="00E33176" w:rsidRDefault="00403996" w:rsidP="00DC53F7">
            <w:pPr>
              <w:cnfStyle w:val="100000000000" w:firstRow="1" w:lastRow="0" w:firstColumn="0" w:lastColumn="0" w:oddVBand="0" w:evenVBand="0" w:oddHBand="0" w:evenHBand="0" w:firstRowFirstColumn="0" w:firstRowLastColumn="0" w:lastRowFirstColumn="0" w:lastRowLastColumn="0"/>
            </w:pPr>
            <w:r w:rsidRPr="00926B90">
              <w:t xml:space="preserve">Difference in remaining asset lives between average depreciation </w:t>
            </w:r>
            <w:r>
              <w:t xml:space="preserve">and WARL </w:t>
            </w:r>
            <w:r w:rsidRPr="00926B90">
              <w:t>approach</w:t>
            </w:r>
            <w:r>
              <w:t>es</w:t>
            </w:r>
            <w:r w:rsidRPr="00926B90">
              <w:t xml:space="preserve"> (per cent)</w:t>
            </w:r>
          </w:p>
        </w:tc>
      </w:tr>
      <w:tr w:rsidR="00403996" w:rsidRPr="00140295" w:rsidTr="00DC53F7">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tcPr>
          <w:p w:rsidR="00403996" w:rsidRPr="008E3446" w:rsidRDefault="00403996" w:rsidP="00DC53F7">
            <w:proofErr w:type="spellStart"/>
            <w:r w:rsidRPr="008E3446">
              <w:t>Subtransmission</w:t>
            </w:r>
            <w:proofErr w:type="spellEnd"/>
          </w:p>
        </w:tc>
        <w:tc>
          <w:tcPr>
            <w:tcW w:w="1867" w:type="dxa"/>
            <w:noWrap/>
            <w:vAlign w:val="bottom"/>
          </w:tcPr>
          <w:p w:rsidR="00403996" w:rsidRPr="008E3446" w:rsidRDefault="00403996" w:rsidP="00DC53F7">
            <w:pPr>
              <w:cnfStyle w:val="000000000000" w:firstRow="0" w:lastRow="0" w:firstColumn="0" w:lastColumn="0" w:oddVBand="0" w:evenVBand="0" w:oddHBand="0" w:evenHBand="0" w:firstRowFirstColumn="0" w:firstRowLastColumn="0" w:lastRowFirstColumn="0" w:lastRowLastColumn="0"/>
            </w:pPr>
            <w:r w:rsidRPr="008E3446">
              <w:t>33.6</w:t>
            </w:r>
          </w:p>
        </w:tc>
        <w:tc>
          <w:tcPr>
            <w:tcW w:w="1867" w:type="dxa"/>
            <w:noWrap/>
            <w:vAlign w:val="bottom"/>
          </w:tcPr>
          <w:p w:rsidR="00403996" w:rsidRPr="008E3446" w:rsidRDefault="00403996" w:rsidP="00DC53F7">
            <w:pPr>
              <w:cnfStyle w:val="000000000000" w:firstRow="0" w:lastRow="0" w:firstColumn="0" w:lastColumn="0" w:oddVBand="0" w:evenVBand="0" w:oddHBand="0" w:evenHBand="0" w:firstRowFirstColumn="0" w:firstRowLastColumn="0" w:lastRowFirstColumn="0" w:lastRowLastColumn="0"/>
            </w:pPr>
            <w:r w:rsidRPr="008E3446">
              <w:t>26.2</w:t>
            </w:r>
          </w:p>
        </w:tc>
        <w:tc>
          <w:tcPr>
            <w:tcW w:w="2110" w:type="dxa"/>
            <w:vAlign w:val="bottom"/>
          </w:tcPr>
          <w:p w:rsidR="00403996" w:rsidRPr="008E3446" w:rsidRDefault="00403996" w:rsidP="00DC53F7">
            <w:pPr>
              <w:cnfStyle w:val="000000000000" w:firstRow="0" w:lastRow="0" w:firstColumn="0" w:lastColumn="0" w:oddVBand="0" w:evenVBand="0" w:oddHBand="0" w:evenHBand="0" w:firstRowFirstColumn="0" w:firstRowLastColumn="0" w:lastRowFirstColumn="0" w:lastRowLastColumn="0"/>
            </w:pPr>
            <w:r>
              <w:t>–</w:t>
            </w:r>
            <w:r w:rsidRPr="008E3446">
              <w:t>22.2%</w:t>
            </w:r>
          </w:p>
        </w:tc>
      </w:tr>
      <w:tr w:rsidR="00403996" w:rsidRPr="00140295" w:rsidTr="00DC53F7">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tcPr>
          <w:p w:rsidR="00403996" w:rsidRPr="008E3446" w:rsidRDefault="00403996" w:rsidP="00DC53F7">
            <w:r w:rsidRPr="008E3446">
              <w:t>Distribution system assets</w:t>
            </w:r>
          </w:p>
        </w:tc>
        <w:tc>
          <w:tcPr>
            <w:tcW w:w="1867" w:type="dxa"/>
            <w:noWrap/>
            <w:vAlign w:val="bottom"/>
          </w:tcPr>
          <w:p w:rsidR="00403996" w:rsidRPr="008E3446" w:rsidRDefault="00403996" w:rsidP="00DC53F7">
            <w:pPr>
              <w:cnfStyle w:val="000000010000" w:firstRow="0" w:lastRow="0" w:firstColumn="0" w:lastColumn="0" w:oddVBand="0" w:evenVBand="0" w:oddHBand="0" w:evenHBand="1" w:firstRowFirstColumn="0" w:firstRowLastColumn="0" w:lastRowFirstColumn="0" w:lastRowLastColumn="0"/>
            </w:pPr>
            <w:r w:rsidRPr="008E3446">
              <w:t>25.3</w:t>
            </w:r>
          </w:p>
        </w:tc>
        <w:tc>
          <w:tcPr>
            <w:tcW w:w="1867" w:type="dxa"/>
            <w:noWrap/>
            <w:vAlign w:val="bottom"/>
          </w:tcPr>
          <w:p w:rsidR="00403996" w:rsidRPr="008E3446" w:rsidRDefault="00403996" w:rsidP="00DC53F7">
            <w:pPr>
              <w:cnfStyle w:val="000000010000" w:firstRow="0" w:lastRow="0" w:firstColumn="0" w:lastColumn="0" w:oddVBand="0" w:evenVBand="0" w:oddHBand="0" w:evenHBand="1" w:firstRowFirstColumn="0" w:firstRowLastColumn="0" w:lastRowFirstColumn="0" w:lastRowLastColumn="0"/>
            </w:pPr>
            <w:r w:rsidRPr="008E3446">
              <w:t>24.7</w:t>
            </w:r>
          </w:p>
        </w:tc>
        <w:tc>
          <w:tcPr>
            <w:tcW w:w="2110" w:type="dxa"/>
            <w:vAlign w:val="bottom"/>
          </w:tcPr>
          <w:p w:rsidR="00403996" w:rsidRPr="008E3446" w:rsidRDefault="00403996" w:rsidP="00DC53F7">
            <w:pPr>
              <w:cnfStyle w:val="000000010000" w:firstRow="0" w:lastRow="0" w:firstColumn="0" w:lastColumn="0" w:oddVBand="0" w:evenVBand="0" w:oddHBand="0" w:evenHBand="1" w:firstRowFirstColumn="0" w:firstRowLastColumn="0" w:lastRowFirstColumn="0" w:lastRowLastColumn="0"/>
            </w:pPr>
            <w:r>
              <w:t>–</w:t>
            </w:r>
            <w:r w:rsidRPr="008E3446">
              <w:t>2.2%</w:t>
            </w:r>
          </w:p>
        </w:tc>
      </w:tr>
      <w:tr w:rsidR="00403996" w:rsidRPr="00140295" w:rsidTr="00DC53F7">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tcPr>
          <w:p w:rsidR="00403996" w:rsidRPr="008E3446" w:rsidRDefault="00403996" w:rsidP="00DC53F7">
            <w:r w:rsidRPr="008E3446">
              <w:t>SCADA (5-year asset)</w:t>
            </w:r>
          </w:p>
        </w:tc>
        <w:tc>
          <w:tcPr>
            <w:tcW w:w="1867" w:type="dxa"/>
            <w:noWrap/>
            <w:vAlign w:val="bottom"/>
          </w:tcPr>
          <w:p w:rsidR="00403996" w:rsidRPr="008E3446" w:rsidRDefault="00403996" w:rsidP="00DC53F7">
            <w:pPr>
              <w:cnfStyle w:val="000000000000" w:firstRow="0" w:lastRow="0" w:firstColumn="0" w:lastColumn="0" w:oddVBand="0" w:evenVBand="0" w:oddHBand="0" w:evenHBand="0" w:firstRowFirstColumn="0" w:firstRowLastColumn="0" w:lastRowFirstColumn="0" w:lastRowLastColumn="0"/>
            </w:pPr>
            <w:r w:rsidRPr="008E3446">
              <w:t>2.3</w:t>
            </w:r>
          </w:p>
        </w:tc>
        <w:tc>
          <w:tcPr>
            <w:tcW w:w="1867" w:type="dxa"/>
            <w:noWrap/>
            <w:vAlign w:val="bottom"/>
          </w:tcPr>
          <w:p w:rsidR="00403996" w:rsidRPr="008E3446" w:rsidRDefault="00403996" w:rsidP="00DC53F7">
            <w:pPr>
              <w:cnfStyle w:val="000000000000" w:firstRow="0" w:lastRow="0" w:firstColumn="0" w:lastColumn="0" w:oddVBand="0" w:evenVBand="0" w:oddHBand="0" w:evenHBand="0" w:firstRowFirstColumn="0" w:firstRowLastColumn="0" w:lastRowFirstColumn="0" w:lastRowLastColumn="0"/>
            </w:pPr>
            <w:r w:rsidRPr="008E3446">
              <w:t>2.1</w:t>
            </w:r>
          </w:p>
        </w:tc>
        <w:tc>
          <w:tcPr>
            <w:tcW w:w="2110" w:type="dxa"/>
            <w:vAlign w:val="bottom"/>
          </w:tcPr>
          <w:p w:rsidR="00403996" w:rsidRPr="008E3446" w:rsidRDefault="00403996" w:rsidP="00DC53F7">
            <w:pPr>
              <w:cnfStyle w:val="000000000000" w:firstRow="0" w:lastRow="0" w:firstColumn="0" w:lastColumn="0" w:oddVBand="0" w:evenVBand="0" w:oddHBand="0" w:evenHBand="0" w:firstRowFirstColumn="0" w:firstRowLastColumn="0" w:lastRowFirstColumn="0" w:lastRowLastColumn="0"/>
            </w:pPr>
            <w:r>
              <w:t>–</w:t>
            </w:r>
            <w:r w:rsidRPr="008E3446">
              <w:t>7.6%</w:t>
            </w:r>
          </w:p>
        </w:tc>
      </w:tr>
      <w:tr w:rsidR="00403996" w:rsidRPr="00140295" w:rsidTr="00DC53F7">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tcPr>
          <w:p w:rsidR="00403996" w:rsidRPr="008E3446" w:rsidRDefault="00403996" w:rsidP="00DC53F7">
            <w:r w:rsidRPr="008E3446">
              <w:t>Non network - IT</w:t>
            </w:r>
          </w:p>
        </w:tc>
        <w:tc>
          <w:tcPr>
            <w:tcW w:w="1867" w:type="dxa"/>
            <w:noWrap/>
            <w:vAlign w:val="bottom"/>
          </w:tcPr>
          <w:p w:rsidR="00403996" w:rsidRPr="008E3446" w:rsidRDefault="00403996" w:rsidP="00DC53F7">
            <w:pPr>
              <w:cnfStyle w:val="000000010000" w:firstRow="0" w:lastRow="0" w:firstColumn="0" w:lastColumn="0" w:oddVBand="0" w:evenVBand="0" w:oddHBand="0" w:evenHBand="1" w:firstRowFirstColumn="0" w:firstRowLastColumn="0" w:lastRowFirstColumn="0" w:lastRowLastColumn="0"/>
            </w:pPr>
            <w:r w:rsidRPr="008E3446">
              <w:t>3.6</w:t>
            </w:r>
          </w:p>
        </w:tc>
        <w:tc>
          <w:tcPr>
            <w:tcW w:w="1867" w:type="dxa"/>
            <w:noWrap/>
            <w:vAlign w:val="bottom"/>
          </w:tcPr>
          <w:p w:rsidR="00403996" w:rsidRPr="008E3446" w:rsidRDefault="00403996" w:rsidP="00DC53F7">
            <w:pPr>
              <w:cnfStyle w:val="000000010000" w:firstRow="0" w:lastRow="0" w:firstColumn="0" w:lastColumn="0" w:oddVBand="0" w:evenVBand="0" w:oddHBand="0" w:evenHBand="1" w:firstRowFirstColumn="0" w:firstRowLastColumn="0" w:lastRowFirstColumn="0" w:lastRowLastColumn="0"/>
            </w:pPr>
            <w:r w:rsidRPr="008E3446">
              <w:t>3.2</w:t>
            </w:r>
          </w:p>
        </w:tc>
        <w:tc>
          <w:tcPr>
            <w:tcW w:w="2110" w:type="dxa"/>
            <w:vAlign w:val="bottom"/>
          </w:tcPr>
          <w:p w:rsidR="00403996" w:rsidRPr="008E3446" w:rsidRDefault="00403996" w:rsidP="00DC53F7">
            <w:pPr>
              <w:cnfStyle w:val="000000010000" w:firstRow="0" w:lastRow="0" w:firstColumn="0" w:lastColumn="0" w:oddVBand="0" w:evenVBand="0" w:oddHBand="0" w:evenHBand="1" w:firstRowFirstColumn="0" w:firstRowLastColumn="0" w:lastRowFirstColumn="0" w:lastRowLastColumn="0"/>
            </w:pPr>
            <w:r>
              <w:t>–</w:t>
            </w:r>
            <w:r w:rsidRPr="008E3446">
              <w:t>12.0%</w:t>
            </w:r>
          </w:p>
        </w:tc>
      </w:tr>
      <w:tr w:rsidR="00403996" w:rsidRPr="00140295" w:rsidTr="00DC53F7">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tcPr>
          <w:p w:rsidR="00403996" w:rsidRPr="008E3446" w:rsidRDefault="00403996" w:rsidP="00DC53F7">
            <w:r w:rsidRPr="008E3446">
              <w:t>Non network - other</w:t>
            </w:r>
          </w:p>
        </w:tc>
        <w:tc>
          <w:tcPr>
            <w:tcW w:w="1867" w:type="dxa"/>
            <w:noWrap/>
            <w:vAlign w:val="bottom"/>
          </w:tcPr>
          <w:p w:rsidR="00403996" w:rsidRPr="008E3446" w:rsidRDefault="00403996" w:rsidP="00DC53F7">
            <w:pPr>
              <w:cnfStyle w:val="000000000000" w:firstRow="0" w:lastRow="0" w:firstColumn="0" w:lastColumn="0" w:oddVBand="0" w:evenVBand="0" w:oddHBand="0" w:evenHBand="0" w:firstRowFirstColumn="0" w:firstRowLastColumn="0" w:lastRowFirstColumn="0" w:lastRowLastColumn="0"/>
            </w:pPr>
            <w:r w:rsidRPr="008E3446">
              <w:t>5.2</w:t>
            </w:r>
          </w:p>
        </w:tc>
        <w:tc>
          <w:tcPr>
            <w:tcW w:w="1867" w:type="dxa"/>
            <w:noWrap/>
            <w:vAlign w:val="bottom"/>
          </w:tcPr>
          <w:p w:rsidR="00403996" w:rsidRPr="008E3446" w:rsidRDefault="00403996" w:rsidP="00DC53F7">
            <w:pPr>
              <w:cnfStyle w:val="000000000000" w:firstRow="0" w:lastRow="0" w:firstColumn="0" w:lastColumn="0" w:oddVBand="0" w:evenVBand="0" w:oddHBand="0" w:evenHBand="0" w:firstRowFirstColumn="0" w:firstRowLastColumn="0" w:lastRowFirstColumn="0" w:lastRowLastColumn="0"/>
            </w:pPr>
            <w:r w:rsidRPr="008E3446">
              <w:t>2.5</w:t>
            </w:r>
          </w:p>
        </w:tc>
        <w:tc>
          <w:tcPr>
            <w:tcW w:w="2110" w:type="dxa"/>
            <w:vAlign w:val="bottom"/>
          </w:tcPr>
          <w:p w:rsidR="00403996" w:rsidRPr="008E3446" w:rsidRDefault="00403996" w:rsidP="00DC53F7">
            <w:pPr>
              <w:cnfStyle w:val="000000000000" w:firstRow="0" w:lastRow="0" w:firstColumn="0" w:lastColumn="0" w:oddVBand="0" w:evenVBand="0" w:oddHBand="0" w:evenHBand="0" w:firstRowFirstColumn="0" w:firstRowLastColumn="0" w:lastRowFirstColumn="0" w:lastRowLastColumn="0"/>
            </w:pPr>
            <w:r>
              <w:t>–</w:t>
            </w:r>
            <w:r w:rsidRPr="008E3446">
              <w:t>52.3%</w:t>
            </w:r>
          </w:p>
        </w:tc>
      </w:tr>
    </w:tbl>
    <w:p w:rsidR="00403996" w:rsidRDefault="001C1848" w:rsidP="0022497C">
      <w:pPr>
        <w:pStyle w:val="AERtablesource"/>
      </w:pPr>
      <w:r>
        <w:t>Source:</w:t>
      </w:r>
      <w:r>
        <w:tab/>
        <w:t>AER analysis of key asset classes.</w:t>
      </w:r>
    </w:p>
    <w:p w:rsidR="0018033C" w:rsidRDefault="00416A44" w:rsidP="001C1848">
      <w:r>
        <w:t xml:space="preserve">The impact of United Energy’s average depreciation approach and the WARL can be seen in relation to United Energy’s </w:t>
      </w:r>
      <w:r w:rsidR="005C74E3">
        <w:t>‘</w:t>
      </w:r>
      <w:proofErr w:type="spellStart"/>
      <w:r w:rsidR="008E3446">
        <w:t>Subtransmission</w:t>
      </w:r>
      <w:proofErr w:type="spellEnd"/>
      <w:r w:rsidR="005C74E3">
        <w:t>’</w:t>
      </w:r>
      <w:r>
        <w:t xml:space="preserve"> asset class.</w:t>
      </w:r>
      <w:r w:rsidR="00E9025D">
        <w:t xml:space="preserve"> </w:t>
      </w:r>
      <w:r w:rsidR="001C1848">
        <w:t>The</w:t>
      </w:r>
      <w:r w:rsidR="001C1848" w:rsidRPr="00926B90">
        <w:t xml:space="preserve"> ‘</w:t>
      </w:r>
      <w:proofErr w:type="spellStart"/>
      <w:r w:rsidR="001C1848">
        <w:t>Subtransmission</w:t>
      </w:r>
      <w:proofErr w:type="spellEnd"/>
      <w:r w:rsidR="001C1848">
        <w:t>’</w:t>
      </w:r>
      <w:r w:rsidR="001C1848" w:rsidRPr="00926B90">
        <w:t xml:space="preserve"> asset class</w:t>
      </w:r>
      <w:r w:rsidR="001C1848">
        <w:t xml:space="preserve"> has an</w:t>
      </w:r>
      <w:r w:rsidR="001C1848" w:rsidRPr="00926B90">
        <w:t xml:space="preserve"> opening </w:t>
      </w:r>
      <w:r w:rsidR="001C1848">
        <w:t>asset</w:t>
      </w:r>
      <w:r w:rsidR="001C1848" w:rsidRPr="00926B90">
        <w:t xml:space="preserve"> </w:t>
      </w:r>
      <w:r w:rsidR="001C1848">
        <w:t xml:space="preserve">value </w:t>
      </w:r>
      <w:r w:rsidR="001C1848" w:rsidRPr="00926B90">
        <w:t>at 1</w:t>
      </w:r>
      <w:r w:rsidR="002E7523">
        <w:t> </w:t>
      </w:r>
      <w:r w:rsidR="001C1848" w:rsidRPr="00926B90">
        <w:t>J</w:t>
      </w:r>
      <w:r w:rsidR="001C1848">
        <w:t>anuary</w:t>
      </w:r>
      <w:r w:rsidR="001C1848" w:rsidRPr="00926B90">
        <w:t xml:space="preserve"> 201</w:t>
      </w:r>
      <w:r w:rsidR="001C1848">
        <w:t>6</w:t>
      </w:r>
      <w:r w:rsidR="001C1848" w:rsidRPr="00926B90">
        <w:t xml:space="preserve"> </w:t>
      </w:r>
      <w:r w:rsidR="001C1848">
        <w:t>of</w:t>
      </w:r>
      <w:r w:rsidR="001C1848" w:rsidRPr="00926B90">
        <w:t xml:space="preserve"> $</w:t>
      </w:r>
      <w:r w:rsidR="0071732C" w:rsidRPr="0071732C">
        <w:t>539.8</w:t>
      </w:r>
      <w:r w:rsidR="001C1848">
        <w:t xml:space="preserve"> million ($2015)</w:t>
      </w:r>
      <w:r w:rsidR="001C1848" w:rsidRPr="00926B90">
        <w:t xml:space="preserve">. This </w:t>
      </w:r>
      <w:r w:rsidR="001C1848">
        <w:t xml:space="preserve">value </w:t>
      </w:r>
      <w:r w:rsidR="001C1848" w:rsidRPr="00926B90">
        <w:t>includes existing asset</w:t>
      </w:r>
      <w:r w:rsidR="001C1848">
        <w:t>s</w:t>
      </w:r>
      <w:r w:rsidR="001C1848" w:rsidRPr="00926B90">
        <w:t xml:space="preserve"> at 1</w:t>
      </w:r>
      <w:r w:rsidR="002E7523">
        <w:t> </w:t>
      </w:r>
      <w:r w:rsidR="001C1848" w:rsidRPr="00926B90">
        <w:t>J</w:t>
      </w:r>
      <w:r w:rsidR="001C1848">
        <w:t>anuary</w:t>
      </w:r>
      <w:r w:rsidR="001C1848" w:rsidRPr="00926B90">
        <w:t xml:space="preserve"> 201</w:t>
      </w:r>
      <w:r w:rsidR="001C1848">
        <w:t>1</w:t>
      </w:r>
      <w:r w:rsidR="001C1848" w:rsidRPr="00926B90">
        <w:t xml:space="preserve"> of $</w:t>
      </w:r>
      <w:r w:rsidR="0071732C" w:rsidRPr="0071732C">
        <w:t>337.9</w:t>
      </w:r>
      <w:r w:rsidR="001C1848" w:rsidRPr="00926B90">
        <w:t xml:space="preserve"> million ($2015) and new asset</w:t>
      </w:r>
      <w:r w:rsidR="001C1848">
        <w:t>s</w:t>
      </w:r>
      <w:r w:rsidR="001C1848" w:rsidRPr="00926B90">
        <w:t xml:space="preserve"> of $</w:t>
      </w:r>
      <w:r w:rsidR="0071732C">
        <w:t>201.9</w:t>
      </w:r>
      <w:r w:rsidR="001C1848">
        <w:t xml:space="preserve"> million ($20</w:t>
      </w:r>
      <w:r w:rsidR="001C1848" w:rsidRPr="00926B90">
        <w:t>15) added to the asset class over the 201</w:t>
      </w:r>
      <w:r w:rsidR="001C1848">
        <w:t>1</w:t>
      </w:r>
      <w:r w:rsidR="001C1848" w:rsidRPr="00926B90">
        <w:t>–15 regulatory control period.</w:t>
      </w:r>
    </w:p>
    <w:p w:rsidR="001C1848" w:rsidRPr="00926B90" w:rsidRDefault="001C1848" w:rsidP="001C1848">
      <w:r>
        <w:fldChar w:fldCharType="begin"/>
      </w:r>
      <w:r>
        <w:instrText xml:space="preserve"> REF _Ref426703856 \h </w:instrText>
      </w:r>
      <w:r>
        <w:fldChar w:fldCharType="separate"/>
      </w:r>
      <w:r w:rsidR="008600C5" w:rsidRPr="008E3446">
        <w:t xml:space="preserve">Figure </w:t>
      </w:r>
      <w:r w:rsidR="008600C5">
        <w:rPr>
          <w:noProof/>
        </w:rPr>
        <w:t>5</w:t>
      </w:r>
      <w:r w:rsidR="008600C5" w:rsidRPr="008E3446">
        <w:t>.</w:t>
      </w:r>
      <w:r w:rsidR="008600C5">
        <w:rPr>
          <w:noProof/>
        </w:rPr>
        <w:t>1</w:t>
      </w:r>
      <w:r>
        <w:fldChar w:fldCharType="end"/>
      </w:r>
      <w:r>
        <w:t xml:space="preserve"> </w:t>
      </w:r>
      <w:r w:rsidRPr="00926B90">
        <w:t xml:space="preserve">shows the </w:t>
      </w:r>
      <w:r w:rsidR="0018033C">
        <w:t xml:space="preserve">impact of </w:t>
      </w:r>
      <w:r w:rsidR="00483C50">
        <w:t>United Energy</w:t>
      </w:r>
      <w:r>
        <w:t>'</w:t>
      </w:r>
      <w:r w:rsidR="00483C50">
        <w:t>s</w:t>
      </w:r>
      <w:r w:rsidRPr="00926B90">
        <w:t xml:space="preserve"> average depreciation approach (red line)</w:t>
      </w:r>
      <w:r w:rsidR="0018033C">
        <w:t xml:space="preserve"> compared to the WARL approach (blue line) </w:t>
      </w:r>
      <w:r w:rsidRPr="00926B90">
        <w:t xml:space="preserve">and </w:t>
      </w:r>
      <w:r w:rsidR="002E7523">
        <w:t xml:space="preserve">a year-by-year tracking </w:t>
      </w:r>
      <w:r w:rsidRPr="00926B90">
        <w:t>approach (stacked columns</w:t>
      </w:r>
      <w:r>
        <w:t xml:space="preserve">, with each bar representing a different </w:t>
      </w:r>
      <w:r w:rsidR="002E7523">
        <w:t>year of capex</w:t>
      </w:r>
      <w:r>
        <w:t xml:space="preserve"> that </w:t>
      </w:r>
      <w:r>
        <w:lastRenderedPageBreak/>
        <w:t>will expire at a different time)</w:t>
      </w:r>
      <w:r w:rsidRPr="00926B90">
        <w:t>.</w:t>
      </w:r>
      <w:r w:rsidR="00CD04BD">
        <w:rPr>
          <w:rStyle w:val="FootnoteReference"/>
        </w:rPr>
        <w:footnoteReference w:id="32"/>
      </w:r>
      <w:r w:rsidRPr="00926B90">
        <w:t xml:space="preserve"> </w:t>
      </w:r>
      <w:r w:rsidRPr="00777269">
        <w:t xml:space="preserve">This example assumes </w:t>
      </w:r>
      <w:r>
        <w:t>the</w:t>
      </w:r>
      <w:r w:rsidRPr="00777269">
        <w:t xml:space="preserve"> asset class</w:t>
      </w:r>
      <w:r>
        <w:t xml:space="preserve"> incur</w:t>
      </w:r>
      <w:r w:rsidR="00E616BC">
        <w:t>s</w:t>
      </w:r>
      <w:r>
        <w:t xml:space="preserve"> no further capex.</w:t>
      </w:r>
    </w:p>
    <w:p w:rsidR="008E3446" w:rsidRPr="008E3446" w:rsidRDefault="008E3446" w:rsidP="008E3446">
      <w:pPr>
        <w:pStyle w:val="Caption"/>
      </w:pPr>
      <w:bookmarkStart w:id="28" w:name="_Ref426703856"/>
      <w:proofErr w:type="gramStart"/>
      <w:r w:rsidRPr="008E3446">
        <w:t xml:space="preserve">Figure </w:t>
      </w:r>
      <w:r w:rsidR="00A95360">
        <w:fldChar w:fldCharType="begin"/>
      </w:r>
      <w:r w:rsidR="00A95360">
        <w:instrText xml:space="preserve"> STYLEREF 1 \s </w:instrText>
      </w:r>
      <w:r w:rsidR="00A95360">
        <w:fldChar w:fldCharType="separate"/>
      </w:r>
      <w:r w:rsidR="008600C5">
        <w:rPr>
          <w:noProof/>
        </w:rPr>
        <w:t>5</w:t>
      </w:r>
      <w:r w:rsidR="00A95360">
        <w:rPr>
          <w:noProof/>
        </w:rPr>
        <w:fldChar w:fldCharType="end"/>
      </w:r>
      <w:r w:rsidRPr="008E3446">
        <w:t>.</w:t>
      </w:r>
      <w:proofErr w:type="gramEnd"/>
      <w:r w:rsidR="00A95360">
        <w:fldChar w:fldCharType="begin"/>
      </w:r>
      <w:r w:rsidR="00A95360">
        <w:instrText xml:space="preserve"> SEQ Figure \* ARABIC \s 1 </w:instrText>
      </w:r>
      <w:r w:rsidR="00A95360">
        <w:fldChar w:fldCharType="separate"/>
      </w:r>
      <w:r w:rsidR="008600C5">
        <w:rPr>
          <w:noProof/>
        </w:rPr>
        <w:t>1</w:t>
      </w:r>
      <w:r w:rsidR="00A95360">
        <w:rPr>
          <w:noProof/>
        </w:rPr>
        <w:fldChar w:fldCharType="end"/>
      </w:r>
      <w:bookmarkEnd w:id="28"/>
      <w:r w:rsidRPr="008E3446">
        <w:tab/>
        <w:t xml:space="preserve">Projection of the value of assets for </w:t>
      </w:r>
      <w:r>
        <w:t>‘</w:t>
      </w:r>
      <w:proofErr w:type="spellStart"/>
      <w:r w:rsidRPr="008E3446">
        <w:t>Subtransmission</w:t>
      </w:r>
      <w:proofErr w:type="spellEnd"/>
      <w:r w:rsidRPr="008E3446">
        <w:t>' asset class over time ($million, 2015)</w:t>
      </w:r>
    </w:p>
    <w:p w:rsidR="00416A44" w:rsidRPr="00173EA3" w:rsidRDefault="008E3446" w:rsidP="00416A44">
      <w:pPr>
        <w:rPr>
          <w:highlight w:val="yellow"/>
        </w:rPr>
      </w:pPr>
      <w:r w:rsidRPr="008E3446">
        <w:rPr>
          <w:noProof/>
          <w:lang w:eastAsia="en-AU"/>
        </w:rPr>
        <w:drawing>
          <wp:inline distT="0" distB="0" distL="0" distR="0" wp14:anchorId="7403AFD9" wp14:editId="4C7E04ED">
            <wp:extent cx="5382895" cy="3821010"/>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2895" cy="3821010"/>
                    </a:xfrm>
                    <a:prstGeom prst="rect">
                      <a:avLst/>
                    </a:prstGeom>
                    <a:noFill/>
                    <a:ln>
                      <a:noFill/>
                    </a:ln>
                  </pic:spPr>
                </pic:pic>
              </a:graphicData>
            </a:graphic>
          </wp:inline>
        </w:drawing>
      </w:r>
    </w:p>
    <w:p w:rsidR="008E2DAD" w:rsidRDefault="008E2DAD" w:rsidP="0022497C">
      <w:pPr>
        <w:pStyle w:val="AERtablesource"/>
      </w:pPr>
      <w:r>
        <w:t xml:space="preserve">Source: </w:t>
      </w:r>
      <w:r>
        <w:tab/>
        <w:t>AER analysis.</w:t>
      </w:r>
    </w:p>
    <w:p w:rsidR="0035479E" w:rsidRPr="008E3446" w:rsidRDefault="0018033C" w:rsidP="008E3446">
      <w:r>
        <w:t>U</w:t>
      </w:r>
      <w:r w:rsidR="00483C50">
        <w:t xml:space="preserve">nder </w:t>
      </w:r>
      <w:r w:rsidR="002E7523">
        <w:t xml:space="preserve">year-by-year </w:t>
      </w:r>
      <w:r w:rsidR="00483C50">
        <w:t>tracking</w:t>
      </w:r>
      <w:r w:rsidR="00D363D7">
        <w:t xml:space="preserve"> approach</w:t>
      </w:r>
      <w:r w:rsidR="00483C50">
        <w:t xml:space="preserve"> </w:t>
      </w:r>
      <w:r w:rsidR="00483C50" w:rsidRPr="00926B90">
        <w:t xml:space="preserve">the </w:t>
      </w:r>
      <w:r>
        <w:t xml:space="preserve">value of </w:t>
      </w:r>
      <w:proofErr w:type="spellStart"/>
      <w:r>
        <w:t>subtransmission</w:t>
      </w:r>
      <w:proofErr w:type="spellEnd"/>
      <w:r>
        <w:t xml:space="preserve"> assets in the RAB as at 1 January 2016 </w:t>
      </w:r>
      <w:r w:rsidR="00263A6B">
        <w:t xml:space="preserve">will not be </w:t>
      </w:r>
      <w:r w:rsidR="00483C50" w:rsidRPr="00926B90">
        <w:t>fully depreciate</w:t>
      </w:r>
      <w:r w:rsidR="00263A6B">
        <w:t>d until</w:t>
      </w:r>
      <w:r w:rsidR="00483C50" w:rsidRPr="00926B90">
        <w:t xml:space="preserve"> </w:t>
      </w:r>
      <w:r w:rsidR="0071732C">
        <w:t>60</w:t>
      </w:r>
      <w:r w:rsidR="00483C50" w:rsidRPr="00926B90">
        <w:t xml:space="preserve"> years</w:t>
      </w:r>
      <w:r w:rsidR="00D363D7">
        <w:t xml:space="preserve"> </w:t>
      </w:r>
      <w:r w:rsidR="00263A6B">
        <w:t>into the future</w:t>
      </w:r>
      <w:r w:rsidR="00483C50" w:rsidRPr="00926B90">
        <w:t>.</w:t>
      </w:r>
      <w:r w:rsidR="00483C50">
        <w:t xml:space="preserve"> </w:t>
      </w:r>
      <w:r>
        <w:t xml:space="preserve">Under </w:t>
      </w:r>
      <w:r w:rsidR="00416A44" w:rsidRPr="008E3446">
        <w:t xml:space="preserve">United Energy’s </w:t>
      </w:r>
      <w:r>
        <w:t xml:space="preserve">proposed </w:t>
      </w:r>
      <w:r w:rsidR="00483C50">
        <w:t xml:space="preserve">average depreciation </w:t>
      </w:r>
      <w:r w:rsidR="00E9025D" w:rsidRPr="008E3446">
        <w:t xml:space="preserve">approach </w:t>
      </w:r>
      <w:r>
        <w:t>these</w:t>
      </w:r>
      <w:r w:rsidR="00D363D7">
        <w:t xml:space="preserve"> assets</w:t>
      </w:r>
      <w:r>
        <w:t xml:space="preserve"> </w:t>
      </w:r>
      <w:r w:rsidR="00E9025D" w:rsidRPr="008E3446">
        <w:t xml:space="preserve">would </w:t>
      </w:r>
      <w:r>
        <w:t xml:space="preserve">have </w:t>
      </w:r>
      <w:r w:rsidR="00E9025D" w:rsidRPr="008E3446">
        <w:t>be</w:t>
      </w:r>
      <w:r>
        <w:t>en</w:t>
      </w:r>
      <w:r w:rsidR="00416A44" w:rsidRPr="008E3446">
        <w:t xml:space="preserve"> fully depreciat</w:t>
      </w:r>
      <w:r w:rsidR="008E3446">
        <w:t xml:space="preserve">ed in 26 years. </w:t>
      </w:r>
      <w:r w:rsidR="00E9025D" w:rsidRPr="008E3446">
        <w:t>U</w:t>
      </w:r>
      <w:r w:rsidR="00416A44" w:rsidRPr="008E3446">
        <w:t xml:space="preserve">nder the </w:t>
      </w:r>
      <w:r>
        <w:t xml:space="preserve">AER’s preferred </w:t>
      </w:r>
      <w:r w:rsidR="00416A44" w:rsidRPr="008E3446">
        <w:t xml:space="preserve">WARL approach </w:t>
      </w:r>
      <w:r w:rsidR="00D363D7">
        <w:t>the assets</w:t>
      </w:r>
      <w:r w:rsidR="00D363D7" w:rsidRPr="008E3446">
        <w:t xml:space="preserve"> </w:t>
      </w:r>
      <w:r>
        <w:t xml:space="preserve">would </w:t>
      </w:r>
      <w:r w:rsidR="00D742CB">
        <w:t>be</w:t>
      </w:r>
      <w:r w:rsidR="00416A44" w:rsidRPr="008E3446">
        <w:t xml:space="preserve"> fully depreciated</w:t>
      </w:r>
      <w:r w:rsidR="008E3446">
        <w:t xml:space="preserve"> </w:t>
      </w:r>
      <w:r w:rsidR="00D742CB">
        <w:t xml:space="preserve">in </w:t>
      </w:r>
      <w:r w:rsidR="008E3446">
        <w:t xml:space="preserve">34 years. </w:t>
      </w:r>
      <w:r>
        <w:t>As illustrated in the figure above, t</w:t>
      </w:r>
      <w:r w:rsidR="00483C50">
        <w:t>he</w:t>
      </w:r>
      <w:r w:rsidR="00416A44" w:rsidRPr="008E3446">
        <w:t xml:space="preserve"> WARL approach leads to under</w:t>
      </w:r>
      <w:r w:rsidR="00E616BC">
        <w:t>-recovery</w:t>
      </w:r>
      <w:r w:rsidR="00416A44" w:rsidRPr="008E3446">
        <w:t xml:space="preserve"> and over</w:t>
      </w:r>
      <w:r w:rsidR="00E616BC">
        <w:t>-recovery of</w:t>
      </w:r>
      <w:r w:rsidR="00416A44" w:rsidRPr="008E3446">
        <w:t xml:space="preserve"> depreciation being balanced out through time</w:t>
      </w:r>
      <w:r>
        <w:t>—over the lives of all assets in the group</w:t>
      </w:r>
      <w:r w:rsidR="00D742CB">
        <w:t>.</w:t>
      </w:r>
      <w:r>
        <w:rPr>
          <w:rStyle w:val="FootnoteReference"/>
        </w:rPr>
        <w:footnoteReference w:id="33"/>
      </w:r>
      <w:r w:rsidR="00D742CB">
        <w:t xml:space="preserve"> </w:t>
      </w:r>
      <w:r w:rsidR="00416A44" w:rsidRPr="008E3446">
        <w:t xml:space="preserve">The average depreciation approach does not achieve this balancing, as there is no recognition of </w:t>
      </w:r>
      <w:r w:rsidR="00416A44" w:rsidRPr="008E3446">
        <w:lastRenderedPageBreak/>
        <w:t>when older assets expire.</w:t>
      </w:r>
      <w:r>
        <w:rPr>
          <w:rStyle w:val="FootnoteReference"/>
        </w:rPr>
        <w:footnoteReference w:id="34"/>
      </w:r>
      <w:r w:rsidR="00416A44" w:rsidRPr="008E3446">
        <w:t xml:space="preserve"> </w:t>
      </w:r>
      <w:r>
        <w:t>It leads to a shorter depreciation schedule that does not reflect the economic life of the assets. Therefore, we do not consider the average depreciation approach to be consistent with the NER.</w:t>
      </w:r>
      <w:r>
        <w:rPr>
          <w:rStyle w:val="FootnoteReference"/>
        </w:rPr>
        <w:footnoteReference w:id="35"/>
      </w:r>
    </w:p>
    <w:p w:rsidR="00263A6B" w:rsidRDefault="00263A6B" w:rsidP="00263A6B">
      <w:r>
        <w:t xml:space="preserve">As is shown in </w:t>
      </w:r>
      <w:r w:rsidR="00DD74E7">
        <w:fldChar w:fldCharType="begin"/>
      </w:r>
      <w:r w:rsidR="00DD74E7">
        <w:instrText xml:space="preserve"> REF _Ref426703856 \h </w:instrText>
      </w:r>
      <w:r w:rsidR="00DD74E7">
        <w:fldChar w:fldCharType="separate"/>
      </w:r>
      <w:r w:rsidR="008600C5" w:rsidRPr="008E3446">
        <w:t xml:space="preserve">Figure </w:t>
      </w:r>
      <w:r w:rsidR="008600C5">
        <w:rPr>
          <w:noProof/>
        </w:rPr>
        <w:t>5</w:t>
      </w:r>
      <w:r w:rsidR="008600C5" w:rsidRPr="008E3446">
        <w:t>.</w:t>
      </w:r>
      <w:r w:rsidR="008600C5">
        <w:rPr>
          <w:noProof/>
        </w:rPr>
        <w:t>1</w:t>
      </w:r>
      <w:r w:rsidR="00DD74E7">
        <w:fldChar w:fldCharType="end"/>
      </w:r>
      <w:r>
        <w:t>, all three approaches result in total depreciation equalling (in real terms) the initial value of the assets, and so all three approaches conform with clause 6.5.5(b)(2) of the NER.</w:t>
      </w:r>
      <w:r>
        <w:rPr>
          <w:rStyle w:val="FootnoteReference"/>
        </w:rPr>
        <w:footnoteReference w:id="36"/>
      </w:r>
      <w:r>
        <w:t xml:space="preserve"> However, the three approaches differ with regard to the fulfilment of clause 6.5.5(b</w:t>
      </w:r>
      <w:proofErr w:type="gramStart"/>
      <w:r>
        <w:t>)(</w:t>
      </w:r>
      <w:proofErr w:type="gramEnd"/>
      <w:r>
        <w:t>1) of the NER:</w:t>
      </w:r>
    </w:p>
    <w:p w:rsidR="00263A6B" w:rsidRDefault="00263A6B" w:rsidP="00263A6B">
      <w:pPr>
        <w:pStyle w:val="AERbulletlistfirststyle"/>
      </w:pPr>
      <w:r>
        <w:t>Average depreciation does not meet this requirement, because it brings forward a proportion of the assets' depreciation so that it is received earlier than the underlying economic life of the assets. The resulting depreciation schedules will reflect asset lives that are shorter than the standard asset lives assigned to the assets when capex is incurred.</w:t>
      </w:r>
    </w:p>
    <w:p w:rsidR="00263A6B" w:rsidRDefault="00263A6B" w:rsidP="00263A6B">
      <w:pPr>
        <w:pStyle w:val="AERbulletlistfirststyle"/>
      </w:pPr>
      <w:r>
        <w:t>Year-by-year tracking meets this requirement, because the depreciation received each year will reflect the underlying economic life of the assets. The resulting depreciation schedules will reflect the standard asset lives assigned to the assets when capex is incurred.</w:t>
      </w:r>
    </w:p>
    <w:p w:rsidR="00263A6B" w:rsidRPr="00140A7A" w:rsidRDefault="00263A6B" w:rsidP="00263A6B">
      <w:pPr>
        <w:pStyle w:val="AERbulletlistfirststyle"/>
      </w:pPr>
      <w:r>
        <w:t>WARL meets this requirement, because the depreciation received over the life of the assets will reflect the underlying economic life of the assets. Like the average depreciation approach, there will be some years where depreciation is received earlier than the underlying economic life of the assets. However, there will also be some years where depreciation is received later than the underlying economic life of the assets. These two effects will exactly offset each other. In aggregate, across the life of the assets, the resulting depreciation schedules will reflect the standard asset lives assigned to the assets when capex is incurred.</w:t>
      </w:r>
    </w:p>
    <w:p w:rsidR="0018033C" w:rsidRDefault="0018033C" w:rsidP="0018033C">
      <w:r>
        <w:t xml:space="preserve">Since </w:t>
      </w:r>
      <w:r w:rsidR="00263A6B">
        <w:t>we consider that th</w:t>
      </w:r>
      <w:r w:rsidR="006B1C4E">
        <w:t>e</w:t>
      </w:r>
      <w:r>
        <w:t xml:space="preserve"> depreciation schedules proposed by United Energy (based on average depreciation) do not conform </w:t>
      </w:r>
      <w:proofErr w:type="gramStart"/>
      <w:r>
        <w:t>with</w:t>
      </w:r>
      <w:proofErr w:type="gramEnd"/>
      <w:r>
        <w:t xml:space="preserve"> the NER, we are able to </w:t>
      </w:r>
      <w:r w:rsidR="006B1C4E">
        <w:t>apply</w:t>
      </w:r>
      <w:r>
        <w:t xml:space="preserve"> an alternative approach that does meet the legislative requirements.</w:t>
      </w:r>
      <w:r>
        <w:rPr>
          <w:rStyle w:val="FootnoteReference"/>
        </w:rPr>
        <w:footnoteReference w:id="37"/>
      </w:r>
      <w:r w:rsidRPr="0018033C">
        <w:t xml:space="preserve"> </w:t>
      </w:r>
      <w:r w:rsidR="00941800">
        <w:t>Of the available approaches w</w:t>
      </w:r>
      <w:r>
        <w:t>e prefer the WARL, because it:</w:t>
      </w:r>
    </w:p>
    <w:p w:rsidR="0018033C" w:rsidRDefault="0018033C" w:rsidP="0018033C">
      <w:pPr>
        <w:pStyle w:val="AERbulletlistfirststyle"/>
      </w:pPr>
      <w:r>
        <w:t>meets the requirements of the NER, in that it produces depreciation schedules that align with the economic life of the assets</w:t>
      </w:r>
    </w:p>
    <w:p w:rsidR="0018033C" w:rsidRDefault="0018033C" w:rsidP="0018033C">
      <w:pPr>
        <w:pStyle w:val="AERbulletlistfirststyle"/>
      </w:pPr>
      <w:r>
        <w:t>avoids the additional complexity inherent in year-by-year tracking, which brings with it additional administration costs and increased risk of error</w:t>
      </w:r>
    </w:p>
    <w:p w:rsidR="0018033C" w:rsidRDefault="0018033C" w:rsidP="0018033C">
      <w:pPr>
        <w:pStyle w:val="AERbulletlistfirststyle"/>
      </w:pPr>
      <w:proofErr w:type="gramStart"/>
      <w:r>
        <w:t>reduces</w:t>
      </w:r>
      <w:proofErr w:type="gramEnd"/>
      <w:r>
        <w:t xml:space="preserve"> the variability in depreciation schedules that may arise under year-by-year tracking.</w:t>
      </w:r>
    </w:p>
    <w:p w:rsidR="00DC53F7" w:rsidRDefault="00DC53F7" w:rsidP="003E5544">
      <w:r>
        <w:lastRenderedPageBreak/>
        <w:t>At the time of this preliminary decision, the roll forward of United Energy’s RAB includes estimated capex values for 2015. We expect to update the 2015 estimated capex values for</w:t>
      </w:r>
      <w:r w:rsidRPr="00926B90">
        <w:t xml:space="preserve"> the </w:t>
      </w:r>
      <w:r>
        <w:t xml:space="preserve">final </w:t>
      </w:r>
      <w:r w:rsidRPr="00926B90">
        <w:t>decision</w:t>
      </w:r>
      <w:r>
        <w:t>. Those capex values are used to calculate remaining asset lives under the WARL approach. Therefore, for the final decision,</w:t>
      </w:r>
      <w:r w:rsidRPr="00926B90">
        <w:t xml:space="preserve"> we will recalculate </w:t>
      </w:r>
      <w:r>
        <w:t>United Energy</w:t>
      </w:r>
      <w:r w:rsidRPr="00926B90">
        <w:t>'</w:t>
      </w:r>
      <w:r>
        <w:t>s</w:t>
      </w:r>
      <w:r w:rsidRPr="00926B90">
        <w:t xml:space="preserve"> remaining asset lives at 1 J</w:t>
      </w:r>
      <w:r>
        <w:t>anuary</w:t>
      </w:r>
      <w:r w:rsidRPr="00926B90">
        <w:t xml:space="preserve"> 201</w:t>
      </w:r>
      <w:r>
        <w:t>6</w:t>
      </w:r>
      <w:r w:rsidRPr="00926B90">
        <w:t xml:space="preserve"> </w:t>
      </w:r>
      <w:r>
        <w:t>using the method approved in this preliminary decision</w:t>
      </w:r>
      <w:r w:rsidRPr="00926B90">
        <w:t>.</w:t>
      </w:r>
    </w:p>
    <w:p w:rsidR="00DC53F7" w:rsidRDefault="00D35F38" w:rsidP="00DC53F7">
      <w:pPr>
        <w:numPr>
          <w:ilvl w:val="0"/>
          <w:numId w:val="24"/>
        </w:numPr>
      </w:pPr>
      <w:r>
        <w:fldChar w:fldCharType="begin"/>
      </w:r>
      <w:r>
        <w:instrText xml:space="preserve"> REF _Ref426705087 \h </w:instrText>
      </w:r>
      <w:r>
        <w:fldChar w:fldCharType="separate"/>
      </w:r>
      <w:r w:rsidR="008600C5">
        <w:t xml:space="preserve">Table </w:t>
      </w:r>
      <w:r w:rsidR="008600C5">
        <w:rPr>
          <w:noProof/>
        </w:rPr>
        <w:t>5</w:t>
      </w:r>
      <w:r w:rsidR="008600C5">
        <w:t>.</w:t>
      </w:r>
      <w:r w:rsidR="008600C5">
        <w:rPr>
          <w:noProof/>
        </w:rPr>
        <w:t>4</w:t>
      </w:r>
      <w:r>
        <w:fldChar w:fldCharType="end"/>
      </w:r>
      <w:r w:rsidR="00DC53F7">
        <w:t xml:space="preserve"> </w:t>
      </w:r>
      <w:r w:rsidR="00DC53F7" w:rsidRPr="00926B90">
        <w:t xml:space="preserve">sets out our preliminary decision on </w:t>
      </w:r>
      <w:r w:rsidR="00DC53F7">
        <w:t>United Energy’s</w:t>
      </w:r>
      <w:r w:rsidR="00DC53F7" w:rsidRPr="00926B90">
        <w:t xml:space="preserve"> remaining asset lives for the 201</w:t>
      </w:r>
      <w:r w:rsidR="00DC53F7">
        <w:t>6</w:t>
      </w:r>
      <w:r w:rsidR="00DC53F7" w:rsidRPr="00926B90">
        <w:t xml:space="preserve">–20 regulatory control </w:t>
      </w:r>
      <w:proofErr w:type="gramStart"/>
      <w:r w:rsidR="00DC53F7" w:rsidRPr="00926B90">
        <w:t>period</w:t>
      </w:r>
      <w:proofErr w:type="gramEnd"/>
      <w:r w:rsidR="00DC53F7" w:rsidRPr="00926B90">
        <w:t xml:space="preserve">. </w:t>
      </w:r>
    </w:p>
    <w:p w:rsidR="00DC53F7" w:rsidRPr="00926B90" w:rsidRDefault="00DC53F7" w:rsidP="00DC53F7">
      <w:pPr>
        <w:pStyle w:val="Caption"/>
      </w:pPr>
      <w:bookmarkStart w:id="29" w:name="_Ref426705087"/>
      <w:proofErr w:type="gramStart"/>
      <w:r>
        <w:t xml:space="preserve">Table </w:t>
      </w:r>
      <w:r w:rsidR="00A95360">
        <w:fldChar w:fldCharType="begin"/>
      </w:r>
      <w:r w:rsidR="00A95360">
        <w:instrText xml:space="preserve"> STYLEREF 1 \s </w:instrText>
      </w:r>
      <w:r w:rsidR="00A95360">
        <w:fldChar w:fldCharType="separate"/>
      </w:r>
      <w:r w:rsidR="008600C5">
        <w:rPr>
          <w:noProof/>
        </w:rPr>
        <w:t>5</w:t>
      </w:r>
      <w:r w:rsidR="00A95360">
        <w:rPr>
          <w:noProof/>
        </w:rPr>
        <w:fldChar w:fldCharType="end"/>
      </w:r>
      <w:r>
        <w:t>.</w:t>
      </w:r>
      <w:proofErr w:type="gramEnd"/>
      <w:r w:rsidR="00A95360">
        <w:fldChar w:fldCharType="begin"/>
      </w:r>
      <w:r w:rsidR="00A95360">
        <w:instrText xml:space="preserve"> SEQ Table \* ARABIC \s 1 </w:instrText>
      </w:r>
      <w:r w:rsidR="00A95360">
        <w:fldChar w:fldCharType="separate"/>
      </w:r>
      <w:r w:rsidR="008600C5">
        <w:rPr>
          <w:noProof/>
        </w:rPr>
        <w:t>4</w:t>
      </w:r>
      <w:r w:rsidR="00A95360">
        <w:rPr>
          <w:noProof/>
        </w:rPr>
        <w:fldChar w:fldCharType="end"/>
      </w:r>
      <w:bookmarkEnd w:id="29"/>
      <w:r>
        <w:tab/>
      </w:r>
      <w:r w:rsidRPr="003119AB">
        <w:t xml:space="preserve">AER's preliminary decision on </w:t>
      </w:r>
      <w:r>
        <w:t>United Energy’s</w:t>
      </w:r>
      <w:r w:rsidRPr="003119AB">
        <w:t xml:space="preserve"> standard and remaining asset lives at 1 J</w:t>
      </w:r>
      <w:r>
        <w:t xml:space="preserve">anuary </w:t>
      </w:r>
      <w:r w:rsidRPr="003119AB">
        <w:t>201</w:t>
      </w:r>
      <w:r>
        <w:t>6</w:t>
      </w:r>
      <w:r w:rsidRPr="003119AB">
        <w:t xml:space="preserve"> (years)</w:t>
      </w:r>
    </w:p>
    <w:tbl>
      <w:tblPr>
        <w:tblStyle w:val="AERtable-numbers"/>
        <w:tblW w:w="8755" w:type="dxa"/>
        <w:tblLook w:val="04A0" w:firstRow="1" w:lastRow="0" w:firstColumn="1" w:lastColumn="0" w:noHBand="0" w:noVBand="1"/>
      </w:tblPr>
      <w:tblGrid>
        <w:gridCol w:w="3936"/>
        <w:gridCol w:w="2551"/>
        <w:gridCol w:w="2268"/>
      </w:tblGrid>
      <w:tr w:rsidR="00DC53F7" w:rsidRPr="004101BA" w:rsidTr="002249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6" w:type="dxa"/>
            <w:noWrap/>
            <w:hideMark/>
          </w:tcPr>
          <w:p w:rsidR="00DC53F7" w:rsidRPr="00926B90" w:rsidRDefault="00DC53F7" w:rsidP="00DC53F7">
            <w:r w:rsidRPr="00926B90">
              <w:t>Asset class</w:t>
            </w:r>
          </w:p>
        </w:tc>
        <w:tc>
          <w:tcPr>
            <w:tcW w:w="2551" w:type="dxa"/>
            <w:noWrap/>
            <w:hideMark/>
          </w:tcPr>
          <w:p w:rsidR="00DC53F7" w:rsidRPr="00926B90" w:rsidRDefault="00DC53F7" w:rsidP="00DC53F7">
            <w:pPr>
              <w:cnfStyle w:val="100000000000" w:firstRow="1" w:lastRow="0" w:firstColumn="0" w:lastColumn="0" w:oddVBand="0" w:evenVBand="0" w:oddHBand="0" w:evenHBand="0" w:firstRowFirstColumn="0" w:firstRowLastColumn="0" w:lastRowFirstColumn="0" w:lastRowLastColumn="0"/>
            </w:pPr>
            <w:r w:rsidRPr="00926B90">
              <w:t xml:space="preserve">Standard asset life </w:t>
            </w:r>
          </w:p>
        </w:tc>
        <w:tc>
          <w:tcPr>
            <w:tcW w:w="2268" w:type="dxa"/>
            <w:noWrap/>
            <w:hideMark/>
          </w:tcPr>
          <w:p w:rsidR="00DC53F7" w:rsidRPr="00926B90" w:rsidRDefault="00DC53F7" w:rsidP="00CB303D">
            <w:pPr>
              <w:cnfStyle w:val="100000000000" w:firstRow="1" w:lastRow="0" w:firstColumn="0" w:lastColumn="0" w:oddVBand="0" w:evenVBand="0" w:oddHBand="0" w:evenHBand="0" w:firstRowFirstColumn="0" w:firstRowLastColumn="0" w:lastRowFirstColumn="0" w:lastRowLastColumn="0"/>
            </w:pPr>
            <w:r w:rsidRPr="00926B90">
              <w:t>Remaining asset life</w:t>
            </w:r>
            <w:r w:rsidR="00EA5B2A">
              <w:t xml:space="preserve"> </w:t>
            </w:r>
            <w:r w:rsidRPr="00926B90">
              <w:t>as at 1 J</w:t>
            </w:r>
            <w:r w:rsidR="00CB303D">
              <w:t xml:space="preserve">anuary </w:t>
            </w:r>
            <w:r w:rsidRPr="00926B90">
              <w:t>201</w:t>
            </w:r>
            <w:r w:rsidR="00CB303D">
              <w:t>6</w:t>
            </w:r>
            <w:r w:rsidRPr="00926B90">
              <w:t xml:space="preserve"> </w:t>
            </w:r>
          </w:p>
        </w:tc>
      </w:tr>
      <w:tr w:rsidR="002163A5" w:rsidRPr="004101BA" w:rsidTr="0022497C">
        <w:trPr>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hideMark/>
          </w:tcPr>
          <w:p w:rsidR="002163A5" w:rsidRPr="002163A5" w:rsidRDefault="002163A5" w:rsidP="002163A5">
            <w:proofErr w:type="spellStart"/>
            <w:r w:rsidRPr="002163A5">
              <w:t>Subtransmission</w:t>
            </w:r>
            <w:proofErr w:type="spellEnd"/>
          </w:p>
        </w:tc>
        <w:tc>
          <w:tcPr>
            <w:tcW w:w="2551" w:type="dxa"/>
            <w:noWrap/>
            <w:vAlign w:val="bottom"/>
            <w:hideMark/>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rsidRPr="002163A5">
              <w:t>60.0</w:t>
            </w:r>
          </w:p>
        </w:tc>
        <w:tc>
          <w:tcPr>
            <w:tcW w:w="2268" w:type="dxa"/>
            <w:noWrap/>
            <w:vAlign w:val="bottom"/>
            <w:hideMark/>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rsidRPr="002163A5">
              <w:t>33.6</w:t>
            </w:r>
          </w:p>
        </w:tc>
      </w:tr>
      <w:tr w:rsidR="002163A5" w:rsidRPr="004101BA" w:rsidTr="0022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hideMark/>
          </w:tcPr>
          <w:p w:rsidR="002163A5" w:rsidRPr="002163A5" w:rsidRDefault="002163A5" w:rsidP="002163A5">
            <w:r w:rsidRPr="002163A5">
              <w:t>Distribution system assets</w:t>
            </w:r>
          </w:p>
        </w:tc>
        <w:tc>
          <w:tcPr>
            <w:tcW w:w="2551" w:type="dxa"/>
            <w:noWrap/>
            <w:vAlign w:val="bottom"/>
            <w:hideMark/>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rsidRPr="002163A5">
              <w:t>35.6</w:t>
            </w:r>
          </w:p>
        </w:tc>
        <w:tc>
          <w:tcPr>
            <w:tcW w:w="2268" w:type="dxa"/>
            <w:noWrap/>
            <w:vAlign w:val="bottom"/>
            <w:hideMark/>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rsidRPr="002163A5">
              <w:t>25.3</w:t>
            </w:r>
          </w:p>
        </w:tc>
      </w:tr>
      <w:tr w:rsidR="002163A5" w:rsidRPr="004101BA" w:rsidTr="0022497C">
        <w:trPr>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hideMark/>
          </w:tcPr>
          <w:p w:rsidR="002163A5" w:rsidRPr="002163A5" w:rsidRDefault="002163A5" w:rsidP="002163A5">
            <w:r w:rsidRPr="002163A5">
              <w:t>Metering</w:t>
            </w:r>
          </w:p>
        </w:tc>
        <w:tc>
          <w:tcPr>
            <w:tcW w:w="2551" w:type="dxa"/>
            <w:noWrap/>
            <w:vAlign w:val="bottom"/>
            <w:hideMark/>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rsidRPr="002163A5">
              <w:t>n/a</w:t>
            </w:r>
          </w:p>
        </w:tc>
        <w:tc>
          <w:tcPr>
            <w:tcW w:w="2268" w:type="dxa"/>
            <w:noWrap/>
            <w:vAlign w:val="bottom"/>
            <w:hideMark/>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rsidRPr="002163A5">
              <w:t>1.0</w:t>
            </w:r>
          </w:p>
        </w:tc>
      </w:tr>
      <w:tr w:rsidR="002163A5" w:rsidRPr="004101BA" w:rsidTr="0022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hideMark/>
          </w:tcPr>
          <w:p w:rsidR="002163A5" w:rsidRPr="002163A5" w:rsidRDefault="002163A5" w:rsidP="00EA5B2A">
            <w:r w:rsidRPr="002163A5">
              <w:t xml:space="preserve">Public </w:t>
            </w:r>
            <w:r w:rsidR="00EA5B2A">
              <w:t>l</w:t>
            </w:r>
            <w:r w:rsidRPr="002163A5">
              <w:t>ighting</w:t>
            </w:r>
          </w:p>
        </w:tc>
        <w:tc>
          <w:tcPr>
            <w:tcW w:w="2551" w:type="dxa"/>
            <w:noWrap/>
            <w:vAlign w:val="bottom"/>
            <w:hideMark/>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rsidRPr="002163A5">
              <w:t>n/a</w:t>
            </w:r>
          </w:p>
        </w:tc>
        <w:tc>
          <w:tcPr>
            <w:tcW w:w="2268" w:type="dxa"/>
            <w:noWrap/>
            <w:vAlign w:val="bottom"/>
            <w:hideMark/>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rsidRPr="002163A5">
              <w:t>1.8</w:t>
            </w:r>
          </w:p>
        </w:tc>
      </w:tr>
      <w:tr w:rsidR="002163A5" w:rsidRPr="004101BA" w:rsidTr="0022497C">
        <w:trPr>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tcPr>
          <w:p w:rsidR="002163A5" w:rsidRPr="002163A5" w:rsidRDefault="002163A5" w:rsidP="002163A5">
            <w:r w:rsidRPr="002163A5">
              <w:t>SCADA (5-year asset)</w:t>
            </w:r>
          </w:p>
        </w:tc>
        <w:tc>
          <w:tcPr>
            <w:tcW w:w="2551" w:type="dxa"/>
            <w:noWrap/>
            <w:vAlign w:val="bottom"/>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rsidRPr="002163A5">
              <w:t>5.0</w:t>
            </w:r>
          </w:p>
        </w:tc>
        <w:tc>
          <w:tcPr>
            <w:tcW w:w="2268" w:type="dxa"/>
            <w:noWrap/>
            <w:vAlign w:val="bottom"/>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rsidRPr="002163A5">
              <w:t>2.3</w:t>
            </w:r>
          </w:p>
        </w:tc>
      </w:tr>
      <w:tr w:rsidR="002163A5" w:rsidRPr="004101BA" w:rsidTr="0022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tcPr>
          <w:p w:rsidR="002163A5" w:rsidRPr="002163A5" w:rsidRDefault="002163A5" w:rsidP="002163A5">
            <w:r w:rsidRPr="002163A5">
              <w:t>Non network - IT</w:t>
            </w:r>
          </w:p>
        </w:tc>
        <w:tc>
          <w:tcPr>
            <w:tcW w:w="2551" w:type="dxa"/>
            <w:noWrap/>
            <w:vAlign w:val="bottom"/>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rsidRPr="002163A5">
              <w:t>5.0</w:t>
            </w:r>
          </w:p>
        </w:tc>
        <w:tc>
          <w:tcPr>
            <w:tcW w:w="2268" w:type="dxa"/>
            <w:noWrap/>
            <w:vAlign w:val="bottom"/>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rsidRPr="002163A5">
              <w:t>3.6</w:t>
            </w:r>
          </w:p>
        </w:tc>
      </w:tr>
      <w:tr w:rsidR="002163A5" w:rsidRPr="004101BA" w:rsidTr="0022497C">
        <w:trPr>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tcPr>
          <w:p w:rsidR="002163A5" w:rsidRPr="002163A5" w:rsidRDefault="002163A5" w:rsidP="002163A5">
            <w:r w:rsidRPr="002163A5">
              <w:t>Non network - other</w:t>
            </w:r>
          </w:p>
        </w:tc>
        <w:tc>
          <w:tcPr>
            <w:tcW w:w="2551" w:type="dxa"/>
            <w:noWrap/>
            <w:vAlign w:val="bottom"/>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rsidRPr="002163A5">
              <w:t>7.5</w:t>
            </w:r>
          </w:p>
        </w:tc>
        <w:tc>
          <w:tcPr>
            <w:tcW w:w="2268" w:type="dxa"/>
            <w:noWrap/>
            <w:vAlign w:val="bottom"/>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rsidRPr="002163A5">
              <w:t>5.2</w:t>
            </w:r>
          </w:p>
        </w:tc>
      </w:tr>
      <w:tr w:rsidR="002163A5" w:rsidRPr="004101BA" w:rsidTr="0022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hideMark/>
          </w:tcPr>
          <w:p w:rsidR="002163A5" w:rsidRPr="002163A5" w:rsidRDefault="002163A5" w:rsidP="00EA5B2A">
            <w:r w:rsidRPr="002163A5">
              <w:t xml:space="preserve">Neutral </w:t>
            </w:r>
            <w:r w:rsidR="00EA5B2A">
              <w:t>s</w:t>
            </w:r>
            <w:r w:rsidRPr="002163A5">
              <w:t xml:space="preserve">creen </w:t>
            </w:r>
            <w:proofErr w:type="spellStart"/>
            <w:r w:rsidR="00EA5B2A">
              <w:t>s</w:t>
            </w:r>
            <w:r w:rsidRPr="002163A5">
              <w:t>ervices</w:t>
            </w:r>
            <w:r w:rsidRPr="0022497C">
              <w:rPr>
                <w:rStyle w:val="AERsuperscript"/>
              </w:rPr>
              <w:t>a</w:t>
            </w:r>
            <w:proofErr w:type="spellEnd"/>
          </w:p>
        </w:tc>
        <w:tc>
          <w:tcPr>
            <w:tcW w:w="2551" w:type="dxa"/>
            <w:noWrap/>
            <w:vAlign w:val="bottom"/>
            <w:hideMark/>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rsidRPr="002163A5">
              <w:t>n/a</w:t>
            </w:r>
          </w:p>
        </w:tc>
        <w:tc>
          <w:tcPr>
            <w:tcW w:w="2268" w:type="dxa"/>
            <w:noWrap/>
            <w:vAlign w:val="bottom"/>
            <w:hideMark/>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t>1.0</w:t>
            </w:r>
          </w:p>
        </w:tc>
      </w:tr>
      <w:tr w:rsidR="002163A5" w:rsidRPr="004101BA" w:rsidTr="0022497C">
        <w:trPr>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hideMark/>
          </w:tcPr>
          <w:p w:rsidR="002163A5" w:rsidRPr="002163A5" w:rsidRDefault="002163A5" w:rsidP="00EA5B2A">
            <w:r w:rsidRPr="002163A5">
              <w:t xml:space="preserve">Distribution </w:t>
            </w:r>
            <w:r w:rsidR="00EA5B2A">
              <w:t>t</w:t>
            </w:r>
            <w:r w:rsidRPr="002163A5">
              <w:t xml:space="preserve">ransformers </w:t>
            </w:r>
            <w:proofErr w:type="spellStart"/>
            <w:r w:rsidRPr="002163A5">
              <w:t>upgrades</w:t>
            </w:r>
            <w:r w:rsidRPr="0022497C">
              <w:rPr>
                <w:rStyle w:val="AERsuperscript"/>
              </w:rPr>
              <w:t>a</w:t>
            </w:r>
            <w:proofErr w:type="spellEnd"/>
          </w:p>
        </w:tc>
        <w:tc>
          <w:tcPr>
            <w:tcW w:w="2551" w:type="dxa"/>
            <w:noWrap/>
            <w:vAlign w:val="bottom"/>
            <w:hideMark/>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rsidRPr="002163A5">
              <w:t>n/a</w:t>
            </w:r>
          </w:p>
        </w:tc>
        <w:tc>
          <w:tcPr>
            <w:tcW w:w="2268" w:type="dxa"/>
            <w:noWrap/>
            <w:vAlign w:val="bottom"/>
            <w:hideMark/>
          </w:tcPr>
          <w:p w:rsidR="002163A5" w:rsidRPr="002163A5" w:rsidRDefault="002163A5" w:rsidP="002163A5">
            <w:pPr>
              <w:cnfStyle w:val="000000000000" w:firstRow="0" w:lastRow="0" w:firstColumn="0" w:lastColumn="0" w:oddVBand="0" w:evenVBand="0" w:oddHBand="0" w:evenHBand="0" w:firstRowFirstColumn="0" w:firstRowLastColumn="0" w:lastRowFirstColumn="0" w:lastRowLastColumn="0"/>
            </w:pPr>
            <w:r>
              <w:t>1.0</w:t>
            </w:r>
          </w:p>
        </w:tc>
      </w:tr>
      <w:tr w:rsidR="002163A5" w:rsidRPr="004101BA" w:rsidTr="0022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6" w:type="dxa"/>
            <w:noWrap/>
            <w:vAlign w:val="bottom"/>
            <w:hideMark/>
          </w:tcPr>
          <w:p w:rsidR="002163A5" w:rsidRPr="002163A5" w:rsidRDefault="002163A5" w:rsidP="002163A5">
            <w:r w:rsidRPr="002163A5">
              <w:t>SCADA (10-year asset)</w:t>
            </w:r>
          </w:p>
        </w:tc>
        <w:tc>
          <w:tcPr>
            <w:tcW w:w="2551" w:type="dxa"/>
            <w:noWrap/>
            <w:vAlign w:val="bottom"/>
            <w:hideMark/>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rsidRPr="002163A5">
              <w:t>10.0</w:t>
            </w:r>
          </w:p>
        </w:tc>
        <w:tc>
          <w:tcPr>
            <w:tcW w:w="2268" w:type="dxa"/>
            <w:noWrap/>
            <w:vAlign w:val="bottom"/>
            <w:hideMark/>
          </w:tcPr>
          <w:p w:rsidR="002163A5" w:rsidRPr="002163A5" w:rsidRDefault="002163A5" w:rsidP="002163A5">
            <w:pPr>
              <w:cnfStyle w:val="000000010000" w:firstRow="0" w:lastRow="0" w:firstColumn="0" w:lastColumn="0" w:oddVBand="0" w:evenVBand="0" w:oddHBand="0" w:evenHBand="1" w:firstRowFirstColumn="0" w:firstRowLastColumn="0" w:lastRowFirstColumn="0" w:lastRowLastColumn="0"/>
            </w:pPr>
            <w:r w:rsidRPr="002163A5">
              <w:t>n/a</w:t>
            </w:r>
          </w:p>
        </w:tc>
      </w:tr>
      <w:tr w:rsidR="00DC53F7" w:rsidRPr="004101BA" w:rsidTr="0022497C">
        <w:trPr>
          <w:trHeight w:val="300"/>
        </w:trPr>
        <w:tc>
          <w:tcPr>
            <w:cnfStyle w:val="001000000000" w:firstRow="0" w:lastRow="0" w:firstColumn="1" w:lastColumn="0" w:oddVBand="0" w:evenVBand="0" w:oddHBand="0" w:evenHBand="0" w:firstRowFirstColumn="0" w:firstRowLastColumn="0" w:lastRowFirstColumn="0" w:lastRowLastColumn="0"/>
            <w:tcW w:w="3936" w:type="dxa"/>
            <w:noWrap/>
            <w:hideMark/>
          </w:tcPr>
          <w:p w:rsidR="00DC53F7" w:rsidRPr="00926B90" w:rsidRDefault="00DC53F7" w:rsidP="00DC53F7">
            <w:r w:rsidRPr="00926B90">
              <w:t>Land</w:t>
            </w:r>
          </w:p>
        </w:tc>
        <w:tc>
          <w:tcPr>
            <w:tcW w:w="2551" w:type="dxa"/>
            <w:noWrap/>
            <w:hideMark/>
          </w:tcPr>
          <w:p w:rsidR="00DC53F7" w:rsidRPr="00926B90" w:rsidRDefault="00DC53F7" w:rsidP="00DC53F7">
            <w:pPr>
              <w:cnfStyle w:val="000000000000" w:firstRow="0" w:lastRow="0" w:firstColumn="0" w:lastColumn="0" w:oddVBand="0" w:evenVBand="0" w:oddHBand="0" w:evenHBand="0" w:firstRowFirstColumn="0" w:firstRowLastColumn="0" w:lastRowFirstColumn="0" w:lastRowLastColumn="0"/>
            </w:pPr>
            <w:r w:rsidRPr="00926B90">
              <w:t>n/a</w:t>
            </w:r>
          </w:p>
        </w:tc>
        <w:tc>
          <w:tcPr>
            <w:tcW w:w="2268" w:type="dxa"/>
            <w:noWrap/>
            <w:hideMark/>
          </w:tcPr>
          <w:p w:rsidR="00DC53F7" w:rsidRPr="00926B90" w:rsidRDefault="00DC53F7" w:rsidP="00DC53F7">
            <w:pPr>
              <w:cnfStyle w:val="000000000000" w:firstRow="0" w:lastRow="0" w:firstColumn="0" w:lastColumn="0" w:oddVBand="0" w:evenVBand="0" w:oddHBand="0" w:evenHBand="0" w:firstRowFirstColumn="0" w:firstRowLastColumn="0" w:lastRowFirstColumn="0" w:lastRowLastColumn="0"/>
            </w:pPr>
            <w:r w:rsidRPr="00926B90">
              <w:t>n/a</w:t>
            </w:r>
          </w:p>
        </w:tc>
      </w:tr>
      <w:tr w:rsidR="00AA0D59" w:rsidRPr="004101BA" w:rsidTr="0022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6" w:type="dxa"/>
            <w:noWrap/>
          </w:tcPr>
          <w:p w:rsidR="00AA0D59" w:rsidRPr="00926B90" w:rsidRDefault="00AA0D59" w:rsidP="00DC53F7">
            <w:r>
              <w:t>Equity raising costs</w:t>
            </w:r>
          </w:p>
        </w:tc>
        <w:tc>
          <w:tcPr>
            <w:tcW w:w="2551" w:type="dxa"/>
            <w:noWrap/>
          </w:tcPr>
          <w:p w:rsidR="00AA0D59" w:rsidRPr="00926B90" w:rsidRDefault="00AA0D59" w:rsidP="00DC53F7">
            <w:pPr>
              <w:cnfStyle w:val="000000010000" w:firstRow="0" w:lastRow="0" w:firstColumn="0" w:lastColumn="0" w:oddVBand="0" w:evenVBand="0" w:oddHBand="0" w:evenHBand="1" w:firstRowFirstColumn="0" w:firstRowLastColumn="0" w:lastRowFirstColumn="0" w:lastRowLastColumn="0"/>
            </w:pPr>
            <w:r>
              <w:t>40.4</w:t>
            </w:r>
          </w:p>
        </w:tc>
        <w:tc>
          <w:tcPr>
            <w:tcW w:w="2268" w:type="dxa"/>
            <w:noWrap/>
          </w:tcPr>
          <w:p w:rsidR="00AA0D59" w:rsidRPr="00926B90" w:rsidRDefault="00AA0D59" w:rsidP="00DC53F7">
            <w:pPr>
              <w:cnfStyle w:val="000000010000" w:firstRow="0" w:lastRow="0" w:firstColumn="0" w:lastColumn="0" w:oddVBand="0" w:evenVBand="0" w:oddHBand="0" w:evenHBand="1" w:firstRowFirstColumn="0" w:firstRowLastColumn="0" w:lastRowFirstColumn="0" w:lastRowLastColumn="0"/>
            </w:pPr>
            <w:r>
              <w:t>36.4</w:t>
            </w:r>
          </w:p>
        </w:tc>
      </w:tr>
    </w:tbl>
    <w:p w:rsidR="00DC53F7" w:rsidRPr="00926B90" w:rsidRDefault="00DC53F7" w:rsidP="00DC53F7">
      <w:pPr>
        <w:pStyle w:val="AERtablesource"/>
      </w:pPr>
      <w:r w:rsidRPr="00926B90">
        <w:t>Source:</w:t>
      </w:r>
      <w:r w:rsidRPr="00926B90">
        <w:tab/>
        <w:t xml:space="preserve">AER analysis. </w:t>
      </w:r>
    </w:p>
    <w:p w:rsidR="00DC53F7" w:rsidRDefault="00DC53F7" w:rsidP="00DC53F7">
      <w:pPr>
        <w:pStyle w:val="AERtablesource"/>
      </w:pPr>
      <w:r w:rsidRPr="00926B90">
        <w:t xml:space="preserve">n/a: </w:t>
      </w:r>
      <w:r w:rsidRPr="00926B90">
        <w:tab/>
        <w:t xml:space="preserve">not applicable. </w:t>
      </w:r>
    </w:p>
    <w:p w:rsidR="00474EC7" w:rsidRPr="00474EC7" w:rsidRDefault="002163A5" w:rsidP="00D35F38">
      <w:pPr>
        <w:pStyle w:val="AERtablesource"/>
      </w:pPr>
      <w:r>
        <w:t>(</w:t>
      </w:r>
      <w:proofErr w:type="gramStart"/>
      <w:r>
        <w:t>a</w:t>
      </w:r>
      <w:proofErr w:type="gramEnd"/>
      <w:r>
        <w:t>):</w:t>
      </w:r>
      <w:r>
        <w:tab/>
        <w:t>Under the weighted average method, the remaining asset life is calculated as ‘n/a’. However, the RAB roll forward produces a residual value at 3</w:t>
      </w:r>
      <w:r w:rsidR="00D35F38">
        <w:t>1</w:t>
      </w:r>
      <w:r>
        <w:t xml:space="preserve"> </w:t>
      </w:r>
      <w:r w:rsidR="00D35F38">
        <w:t>December</w:t>
      </w:r>
      <w:r>
        <w:t xml:space="preserve"> 2015, and so assigning a remaining asset life of 1 year to fully depreciate (by way of writing off) the residual value is appropriate in this case. Applying ‘n/a’ means the residual value remains in the RAB and does not depreciate.</w:t>
      </w:r>
    </w:p>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44" w:rsidRPr="00290C63" w:rsidRDefault="003E5544" w:rsidP="00290C63">
      <w:r>
        <w:separator/>
      </w:r>
    </w:p>
    <w:p w:rsidR="003E5544" w:rsidRDefault="003E5544"/>
  </w:endnote>
  <w:endnote w:type="continuationSeparator" w:id="0">
    <w:p w:rsidR="003E5544" w:rsidRPr="00290C63" w:rsidRDefault="003E5544" w:rsidP="00290C63">
      <w:r>
        <w:continuationSeparator/>
      </w:r>
    </w:p>
    <w:p w:rsidR="003E5544" w:rsidRDefault="003E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44" w:rsidRDefault="003E55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E5544" w:rsidRDefault="003E5544">
    <w:pPr>
      <w:pStyle w:val="Footer"/>
    </w:pPr>
  </w:p>
  <w:p w:rsidR="003E5544" w:rsidRDefault="003E5544">
    <w:pPr>
      <w:pStyle w:val="Footer"/>
    </w:pPr>
    <w:r>
      <w:fldChar w:fldCharType="begin"/>
    </w:r>
    <w:r>
      <w:instrText xml:space="preserve"> DOCPROPERTY DocumentID \* MERGEFORMAT </w:instrTex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E5544" w:rsidRPr="00CA52A2" w:rsidRDefault="003E5544" w:rsidP="00CA52A2">
        <w:pPr>
          <w:pStyle w:val="Footer"/>
        </w:pPr>
        <w:r w:rsidRPr="00CA52A2">
          <w:fldChar w:fldCharType="begin"/>
        </w:r>
        <w:r>
          <w:instrText xml:space="preserve"> PAGE   \* MERGEFORMAT </w:instrText>
        </w:r>
        <w:r w:rsidRPr="00CA52A2">
          <w:fldChar w:fldCharType="separate"/>
        </w:r>
        <w:r w:rsidR="00A95360">
          <w:rPr>
            <w:noProof/>
          </w:rPr>
          <w:t>5-16</w:t>
        </w:r>
        <w:r w:rsidRPr="00CA52A2">
          <w:fldChar w:fldCharType="end"/>
        </w:r>
        <w:r w:rsidRPr="00CA52A2">
          <w:t xml:space="preserve">         </w:t>
        </w:r>
        <w:r w:rsidR="002C12BE">
          <w:tab/>
          <w:t xml:space="preserve">              </w:t>
        </w:r>
        <w:r w:rsidRPr="00CA52A2">
          <w:t xml:space="preserve"> Attachment </w:t>
        </w:r>
        <w:r>
          <w:t xml:space="preserve">5 </w:t>
        </w:r>
        <w:r w:rsidRPr="00CA52A2">
          <w:t xml:space="preserve">– </w:t>
        </w:r>
        <w:r>
          <w:t xml:space="preserve">Regulatory depreciation </w:t>
        </w:r>
        <w:r w:rsidRPr="00CA52A2">
          <w:t xml:space="preserve">| </w:t>
        </w:r>
        <w:r>
          <w:t>United Energy</w:t>
        </w:r>
        <w:r w:rsidRPr="00CA52A2">
          <w:t xml:space="preserve"> </w:t>
        </w:r>
        <w:r>
          <w:t>Preliminary decision 2016</w:t>
        </w:r>
        <w:r w:rsidRPr="00CA52A2">
          <w:t>–</w:t>
        </w:r>
        <w:r>
          <w:t>20</w:t>
        </w:r>
      </w:p>
    </w:sdtContent>
  </w:sdt>
  <w:p w:rsidR="003E5544" w:rsidRDefault="003E554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44" w:rsidRPr="00290C63" w:rsidRDefault="003E5544" w:rsidP="00290C63">
      <w:r>
        <w:separator/>
      </w:r>
    </w:p>
    <w:p w:rsidR="003E5544" w:rsidRDefault="003E5544"/>
  </w:footnote>
  <w:footnote w:type="continuationSeparator" w:id="0">
    <w:p w:rsidR="003E5544" w:rsidRPr="00290C63" w:rsidRDefault="003E5544" w:rsidP="00290C63">
      <w:r>
        <w:continuationSeparator/>
      </w:r>
    </w:p>
    <w:p w:rsidR="003E5544" w:rsidRDefault="003E5544"/>
  </w:footnote>
  <w:footnote w:id="1">
    <w:p w:rsidR="003E5544" w:rsidRDefault="003E5544" w:rsidP="008012DE">
      <w:pPr>
        <w:pStyle w:val="FootnoteText"/>
      </w:pPr>
      <w:r>
        <w:rPr>
          <w:rStyle w:val="FootnoteReference"/>
        </w:rPr>
        <w:footnoteRef/>
      </w:r>
      <w:r>
        <w:t xml:space="preserve"> </w:t>
      </w:r>
      <w:r>
        <w:tab/>
      </w:r>
      <w:proofErr w:type="gramStart"/>
      <w:r>
        <w:t xml:space="preserve">NER, </w:t>
      </w:r>
      <w:proofErr w:type="spellStart"/>
      <w:r>
        <w:t>cl</w:t>
      </w:r>
      <w:r w:rsidR="00DD74E7">
        <w:t>l</w:t>
      </w:r>
      <w:proofErr w:type="spellEnd"/>
      <w:r>
        <w:t>.</w:t>
      </w:r>
      <w:proofErr w:type="gramEnd"/>
      <w:r>
        <w:t xml:space="preserve"> 6.12.1</w:t>
      </w:r>
      <w:r w:rsidR="00DD74E7">
        <w:t>,</w:t>
      </w:r>
      <w:r>
        <w:t xml:space="preserve"> 6.4.3.</w:t>
      </w:r>
    </w:p>
  </w:footnote>
  <w:footnote w:id="2">
    <w:p w:rsidR="003E5544" w:rsidRDefault="003E5544" w:rsidP="008012DE">
      <w:pPr>
        <w:pStyle w:val="FootnoteText"/>
      </w:pPr>
      <w:r>
        <w:rPr>
          <w:rStyle w:val="FootnoteReference"/>
        </w:rPr>
        <w:footnoteRef/>
      </w:r>
      <w:r>
        <w:t xml:space="preserve"> </w:t>
      </w:r>
      <w:r>
        <w:tab/>
        <w:t xml:space="preserve">United Energy, </w:t>
      </w:r>
      <w:r w:rsidRPr="00445029">
        <w:rPr>
          <w:rStyle w:val="AERtextitalic"/>
        </w:rPr>
        <w:t>Regulatory proposal</w:t>
      </w:r>
      <w:r w:rsidRPr="00445029">
        <w:t xml:space="preserve">, </w:t>
      </w:r>
      <w:r>
        <w:t>April 2015</w:t>
      </w:r>
      <w:r w:rsidRPr="00445029">
        <w:t>,</w:t>
      </w:r>
      <w:r>
        <w:t xml:space="preserve"> Document ID: REG3.2 (PTRM).</w:t>
      </w:r>
    </w:p>
  </w:footnote>
  <w:footnote w:id="3">
    <w:p w:rsidR="003E5544" w:rsidRDefault="003E5544">
      <w:pPr>
        <w:pStyle w:val="FootnoteText"/>
      </w:pPr>
      <w:r>
        <w:rPr>
          <w:rStyle w:val="FootnoteReference"/>
        </w:rPr>
        <w:footnoteRef/>
      </w:r>
      <w:r>
        <w:t xml:space="preserve"> </w:t>
      </w:r>
      <w:r>
        <w:tab/>
        <w:t>The standard asset lives are used to depreciate forecast capex.</w:t>
      </w:r>
    </w:p>
  </w:footnote>
  <w:footnote w:id="4">
    <w:p w:rsidR="003E5544" w:rsidRDefault="003E5544" w:rsidP="008012DE">
      <w:pPr>
        <w:pStyle w:val="FootnoteText"/>
      </w:pPr>
      <w:r>
        <w:rPr>
          <w:rStyle w:val="FootnoteReference"/>
        </w:rPr>
        <w:footnoteRef/>
      </w:r>
      <w:r>
        <w:t xml:space="preserve"> </w:t>
      </w:r>
      <w:r>
        <w:tab/>
        <w:t>NER, cl. 6.5.5(b</w:t>
      </w:r>
      <w:proofErr w:type="gramStart"/>
      <w:r>
        <w:t>)(</w:t>
      </w:r>
      <w:proofErr w:type="gramEnd"/>
      <w:r>
        <w:t>1).</w:t>
      </w:r>
    </w:p>
  </w:footnote>
  <w:footnote w:id="5">
    <w:p w:rsidR="003E5544" w:rsidRDefault="003E5544" w:rsidP="008012DE">
      <w:pPr>
        <w:pStyle w:val="FootnoteText"/>
      </w:pPr>
      <w:r>
        <w:rPr>
          <w:rStyle w:val="FootnoteReference"/>
        </w:rPr>
        <w:footnoteRef/>
      </w:r>
      <w:r>
        <w:t xml:space="preserve"> </w:t>
      </w:r>
      <w:r>
        <w:tab/>
        <w:t>NER, cl. 6.5.5(a</w:t>
      </w:r>
      <w:proofErr w:type="gramStart"/>
      <w:r>
        <w:t>)(</w:t>
      </w:r>
      <w:proofErr w:type="gramEnd"/>
      <w:r>
        <w:t>1).</w:t>
      </w:r>
    </w:p>
  </w:footnote>
  <w:footnote w:id="6">
    <w:p w:rsidR="003E5544" w:rsidRDefault="003E5544" w:rsidP="008012DE">
      <w:pPr>
        <w:pStyle w:val="FootnoteText"/>
      </w:pPr>
      <w:r>
        <w:rPr>
          <w:rStyle w:val="FootnoteReference"/>
        </w:rPr>
        <w:footnoteRef/>
      </w:r>
      <w:r>
        <w:t xml:space="preserve"> </w:t>
      </w:r>
      <w:r>
        <w:tab/>
      </w:r>
      <w:proofErr w:type="gramStart"/>
      <w:r>
        <w:t>United Energy</w:t>
      </w:r>
      <w:r w:rsidRPr="00DC4EE3">
        <w:t xml:space="preserve">, </w:t>
      </w:r>
      <w:r w:rsidRPr="00DC4EE3">
        <w:rPr>
          <w:rStyle w:val="AERtextitalic"/>
        </w:rPr>
        <w:t>Regulatory proposal</w:t>
      </w:r>
      <w:r>
        <w:t>, October</w:t>
      </w:r>
      <w:r w:rsidRPr="00DC4EE3">
        <w:t xml:space="preserve"> 201</w:t>
      </w:r>
      <w:r>
        <w:t>4</w:t>
      </w:r>
      <w:r w:rsidRPr="00DC4EE3">
        <w:t xml:space="preserve">, </w:t>
      </w:r>
      <w:r>
        <w:t>pp. 100–102.</w:t>
      </w:r>
      <w:proofErr w:type="gramEnd"/>
    </w:p>
  </w:footnote>
  <w:footnote w:id="7">
    <w:p w:rsidR="003E5544" w:rsidRDefault="003E5544">
      <w:pPr>
        <w:pStyle w:val="FootnoteText"/>
      </w:pPr>
      <w:r>
        <w:rPr>
          <w:rStyle w:val="FootnoteReference"/>
        </w:rPr>
        <w:footnoteRef/>
      </w:r>
      <w:r>
        <w:t xml:space="preserve"> </w:t>
      </w:r>
      <w:r>
        <w:tab/>
        <w:t xml:space="preserve">United Energy’s proposed approach involved dividing the </w:t>
      </w:r>
      <w:r w:rsidRPr="00D4731E">
        <w:t xml:space="preserve">2015 Written </w:t>
      </w:r>
      <w:proofErr w:type="gramStart"/>
      <w:r w:rsidRPr="00D4731E">
        <w:t>Down</w:t>
      </w:r>
      <w:proofErr w:type="gramEnd"/>
      <w:r w:rsidRPr="00D4731E">
        <w:t xml:space="preserve"> Value </w:t>
      </w:r>
      <w:r>
        <w:t>by</w:t>
      </w:r>
      <w:r w:rsidRPr="00D4731E">
        <w:t xml:space="preserve"> annual deprecation in 2015</w:t>
      </w:r>
      <w:r>
        <w:t xml:space="preserve">. See: United Energy, </w:t>
      </w:r>
      <w:r w:rsidRPr="00416A44">
        <w:rPr>
          <w:rStyle w:val="AERtextitalic"/>
        </w:rPr>
        <w:t xml:space="preserve">RE: Vic. EDPR </w:t>
      </w:r>
      <w:r>
        <w:rPr>
          <w:rStyle w:val="AERtextitalic"/>
        </w:rPr>
        <w:t>–</w:t>
      </w:r>
      <w:r w:rsidRPr="00416A44">
        <w:rPr>
          <w:rStyle w:val="AERtextitalic"/>
        </w:rPr>
        <w:t xml:space="preserve"> </w:t>
      </w:r>
      <w:r>
        <w:rPr>
          <w:rStyle w:val="AERtextitalic"/>
        </w:rPr>
        <w:t>United Energy</w:t>
      </w:r>
      <w:r w:rsidRPr="00416A44">
        <w:rPr>
          <w:rStyle w:val="AERtextitalic"/>
        </w:rPr>
        <w:t xml:space="preserve"> - IR#0</w:t>
      </w:r>
      <w:r>
        <w:rPr>
          <w:rStyle w:val="AERtextitalic"/>
        </w:rPr>
        <w:t>14</w:t>
      </w:r>
      <w:r w:rsidRPr="00416A44">
        <w:rPr>
          <w:rStyle w:val="AERtextitalic"/>
        </w:rPr>
        <w:t xml:space="preserve"> - </w:t>
      </w:r>
      <w:r>
        <w:rPr>
          <w:rStyle w:val="AERtextitalic"/>
        </w:rPr>
        <w:t>24 July</w:t>
      </w:r>
      <w:r w:rsidRPr="00416A44">
        <w:rPr>
          <w:rStyle w:val="AERtextitalic"/>
        </w:rPr>
        <w:t xml:space="preserve"> 2015</w:t>
      </w:r>
      <w:r>
        <w:rPr>
          <w:rStyle w:val="AERtextitalic"/>
        </w:rPr>
        <w:t>,</w:t>
      </w:r>
      <w:r>
        <w:t xml:space="preserve"> 29 July 2015.</w:t>
      </w:r>
    </w:p>
  </w:footnote>
  <w:footnote w:id="8">
    <w:p w:rsidR="003E5544" w:rsidRDefault="003E5544" w:rsidP="008012DE">
      <w:pPr>
        <w:pStyle w:val="FootnoteText"/>
      </w:pPr>
      <w:r>
        <w:rPr>
          <w:rStyle w:val="FootnoteReference"/>
        </w:rPr>
        <w:footnoteRef/>
      </w:r>
      <w:r>
        <w:t xml:space="preserve"> </w:t>
      </w:r>
      <w:r>
        <w:tab/>
      </w:r>
      <w:proofErr w:type="gramStart"/>
      <w:r>
        <w:t xml:space="preserve">NER, </w:t>
      </w:r>
      <w:proofErr w:type="spellStart"/>
      <w:r>
        <w:t>cl</w:t>
      </w:r>
      <w:r w:rsidR="00DD74E7">
        <w:t>l</w:t>
      </w:r>
      <w:proofErr w:type="spellEnd"/>
      <w:r>
        <w:t>.</w:t>
      </w:r>
      <w:proofErr w:type="gramEnd"/>
      <w:r w:rsidRPr="00E646BE">
        <w:t xml:space="preserve"> 6.4.3(</w:t>
      </w:r>
      <w:proofErr w:type="gramStart"/>
      <w:r w:rsidRPr="00E646BE">
        <w:t>a</w:t>
      </w:r>
      <w:proofErr w:type="gramEnd"/>
      <w:r w:rsidRPr="00E646BE">
        <w:t>)(</w:t>
      </w:r>
      <w:r>
        <w:t>3</w:t>
      </w:r>
      <w:r w:rsidRPr="00E646BE">
        <w:t>)</w:t>
      </w:r>
      <w:r w:rsidR="00DD74E7">
        <w:t>,</w:t>
      </w:r>
      <w:r w:rsidR="00DD74E7" w:rsidRPr="00E646BE">
        <w:t xml:space="preserve"> 6.4.3</w:t>
      </w:r>
      <w:r w:rsidRPr="00E646BE">
        <w:t>(b)(3).</w:t>
      </w:r>
    </w:p>
  </w:footnote>
  <w:footnote w:id="9">
    <w:p w:rsidR="003E5544" w:rsidRDefault="003E5544" w:rsidP="008012DE">
      <w:pPr>
        <w:pStyle w:val="FootnoteText"/>
      </w:pPr>
      <w:r>
        <w:rPr>
          <w:rStyle w:val="FootnoteReference"/>
        </w:rPr>
        <w:footnoteRef/>
      </w:r>
      <w:r>
        <w:t xml:space="preserve"> </w:t>
      </w:r>
      <w:r>
        <w:tab/>
      </w:r>
      <w:proofErr w:type="gramStart"/>
      <w:r>
        <w:t>NER, cl.</w:t>
      </w:r>
      <w:r w:rsidRPr="00E646BE">
        <w:t xml:space="preserve"> 6.5.5(a).</w:t>
      </w:r>
      <w:proofErr w:type="gramEnd"/>
    </w:p>
  </w:footnote>
  <w:footnote w:id="10">
    <w:p w:rsidR="003E5544" w:rsidRDefault="003E5544" w:rsidP="008012DE">
      <w:pPr>
        <w:pStyle w:val="FootnoteText"/>
      </w:pPr>
      <w:r>
        <w:rPr>
          <w:rStyle w:val="FootnoteReference"/>
        </w:rPr>
        <w:footnoteRef/>
      </w:r>
      <w:r>
        <w:t xml:space="preserve"> </w:t>
      </w:r>
      <w:r>
        <w:tab/>
        <w:t>NER, cl.</w:t>
      </w:r>
      <w:r w:rsidRPr="00E646BE">
        <w:t xml:space="preserve"> 6.5.5(b</w:t>
      </w:r>
      <w:proofErr w:type="gramStart"/>
      <w:r w:rsidRPr="00E646BE">
        <w:t>)(</w:t>
      </w:r>
      <w:proofErr w:type="gramEnd"/>
      <w:r w:rsidRPr="00E646BE">
        <w:t>1).</w:t>
      </w:r>
    </w:p>
  </w:footnote>
  <w:footnote w:id="11">
    <w:p w:rsidR="003E5544" w:rsidRDefault="003E5544" w:rsidP="008012DE">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1).</w:t>
      </w:r>
    </w:p>
  </w:footnote>
  <w:footnote w:id="12">
    <w:p w:rsidR="003E5544" w:rsidRDefault="003E5544" w:rsidP="008012DE">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2).</w:t>
      </w:r>
    </w:p>
  </w:footnote>
  <w:footnote w:id="13">
    <w:p w:rsidR="003E5544" w:rsidRDefault="003E5544" w:rsidP="008012DE">
      <w:pPr>
        <w:pStyle w:val="FootnoteText"/>
      </w:pPr>
      <w:r>
        <w:rPr>
          <w:rStyle w:val="FootnoteReference"/>
        </w:rPr>
        <w:footnoteRef/>
      </w:r>
      <w:r>
        <w:t xml:space="preserve"> </w:t>
      </w:r>
      <w:r>
        <w:tab/>
        <w:t>NER, cl.</w:t>
      </w:r>
      <w:r w:rsidRPr="003B281F">
        <w:t xml:space="preserve"> 6.5.5(a</w:t>
      </w:r>
      <w:proofErr w:type="gramStart"/>
      <w:r w:rsidRPr="003B281F">
        <w:t>)(</w:t>
      </w:r>
      <w:proofErr w:type="gramEnd"/>
      <w:r w:rsidRPr="003B281F">
        <w:t>ii).</w:t>
      </w:r>
    </w:p>
  </w:footnote>
  <w:footnote w:id="14">
    <w:p w:rsidR="003E5544" w:rsidRDefault="003E5544" w:rsidP="008012DE">
      <w:pPr>
        <w:pStyle w:val="FootnoteText"/>
      </w:pPr>
      <w:r>
        <w:rPr>
          <w:rStyle w:val="FootnoteReference"/>
        </w:rPr>
        <w:footnoteRef/>
      </w:r>
      <w:r>
        <w:t xml:space="preserve"> </w:t>
      </w:r>
      <w:r>
        <w:tab/>
        <w:t xml:space="preserve">The PTRM </w:t>
      </w:r>
      <w:r w:rsidRPr="004D4F13">
        <w:t>distin</w:t>
      </w:r>
      <w:r>
        <w:t>guishes</w:t>
      </w:r>
      <w:r w:rsidRPr="004D4F13">
        <w:t xml:space="preserve"> between straight-line depreciation and regulatory depreciation</w:t>
      </w:r>
      <w:r>
        <w:t>,</w:t>
      </w:r>
      <w:r w:rsidRPr="004D4F13">
        <w:t xml:space="preserve"> </w:t>
      </w:r>
      <w:r>
        <w:t>t</w:t>
      </w:r>
      <w:r w:rsidRPr="004D4F13">
        <w:t>he difference being that regulatory depreciation is the straight-line depreciation minus the indexation adjustment.</w:t>
      </w:r>
    </w:p>
  </w:footnote>
  <w:footnote w:id="15">
    <w:p w:rsidR="003E5544" w:rsidRDefault="003E5544" w:rsidP="008012DE">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In this case the indexation adjustment is greater than the straight-line depreciation.</w:t>
      </w:r>
    </w:p>
  </w:footnote>
  <w:footnote w:id="16">
    <w:p w:rsidR="003E5544" w:rsidRDefault="003E5544" w:rsidP="0012633D">
      <w:pPr>
        <w:pStyle w:val="FootnoteText"/>
      </w:pPr>
      <w:r>
        <w:rPr>
          <w:rStyle w:val="FootnoteReference"/>
        </w:rPr>
        <w:footnoteRef/>
      </w:r>
      <w:r>
        <w:t xml:space="preserve"> </w:t>
      </w:r>
      <w:r>
        <w:tab/>
        <w:t xml:space="preserve">AER, </w:t>
      </w:r>
      <w:r w:rsidRPr="00A660C5">
        <w:rPr>
          <w:rStyle w:val="AERtextitalic"/>
        </w:rPr>
        <w:t>Final decision, Victorian electricity distribution network service providers, Distribution determination 2011–2015</w:t>
      </w:r>
      <w:r>
        <w:t xml:space="preserve">, October 2010, p. 467; </w:t>
      </w:r>
      <w:r w:rsidRPr="00AB5D54">
        <w:t xml:space="preserve">AER, </w:t>
      </w:r>
      <w:r>
        <w:rPr>
          <w:rStyle w:val="AERtextitalic"/>
        </w:rPr>
        <w:t>Final</w:t>
      </w:r>
      <w:r w:rsidRPr="00AB5D54">
        <w:rPr>
          <w:rStyle w:val="AERtextitalic"/>
        </w:rPr>
        <w:t xml:space="preserve"> decision: </w:t>
      </w:r>
      <w:proofErr w:type="spellStart"/>
      <w:r w:rsidRPr="00AB5D54">
        <w:rPr>
          <w:rStyle w:val="AERtextitalic"/>
        </w:rPr>
        <w:t>Ausgrid</w:t>
      </w:r>
      <w:proofErr w:type="spellEnd"/>
      <w:r w:rsidRPr="00AB5D54">
        <w:rPr>
          <w:rStyle w:val="AERtextitalic"/>
        </w:rPr>
        <w:t xml:space="preserve"> distribution determination 2015–16 to 2018–19, attachment 5, </w:t>
      </w:r>
      <w:r>
        <w:t xml:space="preserve">April 2015, </w:t>
      </w:r>
      <w:r w:rsidRPr="00AB5D54">
        <w:t>p.</w:t>
      </w:r>
      <w:r>
        <w:t xml:space="preserve"> 10</w:t>
      </w:r>
      <w:r w:rsidRPr="00AB5D54">
        <w:t xml:space="preserve">; AER, </w:t>
      </w:r>
      <w:r>
        <w:rPr>
          <w:rStyle w:val="AERtextitalic"/>
        </w:rPr>
        <w:t>Final</w:t>
      </w:r>
      <w:r w:rsidRPr="00AB5D54">
        <w:rPr>
          <w:rStyle w:val="AERtextitalic"/>
        </w:rPr>
        <w:t xml:space="preserve"> decision: </w:t>
      </w:r>
      <w:r>
        <w:rPr>
          <w:rStyle w:val="AERtextitalic"/>
        </w:rPr>
        <w:t>Endeavour</w:t>
      </w:r>
      <w:r w:rsidRPr="00AB5D54">
        <w:rPr>
          <w:rStyle w:val="AERtextitalic"/>
        </w:rPr>
        <w:t xml:space="preserve"> distribution determination 2015–16 to 2018–19, attachment 5, </w:t>
      </w:r>
      <w:r>
        <w:t>April</w:t>
      </w:r>
      <w:r w:rsidRPr="00AB5D54">
        <w:t xml:space="preserve"> 201</w:t>
      </w:r>
      <w:r>
        <w:t>5</w:t>
      </w:r>
      <w:r w:rsidRPr="00AB5D54">
        <w:t xml:space="preserve">, p. </w:t>
      </w:r>
      <w:r>
        <w:t xml:space="preserve">9; and </w:t>
      </w:r>
      <w:r w:rsidRPr="00AB5D54">
        <w:t xml:space="preserve">AER, </w:t>
      </w:r>
      <w:r>
        <w:rPr>
          <w:rStyle w:val="AERtextitalic"/>
        </w:rPr>
        <w:t>Final</w:t>
      </w:r>
      <w:r w:rsidRPr="00AB5D54">
        <w:rPr>
          <w:rStyle w:val="AERtextitalic"/>
        </w:rPr>
        <w:t xml:space="preserve"> decision: </w:t>
      </w:r>
      <w:r>
        <w:rPr>
          <w:rStyle w:val="AERtextitalic"/>
        </w:rPr>
        <w:t>Essential Energy d</w:t>
      </w:r>
      <w:r w:rsidRPr="00AB5D54">
        <w:rPr>
          <w:rStyle w:val="AERtextitalic"/>
        </w:rPr>
        <w:t xml:space="preserve">istribution determination 2015–16 to 2018–19, attachment 5, </w:t>
      </w:r>
      <w:r>
        <w:t xml:space="preserve">April </w:t>
      </w:r>
      <w:r w:rsidRPr="00AB5D54">
        <w:t>201</w:t>
      </w:r>
      <w:r>
        <w:t>5</w:t>
      </w:r>
      <w:r w:rsidRPr="00AB5D54">
        <w:t xml:space="preserve">, p. </w:t>
      </w:r>
      <w:r>
        <w:t>9.</w:t>
      </w:r>
    </w:p>
  </w:footnote>
  <w:footnote w:id="17">
    <w:p w:rsidR="003E5544" w:rsidRDefault="003E5544">
      <w:pPr>
        <w:pStyle w:val="FootnoteText"/>
      </w:pPr>
      <w:r>
        <w:rPr>
          <w:rStyle w:val="FootnoteReference"/>
        </w:rPr>
        <w:footnoteRef/>
      </w:r>
      <w:r>
        <w:t xml:space="preserve"> </w:t>
      </w:r>
      <w:r>
        <w:tab/>
        <w:t>NER, cl</w:t>
      </w:r>
      <w:r w:rsidR="008B1C69">
        <w:t>.</w:t>
      </w:r>
      <w:r>
        <w:t xml:space="preserve"> 6.5.5(b</w:t>
      </w:r>
      <w:proofErr w:type="gramStart"/>
      <w:r>
        <w:t>)(</w:t>
      </w:r>
      <w:proofErr w:type="gramEnd"/>
      <w:r>
        <w:t xml:space="preserve">1). </w:t>
      </w:r>
    </w:p>
  </w:footnote>
  <w:footnote w:id="18">
    <w:p w:rsidR="003E5544" w:rsidRDefault="003E5544">
      <w:pPr>
        <w:pStyle w:val="FootnoteText"/>
      </w:pPr>
      <w:r>
        <w:rPr>
          <w:rStyle w:val="FootnoteReference"/>
        </w:rPr>
        <w:footnoteRef/>
      </w:r>
      <w:r>
        <w:t xml:space="preserve"> </w:t>
      </w:r>
      <w:r>
        <w:tab/>
      </w:r>
      <w:proofErr w:type="gramStart"/>
      <w:r>
        <w:t>United Energy</w:t>
      </w:r>
      <w:r w:rsidRPr="00DC4EE3">
        <w:t xml:space="preserve">, </w:t>
      </w:r>
      <w:r w:rsidRPr="00DC4EE3">
        <w:rPr>
          <w:rStyle w:val="AERtextitalic"/>
        </w:rPr>
        <w:t>Regulatory proposal</w:t>
      </w:r>
      <w:r>
        <w:t>, October</w:t>
      </w:r>
      <w:r w:rsidRPr="00DC4EE3">
        <w:t xml:space="preserve"> 201</w:t>
      </w:r>
      <w:r>
        <w:t>4</w:t>
      </w:r>
      <w:r w:rsidRPr="00DC4EE3">
        <w:t xml:space="preserve">, </w:t>
      </w:r>
      <w:r>
        <w:t>p. 101.</w:t>
      </w:r>
      <w:proofErr w:type="gramEnd"/>
    </w:p>
  </w:footnote>
  <w:footnote w:id="19">
    <w:p w:rsidR="003E5544" w:rsidRDefault="003E5544">
      <w:pPr>
        <w:pStyle w:val="FootnoteText"/>
      </w:pPr>
      <w:r>
        <w:rPr>
          <w:rStyle w:val="FootnoteReference"/>
        </w:rPr>
        <w:footnoteRef/>
      </w:r>
      <w:r>
        <w:t xml:space="preserve"> </w:t>
      </w:r>
      <w:r>
        <w:tab/>
      </w:r>
      <w:r w:rsidRPr="0069087C">
        <w:t xml:space="preserve">According to the Australian accounting standards, land is generally not depreciable because land values tend to increase over time due to the limited supply of, and </w:t>
      </w:r>
      <w:r>
        <w:t xml:space="preserve">the increasing demand for, land (Australian Accounting Standard Board, </w:t>
      </w:r>
      <w:r w:rsidRPr="002B29C8">
        <w:rPr>
          <w:rStyle w:val="AERtextitalic"/>
        </w:rPr>
        <w:t>Accounting standard AASB1021: Depreciation</w:t>
      </w:r>
      <w:r w:rsidRPr="0069087C">
        <w:t>, August 1997</w:t>
      </w:r>
      <w:r>
        <w:t>, pp. 10–11).</w:t>
      </w:r>
      <w:r w:rsidRPr="0069087C">
        <w:t xml:space="preserve"> The Income Tax Assessment Act (ITAA) 1997 excludes land from the definition of a ‘depreciating asset’</w:t>
      </w:r>
      <w:r>
        <w:t xml:space="preserve"> (ITAA 1997, s. 40-30)</w:t>
      </w:r>
      <w:r w:rsidRPr="0069087C">
        <w:t>.</w:t>
      </w:r>
      <w:r>
        <w:t xml:space="preserve"> </w:t>
      </w:r>
      <w:r w:rsidRPr="0069087C">
        <w:t xml:space="preserve">  </w:t>
      </w:r>
    </w:p>
  </w:footnote>
  <w:footnote w:id="20">
    <w:p w:rsidR="003E5544" w:rsidRDefault="003E5544">
      <w:pPr>
        <w:pStyle w:val="FootnoteText"/>
      </w:pPr>
      <w:r>
        <w:rPr>
          <w:rStyle w:val="FootnoteReference"/>
        </w:rPr>
        <w:footnoteRef/>
      </w:r>
      <w:r>
        <w:t xml:space="preserve"> </w:t>
      </w:r>
      <w:r>
        <w:tab/>
      </w:r>
      <w:proofErr w:type="gramStart"/>
      <w:r>
        <w:t xml:space="preserve">AER, </w:t>
      </w:r>
      <w:r w:rsidRPr="00A660C5">
        <w:rPr>
          <w:rStyle w:val="AERtextitalic"/>
        </w:rPr>
        <w:t>Final decision, Victorian electricity distribution network service providers, Distribution determination 2011–2015</w:t>
      </w:r>
      <w:r>
        <w:t>, October 2010, p. 467.</w:t>
      </w:r>
      <w:proofErr w:type="gramEnd"/>
    </w:p>
  </w:footnote>
  <w:footnote w:id="21">
    <w:p w:rsidR="003E5544" w:rsidRDefault="003E5544" w:rsidP="00CA049D">
      <w:pPr>
        <w:pStyle w:val="FootnoteText"/>
      </w:pPr>
      <w:r>
        <w:rPr>
          <w:rStyle w:val="FootnoteReference"/>
        </w:rPr>
        <w:footnoteRef/>
      </w:r>
      <w:r>
        <w:t xml:space="preserve"> </w:t>
      </w:r>
      <w:r>
        <w:tab/>
        <w:t>CCP3</w:t>
      </w:r>
      <w:r w:rsidRPr="00C31EE9">
        <w:t xml:space="preserve">, </w:t>
      </w:r>
      <w:r w:rsidRPr="00652FD7">
        <w:rPr>
          <w:rStyle w:val="AERtextitalic"/>
        </w:rPr>
        <w:t>Response to proposals from Victorian electricity distribution</w:t>
      </w:r>
      <w:r>
        <w:rPr>
          <w:rStyle w:val="AERtextitalic"/>
        </w:rPr>
        <w:t xml:space="preserve"> </w:t>
      </w:r>
      <w:r w:rsidRPr="00652FD7">
        <w:rPr>
          <w:rStyle w:val="AERtextitalic"/>
        </w:rPr>
        <w:t>network service providers for a revenue reset for the 2016-2020</w:t>
      </w:r>
      <w:r>
        <w:rPr>
          <w:rStyle w:val="AERtextitalic"/>
        </w:rPr>
        <w:t xml:space="preserve"> </w:t>
      </w:r>
      <w:r w:rsidRPr="00652FD7">
        <w:rPr>
          <w:rStyle w:val="AERtextitalic"/>
        </w:rPr>
        <w:t>regulatory period</w:t>
      </w:r>
      <w:r w:rsidRPr="00C31EE9">
        <w:t xml:space="preserve">, </w:t>
      </w:r>
      <w:r>
        <w:t>5 August</w:t>
      </w:r>
      <w:r w:rsidRPr="00C31EE9">
        <w:t xml:space="preserve"> 2015</w:t>
      </w:r>
      <w:r>
        <w:t xml:space="preserve">, pp. 49–51; Victorian </w:t>
      </w:r>
      <w:r w:rsidRPr="00977D76">
        <w:t>Energy</w:t>
      </w:r>
      <w:r>
        <w:t xml:space="preserve"> </w:t>
      </w:r>
      <w:r w:rsidRPr="00977D76">
        <w:t>Consumer</w:t>
      </w:r>
      <w:r>
        <w:t xml:space="preserve"> </w:t>
      </w:r>
      <w:r w:rsidRPr="00977D76">
        <w:t>and</w:t>
      </w:r>
      <w:r>
        <w:t xml:space="preserve"> </w:t>
      </w:r>
      <w:r w:rsidRPr="00977D76">
        <w:t>User</w:t>
      </w:r>
      <w:r>
        <w:t xml:space="preserve"> </w:t>
      </w:r>
      <w:r w:rsidRPr="00977D76">
        <w:t>Alliance</w:t>
      </w:r>
      <w:r>
        <w:t xml:space="preserve"> </w:t>
      </w:r>
      <w:r w:rsidRPr="00977D76">
        <w:t>(VECUA)</w:t>
      </w:r>
      <w:r>
        <w:t xml:space="preserve">, </w:t>
      </w:r>
      <w:r w:rsidRPr="00977D76">
        <w:t>Submission</w:t>
      </w:r>
      <w:r>
        <w:t xml:space="preserve"> </w:t>
      </w:r>
      <w:r w:rsidRPr="00977D76">
        <w:t>to</w:t>
      </w:r>
      <w:r>
        <w:t xml:space="preserve"> </w:t>
      </w:r>
      <w:r w:rsidRPr="00977D76">
        <w:t>the</w:t>
      </w:r>
      <w:r>
        <w:t xml:space="preserve"> </w:t>
      </w:r>
      <w:r w:rsidRPr="00977D76">
        <w:t>AER</w:t>
      </w:r>
      <w:r>
        <w:t xml:space="preserve"> </w:t>
      </w:r>
      <w:r w:rsidRPr="00977D76">
        <w:t>Victorian</w:t>
      </w:r>
      <w:r>
        <w:t xml:space="preserve"> </w:t>
      </w:r>
      <w:r w:rsidRPr="00977D76">
        <w:t>Distribution</w:t>
      </w:r>
      <w:r>
        <w:t xml:space="preserve"> </w:t>
      </w:r>
      <w:r w:rsidRPr="00977D76">
        <w:t>Networks’</w:t>
      </w:r>
      <w:r>
        <w:t xml:space="preserve"> </w:t>
      </w:r>
      <w:r w:rsidRPr="00977D76">
        <w:t>2016</w:t>
      </w:r>
      <w:r>
        <w:t>–</w:t>
      </w:r>
      <w:r w:rsidRPr="00977D76">
        <w:t>20</w:t>
      </w:r>
      <w:r>
        <w:t xml:space="preserve"> </w:t>
      </w:r>
      <w:r w:rsidRPr="00977D76">
        <w:t>Revenue</w:t>
      </w:r>
      <w:r>
        <w:t xml:space="preserve"> </w:t>
      </w:r>
      <w:r w:rsidRPr="00977D76">
        <w:t>Proposals</w:t>
      </w:r>
      <w:r>
        <w:t>, July 2013, pp. 30–31.</w:t>
      </w:r>
    </w:p>
  </w:footnote>
  <w:footnote w:id="22">
    <w:p w:rsidR="003E5544" w:rsidRDefault="003E5544" w:rsidP="00CA049D">
      <w:pPr>
        <w:pStyle w:val="FootnoteText"/>
      </w:pPr>
      <w:r>
        <w:rPr>
          <w:rStyle w:val="FootnoteReference"/>
        </w:rPr>
        <w:footnoteRef/>
      </w:r>
      <w:r>
        <w:t xml:space="preserve"> </w:t>
      </w:r>
      <w:r>
        <w:tab/>
        <w:t>The different levels of disaggregation/aggregation are each appropriate for the relevant purpose.</w:t>
      </w:r>
    </w:p>
  </w:footnote>
  <w:footnote w:id="23">
    <w:p w:rsidR="003E5544" w:rsidRDefault="003E5544" w:rsidP="00CA049D">
      <w:pPr>
        <w:pStyle w:val="FootnoteText"/>
      </w:pPr>
      <w:r>
        <w:rPr>
          <w:rStyle w:val="FootnoteReference"/>
        </w:rPr>
        <w:footnoteRef/>
      </w:r>
      <w:r>
        <w:t xml:space="preserve"> </w:t>
      </w:r>
      <w:r>
        <w:tab/>
        <w:t xml:space="preserve">In general, each distributor has some </w:t>
      </w:r>
      <w:proofErr w:type="spellStart"/>
      <w:r>
        <w:t>repex</w:t>
      </w:r>
      <w:proofErr w:type="spellEnd"/>
      <w:r>
        <w:t xml:space="preserve"> asset classes with below average standard asset lives, and some with above average asset lives. When these </w:t>
      </w:r>
      <w:proofErr w:type="spellStart"/>
      <w:r>
        <w:t>repex</w:t>
      </w:r>
      <w:proofErr w:type="spellEnd"/>
      <w:r>
        <w:t xml:space="preserve"> asset classes are aggregated into the higher level asset classes used in the RFM and PTRM, the two offset each other. Further, we must allow for some variation in standard asset lives even for disaggregated categories reflecting the specific nature of each distributor's network.</w:t>
      </w:r>
    </w:p>
  </w:footnote>
  <w:footnote w:id="24">
    <w:p w:rsidR="003E5544" w:rsidRDefault="003E5544" w:rsidP="00CA049D">
      <w:pPr>
        <w:pStyle w:val="FootnoteText"/>
      </w:pPr>
      <w:r>
        <w:rPr>
          <w:rStyle w:val="FootnoteReference"/>
        </w:rPr>
        <w:footnoteRef/>
      </w:r>
      <w:r>
        <w:t xml:space="preserve"> </w:t>
      </w:r>
      <w:r>
        <w:tab/>
        <w:t>This includes the April 2015 final determinations for the NSW electricity distributors, as well as the other Victorian distribution determinations made contemporaneously with this preliminary decision.</w:t>
      </w:r>
    </w:p>
  </w:footnote>
  <w:footnote w:id="25">
    <w:p w:rsidR="003E5544" w:rsidRDefault="003E5544" w:rsidP="0035479E">
      <w:pPr>
        <w:pStyle w:val="FootnoteText"/>
      </w:pPr>
      <w:r>
        <w:rPr>
          <w:rStyle w:val="FootnoteReference"/>
        </w:rPr>
        <w:footnoteRef/>
      </w:r>
      <w:r>
        <w:t xml:space="preserve"> </w:t>
      </w:r>
      <w:r>
        <w:tab/>
        <w:t xml:space="preserve">United Energy, </w:t>
      </w:r>
      <w:r w:rsidRPr="00416A44">
        <w:rPr>
          <w:rStyle w:val="AERtextitalic"/>
        </w:rPr>
        <w:t>RE: Vic. EDPR - United Energy - IR#014 - 24 July 2015</w:t>
      </w:r>
      <w:r>
        <w:rPr>
          <w:rStyle w:val="AERtextitalic"/>
        </w:rPr>
        <w:t>,</w:t>
      </w:r>
      <w:r>
        <w:t xml:space="preserve"> 29 July 2015.</w:t>
      </w:r>
    </w:p>
  </w:footnote>
  <w:footnote w:id="26">
    <w:p w:rsidR="003E5544" w:rsidRDefault="003E5544" w:rsidP="00C61E30">
      <w:pPr>
        <w:pStyle w:val="FootnoteText"/>
      </w:pPr>
      <w:r>
        <w:rPr>
          <w:rStyle w:val="FootnoteReference"/>
        </w:rPr>
        <w:footnoteRef/>
      </w:r>
      <w:r>
        <w:t xml:space="preserve"> </w:t>
      </w:r>
      <w:r>
        <w:tab/>
        <w:t>NEL, s. 16; NER, cl. 6.5.5</w:t>
      </w:r>
      <w:r w:rsidRPr="00926B90">
        <w:t>(b</w:t>
      </w:r>
      <w:proofErr w:type="gramStart"/>
      <w:r w:rsidRPr="00926B90">
        <w:t>)(</w:t>
      </w:r>
      <w:proofErr w:type="gramEnd"/>
      <w:r w:rsidRPr="00926B90">
        <w:t>1)</w:t>
      </w:r>
      <w:r>
        <w:t>.</w:t>
      </w:r>
    </w:p>
  </w:footnote>
  <w:footnote w:id="27">
    <w:p w:rsidR="003E5544" w:rsidRDefault="003E5544" w:rsidP="0035479E">
      <w:pPr>
        <w:pStyle w:val="FootnoteText"/>
      </w:pPr>
      <w:r>
        <w:rPr>
          <w:rStyle w:val="FootnoteReference"/>
        </w:rPr>
        <w:footnoteRef/>
      </w:r>
      <w:r>
        <w:t xml:space="preserve">  </w:t>
      </w:r>
      <w:r>
        <w:tab/>
        <w:t xml:space="preserve">United Energy, </w:t>
      </w:r>
      <w:r w:rsidRPr="00416A44">
        <w:rPr>
          <w:rStyle w:val="AERtextitalic"/>
        </w:rPr>
        <w:t>RE: Vic. EDPR - United Energy - IR#014 - 24 July 2015</w:t>
      </w:r>
      <w:r>
        <w:rPr>
          <w:rStyle w:val="AERtextitalic"/>
        </w:rPr>
        <w:t>,</w:t>
      </w:r>
      <w:r>
        <w:t xml:space="preserve"> 29 July 2015.</w:t>
      </w:r>
    </w:p>
  </w:footnote>
  <w:footnote w:id="28">
    <w:p w:rsidR="003E5544" w:rsidRDefault="003E5544">
      <w:pPr>
        <w:pStyle w:val="FootnoteText"/>
      </w:pPr>
      <w:r>
        <w:rPr>
          <w:rStyle w:val="FootnoteReference"/>
        </w:rPr>
        <w:footnoteRef/>
      </w:r>
      <w:r>
        <w:t xml:space="preserve"> </w:t>
      </w:r>
      <w:r>
        <w:tab/>
        <w:t xml:space="preserve">See, AER, </w:t>
      </w:r>
      <w:r w:rsidRPr="00263A6B">
        <w:rPr>
          <w:rStyle w:val="AERtextitalic"/>
        </w:rPr>
        <w:t>Preliminary decision,</w:t>
      </w:r>
      <w:r>
        <w:t xml:space="preserve"> </w:t>
      </w:r>
      <w:r w:rsidRPr="0071732C">
        <w:rPr>
          <w:rStyle w:val="AERtextitalic"/>
        </w:rPr>
        <w:t>SA Power Networks determination 2015−16 to 2019−20</w:t>
      </w:r>
      <w:r>
        <w:t>, Attachment 5, section 5.4.2, April 2015 and AER, Pr</w:t>
      </w:r>
      <w:r w:rsidRPr="003E5544">
        <w:rPr>
          <w:rStyle w:val="AERtextitalic"/>
        </w:rPr>
        <w:t>eliminary decision, Ergon Energy determination 2015−16 to 2019−20, Attachment 5, section 5.4.2</w:t>
      </w:r>
      <w:r>
        <w:t xml:space="preserve">, April 2015. </w:t>
      </w:r>
    </w:p>
  </w:footnote>
  <w:footnote w:id="29">
    <w:p w:rsidR="00263A6B" w:rsidRDefault="00263A6B">
      <w:pPr>
        <w:pStyle w:val="FootnoteText"/>
      </w:pPr>
      <w:r>
        <w:rPr>
          <w:rStyle w:val="FootnoteReference"/>
        </w:rPr>
        <w:footnoteRef/>
      </w:r>
      <w:r>
        <w:t xml:space="preserve"> </w:t>
      </w:r>
      <w:r>
        <w:tab/>
        <w:t xml:space="preserve">AER, </w:t>
      </w:r>
      <w:r w:rsidRPr="00263A6B">
        <w:rPr>
          <w:rStyle w:val="AERtextitalic"/>
        </w:rPr>
        <w:t>Preliminary decision,</w:t>
      </w:r>
      <w:r>
        <w:t xml:space="preserve"> </w:t>
      </w:r>
      <w:r w:rsidRPr="0071732C">
        <w:rPr>
          <w:rStyle w:val="AERtextitalic"/>
        </w:rPr>
        <w:t>SA Power Networks determination 2015−16 to 2019−20</w:t>
      </w:r>
      <w:r>
        <w:t xml:space="preserve">, Attachment 5, section 5.4.2, April 2015, pp. 5-11 to 5-18; and AER, </w:t>
      </w:r>
      <w:r w:rsidRPr="00263A6B">
        <w:rPr>
          <w:rStyle w:val="AERtextitalic"/>
        </w:rPr>
        <w:t>Pr</w:t>
      </w:r>
      <w:r w:rsidRPr="003E5544">
        <w:rPr>
          <w:rStyle w:val="AERtextitalic"/>
        </w:rPr>
        <w:t>eliminary decision, Ergon Energy determination 2015−16 to 2019−20, Attachment 5, section 5.4.2</w:t>
      </w:r>
      <w:r>
        <w:t>, April 2015, pp. 512 to 5-20.</w:t>
      </w:r>
    </w:p>
  </w:footnote>
  <w:footnote w:id="30">
    <w:p w:rsidR="003E5544" w:rsidRDefault="003E5544" w:rsidP="00236BD7">
      <w:pPr>
        <w:pStyle w:val="FootnoteText"/>
      </w:pPr>
      <w:r>
        <w:rPr>
          <w:rStyle w:val="FootnoteReference"/>
        </w:rPr>
        <w:footnoteRef/>
      </w:r>
      <w:r>
        <w:t xml:space="preserve"> </w:t>
      </w:r>
      <w:r>
        <w:tab/>
      </w:r>
      <w:r w:rsidRPr="007E228B">
        <w:t>NEL, s. 16(1</w:t>
      </w:r>
      <w:proofErr w:type="gramStart"/>
      <w:r w:rsidRPr="007E228B">
        <w:t>)(</w:t>
      </w:r>
      <w:proofErr w:type="gramEnd"/>
      <w:r w:rsidRPr="007E228B">
        <w:t>a).</w:t>
      </w:r>
    </w:p>
  </w:footnote>
  <w:footnote w:id="31">
    <w:p w:rsidR="003E5544" w:rsidRDefault="003E5544" w:rsidP="00236BD7">
      <w:pPr>
        <w:pStyle w:val="FootnoteText"/>
      </w:pPr>
      <w:r>
        <w:rPr>
          <w:rStyle w:val="FootnoteReference"/>
        </w:rPr>
        <w:footnoteRef/>
      </w:r>
      <w:r>
        <w:t xml:space="preserve"> </w:t>
      </w:r>
      <w:r>
        <w:tab/>
      </w:r>
      <w:proofErr w:type="gramStart"/>
      <w:r w:rsidRPr="007E228B">
        <w:t xml:space="preserve">NEL, s. </w:t>
      </w:r>
      <w:r>
        <w:t>7.</w:t>
      </w:r>
      <w:proofErr w:type="gramEnd"/>
    </w:p>
  </w:footnote>
  <w:footnote w:id="32">
    <w:p w:rsidR="00CD04BD" w:rsidRDefault="00CD04BD">
      <w:pPr>
        <w:pStyle w:val="FootnoteText"/>
      </w:pPr>
      <w:r>
        <w:rPr>
          <w:rStyle w:val="FootnoteReference"/>
        </w:rPr>
        <w:footnoteRef/>
      </w:r>
      <w:r>
        <w:t xml:space="preserve"> </w:t>
      </w:r>
      <w:r>
        <w:tab/>
        <w:t>In earlier decisions, the AER termed this approach ‘individual tracking’. The new label, year-by-year tracking, identifies the key distinguishing feature of this approach. It does not involve tracking the depreciation on individual assets.</w:t>
      </w:r>
    </w:p>
  </w:footnote>
  <w:footnote w:id="33">
    <w:p w:rsidR="003E5544" w:rsidRDefault="003E5544" w:rsidP="0018033C">
      <w:pPr>
        <w:pStyle w:val="FootnoteText"/>
      </w:pPr>
      <w:r>
        <w:rPr>
          <w:rStyle w:val="FootnoteReference"/>
        </w:rPr>
        <w:footnoteRef/>
      </w:r>
      <w:r>
        <w:t xml:space="preserve"> </w:t>
      </w:r>
      <w:r>
        <w:tab/>
      </w:r>
      <w:proofErr w:type="gramStart"/>
      <w:r>
        <w:t>Compared to the year-by-year tracking approach, the WARL approach under returns depreciation in some years and over returns depreciation in others.</w:t>
      </w:r>
      <w:proofErr w:type="gramEnd"/>
      <w:r>
        <w:t xml:space="preserve"> </w:t>
      </w:r>
      <w:proofErr w:type="gramStart"/>
      <w:r>
        <w:t>However, the under and over recovery balances out so there is no net difference in the timing of depreciation between the approaches, over the life of the assets</w:t>
      </w:r>
      <w:r w:rsidRPr="00CC1010">
        <w:t>.</w:t>
      </w:r>
      <w:proofErr w:type="gramEnd"/>
    </w:p>
  </w:footnote>
  <w:footnote w:id="34">
    <w:p w:rsidR="003E5544" w:rsidRDefault="003E5544">
      <w:pPr>
        <w:pStyle w:val="FootnoteText"/>
      </w:pPr>
      <w:r>
        <w:rPr>
          <w:rStyle w:val="FootnoteReference"/>
        </w:rPr>
        <w:footnoteRef/>
      </w:r>
      <w:r>
        <w:t xml:space="preserve"> </w:t>
      </w:r>
      <w:r>
        <w:tab/>
      </w:r>
      <w:proofErr w:type="gramStart"/>
      <w:r>
        <w:t>Compared to year-by-year tracking or WARL, the average deprecation approach over returns depreciation in some (or all) years but never under returns depreciation.</w:t>
      </w:r>
      <w:proofErr w:type="gramEnd"/>
      <w:r>
        <w:t xml:space="preserve"> Hence, over the life of the assets, there is a net difference in the timing of depreciation between the approaches. The average depreciation approach provides earlier depreciation than either of the other two approaches, as is evident in Figure 5.1.</w:t>
      </w:r>
    </w:p>
  </w:footnote>
  <w:footnote w:id="35">
    <w:p w:rsidR="003E5544" w:rsidRDefault="003E5544" w:rsidP="0018033C">
      <w:pPr>
        <w:pStyle w:val="FootnoteText"/>
      </w:pPr>
      <w:r>
        <w:rPr>
          <w:rStyle w:val="FootnoteReference"/>
        </w:rPr>
        <w:footnoteRef/>
      </w:r>
      <w:r>
        <w:t xml:space="preserve"> </w:t>
      </w:r>
      <w:r>
        <w:tab/>
      </w:r>
      <w:r w:rsidRPr="00EF6600">
        <w:t>NER, cl. 6.5.5(b</w:t>
      </w:r>
      <w:proofErr w:type="gramStart"/>
      <w:r w:rsidRPr="00EF6600">
        <w:t>)(</w:t>
      </w:r>
      <w:proofErr w:type="gramEnd"/>
      <w:r w:rsidRPr="00EF6600">
        <w:t>1).</w:t>
      </w:r>
    </w:p>
  </w:footnote>
  <w:footnote w:id="36">
    <w:p w:rsidR="00263A6B" w:rsidRDefault="00263A6B" w:rsidP="00263A6B">
      <w:pPr>
        <w:pStyle w:val="FootnoteText"/>
      </w:pPr>
      <w:r>
        <w:rPr>
          <w:rStyle w:val="FootnoteReference"/>
        </w:rPr>
        <w:footnoteRef/>
      </w:r>
      <w:r>
        <w:t xml:space="preserve"> </w:t>
      </w:r>
      <w:r>
        <w:tab/>
        <w:t>Graphically, this means the blue line, red line and stacked columns all drop to zero (and do not drop below zero).</w:t>
      </w:r>
    </w:p>
  </w:footnote>
  <w:footnote w:id="37">
    <w:p w:rsidR="003E5544" w:rsidRDefault="003E5544" w:rsidP="0018033C">
      <w:pPr>
        <w:pStyle w:val="FootnoteText"/>
      </w:pPr>
      <w:r>
        <w:rPr>
          <w:rStyle w:val="FootnoteReference"/>
        </w:rPr>
        <w:footnoteRef/>
      </w:r>
      <w:r>
        <w:t xml:space="preserve"> </w:t>
      </w:r>
      <w:r>
        <w:tab/>
        <w:t>NER, cl. 6.5.5(a</w:t>
      </w:r>
      <w:proofErr w:type="gramStart"/>
      <w:r>
        <w:t>)(</w:t>
      </w:r>
      <w:proofErr w:type="gramEnd"/>
      <w: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44" w:rsidRDefault="00A95360">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8"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E554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44" w:rsidRDefault="00A9536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7"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AFE45A12"/>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UE\UE PD - Public\UE Overview and attachments\AER - Preliminary decision United Energy distribution determination - Attachment 5 - Regulatory depreciation - October 2015.DOCX"/>
  </w:docVars>
  <w:rsids>
    <w:rsidRoot w:val="00961A4A"/>
    <w:rsid w:val="00010286"/>
    <w:rsid w:val="00021202"/>
    <w:rsid w:val="00021C2B"/>
    <w:rsid w:val="0002517F"/>
    <w:rsid w:val="00026495"/>
    <w:rsid w:val="0003578C"/>
    <w:rsid w:val="00036C00"/>
    <w:rsid w:val="000401AF"/>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F0B2B"/>
    <w:rsid w:val="000F3E72"/>
    <w:rsid w:val="000F48B1"/>
    <w:rsid w:val="00116EB2"/>
    <w:rsid w:val="00124609"/>
    <w:rsid w:val="0012633D"/>
    <w:rsid w:val="00126A4C"/>
    <w:rsid w:val="00140327"/>
    <w:rsid w:val="00142AB6"/>
    <w:rsid w:val="0014573B"/>
    <w:rsid w:val="001473DF"/>
    <w:rsid w:val="00153590"/>
    <w:rsid w:val="001573E4"/>
    <w:rsid w:val="00160756"/>
    <w:rsid w:val="00163725"/>
    <w:rsid w:val="00170026"/>
    <w:rsid w:val="001717F5"/>
    <w:rsid w:val="0017232E"/>
    <w:rsid w:val="00174102"/>
    <w:rsid w:val="001754EE"/>
    <w:rsid w:val="00180157"/>
    <w:rsid w:val="0018033C"/>
    <w:rsid w:val="00185CB9"/>
    <w:rsid w:val="00186F77"/>
    <w:rsid w:val="001926A4"/>
    <w:rsid w:val="00192AD5"/>
    <w:rsid w:val="001B45A0"/>
    <w:rsid w:val="001B7D00"/>
    <w:rsid w:val="001C1848"/>
    <w:rsid w:val="001D055E"/>
    <w:rsid w:val="001D2185"/>
    <w:rsid w:val="001F05A4"/>
    <w:rsid w:val="001F492E"/>
    <w:rsid w:val="001F6DA3"/>
    <w:rsid w:val="002010BC"/>
    <w:rsid w:val="002016E7"/>
    <w:rsid w:val="00201F98"/>
    <w:rsid w:val="00202E03"/>
    <w:rsid w:val="0020478D"/>
    <w:rsid w:val="0020492C"/>
    <w:rsid w:val="002163A5"/>
    <w:rsid w:val="0022497C"/>
    <w:rsid w:val="00224DB9"/>
    <w:rsid w:val="00227DCE"/>
    <w:rsid w:val="0023276C"/>
    <w:rsid w:val="00233775"/>
    <w:rsid w:val="00236BD7"/>
    <w:rsid w:val="00251745"/>
    <w:rsid w:val="00260F08"/>
    <w:rsid w:val="00263A6B"/>
    <w:rsid w:val="00263AC0"/>
    <w:rsid w:val="00264264"/>
    <w:rsid w:val="0026772D"/>
    <w:rsid w:val="00286874"/>
    <w:rsid w:val="00290C63"/>
    <w:rsid w:val="00296B65"/>
    <w:rsid w:val="002A7DEF"/>
    <w:rsid w:val="002B1003"/>
    <w:rsid w:val="002C12BE"/>
    <w:rsid w:val="002C233C"/>
    <w:rsid w:val="002D72E8"/>
    <w:rsid w:val="002E5A94"/>
    <w:rsid w:val="002E7523"/>
    <w:rsid w:val="002E7B22"/>
    <w:rsid w:val="002F7986"/>
    <w:rsid w:val="00301B40"/>
    <w:rsid w:val="003029EE"/>
    <w:rsid w:val="0030370B"/>
    <w:rsid w:val="00305CC8"/>
    <w:rsid w:val="00307F6D"/>
    <w:rsid w:val="003177A2"/>
    <w:rsid w:val="003271B5"/>
    <w:rsid w:val="00327A1E"/>
    <w:rsid w:val="00327E32"/>
    <w:rsid w:val="00331264"/>
    <w:rsid w:val="00334C8D"/>
    <w:rsid w:val="00336DE3"/>
    <w:rsid w:val="00343A18"/>
    <w:rsid w:val="00344473"/>
    <w:rsid w:val="003518B3"/>
    <w:rsid w:val="0035479E"/>
    <w:rsid w:val="00355CE4"/>
    <w:rsid w:val="003846F1"/>
    <w:rsid w:val="003931A7"/>
    <w:rsid w:val="003A6DE4"/>
    <w:rsid w:val="003A7B22"/>
    <w:rsid w:val="003B484F"/>
    <w:rsid w:val="003B7FBA"/>
    <w:rsid w:val="003E5544"/>
    <w:rsid w:val="003F174D"/>
    <w:rsid w:val="003F7442"/>
    <w:rsid w:val="00403996"/>
    <w:rsid w:val="00415F31"/>
    <w:rsid w:val="00416A44"/>
    <w:rsid w:val="00423A77"/>
    <w:rsid w:val="004479D9"/>
    <w:rsid w:val="0045777E"/>
    <w:rsid w:val="00474EC7"/>
    <w:rsid w:val="00480B4B"/>
    <w:rsid w:val="0048107C"/>
    <w:rsid w:val="00483C50"/>
    <w:rsid w:val="00485DC4"/>
    <w:rsid w:val="00487A50"/>
    <w:rsid w:val="004931F3"/>
    <w:rsid w:val="004A43D1"/>
    <w:rsid w:val="004B4412"/>
    <w:rsid w:val="004C348C"/>
    <w:rsid w:val="004D55BA"/>
    <w:rsid w:val="004E22EC"/>
    <w:rsid w:val="004F6A0E"/>
    <w:rsid w:val="005066A8"/>
    <w:rsid w:val="00510DFB"/>
    <w:rsid w:val="00530128"/>
    <w:rsid w:val="00532467"/>
    <w:rsid w:val="00537FD6"/>
    <w:rsid w:val="00564A4D"/>
    <w:rsid w:val="0056588A"/>
    <w:rsid w:val="00566A1F"/>
    <w:rsid w:val="00567BA5"/>
    <w:rsid w:val="00571B35"/>
    <w:rsid w:val="00571D57"/>
    <w:rsid w:val="00577A09"/>
    <w:rsid w:val="005829C2"/>
    <w:rsid w:val="00584D8F"/>
    <w:rsid w:val="00586819"/>
    <w:rsid w:val="0059704C"/>
    <w:rsid w:val="005A404D"/>
    <w:rsid w:val="005B1E3C"/>
    <w:rsid w:val="005B3FB7"/>
    <w:rsid w:val="005B5744"/>
    <w:rsid w:val="005B704A"/>
    <w:rsid w:val="005C0A7F"/>
    <w:rsid w:val="005C26CC"/>
    <w:rsid w:val="005C4C9C"/>
    <w:rsid w:val="005C74E3"/>
    <w:rsid w:val="005D7BA2"/>
    <w:rsid w:val="005E36C2"/>
    <w:rsid w:val="006007DE"/>
    <w:rsid w:val="00601638"/>
    <w:rsid w:val="00610EF9"/>
    <w:rsid w:val="00612F4F"/>
    <w:rsid w:val="00615C6B"/>
    <w:rsid w:val="00621DCE"/>
    <w:rsid w:val="00632D6D"/>
    <w:rsid w:val="00642C3E"/>
    <w:rsid w:val="00651C3A"/>
    <w:rsid w:val="00651CB2"/>
    <w:rsid w:val="00652FD7"/>
    <w:rsid w:val="006560CA"/>
    <w:rsid w:val="00660957"/>
    <w:rsid w:val="0066104A"/>
    <w:rsid w:val="00663DAD"/>
    <w:rsid w:val="00665649"/>
    <w:rsid w:val="006672AA"/>
    <w:rsid w:val="00675E20"/>
    <w:rsid w:val="00676679"/>
    <w:rsid w:val="00683C89"/>
    <w:rsid w:val="00691D9A"/>
    <w:rsid w:val="0069234F"/>
    <w:rsid w:val="0069350E"/>
    <w:rsid w:val="006B1C4E"/>
    <w:rsid w:val="006B2395"/>
    <w:rsid w:val="006B45A4"/>
    <w:rsid w:val="006B4CF9"/>
    <w:rsid w:val="006B785B"/>
    <w:rsid w:val="006B7AC8"/>
    <w:rsid w:val="006C1736"/>
    <w:rsid w:val="006C4798"/>
    <w:rsid w:val="006D550F"/>
    <w:rsid w:val="006E0084"/>
    <w:rsid w:val="006F3AD1"/>
    <w:rsid w:val="006F3FC8"/>
    <w:rsid w:val="0070011E"/>
    <w:rsid w:val="00701CAB"/>
    <w:rsid w:val="00707563"/>
    <w:rsid w:val="007102FD"/>
    <w:rsid w:val="00713CED"/>
    <w:rsid w:val="0071732C"/>
    <w:rsid w:val="0072173B"/>
    <w:rsid w:val="0072348C"/>
    <w:rsid w:val="00724A37"/>
    <w:rsid w:val="007303C3"/>
    <w:rsid w:val="007359C2"/>
    <w:rsid w:val="00741C46"/>
    <w:rsid w:val="00741E23"/>
    <w:rsid w:val="007429BE"/>
    <w:rsid w:val="00743223"/>
    <w:rsid w:val="00746E01"/>
    <w:rsid w:val="007475A0"/>
    <w:rsid w:val="00747EEA"/>
    <w:rsid w:val="00757364"/>
    <w:rsid w:val="00757BDF"/>
    <w:rsid w:val="007609D0"/>
    <w:rsid w:val="00763E5D"/>
    <w:rsid w:val="00767740"/>
    <w:rsid w:val="00777EE6"/>
    <w:rsid w:val="00782EEA"/>
    <w:rsid w:val="0079596F"/>
    <w:rsid w:val="007A5CF0"/>
    <w:rsid w:val="007B186E"/>
    <w:rsid w:val="007B2C72"/>
    <w:rsid w:val="007C1C53"/>
    <w:rsid w:val="007C74BB"/>
    <w:rsid w:val="007D456E"/>
    <w:rsid w:val="007E4904"/>
    <w:rsid w:val="007E4CB5"/>
    <w:rsid w:val="007F066B"/>
    <w:rsid w:val="007F213A"/>
    <w:rsid w:val="007F75C4"/>
    <w:rsid w:val="008005C4"/>
    <w:rsid w:val="008012DE"/>
    <w:rsid w:val="008033C4"/>
    <w:rsid w:val="00806C88"/>
    <w:rsid w:val="0081034E"/>
    <w:rsid w:val="008221F2"/>
    <w:rsid w:val="00825985"/>
    <w:rsid w:val="008344F6"/>
    <w:rsid w:val="0083510F"/>
    <w:rsid w:val="008408C5"/>
    <w:rsid w:val="00851209"/>
    <w:rsid w:val="0085722A"/>
    <w:rsid w:val="008600C5"/>
    <w:rsid w:val="00864B35"/>
    <w:rsid w:val="00882481"/>
    <w:rsid w:val="008837AC"/>
    <w:rsid w:val="008A587D"/>
    <w:rsid w:val="008B1C69"/>
    <w:rsid w:val="008B35CD"/>
    <w:rsid w:val="008B5FCC"/>
    <w:rsid w:val="008B6BE1"/>
    <w:rsid w:val="008B7544"/>
    <w:rsid w:val="008C3374"/>
    <w:rsid w:val="008C37AB"/>
    <w:rsid w:val="008C5486"/>
    <w:rsid w:val="008C708B"/>
    <w:rsid w:val="008D1661"/>
    <w:rsid w:val="008D6800"/>
    <w:rsid w:val="008D6984"/>
    <w:rsid w:val="008E1E09"/>
    <w:rsid w:val="008E2DAD"/>
    <w:rsid w:val="008E3446"/>
    <w:rsid w:val="008E7031"/>
    <w:rsid w:val="008E73FE"/>
    <w:rsid w:val="008E77DE"/>
    <w:rsid w:val="008F07A3"/>
    <w:rsid w:val="008F34DD"/>
    <w:rsid w:val="009001B6"/>
    <w:rsid w:val="00900E1B"/>
    <w:rsid w:val="00901C3C"/>
    <w:rsid w:val="009233EE"/>
    <w:rsid w:val="009272AD"/>
    <w:rsid w:val="009277DC"/>
    <w:rsid w:val="009364BC"/>
    <w:rsid w:val="00941800"/>
    <w:rsid w:val="009460AA"/>
    <w:rsid w:val="00951978"/>
    <w:rsid w:val="00961A4A"/>
    <w:rsid w:val="009661DE"/>
    <w:rsid w:val="00983C25"/>
    <w:rsid w:val="00984809"/>
    <w:rsid w:val="009856B7"/>
    <w:rsid w:val="00985C86"/>
    <w:rsid w:val="00995488"/>
    <w:rsid w:val="00997656"/>
    <w:rsid w:val="009A14E4"/>
    <w:rsid w:val="009A40F6"/>
    <w:rsid w:val="009A5113"/>
    <w:rsid w:val="009A5FC3"/>
    <w:rsid w:val="009B3F81"/>
    <w:rsid w:val="009B6F84"/>
    <w:rsid w:val="009B74B0"/>
    <w:rsid w:val="009D2708"/>
    <w:rsid w:val="009D3906"/>
    <w:rsid w:val="009D6B46"/>
    <w:rsid w:val="009F4940"/>
    <w:rsid w:val="009F5BA1"/>
    <w:rsid w:val="00A02A88"/>
    <w:rsid w:val="00A0562E"/>
    <w:rsid w:val="00A05F00"/>
    <w:rsid w:val="00A0726D"/>
    <w:rsid w:val="00A244C0"/>
    <w:rsid w:val="00A32FBB"/>
    <w:rsid w:val="00A428EE"/>
    <w:rsid w:val="00A4478A"/>
    <w:rsid w:val="00A44852"/>
    <w:rsid w:val="00A4650A"/>
    <w:rsid w:val="00A50502"/>
    <w:rsid w:val="00A57D04"/>
    <w:rsid w:val="00A60A26"/>
    <w:rsid w:val="00A61598"/>
    <w:rsid w:val="00A660C5"/>
    <w:rsid w:val="00A84A99"/>
    <w:rsid w:val="00A84F46"/>
    <w:rsid w:val="00A871F4"/>
    <w:rsid w:val="00A901DD"/>
    <w:rsid w:val="00A95360"/>
    <w:rsid w:val="00AA0D59"/>
    <w:rsid w:val="00AB45BA"/>
    <w:rsid w:val="00AC1B2C"/>
    <w:rsid w:val="00AC3264"/>
    <w:rsid w:val="00AE1BF1"/>
    <w:rsid w:val="00AF0C66"/>
    <w:rsid w:val="00AF0DD2"/>
    <w:rsid w:val="00B0209D"/>
    <w:rsid w:val="00B07CEA"/>
    <w:rsid w:val="00B13048"/>
    <w:rsid w:val="00B131ED"/>
    <w:rsid w:val="00B1716D"/>
    <w:rsid w:val="00B17A1D"/>
    <w:rsid w:val="00B207A0"/>
    <w:rsid w:val="00B439E9"/>
    <w:rsid w:val="00B514DD"/>
    <w:rsid w:val="00B52AF0"/>
    <w:rsid w:val="00B561BD"/>
    <w:rsid w:val="00B56E03"/>
    <w:rsid w:val="00B757A6"/>
    <w:rsid w:val="00B8080B"/>
    <w:rsid w:val="00B82223"/>
    <w:rsid w:val="00B83022"/>
    <w:rsid w:val="00B87BA5"/>
    <w:rsid w:val="00B87C39"/>
    <w:rsid w:val="00B9562D"/>
    <w:rsid w:val="00BA4665"/>
    <w:rsid w:val="00BB2FB2"/>
    <w:rsid w:val="00BB3304"/>
    <w:rsid w:val="00BB7088"/>
    <w:rsid w:val="00BB7528"/>
    <w:rsid w:val="00BD310B"/>
    <w:rsid w:val="00BD3446"/>
    <w:rsid w:val="00BE1F1B"/>
    <w:rsid w:val="00BE47B5"/>
    <w:rsid w:val="00BF0722"/>
    <w:rsid w:val="00BF4945"/>
    <w:rsid w:val="00C04223"/>
    <w:rsid w:val="00C25FA6"/>
    <w:rsid w:val="00C538A9"/>
    <w:rsid w:val="00C53B5A"/>
    <w:rsid w:val="00C54F5A"/>
    <w:rsid w:val="00C569B4"/>
    <w:rsid w:val="00C56A3E"/>
    <w:rsid w:val="00C61E30"/>
    <w:rsid w:val="00C66421"/>
    <w:rsid w:val="00C67A92"/>
    <w:rsid w:val="00C7497E"/>
    <w:rsid w:val="00C821F9"/>
    <w:rsid w:val="00C84560"/>
    <w:rsid w:val="00C84F52"/>
    <w:rsid w:val="00C86679"/>
    <w:rsid w:val="00C9197A"/>
    <w:rsid w:val="00CA049D"/>
    <w:rsid w:val="00CA489E"/>
    <w:rsid w:val="00CA52A2"/>
    <w:rsid w:val="00CB0279"/>
    <w:rsid w:val="00CB303D"/>
    <w:rsid w:val="00CB666B"/>
    <w:rsid w:val="00CC7F1D"/>
    <w:rsid w:val="00CD04BD"/>
    <w:rsid w:val="00CE484B"/>
    <w:rsid w:val="00CF0DEE"/>
    <w:rsid w:val="00CF5F33"/>
    <w:rsid w:val="00CF6EDE"/>
    <w:rsid w:val="00D006AE"/>
    <w:rsid w:val="00D01CF0"/>
    <w:rsid w:val="00D01EFD"/>
    <w:rsid w:val="00D0442A"/>
    <w:rsid w:val="00D16210"/>
    <w:rsid w:val="00D17683"/>
    <w:rsid w:val="00D2650D"/>
    <w:rsid w:val="00D30C46"/>
    <w:rsid w:val="00D35F38"/>
    <w:rsid w:val="00D363D7"/>
    <w:rsid w:val="00D45694"/>
    <w:rsid w:val="00D4731E"/>
    <w:rsid w:val="00D47696"/>
    <w:rsid w:val="00D60E4F"/>
    <w:rsid w:val="00D61388"/>
    <w:rsid w:val="00D61A54"/>
    <w:rsid w:val="00D64801"/>
    <w:rsid w:val="00D64DEA"/>
    <w:rsid w:val="00D7168E"/>
    <w:rsid w:val="00D71E57"/>
    <w:rsid w:val="00D742CB"/>
    <w:rsid w:val="00D80893"/>
    <w:rsid w:val="00D84854"/>
    <w:rsid w:val="00D848B4"/>
    <w:rsid w:val="00D92CF1"/>
    <w:rsid w:val="00D92D38"/>
    <w:rsid w:val="00D950F5"/>
    <w:rsid w:val="00DA3278"/>
    <w:rsid w:val="00DA4752"/>
    <w:rsid w:val="00DA61F3"/>
    <w:rsid w:val="00DA6B93"/>
    <w:rsid w:val="00DB0F93"/>
    <w:rsid w:val="00DB1A67"/>
    <w:rsid w:val="00DB5074"/>
    <w:rsid w:val="00DB50B7"/>
    <w:rsid w:val="00DB5B21"/>
    <w:rsid w:val="00DB68B5"/>
    <w:rsid w:val="00DC53F7"/>
    <w:rsid w:val="00DC7981"/>
    <w:rsid w:val="00DD74E7"/>
    <w:rsid w:val="00DE1093"/>
    <w:rsid w:val="00DE4EFA"/>
    <w:rsid w:val="00DE5520"/>
    <w:rsid w:val="00DE563D"/>
    <w:rsid w:val="00DE5E2E"/>
    <w:rsid w:val="00DE772C"/>
    <w:rsid w:val="00DF312A"/>
    <w:rsid w:val="00E01711"/>
    <w:rsid w:val="00E04818"/>
    <w:rsid w:val="00E06442"/>
    <w:rsid w:val="00E06BCF"/>
    <w:rsid w:val="00E1001C"/>
    <w:rsid w:val="00E23993"/>
    <w:rsid w:val="00E257D6"/>
    <w:rsid w:val="00E25B8C"/>
    <w:rsid w:val="00E51D65"/>
    <w:rsid w:val="00E54EB3"/>
    <w:rsid w:val="00E56973"/>
    <w:rsid w:val="00E616BC"/>
    <w:rsid w:val="00E6200B"/>
    <w:rsid w:val="00E65C85"/>
    <w:rsid w:val="00E66199"/>
    <w:rsid w:val="00E666BD"/>
    <w:rsid w:val="00E711C7"/>
    <w:rsid w:val="00E755EC"/>
    <w:rsid w:val="00E7624D"/>
    <w:rsid w:val="00E9025D"/>
    <w:rsid w:val="00E9615E"/>
    <w:rsid w:val="00EA3D42"/>
    <w:rsid w:val="00EA5B2A"/>
    <w:rsid w:val="00EA6B1B"/>
    <w:rsid w:val="00EB5BC8"/>
    <w:rsid w:val="00EB606C"/>
    <w:rsid w:val="00EC04F1"/>
    <w:rsid w:val="00EC49C6"/>
    <w:rsid w:val="00ED0EC2"/>
    <w:rsid w:val="00ED5FA3"/>
    <w:rsid w:val="00ED7323"/>
    <w:rsid w:val="00EE28F3"/>
    <w:rsid w:val="00EE50D1"/>
    <w:rsid w:val="00EF42AC"/>
    <w:rsid w:val="00EF5110"/>
    <w:rsid w:val="00F0334E"/>
    <w:rsid w:val="00F10411"/>
    <w:rsid w:val="00F15882"/>
    <w:rsid w:val="00F171E0"/>
    <w:rsid w:val="00F20BD3"/>
    <w:rsid w:val="00F216AC"/>
    <w:rsid w:val="00F2526A"/>
    <w:rsid w:val="00F34B73"/>
    <w:rsid w:val="00F373A5"/>
    <w:rsid w:val="00F47559"/>
    <w:rsid w:val="00F51227"/>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A517E"/>
    <w:rsid w:val="00FB4402"/>
    <w:rsid w:val="00FB60FE"/>
    <w:rsid w:val="00FB74E2"/>
    <w:rsid w:val="00FC71DC"/>
    <w:rsid w:val="00FD2ED2"/>
    <w:rsid w:val="00FD5614"/>
    <w:rsid w:val="00FD5E78"/>
    <w:rsid w:val="00FE0BE1"/>
    <w:rsid w:val="00FE1DE9"/>
    <w:rsid w:val="00FE36AF"/>
    <w:rsid w:val="00FE39C2"/>
    <w:rsid w:val="00FE3C32"/>
    <w:rsid w:val="00FE64AE"/>
    <w:rsid w:val="00FE6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38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1D5A9986</Template>
  <TotalTime>0</TotalTime>
  <Pages>17</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2015-10-28T06:57:00Z</dcterms:created>
  <dcterms:modified xsi:type="dcterms:W3CDTF">2015-10-28T07:11:00Z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