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244B79F2" wp14:editId="7E920C75">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5C0A7F">
            <w:t>PRELIMINARY</w:t>
          </w:r>
          <w:r w:rsidR="00DA4752">
            <w:t xml:space="preserve"> DECISION</w:t>
          </w:r>
        </w:p>
        <w:p w:rsidR="00415F31" w:rsidRDefault="004E1775" w:rsidP="008F07A3">
          <w:pPr>
            <w:pStyle w:val="ReportSubtitle"/>
          </w:pPr>
          <w:r>
            <w:t>United Energy</w:t>
          </w:r>
          <w:r w:rsidR="0070011E">
            <w:t xml:space="preserve"> distribution</w:t>
          </w:r>
          <w:r w:rsidR="00415F31">
            <w:t xml:space="preserve"> </w:t>
          </w:r>
          <w:r w:rsidR="00DA4752">
            <w:t>determination</w:t>
          </w:r>
        </w:p>
        <w:p w:rsidR="000A6C7B" w:rsidRDefault="005C0A7F" w:rsidP="008F07A3">
          <w:pPr>
            <w:pStyle w:val="ReportSubtitle"/>
          </w:pPr>
          <w:r>
            <w:t xml:space="preserve"> 20</w:t>
          </w:r>
          <w:r w:rsidR="00DA4752">
            <w:t xml:space="preserve">16 to </w:t>
          </w:r>
          <w:r>
            <w:t>2020</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CF6EDE">
            <w:t>8</w:t>
          </w:r>
          <w:r w:rsidR="00DA4752">
            <w:t xml:space="preserve"> </w:t>
          </w:r>
          <w:r w:rsidR="00415F31">
            <w:rPr>
              <w:rFonts w:cs="Arial"/>
            </w:rPr>
            <w:t>–</w:t>
          </w:r>
          <w:r w:rsidR="00DA4752">
            <w:t xml:space="preserve"> </w:t>
          </w:r>
          <w:r w:rsidR="00CF6EDE">
            <w:t>Corporate income tax</w:t>
          </w:r>
        </w:p>
        <w:p w:rsidR="000A6C7B" w:rsidRPr="00327A1E" w:rsidRDefault="005C0A7F"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33521281"/>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5C0A7F">
        <w:t>preliminary</w:t>
      </w:r>
      <w:r w:rsidR="00415F31">
        <w:t xml:space="preserve"> decision on </w:t>
      </w:r>
      <w:r w:rsidR="004E1775">
        <w:t>United Energy</w:t>
      </w:r>
      <w:r w:rsidR="005C0A7F">
        <w:t>'s</w:t>
      </w:r>
      <w:r w:rsidR="00415F31">
        <w:t xml:space="preserve"> revenue proposal 201</w:t>
      </w:r>
      <w:r w:rsidR="005C0A7F">
        <w:t>6</w:t>
      </w:r>
      <w:r w:rsidR="00415F31" w:rsidRPr="00D904FA">
        <w:t>–</w:t>
      </w:r>
      <w:r w:rsidR="005C0A7F">
        <w:t>20</w:t>
      </w:r>
      <w:r w:rsidR="00415F31">
        <w:t xml:space="preserve">. It should be read with </w:t>
      </w:r>
      <w:r w:rsidR="005C0A7F">
        <w:t xml:space="preserve">all </w:t>
      </w:r>
      <w:r w:rsidR="00415F31">
        <w:t xml:space="preserve">other parts of the </w:t>
      </w:r>
      <w:r w:rsidR="005C0A7F">
        <w:t xml:space="preserve">preliminary </w:t>
      </w:r>
      <w:r w:rsidR="00415F31">
        <w:t>decision.</w:t>
      </w:r>
    </w:p>
    <w:p w:rsidR="00415F31" w:rsidRDefault="00415F31" w:rsidP="00DE772C">
      <w:pPr>
        <w:numPr>
          <w:ilvl w:val="0"/>
          <w:numId w:val="24"/>
        </w:numPr>
        <w:spacing w:before="0" w:after="240" w:line="288" w:lineRule="auto"/>
        <w:jc w:val="both"/>
      </w:pPr>
      <w:r>
        <w:t xml:space="preserve">The </w:t>
      </w:r>
      <w:r w:rsidR="005C0A7F">
        <w:t xml:space="preserve">preliminary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C84700" w:rsidRDefault="0070011E" w:rsidP="0070011E">
      <w:r>
        <w:t>Attach</w:t>
      </w:r>
      <w:r w:rsidR="009A5113">
        <w:t xml:space="preserve">ment 18 - </w:t>
      </w:r>
      <w:r w:rsidR="00C84700">
        <w:t>f-</w:t>
      </w:r>
      <w:r w:rsidR="00C84700" w:rsidRPr="001663B6">
        <w:t>factor scheme</w:t>
      </w:r>
    </w:p>
    <w:p w:rsidR="00DE563D" w:rsidRPr="00A72B34" w:rsidRDefault="00DE563D" w:rsidP="00DE772C">
      <w:pPr>
        <w:pStyle w:val="UnnumberedHeading"/>
        <w:numPr>
          <w:ilvl w:val="0"/>
          <w:numId w:val="23"/>
        </w:numPr>
      </w:pPr>
      <w:bookmarkStart w:id="5" w:name="_Toc403144133"/>
      <w:bookmarkStart w:id="6" w:name="_Toc433521282"/>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bookmarkStart w:id="7" w:name="_GoBack" w:displacedByCustomXml="prev"/>
        <w:bookmarkEnd w:id="7" w:displacedByCustomXml="prev"/>
        <w:p w:rsidR="0090114F"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3521281" w:history="1">
            <w:r w:rsidR="0090114F" w:rsidRPr="0006273F">
              <w:rPr>
                <w:rStyle w:val="Hyperlink"/>
              </w:rPr>
              <w:t>Note</w:t>
            </w:r>
            <w:r w:rsidR="0090114F">
              <w:rPr>
                <w:webHidden/>
              </w:rPr>
              <w:tab/>
            </w:r>
            <w:r w:rsidR="0090114F">
              <w:rPr>
                <w:webHidden/>
              </w:rPr>
              <w:fldChar w:fldCharType="begin"/>
            </w:r>
            <w:r w:rsidR="0090114F">
              <w:rPr>
                <w:webHidden/>
              </w:rPr>
              <w:instrText xml:space="preserve"> PAGEREF _Toc433521281 \h </w:instrText>
            </w:r>
            <w:r w:rsidR="0090114F">
              <w:rPr>
                <w:webHidden/>
              </w:rPr>
            </w:r>
            <w:r w:rsidR="0090114F">
              <w:rPr>
                <w:webHidden/>
              </w:rPr>
              <w:fldChar w:fldCharType="separate"/>
            </w:r>
            <w:r w:rsidR="0090114F">
              <w:rPr>
                <w:webHidden/>
              </w:rPr>
              <w:t>8-2</w:t>
            </w:r>
            <w:r w:rsidR="0090114F">
              <w:rPr>
                <w:webHidden/>
              </w:rPr>
              <w:fldChar w:fldCharType="end"/>
            </w:r>
          </w:hyperlink>
        </w:p>
        <w:p w:rsidR="0090114F" w:rsidRDefault="0090114F">
          <w:pPr>
            <w:pStyle w:val="TOC1"/>
            <w:rPr>
              <w:rFonts w:asciiTheme="minorHAnsi" w:eastAsiaTheme="minorEastAsia" w:hAnsiTheme="minorHAnsi"/>
              <w:b w:val="0"/>
              <w:color w:val="auto"/>
              <w:sz w:val="22"/>
              <w:lang w:val="en-AU" w:eastAsia="en-AU"/>
            </w:rPr>
          </w:pPr>
          <w:hyperlink w:anchor="_Toc433521282" w:history="1">
            <w:r w:rsidRPr="0006273F">
              <w:rPr>
                <w:rStyle w:val="Hyperlink"/>
              </w:rPr>
              <w:t>Contents</w:t>
            </w:r>
            <w:r>
              <w:rPr>
                <w:webHidden/>
              </w:rPr>
              <w:tab/>
            </w:r>
            <w:r>
              <w:rPr>
                <w:webHidden/>
              </w:rPr>
              <w:fldChar w:fldCharType="begin"/>
            </w:r>
            <w:r>
              <w:rPr>
                <w:webHidden/>
              </w:rPr>
              <w:instrText xml:space="preserve"> PAGEREF _Toc433521282 \h </w:instrText>
            </w:r>
            <w:r>
              <w:rPr>
                <w:webHidden/>
              </w:rPr>
            </w:r>
            <w:r>
              <w:rPr>
                <w:webHidden/>
              </w:rPr>
              <w:fldChar w:fldCharType="separate"/>
            </w:r>
            <w:r>
              <w:rPr>
                <w:webHidden/>
              </w:rPr>
              <w:t>8-3</w:t>
            </w:r>
            <w:r>
              <w:rPr>
                <w:webHidden/>
              </w:rPr>
              <w:fldChar w:fldCharType="end"/>
            </w:r>
          </w:hyperlink>
        </w:p>
        <w:p w:rsidR="0090114F" w:rsidRDefault="0090114F">
          <w:pPr>
            <w:pStyle w:val="TOC1"/>
            <w:rPr>
              <w:rFonts w:asciiTheme="minorHAnsi" w:eastAsiaTheme="minorEastAsia" w:hAnsiTheme="minorHAnsi"/>
              <w:b w:val="0"/>
              <w:color w:val="auto"/>
              <w:sz w:val="22"/>
              <w:lang w:val="en-AU" w:eastAsia="en-AU"/>
            </w:rPr>
          </w:pPr>
          <w:hyperlink w:anchor="_Toc433521283" w:history="1">
            <w:r w:rsidRPr="0006273F">
              <w:rPr>
                <w:rStyle w:val="Hyperlink"/>
              </w:rPr>
              <w:t>Shortened forms</w:t>
            </w:r>
            <w:r>
              <w:rPr>
                <w:webHidden/>
              </w:rPr>
              <w:tab/>
            </w:r>
            <w:r>
              <w:rPr>
                <w:webHidden/>
              </w:rPr>
              <w:fldChar w:fldCharType="begin"/>
            </w:r>
            <w:r>
              <w:rPr>
                <w:webHidden/>
              </w:rPr>
              <w:instrText xml:space="preserve"> PAGEREF _Toc433521283 \h </w:instrText>
            </w:r>
            <w:r>
              <w:rPr>
                <w:webHidden/>
              </w:rPr>
            </w:r>
            <w:r>
              <w:rPr>
                <w:webHidden/>
              </w:rPr>
              <w:fldChar w:fldCharType="separate"/>
            </w:r>
            <w:r>
              <w:rPr>
                <w:webHidden/>
              </w:rPr>
              <w:t>8-4</w:t>
            </w:r>
            <w:r>
              <w:rPr>
                <w:webHidden/>
              </w:rPr>
              <w:fldChar w:fldCharType="end"/>
            </w:r>
          </w:hyperlink>
        </w:p>
        <w:p w:rsidR="0090114F" w:rsidRDefault="0090114F">
          <w:pPr>
            <w:pStyle w:val="TOC1"/>
            <w:rPr>
              <w:rFonts w:asciiTheme="minorHAnsi" w:eastAsiaTheme="minorEastAsia" w:hAnsiTheme="minorHAnsi"/>
              <w:b w:val="0"/>
              <w:color w:val="auto"/>
              <w:sz w:val="22"/>
              <w:lang w:val="en-AU" w:eastAsia="en-AU"/>
            </w:rPr>
          </w:pPr>
          <w:hyperlink w:anchor="_Toc433521284" w:history="1">
            <w:r w:rsidRPr="0006273F">
              <w:rPr>
                <w:rStyle w:val="Hyperlink"/>
              </w:rPr>
              <w:t>8</w:t>
            </w:r>
            <w:r>
              <w:rPr>
                <w:rFonts w:asciiTheme="minorHAnsi" w:eastAsiaTheme="minorEastAsia" w:hAnsiTheme="minorHAnsi"/>
                <w:b w:val="0"/>
                <w:color w:val="auto"/>
                <w:sz w:val="22"/>
                <w:lang w:val="en-AU" w:eastAsia="en-AU"/>
              </w:rPr>
              <w:tab/>
            </w:r>
            <w:r w:rsidRPr="0006273F">
              <w:rPr>
                <w:rStyle w:val="Hyperlink"/>
              </w:rPr>
              <w:t>Corporate income tax</w:t>
            </w:r>
            <w:r>
              <w:rPr>
                <w:webHidden/>
              </w:rPr>
              <w:tab/>
            </w:r>
            <w:r>
              <w:rPr>
                <w:webHidden/>
              </w:rPr>
              <w:fldChar w:fldCharType="begin"/>
            </w:r>
            <w:r>
              <w:rPr>
                <w:webHidden/>
              </w:rPr>
              <w:instrText xml:space="preserve"> PAGEREF _Toc433521284 \h </w:instrText>
            </w:r>
            <w:r>
              <w:rPr>
                <w:webHidden/>
              </w:rPr>
            </w:r>
            <w:r>
              <w:rPr>
                <w:webHidden/>
              </w:rPr>
              <w:fldChar w:fldCharType="separate"/>
            </w:r>
            <w:r>
              <w:rPr>
                <w:webHidden/>
              </w:rPr>
              <w:t>8-6</w:t>
            </w:r>
            <w:r>
              <w:rPr>
                <w:webHidden/>
              </w:rPr>
              <w:fldChar w:fldCharType="end"/>
            </w:r>
          </w:hyperlink>
        </w:p>
        <w:p w:rsidR="0090114F" w:rsidRDefault="0090114F">
          <w:pPr>
            <w:pStyle w:val="TOC2"/>
            <w:rPr>
              <w:rFonts w:asciiTheme="minorHAnsi" w:eastAsiaTheme="minorEastAsia" w:hAnsiTheme="minorHAnsi"/>
              <w:b w:val="0"/>
              <w:color w:val="auto"/>
              <w:sz w:val="22"/>
              <w:lang w:eastAsia="en-AU"/>
            </w:rPr>
          </w:pPr>
          <w:hyperlink w:anchor="_Toc433521285" w:history="1">
            <w:r w:rsidRPr="0006273F">
              <w:rPr>
                <w:rStyle w:val="Hyperlink"/>
              </w:rPr>
              <w:t>8.1</w:t>
            </w:r>
            <w:r>
              <w:rPr>
                <w:rFonts w:asciiTheme="minorHAnsi" w:eastAsiaTheme="minorEastAsia" w:hAnsiTheme="minorHAnsi"/>
                <w:b w:val="0"/>
                <w:color w:val="auto"/>
                <w:sz w:val="22"/>
                <w:lang w:eastAsia="en-AU"/>
              </w:rPr>
              <w:tab/>
            </w:r>
            <w:r w:rsidRPr="0006273F">
              <w:rPr>
                <w:rStyle w:val="Hyperlink"/>
              </w:rPr>
              <w:t>Preliminary decision</w:t>
            </w:r>
            <w:r>
              <w:rPr>
                <w:webHidden/>
              </w:rPr>
              <w:tab/>
            </w:r>
            <w:r>
              <w:rPr>
                <w:webHidden/>
              </w:rPr>
              <w:fldChar w:fldCharType="begin"/>
            </w:r>
            <w:r>
              <w:rPr>
                <w:webHidden/>
              </w:rPr>
              <w:instrText xml:space="preserve"> PAGEREF _Toc433521285 \h </w:instrText>
            </w:r>
            <w:r>
              <w:rPr>
                <w:webHidden/>
              </w:rPr>
            </w:r>
            <w:r>
              <w:rPr>
                <w:webHidden/>
              </w:rPr>
              <w:fldChar w:fldCharType="separate"/>
            </w:r>
            <w:r>
              <w:rPr>
                <w:webHidden/>
              </w:rPr>
              <w:t>8-6</w:t>
            </w:r>
            <w:r>
              <w:rPr>
                <w:webHidden/>
              </w:rPr>
              <w:fldChar w:fldCharType="end"/>
            </w:r>
          </w:hyperlink>
        </w:p>
        <w:p w:rsidR="0090114F" w:rsidRDefault="0090114F">
          <w:pPr>
            <w:pStyle w:val="TOC2"/>
            <w:rPr>
              <w:rFonts w:asciiTheme="minorHAnsi" w:eastAsiaTheme="minorEastAsia" w:hAnsiTheme="minorHAnsi"/>
              <w:b w:val="0"/>
              <w:color w:val="auto"/>
              <w:sz w:val="22"/>
              <w:lang w:eastAsia="en-AU"/>
            </w:rPr>
          </w:pPr>
          <w:hyperlink w:anchor="_Toc433521286" w:history="1">
            <w:r w:rsidRPr="0006273F">
              <w:rPr>
                <w:rStyle w:val="Hyperlink"/>
              </w:rPr>
              <w:t>8.2</w:t>
            </w:r>
            <w:r>
              <w:rPr>
                <w:rFonts w:asciiTheme="minorHAnsi" w:eastAsiaTheme="minorEastAsia" w:hAnsiTheme="minorHAnsi"/>
                <w:b w:val="0"/>
                <w:color w:val="auto"/>
                <w:sz w:val="22"/>
                <w:lang w:eastAsia="en-AU"/>
              </w:rPr>
              <w:tab/>
            </w:r>
            <w:r w:rsidRPr="0006273F">
              <w:rPr>
                <w:rStyle w:val="Hyperlink"/>
              </w:rPr>
              <w:t>United Energy's proposal</w:t>
            </w:r>
            <w:r>
              <w:rPr>
                <w:webHidden/>
              </w:rPr>
              <w:tab/>
            </w:r>
            <w:r>
              <w:rPr>
                <w:webHidden/>
              </w:rPr>
              <w:fldChar w:fldCharType="begin"/>
            </w:r>
            <w:r>
              <w:rPr>
                <w:webHidden/>
              </w:rPr>
              <w:instrText xml:space="preserve"> PAGEREF _Toc433521286 \h </w:instrText>
            </w:r>
            <w:r>
              <w:rPr>
                <w:webHidden/>
              </w:rPr>
            </w:r>
            <w:r>
              <w:rPr>
                <w:webHidden/>
              </w:rPr>
              <w:fldChar w:fldCharType="separate"/>
            </w:r>
            <w:r>
              <w:rPr>
                <w:webHidden/>
              </w:rPr>
              <w:t>8-7</w:t>
            </w:r>
            <w:r>
              <w:rPr>
                <w:webHidden/>
              </w:rPr>
              <w:fldChar w:fldCharType="end"/>
            </w:r>
          </w:hyperlink>
        </w:p>
        <w:p w:rsidR="0090114F" w:rsidRDefault="0090114F">
          <w:pPr>
            <w:pStyle w:val="TOC2"/>
            <w:rPr>
              <w:rFonts w:asciiTheme="minorHAnsi" w:eastAsiaTheme="minorEastAsia" w:hAnsiTheme="minorHAnsi"/>
              <w:b w:val="0"/>
              <w:color w:val="auto"/>
              <w:sz w:val="22"/>
              <w:lang w:eastAsia="en-AU"/>
            </w:rPr>
          </w:pPr>
          <w:hyperlink w:anchor="_Toc433521287" w:history="1">
            <w:r w:rsidRPr="0006273F">
              <w:rPr>
                <w:rStyle w:val="Hyperlink"/>
              </w:rPr>
              <w:t>8.3</w:t>
            </w:r>
            <w:r>
              <w:rPr>
                <w:rFonts w:asciiTheme="minorHAnsi" w:eastAsiaTheme="minorEastAsia" w:hAnsiTheme="minorHAnsi"/>
                <w:b w:val="0"/>
                <w:color w:val="auto"/>
                <w:sz w:val="22"/>
                <w:lang w:eastAsia="en-AU"/>
              </w:rPr>
              <w:tab/>
            </w:r>
            <w:r w:rsidRPr="0006273F">
              <w:rPr>
                <w:rStyle w:val="Hyperlink"/>
              </w:rPr>
              <w:t>AER’s assessment approach</w:t>
            </w:r>
            <w:r>
              <w:rPr>
                <w:webHidden/>
              </w:rPr>
              <w:tab/>
            </w:r>
            <w:r>
              <w:rPr>
                <w:webHidden/>
              </w:rPr>
              <w:fldChar w:fldCharType="begin"/>
            </w:r>
            <w:r>
              <w:rPr>
                <w:webHidden/>
              </w:rPr>
              <w:instrText xml:space="preserve"> PAGEREF _Toc433521287 \h </w:instrText>
            </w:r>
            <w:r>
              <w:rPr>
                <w:webHidden/>
              </w:rPr>
            </w:r>
            <w:r>
              <w:rPr>
                <w:webHidden/>
              </w:rPr>
              <w:fldChar w:fldCharType="separate"/>
            </w:r>
            <w:r>
              <w:rPr>
                <w:webHidden/>
              </w:rPr>
              <w:t>8-7</w:t>
            </w:r>
            <w:r>
              <w:rPr>
                <w:webHidden/>
              </w:rPr>
              <w:fldChar w:fldCharType="end"/>
            </w:r>
          </w:hyperlink>
        </w:p>
        <w:p w:rsidR="0090114F" w:rsidRDefault="0090114F">
          <w:pPr>
            <w:pStyle w:val="TOC3"/>
            <w:rPr>
              <w:rFonts w:asciiTheme="minorHAnsi" w:eastAsiaTheme="minorEastAsia" w:hAnsiTheme="minorHAnsi"/>
              <w:lang w:eastAsia="en-AU"/>
            </w:rPr>
          </w:pPr>
          <w:hyperlink w:anchor="_Toc433521288" w:history="1">
            <w:r w:rsidRPr="0006273F">
              <w:rPr>
                <w:rStyle w:val="Hyperlink"/>
              </w:rPr>
              <w:t>8.3.1</w:t>
            </w:r>
            <w:r>
              <w:rPr>
                <w:rFonts w:asciiTheme="minorHAnsi" w:eastAsiaTheme="minorEastAsia" w:hAnsiTheme="minorHAnsi"/>
                <w:lang w:eastAsia="en-AU"/>
              </w:rPr>
              <w:tab/>
            </w:r>
            <w:r w:rsidRPr="0006273F">
              <w:rPr>
                <w:rStyle w:val="Hyperlink"/>
              </w:rPr>
              <w:t>Interrelationships</w:t>
            </w:r>
            <w:r>
              <w:rPr>
                <w:webHidden/>
              </w:rPr>
              <w:tab/>
            </w:r>
            <w:r>
              <w:rPr>
                <w:webHidden/>
              </w:rPr>
              <w:fldChar w:fldCharType="begin"/>
            </w:r>
            <w:r>
              <w:rPr>
                <w:webHidden/>
              </w:rPr>
              <w:instrText xml:space="preserve"> PAGEREF _Toc433521288 \h </w:instrText>
            </w:r>
            <w:r>
              <w:rPr>
                <w:webHidden/>
              </w:rPr>
            </w:r>
            <w:r>
              <w:rPr>
                <w:webHidden/>
              </w:rPr>
              <w:fldChar w:fldCharType="separate"/>
            </w:r>
            <w:r>
              <w:rPr>
                <w:webHidden/>
              </w:rPr>
              <w:t>8-9</w:t>
            </w:r>
            <w:r>
              <w:rPr>
                <w:webHidden/>
              </w:rPr>
              <w:fldChar w:fldCharType="end"/>
            </w:r>
          </w:hyperlink>
        </w:p>
        <w:p w:rsidR="0090114F" w:rsidRDefault="0090114F">
          <w:pPr>
            <w:pStyle w:val="TOC2"/>
            <w:rPr>
              <w:rFonts w:asciiTheme="minorHAnsi" w:eastAsiaTheme="minorEastAsia" w:hAnsiTheme="minorHAnsi"/>
              <w:b w:val="0"/>
              <w:color w:val="auto"/>
              <w:sz w:val="22"/>
              <w:lang w:eastAsia="en-AU"/>
            </w:rPr>
          </w:pPr>
          <w:hyperlink w:anchor="_Toc433521289" w:history="1">
            <w:r w:rsidRPr="0006273F">
              <w:rPr>
                <w:rStyle w:val="Hyperlink"/>
              </w:rPr>
              <w:t>8.4</w:t>
            </w:r>
            <w:r>
              <w:rPr>
                <w:rFonts w:asciiTheme="minorHAnsi" w:eastAsiaTheme="minorEastAsia" w:hAnsiTheme="minorHAnsi"/>
                <w:b w:val="0"/>
                <w:color w:val="auto"/>
                <w:sz w:val="22"/>
                <w:lang w:eastAsia="en-AU"/>
              </w:rPr>
              <w:tab/>
            </w:r>
            <w:r w:rsidRPr="0006273F">
              <w:rPr>
                <w:rStyle w:val="Hyperlink"/>
              </w:rPr>
              <w:t>Reasons for preliminary decision</w:t>
            </w:r>
            <w:r>
              <w:rPr>
                <w:webHidden/>
              </w:rPr>
              <w:tab/>
            </w:r>
            <w:r>
              <w:rPr>
                <w:webHidden/>
              </w:rPr>
              <w:fldChar w:fldCharType="begin"/>
            </w:r>
            <w:r>
              <w:rPr>
                <w:webHidden/>
              </w:rPr>
              <w:instrText xml:space="preserve"> PAGEREF _Toc433521289 \h </w:instrText>
            </w:r>
            <w:r>
              <w:rPr>
                <w:webHidden/>
              </w:rPr>
            </w:r>
            <w:r>
              <w:rPr>
                <w:webHidden/>
              </w:rPr>
              <w:fldChar w:fldCharType="separate"/>
            </w:r>
            <w:r>
              <w:rPr>
                <w:webHidden/>
              </w:rPr>
              <w:t>8-10</w:t>
            </w:r>
            <w:r>
              <w:rPr>
                <w:webHidden/>
              </w:rPr>
              <w:fldChar w:fldCharType="end"/>
            </w:r>
          </w:hyperlink>
        </w:p>
        <w:p w:rsidR="0090114F" w:rsidRDefault="0090114F">
          <w:pPr>
            <w:pStyle w:val="TOC3"/>
            <w:rPr>
              <w:rFonts w:asciiTheme="minorHAnsi" w:eastAsiaTheme="minorEastAsia" w:hAnsiTheme="minorHAnsi"/>
              <w:lang w:eastAsia="en-AU"/>
            </w:rPr>
          </w:pPr>
          <w:hyperlink w:anchor="_Toc433521290" w:history="1">
            <w:r w:rsidRPr="0006273F">
              <w:rPr>
                <w:rStyle w:val="Hyperlink"/>
              </w:rPr>
              <w:t>8.4.1</w:t>
            </w:r>
            <w:r>
              <w:rPr>
                <w:rFonts w:asciiTheme="minorHAnsi" w:eastAsiaTheme="minorEastAsia" w:hAnsiTheme="minorHAnsi"/>
                <w:lang w:eastAsia="en-AU"/>
              </w:rPr>
              <w:tab/>
            </w:r>
            <w:r w:rsidRPr="0006273F">
              <w:rPr>
                <w:rStyle w:val="Hyperlink"/>
              </w:rPr>
              <w:t>Transition to straight-line tax depreciation</w:t>
            </w:r>
            <w:r>
              <w:rPr>
                <w:webHidden/>
              </w:rPr>
              <w:tab/>
            </w:r>
            <w:r>
              <w:rPr>
                <w:webHidden/>
              </w:rPr>
              <w:fldChar w:fldCharType="begin"/>
            </w:r>
            <w:r>
              <w:rPr>
                <w:webHidden/>
              </w:rPr>
              <w:instrText xml:space="preserve"> PAGEREF _Toc433521290 \h </w:instrText>
            </w:r>
            <w:r>
              <w:rPr>
                <w:webHidden/>
              </w:rPr>
            </w:r>
            <w:r>
              <w:rPr>
                <w:webHidden/>
              </w:rPr>
              <w:fldChar w:fldCharType="separate"/>
            </w:r>
            <w:r>
              <w:rPr>
                <w:webHidden/>
              </w:rPr>
              <w:t>8-10</w:t>
            </w:r>
            <w:r>
              <w:rPr>
                <w:webHidden/>
              </w:rPr>
              <w:fldChar w:fldCharType="end"/>
            </w:r>
          </w:hyperlink>
        </w:p>
        <w:p w:rsidR="0090114F" w:rsidRDefault="0090114F">
          <w:pPr>
            <w:pStyle w:val="TOC3"/>
            <w:rPr>
              <w:rFonts w:asciiTheme="minorHAnsi" w:eastAsiaTheme="minorEastAsia" w:hAnsiTheme="minorHAnsi"/>
              <w:lang w:eastAsia="en-AU"/>
            </w:rPr>
          </w:pPr>
          <w:hyperlink w:anchor="_Toc433521291" w:history="1">
            <w:r w:rsidRPr="0006273F">
              <w:rPr>
                <w:rStyle w:val="Hyperlink"/>
              </w:rPr>
              <w:t>8.4.2</w:t>
            </w:r>
            <w:r>
              <w:rPr>
                <w:rFonts w:asciiTheme="minorHAnsi" w:eastAsiaTheme="minorEastAsia" w:hAnsiTheme="minorHAnsi"/>
                <w:lang w:eastAsia="en-AU"/>
              </w:rPr>
              <w:tab/>
            </w:r>
            <w:r w:rsidRPr="0006273F">
              <w:rPr>
                <w:rStyle w:val="Hyperlink"/>
              </w:rPr>
              <w:t>Opening tax asset base</w:t>
            </w:r>
            <w:r>
              <w:rPr>
                <w:webHidden/>
              </w:rPr>
              <w:tab/>
            </w:r>
            <w:r>
              <w:rPr>
                <w:webHidden/>
              </w:rPr>
              <w:fldChar w:fldCharType="begin"/>
            </w:r>
            <w:r>
              <w:rPr>
                <w:webHidden/>
              </w:rPr>
              <w:instrText xml:space="preserve"> PAGEREF _Toc433521291 \h </w:instrText>
            </w:r>
            <w:r>
              <w:rPr>
                <w:webHidden/>
              </w:rPr>
            </w:r>
            <w:r>
              <w:rPr>
                <w:webHidden/>
              </w:rPr>
              <w:fldChar w:fldCharType="separate"/>
            </w:r>
            <w:r>
              <w:rPr>
                <w:webHidden/>
              </w:rPr>
              <w:t>8-11</w:t>
            </w:r>
            <w:r>
              <w:rPr>
                <w:webHidden/>
              </w:rPr>
              <w:fldChar w:fldCharType="end"/>
            </w:r>
          </w:hyperlink>
        </w:p>
        <w:p w:rsidR="0090114F" w:rsidRDefault="0090114F">
          <w:pPr>
            <w:pStyle w:val="TOC3"/>
            <w:rPr>
              <w:rFonts w:asciiTheme="minorHAnsi" w:eastAsiaTheme="minorEastAsia" w:hAnsiTheme="minorHAnsi"/>
              <w:lang w:eastAsia="en-AU"/>
            </w:rPr>
          </w:pPr>
          <w:hyperlink w:anchor="_Toc433521292" w:history="1">
            <w:r w:rsidRPr="0006273F">
              <w:rPr>
                <w:rStyle w:val="Hyperlink"/>
              </w:rPr>
              <w:t>8.4.3</w:t>
            </w:r>
            <w:r>
              <w:rPr>
                <w:rFonts w:asciiTheme="minorHAnsi" w:eastAsiaTheme="minorEastAsia" w:hAnsiTheme="minorHAnsi"/>
                <w:lang w:eastAsia="en-AU"/>
              </w:rPr>
              <w:tab/>
            </w:r>
            <w:r w:rsidRPr="0006273F">
              <w:rPr>
                <w:rStyle w:val="Hyperlink"/>
              </w:rPr>
              <w:t>Standard tax asset lives</w:t>
            </w:r>
            <w:r>
              <w:rPr>
                <w:webHidden/>
              </w:rPr>
              <w:tab/>
            </w:r>
            <w:r>
              <w:rPr>
                <w:webHidden/>
              </w:rPr>
              <w:fldChar w:fldCharType="begin"/>
            </w:r>
            <w:r>
              <w:rPr>
                <w:webHidden/>
              </w:rPr>
              <w:instrText xml:space="preserve"> PAGEREF _Toc433521292 \h </w:instrText>
            </w:r>
            <w:r>
              <w:rPr>
                <w:webHidden/>
              </w:rPr>
            </w:r>
            <w:r>
              <w:rPr>
                <w:webHidden/>
              </w:rPr>
              <w:fldChar w:fldCharType="separate"/>
            </w:r>
            <w:r>
              <w:rPr>
                <w:webHidden/>
              </w:rPr>
              <w:t>8-12</w:t>
            </w:r>
            <w:r>
              <w:rPr>
                <w:webHidden/>
              </w:rPr>
              <w:fldChar w:fldCharType="end"/>
            </w:r>
          </w:hyperlink>
        </w:p>
        <w:p w:rsidR="0090114F" w:rsidRDefault="0090114F">
          <w:pPr>
            <w:pStyle w:val="TOC3"/>
            <w:rPr>
              <w:rFonts w:asciiTheme="minorHAnsi" w:eastAsiaTheme="minorEastAsia" w:hAnsiTheme="minorHAnsi"/>
              <w:lang w:eastAsia="en-AU"/>
            </w:rPr>
          </w:pPr>
          <w:hyperlink w:anchor="_Toc433521293" w:history="1">
            <w:r w:rsidRPr="0006273F">
              <w:rPr>
                <w:rStyle w:val="Hyperlink"/>
              </w:rPr>
              <w:t>8.4.4</w:t>
            </w:r>
            <w:r>
              <w:rPr>
                <w:rFonts w:asciiTheme="minorHAnsi" w:eastAsiaTheme="minorEastAsia" w:hAnsiTheme="minorHAnsi"/>
                <w:lang w:eastAsia="en-AU"/>
              </w:rPr>
              <w:tab/>
            </w:r>
            <w:r w:rsidRPr="0006273F">
              <w:rPr>
                <w:rStyle w:val="Hyperlink"/>
              </w:rPr>
              <w:t>Remaining tax asset lives</w:t>
            </w:r>
            <w:r>
              <w:rPr>
                <w:webHidden/>
              </w:rPr>
              <w:tab/>
            </w:r>
            <w:r>
              <w:rPr>
                <w:webHidden/>
              </w:rPr>
              <w:fldChar w:fldCharType="begin"/>
            </w:r>
            <w:r>
              <w:rPr>
                <w:webHidden/>
              </w:rPr>
              <w:instrText xml:space="preserve"> PAGEREF _Toc433521293 \h </w:instrText>
            </w:r>
            <w:r>
              <w:rPr>
                <w:webHidden/>
              </w:rPr>
            </w:r>
            <w:r>
              <w:rPr>
                <w:webHidden/>
              </w:rPr>
              <w:fldChar w:fldCharType="separate"/>
            </w:r>
            <w:r>
              <w:rPr>
                <w:webHidden/>
              </w:rPr>
              <w:t>8-12</w:t>
            </w:r>
            <w:r>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DE772C">
      <w:pPr>
        <w:pStyle w:val="UnnumberedHeading"/>
        <w:numPr>
          <w:ilvl w:val="0"/>
          <w:numId w:val="23"/>
        </w:numPr>
      </w:pPr>
      <w:bookmarkStart w:id="8" w:name="_Toc404700925"/>
      <w:bookmarkStart w:id="9" w:name="_Toc433521283"/>
      <w:r>
        <w:t>Shortened forms</w:t>
      </w:r>
      <w:bookmarkEnd w:id="8"/>
      <w:bookmarkEnd w:id="9"/>
    </w:p>
    <w:tbl>
      <w:tblPr>
        <w:tblStyle w:val="AERtable-text0"/>
        <w:tblW w:w="0" w:type="auto"/>
        <w:tblLook w:val="04A0" w:firstRow="1" w:lastRow="0" w:firstColumn="1" w:lastColumn="0" w:noHBand="0" w:noVBand="1"/>
      </w:tblPr>
      <w:tblGrid>
        <w:gridCol w:w="3369"/>
        <w:gridCol w:w="5324"/>
      </w:tblGrid>
      <w:tr w:rsidR="001F05A4" w:rsidTr="004B34FB">
        <w:trPr>
          <w:cnfStyle w:val="100000000000" w:firstRow="1" w:lastRow="0" w:firstColumn="0" w:lastColumn="0" w:oddVBand="0" w:evenVBand="0" w:oddHBand="0" w:evenHBand="0" w:firstRowFirstColumn="0" w:firstRowLastColumn="0" w:lastRowFirstColumn="0" w:lastRowLastColumn="0"/>
          <w:tblHeader/>
        </w:trPr>
        <w:tc>
          <w:tcPr>
            <w:tcW w:w="3369" w:type="dxa"/>
          </w:tcPr>
          <w:p w:rsidR="001F05A4" w:rsidRDefault="001F05A4" w:rsidP="00DE772C">
            <w:pPr>
              <w:numPr>
                <w:ilvl w:val="0"/>
                <w:numId w:val="24"/>
              </w:numPr>
            </w:pPr>
            <w:r>
              <w:t>Shortened form</w:t>
            </w:r>
          </w:p>
        </w:tc>
        <w:tc>
          <w:tcPr>
            <w:tcW w:w="5324" w:type="dxa"/>
          </w:tcPr>
          <w:p w:rsidR="001F05A4" w:rsidRDefault="001F05A4" w:rsidP="00DE772C">
            <w:pPr>
              <w:numPr>
                <w:ilvl w:val="0"/>
                <w:numId w:val="24"/>
              </w:numPr>
            </w:pPr>
            <w:r>
              <w:t>Extended form</w:t>
            </w:r>
          </w:p>
        </w:tc>
      </w:tr>
      <w:tr w:rsidR="005C4C9C" w:rsidTr="004B34FB">
        <w:tc>
          <w:tcPr>
            <w:tcW w:w="3369" w:type="dxa"/>
          </w:tcPr>
          <w:p w:rsidR="005C4C9C" w:rsidRPr="005C4C9C" w:rsidRDefault="005C4C9C" w:rsidP="005C4C9C">
            <w:pPr>
              <w:numPr>
                <w:ilvl w:val="0"/>
                <w:numId w:val="24"/>
              </w:numPr>
            </w:pPr>
            <w:r w:rsidRPr="005C4C9C">
              <w:t>AEMC</w:t>
            </w:r>
          </w:p>
        </w:tc>
        <w:tc>
          <w:tcPr>
            <w:tcW w:w="5324" w:type="dxa"/>
          </w:tcPr>
          <w:p w:rsidR="005C4C9C" w:rsidRPr="005C4C9C" w:rsidRDefault="005C4C9C" w:rsidP="005C4C9C">
            <w:pPr>
              <w:numPr>
                <w:ilvl w:val="0"/>
                <w:numId w:val="24"/>
              </w:numPr>
            </w:pPr>
            <w:r w:rsidRPr="005C4C9C">
              <w:t>Australian Energy Market Commission</w:t>
            </w:r>
          </w:p>
        </w:tc>
      </w:tr>
      <w:tr w:rsidR="005C4C9C" w:rsidTr="004B34FB">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AEMO</w:t>
            </w:r>
          </w:p>
        </w:tc>
        <w:tc>
          <w:tcPr>
            <w:tcW w:w="5324" w:type="dxa"/>
          </w:tcPr>
          <w:p w:rsidR="005C4C9C" w:rsidRPr="005C4C9C" w:rsidRDefault="005C4C9C" w:rsidP="005C4C9C">
            <w:pPr>
              <w:numPr>
                <w:ilvl w:val="0"/>
                <w:numId w:val="24"/>
              </w:numPr>
            </w:pPr>
            <w:r w:rsidRPr="005C4C9C">
              <w:t>Australian Energy Market Operator</w:t>
            </w:r>
          </w:p>
        </w:tc>
      </w:tr>
      <w:tr w:rsidR="005C4C9C" w:rsidTr="004B34FB">
        <w:tc>
          <w:tcPr>
            <w:tcW w:w="3369" w:type="dxa"/>
          </w:tcPr>
          <w:p w:rsidR="005C4C9C" w:rsidRPr="005C4C9C" w:rsidRDefault="005C4C9C" w:rsidP="005C4C9C">
            <w:pPr>
              <w:numPr>
                <w:ilvl w:val="0"/>
                <w:numId w:val="24"/>
              </w:numPr>
            </w:pPr>
            <w:r w:rsidRPr="005C4C9C">
              <w:t>AER</w:t>
            </w:r>
          </w:p>
        </w:tc>
        <w:tc>
          <w:tcPr>
            <w:tcW w:w="5324" w:type="dxa"/>
          </w:tcPr>
          <w:p w:rsidR="005C4C9C" w:rsidRPr="005C4C9C" w:rsidRDefault="005C4C9C" w:rsidP="005C4C9C">
            <w:pPr>
              <w:numPr>
                <w:ilvl w:val="0"/>
                <w:numId w:val="24"/>
              </w:numPr>
            </w:pPr>
            <w:r w:rsidRPr="005C4C9C">
              <w:t>Australian Energy Regulator</w:t>
            </w:r>
          </w:p>
        </w:tc>
      </w:tr>
      <w:tr w:rsidR="006822D9" w:rsidTr="004B34FB">
        <w:trPr>
          <w:cnfStyle w:val="000000010000" w:firstRow="0" w:lastRow="0" w:firstColumn="0" w:lastColumn="0" w:oddVBand="0" w:evenVBand="0" w:oddHBand="0" w:evenHBand="1" w:firstRowFirstColumn="0" w:firstRowLastColumn="0" w:lastRowFirstColumn="0" w:lastRowLastColumn="0"/>
        </w:trPr>
        <w:tc>
          <w:tcPr>
            <w:tcW w:w="3369" w:type="dxa"/>
          </w:tcPr>
          <w:p w:rsidR="006822D9" w:rsidRPr="005C4C9C" w:rsidRDefault="006822D9" w:rsidP="005C4C9C">
            <w:pPr>
              <w:numPr>
                <w:ilvl w:val="0"/>
                <w:numId w:val="24"/>
              </w:numPr>
            </w:pPr>
            <w:r>
              <w:t>AMI</w:t>
            </w:r>
          </w:p>
        </w:tc>
        <w:tc>
          <w:tcPr>
            <w:tcW w:w="5324" w:type="dxa"/>
          </w:tcPr>
          <w:p w:rsidR="006822D9" w:rsidRPr="005C4C9C" w:rsidRDefault="006822D9" w:rsidP="005C4C9C">
            <w:pPr>
              <w:numPr>
                <w:ilvl w:val="0"/>
                <w:numId w:val="24"/>
              </w:numPr>
            </w:pPr>
            <w:r>
              <w:t>Advanced metering infrastructure</w:t>
            </w:r>
          </w:p>
        </w:tc>
      </w:tr>
      <w:tr w:rsidR="005C4C9C" w:rsidTr="004B34FB">
        <w:tc>
          <w:tcPr>
            <w:tcW w:w="3369" w:type="dxa"/>
          </w:tcPr>
          <w:p w:rsidR="005C4C9C" w:rsidRPr="005C4C9C" w:rsidRDefault="005C4C9C" w:rsidP="005C4C9C">
            <w:pPr>
              <w:numPr>
                <w:ilvl w:val="0"/>
                <w:numId w:val="24"/>
              </w:numPr>
            </w:pPr>
            <w:proofErr w:type="spellStart"/>
            <w:r w:rsidRPr="005C4C9C">
              <w:t>augex</w:t>
            </w:r>
            <w:proofErr w:type="spellEnd"/>
          </w:p>
        </w:tc>
        <w:tc>
          <w:tcPr>
            <w:tcW w:w="5324" w:type="dxa"/>
          </w:tcPr>
          <w:p w:rsidR="005C4C9C" w:rsidRPr="005C4C9C" w:rsidRDefault="005C4C9C" w:rsidP="005C4C9C">
            <w:pPr>
              <w:numPr>
                <w:ilvl w:val="0"/>
                <w:numId w:val="24"/>
              </w:numPr>
            </w:pPr>
            <w:r w:rsidRPr="005C4C9C">
              <w:t>augmentation expenditure</w:t>
            </w:r>
          </w:p>
        </w:tc>
      </w:tr>
      <w:tr w:rsidR="005C4C9C" w:rsidTr="004B34FB">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capex</w:t>
            </w:r>
          </w:p>
        </w:tc>
        <w:tc>
          <w:tcPr>
            <w:tcW w:w="5324" w:type="dxa"/>
          </w:tcPr>
          <w:p w:rsidR="005C4C9C" w:rsidRPr="005C4C9C" w:rsidRDefault="005C4C9C" w:rsidP="005C4C9C">
            <w:pPr>
              <w:numPr>
                <w:ilvl w:val="0"/>
                <w:numId w:val="24"/>
              </w:numPr>
            </w:pPr>
            <w:r w:rsidRPr="005C4C9C">
              <w:t>capital expenditure</w:t>
            </w:r>
          </w:p>
        </w:tc>
      </w:tr>
      <w:tr w:rsidR="005C4C9C" w:rsidTr="004B34FB">
        <w:tc>
          <w:tcPr>
            <w:tcW w:w="3369" w:type="dxa"/>
          </w:tcPr>
          <w:p w:rsidR="005C4C9C" w:rsidRPr="005C4C9C" w:rsidRDefault="005C4C9C" w:rsidP="005C4C9C">
            <w:pPr>
              <w:numPr>
                <w:ilvl w:val="0"/>
                <w:numId w:val="24"/>
              </w:numPr>
            </w:pPr>
            <w:r w:rsidRPr="005C4C9C">
              <w:t>CCP</w:t>
            </w:r>
          </w:p>
        </w:tc>
        <w:tc>
          <w:tcPr>
            <w:tcW w:w="5324" w:type="dxa"/>
          </w:tcPr>
          <w:p w:rsidR="005C4C9C" w:rsidRPr="005C4C9C" w:rsidRDefault="005C4C9C" w:rsidP="005C4C9C">
            <w:pPr>
              <w:numPr>
                <w:ilvl w:val="0"/>
                <w:numId w:val="24"/>
              </w:numPr>
            </w:pPr>
            <w:r w:rsidRPr="005C4C9C">
              <w:t>Consumer Challenge Panel</w:t>
            </w:r>
          </w:p>
        </w:tc>
      </w:tr>
      <w:tr w:rsidR="005C4C9C" w:rsidTr="004B34FB">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CESS</w:t>
            </w:r>
          </w:p>
        </w:tc>
        <w:tc>
          <w:tcPr>
            <w:tcW w:w="5324" w:type="dxa"/>
          </w:tcPr>
          <w:p w:rsidR="005C4C9C" w:rsidRPr="005C4C9C" w:rsidRDefault="005C4C9C" w:rsidP="005C4C9C">
            <w:pPr>
              <w:numPr>
                <w:ilvl w:val="0"/>
                <w:numId w:val="24"/>
              </w:numPr>
            </w:pPr>
            <w:r w:rsidRPr="005C4C9C">
              <w:t>capital expenditure sharing scheme</w:t>
            </w:r>
          </w:p>
        </w:tc>
      </w:tr>
      <w:tr w:rsidR="005C4C9C" w:rsidTr="004B34FB">
        <w:tc>
          <w:tcPr>
            <w:tcW w:w="3369" w:type="dxa"/>
          </w:tcPr>
          <w:p w:rsidR="005C4C9C" w:rsidRPr="005C4C9C" w:rsidRDefault="005C4C9C" w:rsidP="005C4C9C">
            <w:pPr>
              <w:numPr>
                <w:ilvl w:val="0"/>
                <w:numId w:val="24"/>
              </w:numPr>
            </w:pPr>
            <w:r w:rsidRPr="005C4C9C">
              <w:t>CPI</w:t>
            </w:r>
          </w:p>
        </w:tc>
        <w:tc>
          <w:tcPr>
            <w:tcW w:w="5324" w:type="dxa"/>
          </w:tcPr>
          <w:p w:rsidR="005C4C9C" w:rsidRPr="005C4C9C" w:rsidRDefault="005C4C9C" w:rsidP="005C4C9C">
            <w:pPr>
              <w:numPr>
                <w:ilvl w:val="0"/>
                <w:numId w:val="24"/>
              </w:numPr>
            </w:pPr>
            <w:r w:rsidRPr="005C4C9C">
              <w:t>consumer price index</w:t>
            </w:r>
          </w:p>
        </w:tc>
      </w:tr>
      <w:tr w:rsidR="005C4C9C" w:rsidTr="004B34FB">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DRP</w:t>
            </w:r>
          </w:p>
        </w:tc>
        <w:tc>
          <w:tcPr>
            <w:tcW w:w="5324" w:type="dxa"/>
          </w:tcPr>
          <w:p w:rsidR="005C4C9C" w:rsidRPr="005C4C9C" w:rsidRDefault="005C4C9C" w:rsidP="005C4C9C">
            <w:pPr>
              <w:numPr>
                <w:ilvl w:val="0"/>
                <w:numId w:val="24"/>
              </w:numPr>
            </w:pPr>
            <w:r w:rsidRPr="005C4C9C">
              <w:t>debt risk premium</w:t>
            </w:r>
          </w:p>
        </w:tc>
      </w:tr>
      <w:tr w:rsidR="005C4C9C" w:rsidTr="004B34FB">
        <w:tc>
          <w:tcPr>
            <w:tcW w:w="3369" w:type="dxa"/>
          </w:tcPr>
          <w:p w:rsidR="005C4C9C" w:rsidRPr="005C4C9C" w:rsidRDefault="005C4C9C" w:rsidP="005C4C9C">
            <w:pPr>
              <w:numPr>
                <w:ilvl w:val="0"/>
                <w:numId w:val="24"/>
              </w:numPr>
            </w:pPr>
            <w:r w:rsidRPr="005C4C9C">
              <w:t>DMIA</w:t>
            </w:r>
          </w:p>
        </w:tc>
        <w:tc>
          <w:tcPr>
            <w:tcW w:w="5324" w:type="dxa"/>
          </w:tcPr>
          <w:p w:rsidR="005C4C9C" w:rsidRPr="005C4C9C" w:rsidRDefault="005C4C9C" w:rsidP="005C4C9C">
            <w:pPr>
              <w:numPr>
                <w:ilvl w:val="0"/>
                <w:numId w:val="24"/>
              </w:numPr>
            </w:pPr>
            <w:r w:rsidRPr="005C4C9C">
              <w:t>demand management innovation allowance</w:t>
            </w:r>
          </w:p>
        </w:tc>
      </w:tr>
      <w:tr w:rsidR="005C4C9C" w:rsidTr="004B34FB">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DMIS</w:t>
            </w:r>
          </w:p>
        </w:tc>
        <w:tc>
          <w:tcPr>
            <w:tcW w:w="5324" w:type="dxa"/>
          </w:tcPr>
          <w:p w:rsidR="005C4C9C" w:rsidRPr="005C4C9C" w:rsidRDefault="005C4C9C" w:rsidP="005C4C9C">
            <w:pPr>
              <w:numPr>
                <w:ilvl w:val="0"/>
                <w:numId w:val="24"/>
              </w:numPr>
            </w:pPr>
            <w:r w:rsidRPr="005C4C9C">
              <w:t>demand management incentive scheme</w:t>
            </w:r>
          </w:p>
        </w:tc>
      </w:tr>
      <w:tr w:rsidR="005C4C9C" w:rsidTr="004B34FB">
        <w:tc>
          <w:tcPr>
            <w:tcW w:w="3369" w:type="dxa"/>
          </w:tcPr>
          <w:p w:rsidR="005C4C9C" w:rsidRPr="005C4C9C" w:rsidRDefault="005C4C9C" w:rsidP="005C4C9C">
            <w:pPr>
              <w:numPr>
                <w:ilvl w:val="0"/>
                <w:numId w:val="24"/>
              </w:numPr>
            </w:pPr>
            <w:r w:rsidRPr="005C4C9C">
              <w:t>distributor</w:t>
            </w:r>
          </w:p>
        </w:tc>
        <w:tc>
          <w:tcPr>
            <w:tcW w:w="5324" w:type="dxa"/>
          </w:tcPr>
          <w:p w:rsidR="005C4C9C" w:rsidRPr="005C4C9C" w:rsidRDefault="005C4C9C" w:rsidP="005C4C9C">
            <w:pPr>
              <w:numPr>
                <w:ilvl w:val="0"/>
                <w:numId w:val="24"/>
              </w:numPr>
            </w:pPr>
            <w:r w:rsidRPr="005C4C9C">
              <w:t>distribution network service provider</w:t>
            </w:r>
          </w:p>
        </w:tc>
      </w:tr>
      <w:tr w:rsidR="005C4C9C" w:rsidTr="004B34FB">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proofErr w:type="spellStart"/>
            <w:r w:rsidRPr="005C4C9C">
              <w:t>DUoS</w:t>
            </w:r>
            <w:proofErr w:type="spellEnd"/>
          </w:p>
        </w:tc>
        <w:tc>
          <w:tcPr>
            <w:tcW w:w="5324" w:type="dxa"/>
          </w:tcPr>
          <w:p w:rsidR="005C4C9C" w:rsidRPr="005C4C9C" w:rsidRDefault="005C4C9C" w:rsidP="005C4C9C">
            <w:pPr>
              <w:numPr>
                <w:ilvl w:val="0"/>
                <w:numId w:val="24"/>
              </w:numPr>
            </w:pPr>
            <w:r w:rsidRPr="005C4C9C">
              <w:t>distribution use of system</w:t>
            </w:r>
          </w:p>
        </w:tc>
      </w:tr>
      <w:tr w:rsidR="005C4C9C" w:rsidTr="004B34FB">
        <w:tc>
          <w:tcPr>
            <w:tcW w:w="3369" w:type="dxa"/>
          </w:tcPr>
          <w:p w:rsidR="005C4C9C" w:rsidRPr="005C4C9C" w:rsidRDefault="005C4C9C" w:rsidP="005C4C9C">
            <w:pPr>
              <w:numPr>
                <w:ilvl w:val="0"/>
                <w:numId w:val="24"/>
              </w:numPr>
            </w:pPr>
            <w:r w:rsidRPr="005C4C9C">
              <w:t>EBSS</w:t>
            </w:r>
          </w:p>
        </w:tc>
        <w:tc>
          <w:tcPr>
            <w:tcW w:w="5324" w:type="dxa"/>
          </w:tcPr>
          <w:p w:rsidR="005C4C9C" w:rsidRPr="005C4C9C" w:rsidRDefault="005C4C9C" w:rsidP="005C4C9C">
            <w:pPr>
              <w:numPr>
                <w:ilvl w:val="0"/>
                <w:numId w:val="24"/>
              </w:numPr>
            </w:pPr>
            <w:r w:rsidRPr="005C4C9C">
              <w:t>efficiency benefit sharing scheme</w:t>
            </w:r>
          </w:p>
        </w:tc>
      </w:tr>
      <w:tr w:rsidR="005C4C9C" w:rsidTr="004B34FB">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ERP</w:t>
            </w:r>
          </w:p>
        </w:tc>
        <w:tc>
          <w:tcPr>
            <w:tcW w:w="5324" w:type="dxa"/>
          </w:tcPr>
          <w:p w:rsidR="005C4C9C" w:rsidRPr="005C4C9C" w:rsidRDefault="005C4C9C" w:rsidP="005C4C9C">
            <w:pPr>
              <w:numPr>
                <w:ilvl w:val="0"/>
                <w:numId w:val="24"/>
              </w:numPr>
            </w:pPr>
            <w:r w:rsidRPr="005C4C9C">
              <w:t>equity risk premium</w:t>
            </w:r>
          </w:p>
        </w:tc>
      </w:tr>
      <w:tr w:rsidR="005C4C9C" w:rsidTr="004B34FB">
        <w:tc>
          <w:tcPr>
            <w:tcW w:w="3369" w:type="dxa"/>
          </w:tcPr>
          <w:p w:rsidR="005C4C9C" w:rsidRPr="005C4C9C" w:rsidRDefault="005C4C9C" w:rsidP="005C4C9C">
            <w:pPr>
              <w:numPr>
                <w:ilvl w:val="0"/>
                <w:numId w:val="24"/>
              </w:numPr>
            </w:pPr>
            <w:r w:rsidRPr="005C4C9C">
              <w:t>Expenditure Assessment Guideline</w:t>
            </w:r>
          </w:p>
        </w:tc>
        <w:tc>
          <w:tcPr>
            <w:tcW w:w="5324" w:type="dxa"/>
          </w:tcPr>
          <w:p w:rsidR="005C4C9C" w:rsidRPr="005C4C9C" w:rsidRDefault="005C0A7F" w:rsidP="005C4C9C">
            <w:pPr>
              <w:numPr>
                <w:ilvl w:val="0"/>
                <w:numId w:val="24"/>
              </w:numPr>
            </w:pPr>
            <w:r>
              <w:t>Expenditure Forecast A</w:t>
            </w:r>
            <w:r w:rsidR="005C4C9C" w:rsidRPr="005C4C9C">
              <w:t>ssessment Guideline for electricity distribution</w:t>
            </w:r>
          </w:p>
        </w:tc>
      </w:tr>
      <w:tr w:rsidR="005C4C9C" w:rsidTr="004B34FB">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F&amp;A</w:t>
            </w:r>
          </w:p>
        </w:tc>
        <w:tc>
          <w:tcPr>
            <w:tcW w:w="5324" w:type="dxa"/>
          </w:tcPr>
          <w:p w:rsidR="005C4C9C" w:rsidRPr="005C4C9C" w:rsidRDefault="005C4C9C" w:rsidP="005C4C9C">
            <w:pPr>
              <w:numPr>
                <w:ilvl w:val="0"/>
                <w:numId w:val="24"/>
              </w:numPr>
            </w:pPr>
            <w:r w:rsidRPr="005C4C9C">
              <w:t>framework and approach</w:t>
            </w:r>
          </w:p>
        </w:tc>
      </w:tr>
      <w:tr w:rsidR="005C4C9C" w:rsidTr="004B34FB">
        <w:tc>
          <w:tcPr>
            <w:tcW w:w="3369" w:type="dxa"/>
          </w:tcPr>
          <w:p w:rsidR="005C4C9C" w:rsidRPr="005C4C9C" w:rsidRDefault="005C4C9C" w:rsidP="005C4C9C">
            <w:pPr>
              <w:numPr>
                <w:ilvl w:val="0"/>
                <w:numId w:val="24"/>
              </w:numPr>
            </w:pPr>
            <w:r w:rsidRPr="005C4C9C">
              <w:t>MRP</w:t>
            </w:r>
          </w:p>
        </w:tc>
        <w:tc>
          <w:tcPr>
            <w:tcW w:w="5324" w:type="dxa"/>
          </w:tcPr>
          <w:p w:rsidR="005C4C9C" w:rsidRPr="005C4C9C" w:rsidRDefault="005C4C9C" w:rsidP="005C4C9C">
            <w:pPr>
              <w:numPr>
                <w:ilvl w:val="0"/>
                <w:numId w:val="24"/>
              </w:numPr>
            </w:pPr>
            <w:r w:rsidRPr="005C4C9C">
              <w:t>market risk premium</w:t>
            </w:r>
          </w:p>
        </w:tc>
      </w:tr>
      <w:tr w:rsidR="005C4C9C" w:rsidTr="004B34FB">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NEL</w:t>
            </w:r>
          </w:p>
        </w:tc>
        <w:tc>
          <w:tcPr>
            <w:tcW w:w="5324" w:type="dxa"/>
          </w:tcPr>
          <w:p w:rsidR="005C4C9C" w:rsidRPr="005C4C9C" w:rsidRDefault="005C4C9C" w:rsidP="005C4C9C">
            <w:pPr>
              <w:numPr>
                <w:ilvl w:val="0"/>
                <w:numId w:val="24"/>
              </w:numPr>
            </w:pPr>
            <w:r w:rsidRPr="005C4C9C">
              <w:t>national electricity law</w:t>
            </w:r>
          </w:p>
        </w:tc>
      </w:tr>
      <w:tr w:rsidR="005C4C9C" w:rsidTr="004B34FB">
        <w:tc>
          <w:tcPr>
            <w:tcW w:w="3369" w:type="dxa"/>
          </w:tcPr>
          <w:p w:rsidR="005C4C9C" w:rsidRPr="005C4C9C" w:rsidRDefault="005C4C9C" w:rsidP="005C4C9C">
            <w:pPr>
              <w:numPr>
                <w:ilvl w:val="0"/>
                <w:numId w:val="24"/>
              </w:numPr>
            </w:pPr>
            <w:r w:rsidRPr="005C4C9C">
              <w:t>NEM</w:t>
            </w:r>
          </w:p>
        </w:tc>
        <w:tc>
          <w:tcPr>
            <w:tcW w:w="5324" w:type="dxa"/>
          </w:tcPr>
          <w:p w:rsidR="005C4C9C" w:rsidRPr="005C4C9C" w:rsidRDefault="005C4C9C" w:rsidP="005C4C9C">
            <w:pPr>
              <w:numPr>
                <w:ilvl w:val="0"/>
                <w:numId w:val="24"/>
              </w:numPr>
            </w:pPr>
            <w:r w:rsidRPr="005C4C9C">
              <w:t>national electricity market</w:t>
            </w:r>
          </w:p>
        </w:tc>
      </w:tr>
      <w:tr w:rsidR="005C4C9C" w:rsidTr="004B34FB">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NEO</w:t>
            </w:r>
          </w:p>
        </w:tc>
        <w:tc>
          <w:tcPr>
            <w:tcW w:w="5324" w:type="dxa"/>
          </w:tcPr>
          <w:p w:rsidR="005C4C9C" w:rsidRPr="005C4C9C" w:rsidRDefault="005C4C9C" w:rsidP="005C4C9C">
            <w:pPr>
              <w:numPr>
                <w:ilvl w:val="0"/>
                <w:numId w:val="24"/>
              </w:numPr>
            </w:pPr>
            <w:r w:rsidRPr="005C4C9C">
              <w:t>national electricity objective</w:t>
            </w:r>
          </w:p>
        </w:tc>
      </w:tr>
      <w:tr w:rsidR="005C4C9C" w:rsidTr="004B34FB">
        <w:tc>
          <w:tcPr>
            <w:tcW w:w="3369" w:type="dxa"/>
          </w:tcPr>
          <w:p w:rsidR="005C4C9C" w:rsidRPr="005C4C9C" w:rsidRDefault="005C4C9C" w:rsidP="005C4C9C">
            <w:pPr>
              <w:numPr>
                <w:ilvl w:val="0"/>
                <w:numId w:val="24"/>
              </w:numPr>
            </w:pPr>
            <w:r w:rsidRPr="005C4C9C">
              <w:t>NER</w:t>
            </w:r>
          </w:p>
        </w:tc>
        <w:tc>
          <w:tcPr>
            <w:tcW w:w="5324" w:type="dxa"/>
          </w:tcPr>
          <w:p w:rsidR="005C4C9C" w:rsidRPr="005C4C9C" w:rsidRDefault="005C4C9C" w:rsidP="005C4C9C">
            <w:pPr>
              <w:numPr>
                <w:ilvl w:val="0"/>
                <w:numId w:val="24"/>
              </w:numPr>
            </w:pPr>
            <w:r w:rsidRPr="005C4C9C">
              <w:t>national electricity rules</w:t>
            </w:r>
          </w:p>
        </w:tc>
      </w:tr>
      <w:tr w:rsidR="005C4C9C" w:rsidTr="004B34FB">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NSP</w:t>
            </w:r>
          </w:p>
        </w:tc>
        <w:tc>
          <w:tcPr>
            <w:tcW w:w="5324" w:type="dxa"/>
          </w:tcPr>
          <w:p w:rsidR="005C4C9C" w:rsidRPr="005C4C9C" w:rsidRDefault="005C4C9C" w:rsidP="005C4C9C">
            <w:pPr>
              <w:numPr>
                <w:ilvl w:val="0"/>
                <w:numId w:val="24"/>
              </w:numPr>
            </w:pPr>
            <w:r w:rsidRPr="005C4C9C">
              <w:t>network service provider</w:t>
            </w:r>
          </w:p>
        </w:tc>
      </w:tr>
      <w:tr w:rsidR="005C4C9C" w:rsidTr="004B34FB">
        <w:tc>
          <w:tcPr>
            <w:tcW w:w="3369" w:type="dxa"/>
          </w:tcPr>
          <w:p w:rsidR="005C4C9C" w:rsidRPr="005C4C9C" w:rsidRDefault="005C4C9C" w:rsidP="005C4C9C">
            <w:pPr>
              <w:numPr>
                <w:ilvl w:val="0"/>
                <w:numId w:val="24"/>
              </w:numPr>
            </w:pPr>
            <w:r w:rsidRPr="005C4C9C">
              <w:t>opex</w:t>
            </w:r>
          </w:p>
        </w:tc>
        <w:tc>
          <w:tcPr>
            <w:tcW w:w="5324" w:type="dxa"/>
          </w:tcPr>
          <w:p w:rsidR="005C4C9C" w:rsidRPr="005C4C9C" w:rsidRDefault="005C4C9C" w:rsidP="005C4C9C">
            <w:pPr>
              <w:numPr>
                <w:ilvl w:val="0"/>
                <w:numId w:val="24"/>
              </w:numPr>
            </w:pPr>
            <w:r w:rsidRPr="005C4C9C">
              <w:t>operating expenditure</w:t>
            </w:r>
          </w:p>
        </w:tc>
      </w:tr>
      <w:tr w:rsidR="005C4C9C" w:rsidTr="004B34FB">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PPI</w:t>
            </w:r>
          </w:p>
        </w:tc>
        <w:tc>
          <w:tcPr>
            <w:tcW w:w="5324" w:type="dxa"/>
          </w:tcPr>
          <w:p w:rsidR="005C4C9C" w:rsidRPr="005C4C9C" w:rsidRDefault="005C4C9C" w:rsidP="005C4C9C">
            <w:pPr>
              <w:numPr>
                <w:ilvl w:val="0"/>
                <w:numId w:val="24"/>
              </w:numPr>
            </w:pPr>
            <w:r w:rsidRPr="005C4C9C">
              <w:t>partial performance indicators</w:t>
            </w:r>
          </w:p>
        </w:tc>
      </w:tr>
      <w:tr w:rsidR="005C4C9C" w:rsidTr="004B34FB">
        <w:tc>
          <w:tcPr>
            <w:tcW w:w="3369" w:type="dxa"/>
          </w:tcPr>
          <w:p w:rsidR="005C4C9C" w:rsidRPr="005C4C9C" w:rsidRDefault="005C4C9C" w:rsidP="005C4C9C">
            <w:pPr>
              <w:numPr>
                <w:ilvl w:val="0"/>
                <w:numId w:val="24"/>
              </w:numPr>
            </w:pPr>
            <w:r w:rsidRPr="005C4C9C">
              <w:t>PTRM</w:t>
            </w:r>
          </w:p>
        </w:tc>
        <w:tc>
          <w:tcPr>
            <w:tcW w:w="5324" w:type="dxa"/>
          </w:tcPr>
          <w:p w:rsidR="005C4C9C" w:rsidRPr="005C4C9C" w:rsidRDefault="005C4C9C" w:rsidP="005C4C9C">
            <w:pPr>
              <w:numPr>
                <w:ilvl w:val="0"/>
                <w:numId w:val="24"/>
              </w:numPr>
            </w:pPr>
            <w:r w:rsidRPr="005C4C9C">
              <w:t>post-tax revenue model</w:t>
            </w:r>
          </w:p>
        </w:tc>
      </w:tr>
      <w:tr w:rsidR="005C4C9C" w:rsidTr="004B34FB">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RAB</w:t>
            </w:r>
          </w:p>
        </w:tc>
        <w:tc>
          <w:tcPr>
            <w:tcW w:w="5324" w:type="dxa"/>
          </w:tcPr>
          <w:p w:rsidR="005C4C9C" w:rsidRPr="005C4C9C" w:rsidRDefault="005C4C9C" w:rsidP="005C4C9C">
            <w:pPr>
              <w:numPr>
                <w:ilvl w:val="0"/>
                <w:numId w:val="24"/>
              </w:numPr>
            </w:pPr>
            <w:r w:rsidRPr="005C4C9C">
              <w:t>regulatory asset base</w:t>
            </w:r>
          </w:p>
        </w:tc>
      </w:tr>
      <w:tr w:rsidR="005C4C9C" w:rsidTr="004B34FB">
        <w:tc>
          <w:tcPr>
            <w:tcW w:w="3369" w:type="dxa"/>
          </w:tcPr>
          <w:p w:rsidR="005C4C9C" w:rsidRPr="005C4C9C" w:rsidRDefault="005C4C9C" w:rsidP="005C4C9C">
            <w:pPr>
              <w:numPr>
                <w:ilvl w:val="0"/>
                <w:numId w:val="24"/>
              </w:numPr>
            </w:pPr>
            <w:r w:rsidRPr="005C4C9C">
              <w:t>RBA</w:t>
            </w:r>
          </w:p>
        </w:tc>
        <w:tc>
          <w:tcPr>
            <w:tcW w:w="5324" w:type="dxa"/>
          </w:tcPr>
          <w:p w:rsidR="005C4C9C" w:rsidRPr="005C4C9C" w:rsidRDefault="005C4C9C" w:rsidP="005C4C9C">
            <w:pPr>
              <w:numPr>
                <w:ilvl w:val="0"/>
                <w:numId w:val="24"/>
              </w:numPr>
            </w:pPr>
            <w:r w:rsidRPr="005C4C9C">
              <w:t>Reserve Bank of Australia</w:t>
            </w:r>
          </w:p>
        </w:tc>
      </w:tr>
      <w:tr w:rsidR="005C4C9C" w:rsidTr="004B34FB">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proofErr w:type="spellStart"/>
            <w:r w:rsidRPr="005C4C9C">
              <w:t>repex</w:t>
            </w:r>
            <w:proofErr w:type="spellEnd"/>
          </w:p>
        </w:tc>
        <w:tc>
          <w:tcPr>
            <w:tcW w:w="5324" w:type="dxa"/>
          </w:tcPr>
          <w:p w:rsidR="005C4C9C" w:rsidRPr="005C4C9C" w:rsidRDefault="005C4C9C" w:rsidP="005C4C9C">
            <w:pPr>
              <w:numPr>
                <w:ilvl w:val="0"/>
                <w:numId w:val="24"/>
              </w:numPr>
            </w:pPr>
            <w:r w:rsidRPr="005C4C9C">
              <w:t>replacement expenditure</w:t>
            </w:r>
          </w:p>
        </w:tc>
      </w:tr>
      <w:tr w:rsidR="005C4C9C" w:rsidTr="004B34FB">
        <w:tc>
          <w:tcPr>
            <w:tcW w:w="3369" w:type="dxa"/>
          </w:tcPr>
          <w:p w:rsidR="005C4C9C" w:rsidRPr="005C4C9C" w:rsidRDefault="005C4C9C" w:rsidP="005C4C9C">
            <w:pPr>
              <w:numPr>
                <w:ilvl w:val="0"/>
                <w:numId w:val="24"/>
              </w:numPr>
            </w:pPr>
            <w:r w:rsidRPr="005C4C9C">
              <w:t>RFM</w:t>
            </w:r>
          </w:p>
        </w:tc>
        <w:tc>
          <w:tcPr>
            <w:tcW w:w="5324" w:type="dxa"/>
          </w:tcPr>
          <w:p w:rsidR="005C4C9C" w:rsidRPr="005C4C9C" w:rsidRDefault="005C4C9C" w:rsidP="005C4C9C">
            <w:pPr>
              <w:numPr>
                <w:ilvl w:val="0"/>
                <w:numId w:val="24"/>
              </w:numPr>
            </w:pPr>
            <w:r w:rsidRPr="005C4C9C">
              <w:t>roll forward model</w:t>
            </w:r>
          </w:p>
        </w:tc>
      </w:tr>
      <w:tr w:rsidR="005C4C9C" w:rsidTr="004B34FB">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RIN</w:t>
            </w:r>
          </w:p>
        </w:tc>
        <w:tc>
          <w:tcPr>
            <w:tcW w:w="5324" w:type="dxa"/>
          </w:tcPr>
          <w:p w:rsidR="005C4C9C" w:rsidRPr="005C4C9C" w:rsidRDefault="005C4C9C" w:rsidP="005C4C9C">
            <w:pPr>
              <w:numPr>
                <w:ilvl w:val="0"/>
                <w:numId w:val="24"/>
              </w:numPr>
            </w:pPr>
            <w:r w:rsidRPr="005C4C9C">
              <w:t>regulatory information notice</w:t>
            </w:r>
          </w:p>
        </w:tc>
      </w:tr>
      <w:tr w:rsidR="005C4C9C" w:rsidTr="004B34FB">
        <w:tc>
          <w:tcPr>
            <w:tcW w:w="3369" w:type="dxa"/>
          </w:tcPr>
          <w:p w:rsidR="005C4C9C" w:rsidRPr="005C4C9C" w:rsidRDefault="005C4C9C" w:rsidP="005C4C9C">
            <w:pPr>
              <w:numPr>
                <w:ilvl w:val="0"/>
                <w:numId w:val="24"/>
              </w:numPr>
            </w:pPr>
            <w:r w:rsidRPr="005C4C9C">
              <w:t>RPP</w:t>
            </w:r>
          </w:p>
        </w:tc>
        <w:tc>
          <w:tcPr>
            <w:tcW w:w="5324" w:type="dxa"/>
          </w:tcPr>
          <w:p w:rsidR="005C4C9C" w:rsidRPr="005C4C9C" w:rsidRDefault="005C4C9C" w:rsidP="005C4C9C">
            <w:pPr>
              <w:numPr>
                <w:ilvl w:val="0"/>
                <w:numId w:val="24"/>
              </w:numPr>
            </w:pPr>
            <w:r w:rsidRPr="005C4C9C">
              <w:t>revenue and pricing principles</w:t>
            </w:r>
          </w:p>
        </w:tc>
      </w:tr>
      <w:tr w:rsidR="005C4C9C" w:rsidTr="004B34FB">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SAIDI</w:t>
            </w:r>
          </w:p>
        </w:tc>
        <w:tc>
          <w:tcPr>
            <w:tcW w:w="5324" w:type="dxa"/>
          </w:tcPr>
          <w:p w:rsidR="005C4C9C" w:rsidRPr="005C4C9C" w:rsidRDefault="005C4C9C" w:rsidP="005C4C9C">
            <w:pPr>
              <w:numPr>
                <w:ilvl w:val="0"/>
                <w:numId w:val="24"/>
              </w:numPr>
            </w:pPr>
            <w:r w:rsidRPr="005C4C9C">
              <w:t>system average interruption duration index</w:t>
            </w:r>
          </w:p>
        </w:tc>
      </w:tr>
      <w:tr w:rsidR="005C4C9C" w:rsidTr="004B34FB">
        <w:tc>
          <w:tcPr>
            <w:tcW w:w="3369" w:type="dxa"/>
          </w:tcPr>
          <w:p w:rsidR="005C4C9C" w:rsidRPr="005C4C9C" w:rsidRDefault="005C4C9C" w:rsidP="005C4C9C">
            <w:pPr>
              <w:numPr>
                <w:ilvl w:val="0"/>
                <w:numId w:val="24"/>
              </w:numPr>
            </w:pPr>
            <w:r w:rsidRPr="005C4C9C">
              <w:t>SAIFI</w:t>
            </w:r>
          </w:p>
        </w:tc>
        <w:tc>
          <w:tcPr>
            <w:tcW w:w="5324" w:type="dxa"/>
          </w:tcPr>
          <w:p w:rsidR="005C4C9C" w:rsidRPr="005C4C9C" w:rsidRDefault="005C4C9C" w:rsidP="005C4C9C">
            <w:pPr>
              <w:numPr>
                <w:ilvl w:val="0"/>
                <w:numId w:val="24"/>
              </w:numPr>
            </w:pPr>
            <w:r w:rsidRPr="005C4C9C">
              <w:t>system average interruption frequency index</w:t>
            </w:r>
          </w:p>
        </w:tc>
      </w:tr>
      <w:tr w:rsidR="005C4C9C" w:rsidTr="004B34FB">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SLCAPM</w:t>
            </w:r>
          </w:p>
        </w:tc>
        <w:tc>
          <w:tcPr>
            <w:tcW w:w="5324" w:type="dxa"/>
          </w:tcPr>
          <w:p w:rsidR="005C4C9C" w:rsidRPr="005C4C9C" w:rsidRDefault="005C4C9C" w:rsidP="005C4C9C">
            <w:pPr>
              <w:numPr>
                <w:ilvl w:val="0"/>
                <w:numId w:val="24"/>
              </w:numPr>
            </w:pPr>
            <w:r w:rsidRPr="005C4C9C">
              <w:t>Sharpe-</w:t>
            </w:r>
            <w:proofErr w:type="spellStart"/>
            <w:r w:rsidRPr="005C4C9C">
              <w:t>Lintner</w:t>
            </w:r>
            <w:proofErr w:type="spellEnd"/>
            <w:r w:rsidRPr="005C4C9C">
              <w:t xml:space="preserve"> capital asset pricing model</w:t>
            </w:r>
          </w:p>
        </w:tc>
      </w:tr>
      <w:tr w:rsidR="005C4C9C" w:rsidTr="004B34FB">
        <w:tc>
          <w:tcPr>
            <w:tcW w:w="3369" w:type="dxa"/>
          </w:tcPr>
          <w:p w:rsidR="005C4C9C" w:rsidRPr="005C4C9C" w:rsidRDefault="005C4C9C" w:rsidP="005C4C9C">
            <w:pPr>
              <w:numPr>
                <w:ilvl w:val="0"/>
                <w:numId w:val="24"/>
              </w:numPr>
            </w:pPr>
            <w:r w:rsidRPr="005C4C9C">
              <w:t>STPIS</w:t>
            </w:r>
          </w:p>
        </w:tc>
        <w:tc>
          <w:tcPr>
            <w:tcW w:w="5324" w:type="dxa"/>
          </w:tcPr>
          <w:p w:rsidR="005C4C9C" w:rsidRPr="005C4C9C" w:rsidRDefault="005C4C9C" w:rsidP="005C4C9C">
            <w:pPr>
              <w:numPr>
                <w:ilvl w:val="0"/>
                <w:numId w:val="24"/>
              </w:numPr>
            </w:pPr>
            <w:r w:rsidRPr="005C4C9C">
              <w:t>service target performance incentive scheme</w:t>
            </w:r>
          </w:p>
        </w:tc>
      </w:tr>
      <w:tr w:rsidR="005C4C9C" w:rsidTr="004B34FB">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WACC</w:t>
            </w:r>
          </w:p>
        </w:tc>
        <w:tc>
          <w:tcPr>
            <w:tcW w:w="5324" w:type="dxa"/>
          </w:tcPr>
          <w:p w:rsidR="005C4C9C" w:rsidRPr="005C4C9C" w:rsidRDefault="005C4C9C" w:rsidP="005C4C9C">
            <w:pPr>
              <w:numPr>
                <w:ilvl w:val="0"/>
                <w:numId w:val="24"/>
              </w:numPr>
            </w:pPr>
            <w:r w:rsidRPr="005C4C9C">
              <w:t>weighted average cost of capital</w:t>
            </w:r>
          </w:p>
        </w:tc>
      </w:tr>
    </w:tbl>
    <w:p w:rsidR="00DE563D" w:rsidRPr="00436A39" w:rsidRDefault="00DE563D" w:rsidP="00DE772C">
      <w:pPr>
        <w:numPr>
          <w:ilvl w:val="0"/>
          <w:numId w:val="24"/>
        </w:numPr>
      </w:pPr>
    </w:p>
    <w:p w:rsidR="00DE563D" w:rsidRDefault="00CF6EDE" w:rsidP="00CF6EDE">
      <w:pPr>
        <w:pStyle w:val="Heading1"/>
      </w:pPr>
      <w:bookmarkStart w:id="10" w:name="_Toc433521284"/>
      <w:r>
        <w:t>Corporate income tax</w:t>
      </w:r>
      <w:bookmarkEnd w:id="10"/>
    </w:p>
    <w:p w:rsidR="00F90FA4" w:rsidRPr="00521143" w:rsidRDefault="00F90FA4" w:rsidP="00F90FA4">
      <w:pPr>
        <w:rPr>
          <w:rStyle w:val="AERbody"/>
        </w:rPr>
      </w:pPr>
      <w:r w:rsidRPr="00521143">
        <w:rPr>
          <w:rStyle w:val="AERbody"/>
        </w:rPr>
        <w:t xml:space="preserve">We are required to make a decision on the estimated cost of corporate income tax for </w:t>
      </w:r>
      <w:r>
        <w:rPr>
          <w:rStyle w:val="AERbody"/>
        </w:rPr>
        <w:t>United Energy's</w:t>
      </w:r>
      <w:r w:rsidRPr="00521143">
        <w:rPr>
          <w:rStyle w:val="AERbody"/>
        </w:rPr>
        <w:t xml:space="preserve"> </w:t>
      </w:r>
      <w:r>
        <w:rPr>
          <w:rStyle w:val="AERbody"/>
        </w:rPr>
        <w:t>2016–20</w:t>
      </w:r>
      <w:r w:rsidRPr="00521143">
        <w:rPr>
          <w:rStyle w:val="AERbody"/>
        </w:rPr>
        <w:t xml:space="preserve"> regulatory control </w:t>
      </w:r>
      <w:proofErr w:type="gramStart"/>
      <w:r w:rsidRPr="00521143">
        <w:rPr>
          <w:rStyle w:val="AERbody"/>
        </w:rPr>
        <w:t>period</w:t>
      </w:r>
      <w:proofErr w:type="gramEnd"/>
      <w:r w:rsidRPr="00521143">
        <w:rPr>
          <w:rStyle w:val="AERbody"/>
        </w:rPr>
        <w:t>.</w:t>
      </w:r>
      <w:r w:rsidRPr="00577DF0">
        <w:rPr>
          <w:rStyle w:val="FootnoteReference"/>
        </w:rPr>
        <w:footnoteReference w:id="1"/>
      </w:r>
      <w:r w:rsidRPr="00521143">
        <w:rPr>
          <w:rStyle w:val="AERbody"/>
        </w:rPr>
        <w:t xml:space="preserve"> Under the post-tax framework, a corporate income tax allowance is calculated as part of the building block assessment using our post-tax revenue model (PTRM). This amount enables </w:t>
      </w:r>
      <w:r>
        <w:rPr>
          <w:rStyle w:val="AERbody"/>
        </w:rPr>
        <w:t xml:space="preserve">United Energy </w:t>
      </w:r>
      <w:r w:rsidRPr="00521143">
        <w:rPr>
          <w:rStyle w:val="AERbody"/>
        </w:rPr>
        <w:t xml:space="preserve">to recover the costs associated with the estimated corporate income tax payable during the </w:t>
      </w:r>
      <w:r>
        <w:rPr>
          <w:rStyle w:val="AERbody"/>
        </w:rPr>
        <w:t>2016–20</w:t>
      </w:r>
      <w:r w:rsidRPr="00521143">
        <w:rPr>
          <w:rStyle w:val="AERbody"/>
        </w:rPr>
        <w:t xml:space="preserve"> regulatory control </w:t>
      </w:r>
      <w:proofErr w:type="gramStart"/>
      <w:r w:rsidRPr="00521143">
        <w:rPr>
          <w:rStyle w:val="AERbody"/>
        </w:rPr>
        <w:t>period</w:t>
      </w:r>
      <w:proofErr w:type="gramEnd"/>
      <w:r w:rsidRPr="00521143">
        <w:rPr>
          <w:rStyle w:val="AERbody"/>
        </w:rPr>
        <w:t xml:space="preserve">. </w:t>
      </w:r>
    </w:p>
    <w:p w:rsidR="00F90FA4" w:rsidRPr="00F90FA4" w:rsidRDefault="00F90FA4" w:rsidP="00F90FA4">
      <w:r w:rsidRPr="00521143">
        <w:rPr>
          <w:rStyle w:val="AERbody"/>
        </w:rPr>
        <w:t xml:space="preserve">This attachment presents our assessment of </w:t>
      </w:r>
      <w:r>
        <w:rPr>
          <w:rStyle w:val="AERbody"/>
        </w:rPr>
        <w:t>United Energy's</w:t>
      </w:r>
      <w:r w:rsidRPr="00521143">
        <w:rPr>
          <w:rStyle w:val="AERbody"/>
        </w:rPr>
        <w:t xml:space="preserve"> proposed corporate income tax allowance for the </w:t>
      </w:r>
      <w:r>
        <w:rPr>
          <w:rStyle w:val="AERbody"/>
        </w:rPr>
        <w:t>2016–20</w:t>
      </w:r>
      <w:r w:rsidRPr="00521143">
        <w:rPr>
          <w:rStyle w:val="AERbody"/>
        </w:rPr>
        <w:t xml:space="preserve"> regulatory control </w:t>
      </w:r>
      <w:proofErr w:type="gramStart"/>
      <w:r w:rsidRPr="00521143">
        <w:rPr>
          <w:rStyle w:val="AERbody"/>
        </w:rPr>
        <w:t>period</w:t>
      </w:r>
      <w:proofErr w:type="gramEnd"/>
      <w:r w:rsidRPr="00521143">
        <w:rPr>
          <w:rStyle w:val="AERbody"/>
        </w:rPr>
        <w:t>. It also presents our assessment of its proposed opening tax asset base (TAB), and the standard and remaining tax asset lives used to estimate tax depreciation for the purpose of calculating tax expenses.</w:t>
      </w:r>
    </w:p>
    <w:p w:rsidR="009A5113" w:rsidRDefault="005C0A7F" w:rsidP="009A5113">
      <w:pPr>
        <w:pStyle w:val="Heading2"/>
      </w:pPr>
      <w:bookmarkStart w:id="11" w:name="_Toc408404320"/>
      <w:bookmarkStart w:id="12" w:name="_Toc433521285"/>
      <w:r>
        <w:t>Preliminary</w:t>
      </w:r>
      <w:r w:rsidR="009A5113" w:rsidRPr="0074565D">
        <w:t xml:space="preserve"> decision</w:t>
      </w:r>
      <w:bookmarkEnd w:id="11"/>
      <w:bookmarkEnd w:id="12"/>
    </w:p>
    <w:p w:rsidR="00F90FA4" w:rsidRDefault="00F90FA4" w:rsidP="00F90FA4">
      <w:r w:rsidRPr="00521143">
        <w:t xml:space="preserve">We do not accept </w:t>
      </w:r>
      <w:r>
        <w:t>United Energy's</w:t>
      </w:r>
      <w:r w:rsidRPr="00521143">
        <w:t xml:space="preserve"> proposed cost of</w:t>
      </w:r>
      <w:r>
        <w:t xml:space="preserve"> corporate income tax allowance</w:t>
      </w:r>
      <w:r w:rsidRPr="00521143">
        <w:t xml:space="preserve"> of $</w:t>
      </w:r>
      <w:r w:rsidR="00F40D1C">
        <w:t>149.1 </w:t>
      </w:r>
      <w:r w:rsidRPr="00521143">
        <w:t>million</w:t>
      </w:r>
      <w:r w:rsidR="000B033B">
        <w:t xml:space="preserve"> ($ nominal)</w:t>
      </w:r>
      <w:r w:rsidRPr="00521143">
        <w:t xml:space="preserve">. Our </w:t>
      </w:r>
      <w:r>
        <w:t>preliminary</w:t>
      </w:r>
      <w:r w:rsidRPr="00521143">
        <w:t xml:space="preserve"> decision on the estimated cost of corporate income tax is $</w:t>
      </w:r>
      <w:r w:rsidR="00E80B6A">
        <w:t>84.</w:t>
      </w:r>
      <w:r w:rsidR="00590FBF">
        <w:t>6</w:t>
      </w:r>
      <w:r w:rsidRPr="00521143">
        <w:t xml:space="preserve"> million over the </w:t>
      </w:r>
      <w:r>
        <w:t>2016–20</w:t>
      </w:r>
      <w:r w:rsidRPr="00521143">
        <w:t xml:space="preserve"> regulatory control </w:t>
      </w:r>
      <w:proofErr w:type="gramStart"/>
      <w:r w:rsidRPr="00521143">
        <w:t>period</w:t>
      </w:r>
      <w:proofErr w:type="gramEnd"/>
      <w:r w:rsidRPr="00521143">
        <w:t>. This represents a reduction of $</w:t>
      </w:r>
      <w:r w:rsidR="00E80B6A">
        <w:t>64.6</w:t>
      </w:r>
      <w:r w:rsidR="000B033B">
        <w:t xml:space="preserve"> million</w:t>
      </w:r>
      <w:r w:rsidRPr="00521143">
        <w:t xml:space="preserve"> (or </w:t>
      </w:r>
      <w:r w:rsidR="00E80B6A">
        <w:t>43.3</w:t>
      </w:r>
      <w:r w:rsidRPr="00521143">
        <w:t xml:space="preserve"> per cent) compared to </w:t>
      </w:r>
      <w:r w:rsidR="00981DAF">
        <w:t>United Energy’s</w:t>
      </w:r>
      <w:r w:rsidR="00981DAF" w:rsidRPr="00521143">
        <w:t xml:space="preserve"> </w:t>
      </w:r>
      <w:r w:rsidRPr="00521143">
        <w:t>proposal.</w:t>
      </w:r>
    </w:p>
    <w:p w:rsidR="00F90FA4" w:rsidRPr="00521143" w:rsidRDefault="00F90FA4" w:rsidP="00F90FA4">
      <w:r w:rsidRPr="00E123FB">
        <w:t xml:space="preserve">The reduction reflects our amendments to some of </w:t>
      </w:r>
      <w:r>
        <w:t>United Energy's</w:t>
      </w:r>
      <w:r w:rsidRPr="00E123FB">
        <w:t xml:space="preserve"> proposed inputs for forecasting the cost of corporate income tax such as the opening TAB (section </w:t>
      </w:r>
      <w:r w:rsidR="00A14560">
        <w:fldChar w:fldCharType="begin"/>
      </w:r>
      <w:r w:rsidR="00A14560">
        <w:instrText xml:space="preserve"> REF _Ref426445912 \r \h </w:instrText>
      </w:r>
      <w:r w:rsidR="00A14560">
        <w:fldChar w:fldCharType="separate"/>
      </w:r>
      <w:r w:rsidR="000A7EF4">
        <w:t>8.4.2</w:t>
      </w:r>
      <w:r w:rsidR="00A14560">
        <w:fldChar w:fldCharType="end"/>
      </w:r>
      <w:r w:rsidRPr="00E123FB">
        <w:t>), and the</w:t>
      </w:r>
      <w:r w:rsidR="00A14560">
        <w:t xml:space="preserve"> standard and</w:t>
      </w:r>
      <w:r w:rsidRPr="00E123FB">
        <w:t xml:space="preserve"> remaining tax asset lives (section</w:t>
      </w:r>
      <w:r w:rsidR="00A14560">
        <w:t xml:space="preserve">s </w:t>
      </w:r>
      <w:r w:rsidR="00A14560">
        <w:fldChar w:fldCharType="begin"/>
      </w:r>
      <w:r w:rsidR="00A14560">
        <w:instrText xml:space="preserve"> REF _Ref426445919 \r \h </w:instrText>
      </w:r>
      <w:r w:rsidR="00A14560">
        <w:fldChar w:fldCharType="separate"/>
      </w:r>
      <w:r w:rsidR="000A7EF4">
        <w:t>8.4.3</w:t>
      </w:r>
      <w:r w:rsidR="00A14560">
        <w:fldChar w:fldCharType="end"/>
      </w:r>
      <w:r w:rsidR="00A14560">
        <w:t xml:space="preserve"> and</w:t>
      </w:r>
      <w:r w:rsidRPr="00E123FB">
        <w:t xml:space="preserve"> </w:t>
      </w:r>
      <w:r w:rsidR="00A14560">
        <w:fldChar w:fldCharType="begin"/>
      </w:r>
      <w:r w:rsidR="00A14560">
        <w:instrText xml:space="preserve"> REF _Ref426445941 \r \h </w:instrText>
      </w:r>
      <w:r w:rsidR="00A14560">
        <w:fldChar w:fldCharType="separate"/>
      </w:r>
      <w:r w:rsidR="000A7EF4">
        <w:t>8.4.4</w:t>
      </w:r>
      <w:r w:rsidR="00A14560">
        <w:fldChar w:fldCharType="end"/>
      </w:r>
      <w:r w:rsidR="00A14560">
        <w:t xml:space="preserve"> respectively</w:t>
      </w:r>
      <w:r w:rsidRPr="00E123FB">
        <w:t>)</w:t>
      </w:r>
      <w:r>
        <w:t xml:space="preserve">. </w:t>
      </w:r>
      <w:r w:rsidRPr="00E123FB">
        <w:t xml:space="preserve">It also reflects our </w:t>
      </w:r>
      <w:r>
        <w:t xml:space="preserve">preliminary </w:t>
      </w:r>
      <w:r w:rsidRPr="00521143">
        <w:t>decision on the value of imputation credits—gamma—(attachment 4)</w:t>
      </w:r>
      <w:r>
        <w:t>. C</w:t>
      </w:r>
      <w:r w:rsidRPr="00521143">
        <w:t xml:space="preserve">hanges to building block costs </w:t>
      </w:r>
      <w:r>
        <w:t xml:space="preserve">also </w:t>
      </w:r>
      <w:r w:rsidRPr="00521143">
        <w:t xml:space="preserve">affect revenues, which </w:t>
      </w:r>
      <w:r>
        <w:t xml:space="preserve">in turn </w:t>
      </w:r>
      <w:r w:rsidRPr="00521143">
        <w:t>impact</w:t>
      </w:r>
      <w:r>
        <w:t>s</w:t>
      </w:r>
      <w:r w:rsidRPr="00521143">
        <w:t xml:space="preserve"> the tax calculation. The changes affecting revenues are discussed in attachment</w:t>
      </w:r>
      <w:r w:rsidR="00256D51">
        <w:t> </w:t>
      </w:r>
      <w:r w:rsidRPr="00521143">
        <w:t>1.</w:t>
      </w:r>
    </w:p>
    <w:p w:rsidR="00F90FA4" w:rsidRDefault="00F90FA4" w:rsidP="00F90FA4">
      <w:r>
        <w:fldChar w:fldCharType="begin"/>
      </w:r>
      <w:r>
        <w:instrText xml:space="preserve"> REF _Ref410978856 \h </w:instrText>
      </w:r>
      <w:r>
        <w:fldChar w:fldCharType="separate"/>
      </w:r>
      <w:r w:rsidR="006822D9">
        <w:t xml:space="preserve">Table </w:t>
      </w:r>
      <w:r w:rsidR="006822D9">
        <w:rPr>
          <w:noProof/>
        </w:rPr>
        <w:t>8</w:t>
      </w:r>
      <w:r w:rsidR="006822D9">
        <w:t>-</w:t>
      </w:r>
      <w:r w:rsidR="006822D9">
        <w:rPr>
          <w:noProof/>
        </w:rPr>
        <w:t>1</w:t>
      </w:r>
      <w:r>
        <w:fldChar w:fldCharType="end"/>
      </w:r>
      <w:r>
        <w:t xml:space="preserve"> </w:t>
      </w:r>
      <w:r w:rsidRPr="00521143">
        <w:t>set</w:t>
      </w:r>
      <w:r>
        <w:t>s</w:t>
      </w:r>
      <w:r w:rsidRPr="00521143">
        <w:t xml:space="preserve"> out our </w:t>
      </w:r>
      <w:r>
        <w:t>preliminary</w:t>
      </w:r>
      <w:r w:rsidRPr="00521143">
        <w:t xml:space="preserve"> decision on the estimated cost of corporate income tax allowance for </w:t>
      </w:r>
      <w:r>
        <w:t>United Energy</w:t>
      </w:r>
      <w:r w:rsidR="00981DAF">
        <w:t xml:space="preserve"> over the 2016–20 regulatory control period</w:t>
      </w:r>
      <w:r w:rsidRPr="00521143">
        <w:t xml:space="preserve">. </w:t>
      </w:r>
    </w:p>
    <w:p w:rsidR="00F90FA4" w:rsidRDefault="00F90FA4" w:rsidP="00F90FA4">
      <w:pPr>
        <w:pStyle w:val="Caption"/>
      </w:pPr>
      <w:bookmarkStart w:id="13" w:name="_Ref410978856"/>
      <w:r>
        <w:t xml:space="preserve">Table </w:t>
      </w:r>
      <w:r w:rsidR="00F60694">
        <w:fldChar w:fldCharType="begin"/>
      </w:r>
      <w:r w:rsidR="00F60694">
        <w:instrText xml:space="preserve"> STYLEREF 1 \s </w:instrText>
      </w:r>
      <w:r w:rsidR="00F60694">
        <w:fldChar w:fldCharType="separate"/>
      </w:r>
      <w:r w:rsidR="000A7EF4">
        <w:rPr>
          <w:noProof/>
        </w:rPr>
        <w:t>8</w:t>
      </w:r>
      <w:r w:rsidR="00F60694">
        <w:rPr>
          <w:noProof/>
        </w:rPr>
        <w:fldChar w:fldCharType="end"/>
      </w:r>
      <w:r w:rsidR="006822D9">
        <w:t>-</w:t>
      </w:r>
      <w:r w:rsidR="007C7BFD">
        <w:fldChar w:fldCharType="begin"/>
      </w:r>
      <w:r w:rsidR="007C7BFD">
        <w:instrText xml:space="preserve"> SEQ Table \* ARABIC \s 1 </w:instrText>
      </w:r>
      <w:r w:rsidR="007C7BFD">
        <w:fldChar w:fldCharType="separate"/>
      </w:r>
      <w:r w:rsidR="000A7EF4">
        <w:rPr>
          <w:noProof/>
        </w:rPr>
        <w:t>1</w:t>
      </w:r>
      <w:r w:rsidR="007C7BFD">
        <w:rPr>
          <w:noProof/>
        </w:rPr>
        <w:fldChar w:fldCharType="end"/>
      </w:r>
      <w:bookmarkEnd w:id="13"/>
      <w:r>
        <w:tab/>
      </w:r>
      <w:r w:rsidRPr="00E123FB">
        <w:t xml:space="preserve">AER's </w:t>
      </w:r>
      <w:r>
        <w:t>preliminary</w:t>
      </w:r>
      <w:r w:rsidRPr="00E123FB">
        <w:t xml:space="preserve"> decision on </w:t>
      </w:r>
      <w:r>
        <w:t xml:space="preserve">United Energy's </w:t>
      </w:r>
      <w:r w:rsidRPr="00E123FB">
        <w:t xml:space="preserve">cost of corporate income tax allowance for the </w:t>
      </w:r>
      <w:r>
        <w:t>2016–20</w:t>
      </w:r>
      <w:r w:rsidRPr="00E123FB">
        <w:t xml:space="preserve"> regulatory control period ($</w:t>
      </w:r>
      <w:r>
        <w:t> </w:t>
      </w:r>
      <w:r w:rsidRPr="00E123FB">
        <w:t>million, nominal)</w:t>
      </w:r>
    </w:p>
    <w:tbl>
      <w:tblPr>
        <w:tblStyle w:val="AERtable-numbers"/>
        <w:tblW w:w="8755" w:type="dxa"/>
        <w:tblLayout w:type="fixed"/>
        <w:tblLook w:val="04A0" w:firstRow="1" w:lastRow="0" w:firstColumn="1" w:lastColumn="0" w:noHBand="0" w:noVBand="1"/>
      </w:tblPr>
      <w:tblGrid>
        <w:gridCol w:w="3245"/>
        <w:gridCol w:w="918"/>
        <w:gridCol w:w="918"/>
        <w:gridCol w:w="919"/>
        <w:gridCol w:w="918"/>
        <w:gridCol w:w="918"/>
        <w:gridCol w:w="919"/>
      </w:tblGrid>
      <w:tr w:rsidR="00F90FA4" w:rsidRPr="00521143" w:rsidTr="007439D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F90FA4" w:rsidRPr="00521143" w:rsidRDefault="00F90FA4" w:rsidP="007439D2">
            <w:r w:rsidRPr="00521143">
              <w:t> </w:t>
            </w:r>
          </w:p>
        </w:tc>
        <w:tc>
          <w:tcPr>
            <w:tcW w:w="918" w:type="dxa"/>
            <w:noWrap/>
            <w:hideMark/>
          </w:tcPr>
          <w:p w:rsidR="00F90FA4" w:rsidRPr="00521143" w:rsidRDefault="00C643F9" w:rsidP="007439D2">
            <w:pPr>
              <w:cnfStyle w:val="100000000000" w:firstRow="1" w:lastRow="0" w:firstColumn="0" w:lastColumn="0" w:oddVBand="0" w:evenVBand="0" w:oddHBand="0" w:evenHBand="0" w:firstRowFirstColumn="0" w:firstRowLastColumn="0" w:lastRowFirstColumn="0" w:lastRowLastColumn="0"/>
            </w:pPr>
            <w:r>
              <w:t>2016</w:t>
            </w:r>
          </w:p>
        </w:tc>
        <w:tc>
          <w:tcPr>
            <w:tcW w:w="918" w:type="dxa"/>
            <w:noWrap/>
            <w:hideMark/>
          </w:tcPr>
          <w:p w:rsidR="00F90FA4" w:rsidRPr="00521143" w:rsidRDefault="00C643F9" w:rsidP="007439D2">
            <w:pPr>
              <w:cnfStyle w:val="100000000000" w:firstRow="1" w:lastRow="0" w:firstColumn="0" w:lastColumn="0" w:oddVBand="0" w:evenVBand="0" w:oddHBand="0" w:evenHBand="0" w:firstRowFirstColumn="0" w:firstRowLastColumn="0" w:lastRowFirstColumn="0" w:lastRowLastColumn="0"/>
            </w:pPr>
            <w:r>
              <w:t>201</w:t>
            </w:r>
            <w:r w:rsidR="00F90FA4" w:rsidRPr="00521143">
              <w:t>7</w:t>
            </w:r>
          </w:p>
        </w:tc>
        <w:tc>
          <w:tcPr>
            <w:tcW w:w="919" w:type="dxa"/>
            <w:noWrap/>
            <w:hideMark/>
          </w:tcPr>
          <w:p w:rsidR="00F90FA4" w:rsidRPr="00521143" w:rsidRDefault="00F90FA4" w:rsidP="00C643F9">
            <w:pPr>
              <w:cnfStyle w:val="100000000000" w:firstRow="1" w:lastRow="0" w:firstColumn="0" w:lastColumn="0" w:oddVBand="0" w:evenVBand="0" w:oddHBand="0" w:evenHBand="0" w:firstRowFirstColumn="0" w:firstRowLastColumn="0" w:lastRowFirstColumn="0" w:lastRowLastColumn="0"/>
            </w:pPr>
            <w:r w:rsidRPr="00521143">
              <w:t>2018</w:t>
            </w:r>
          </w:p>
        </w:tc>
        <w:tc>
          <w:tcPr>
            <w:tcW w:w="918" w:type="dxa"/>
            <w:noWrap/>
            <w:hideMark/>
          </w:tcPr>
          <w:p w:rsidR="00F90FA4" w:rsidRPr="00521143" w:rsidRDefault="00F90FA4" w:rsidP="00C643F9">
            <w:pPr>
              <w:cnfStyle w:val="100000000000" w:firstRow="1" w:lastRow="0" w:firstColumn="0" w:lastColumn="0" w:oddVBand="0" w:evenVBand="0" w:oddHBand="0" w:evenHBand="0" w:firstRowFirstColumn="0" w:firstRowLastColumn="0" w:lastRowFirstColumn="0" w:lastRowLastColumn="0"/>
            </w:pPr>
            <w:r w:rsidRPr="00521143">
              <w:t>2019</w:t>
            </w:r>
          </w:p>
        </w:tc>
        <w:tc>
          <w:tcPr>
            <w:tcW w:w="918" w:type="dxa"/>
            <w:noWrap/>
            <w:hideMark/>
          </w:tcPr>
          <w:p w:rsidR="00F90FA4" w:rsidRPr="00521143" w:rsidRDefault="00F90FA4" w:rsidP="00C643F9">
            <w:pPr>
              <w:cnfStyle w:val="100000000000" w:firstRow="1" w:lastRow="0" w:firstColumn="0" w:lastColumn="0" w:oddVBand="0" w:evenVBand="0" w:oddHBand="0" w:evenHBand="0" w:firstRowFirstColumn="0" w:firstRowLastColumn="0" w:lastRowFirstColumn="0" w:lastRowLastColumn="0"/>
            </w:pPr>
            <w:r w:rsidRPr="00521143">
              <w:t>2020</w:t>
            </w:r>
          </w:p>
        </w:tc>
        <w:tc>
          <w:tcPr>
            <w:tcW w:w="919" w:type="dxa"/>
            <w:noWrap/>
            <w:hideMark/>
          </w:tcPr>
          <w:p w:rsidR="00F90FA4" w:rsidRPr="00521143" w:rsidRDefault="00F90FA4" w:rsidP="007439D2">
            <w:pPr>
              <w:cnfStyle w:val="100000000000" w:firstRow="1" w:lastRow="0" w:firstColumn="0" w:lastColumn="0" w:oddVBand="0" w:evenVBand="0" w:oddHBand="0" w:evenHBand="0" w:firstRowFirstColumn="0" w:firstRowLastColumn="0" w:lastRowFirstColumn="0" w:lastRowLastColumn="0"/>
            </w:pPr>
            <w:r w:rsidRPr="00521143">
              <w:t>Total</w:t>
            </w:r>
          </w:p>
        </w:tc>
      </w:tr>
      <w:tr w:rsidR="00590FBF" w:rsidRPr="00521143" w:rsidTr="007439D2">
        <w:trPr>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590FBF" w:rsidRPr="007C093A" w:rsidRDefault="00590FBF" w:rsidP="007439D2">
            <w:r w:rsidRPr="007C093A">
              <w:t>Tax payable</w:t>
            </w:r>
          </w:p>
        </w:tc>
        <w:tc>
          <w:tcPr>
            <w:tcW w:w="918" w:type="dxa"/>
            <w:noWrap/>
            <w:vAlign w:val="bottom"/>
          </w:tcPr>
          <w:p w:rsidR="00590FBF" w:rsidRPr="00590FBF" w:rsidRDefault="00590FBF" w:rsidP="00590FBF">
            <w:pPr>
              <w:cnfStyle w:val="000000000000" w:firstRow="0" w:lastRow="0" w:firstColumn="0" w:lastColumn="0" w:oddVBand="0" w:evenVBand="0" w:oddHBand="0" w:evenHBand="0" w:firstRowFirstColumn="0" w:firstRowLastColumn="0" w:lastRowFirstColumn="0" w:lastRowLastColumn="0"/>
            </w:pPr>
            <w:r w:rsidRPr="00590FBF">
              <w:t>26.1</w:t>
            </w:r>
          </w:p>
        </w:tc>
        <w:tc>
          <w:tcPr>
            <w:tcW w:w="918" w:type="dxa"/>
            <w:noWrap/>
            <w:vAlign w:val="bottom"/>
          </w:tcPr>
          <w:p w:rsidR="00590FBF" w:rsidRPr="00590FBF" w:rsidRDefault="00590FBF" w:rsidP="00590FBF">
            <w:pPr>
              <w:cnfStyle w:val="000000000000" w:firstRow="0" w:lastRow="0" w:firstColumn="0" w:lastColumn="0" w:oddVBand="0" w:evenVBand="0" w:oddHBand="0" w:evenHBand="0" w:firstRowFirstColumn="0" w:firstRowLastColumn="0" w:lastRowFirstColumn="0" w:lastRowLastColumn="0"/>
            </w:pPr>
            <w:r w:rsidRPr="00590FBF">
              <w:t>27.0</w:t>
            </w:r>
          </w:p>
        </w:tc>
        <w:tc>
          <w:tcPr>
            <w:tcW w:w="919" w:type="dxa"/>
            <w:noWrap/>
            <w:vAlign w:val="bottom"/>
          </w:tcPr>
          <w:p w:rsidR="00590FBF" w:rsidRPr="00590FBF" w:rsidRDefault="00590FBF" w:rsidP="00590FBF">
            <w:pPr>
              <w:cnfStyle w:val="000000000000" w:firstRow="0" w:lastRow="0" w:firstColumn="0" w:lastColumn="0" w:oddVBand="0" w:evenVBand="0" w:oddHBand="0" w:evenHBand="0" w:firstRowFirstColumn="0" w:firstRowLastColumn="0" w:lastRowFirstColumn="0" w:lastRowLastColumn="0"/>
            </w:pPr>
            <w:r w:rsidRPr="00590FBF">
              <w:t>28.9</w:t>
            </w:r>
          </w:p>
        </w:tc>
        <w:tc>
          <w:tcPr>
            <w:tcW w:w="918" w:type="dxa"/>
            <w:noWrap/>
            <w:vAlign w:val="bottom"/>
          </w:tcPr>
          <w:p w:rsidR="00590FBF" w:rsidRPr="00590FBF" w:rsidRDefault="00590FBF" w:rsidP="00590FBF">
            <w:pPr>
              <w:cnfStyle w:val="000000000000" w:firstRow="0" w:lastRow="0" w:firstColumn="0" w:lastColumn="0" w:oddVBand="0" w:evenVBand="0" w:oddHBand="0" w:evenHBand="0" w:firstRowFirstColumn="0" w:firstRowLastColumn="0" w:lastRowFirstColumn="0" w:lastRowLastColumn="0"/>
            </w:pPr>
            <w:r w:rsidRPr="00590FBF">
              <w:t>31.9</w:t>
            </w:r>
          </w:p>
        </w:tc>
        <w:tc>
          <w:tcPr>
            <w:tcW w:w="918" w:type="dxa"/>
            <w:noWrap/>
            <w:vAlign w:val="bottom"/>
          </w:tcPr>
          <w:p w:rsidR="00590FBF" w:rsidRPr="00590FBF" w:rsidRDefault="00590FBF" w:rsidP="00590FBF">
            <w:pPr>
              <w:cnfStyle w:val="000000000000" w:firstRow="0" w:lastRow="0" w:firstColumn="0" w:lastColumn="0" w:oddVBand="0" w:evenVBand="0" w:oddHBand="0" w:evenHBand="0" w:firstRowFirstColumn="0" w:firstRowLastColumn="0" w:lastRowFirstColumn="0" w:lastRowLastColumn="0"/>
            </w:pPr>
            <w:r w:rsidRPr="00590FBF">
              <w:t>27.2</w:t>
            </w:r>
          </w:p>
        </w:tc>
        <w:tc>
          <w:tcPr>
            <w:tcW w:w="919" w:type="dxa"/>
            <w:noWrap/>
            <w:vAlign w:val="bottom"/>
          </w:tcPr>
          <w:p w:rsidR="00590FBF" w:rsidRPr="00590FBF" w:rsidRDefault="00590FBF" w:rsidP="00590FBF">
            <w:pPr>
              <w:cnfStyle w:val="000000000000" w:firstRow="0" w:lastRow="0" w:firstColumn="0" w:lastColumn="0" w:oddVBand="0" w:evenVBand="0" w:oddHBand="0" w:evenHBand="0" w:firstRowFirstColumn="0" w:firstRowLastColumn="0" w:lastRowFirstColumn="0" w:lastRowLastColumn="0"/>
            </w:pPr>
            <w:r w:rsidRPr="00590FBF">
              <w:t>140.9</w:t>
            </w:r>
          </w:p>
        </w:tc>
      </w:tr>
      <w:tr w:rsidR="00590FBF" w:rsidRPr="00521143" w:rsidTr="007439D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590FBF" w:rsidRPr="007C093A" w:rsidRDefault="00590FBF" w:rsidP="007439D2">
            <w:r w:rsidRPr="007C093A">
              <w:rPr>
                <w:rStyle w:val="AERtextitalic"/>
              </w:rPr>
              <w:t xml:space="preserve">Less: </w:t>
            </w:r>
            <w:r w:rsidRPr="007C093A">
              <w:t>value of imputation credits</w:t>
            </w:r>
          </w:p>
        </w:tc>
        <w:tc>
          <w:tcPr>
            <w:tcW w:w="918" w:type="dxa"/>
            <w:noWrap/>
            <w:vAlign w:val="bottom"/>
          </w:tcPr>
          <w:p w:rsidR="00590FBF" w:rsidRPr="00590FBF" w:rsidRDefault="00590FBF" w:rsidP="00590FBF">
            <w:pPr>
              <w:cnfStyle w:val="000000010000" w:firstRow="0" w:lastRow="0" w:firstColumn="0" w:lastColumn="0" w:oddVBand="0" w:evenVBand="0" w:oddHBand="0" w:evenHBand="1" w:firstRowFirstColumn="0" w:firstRowLastColumn="0" w:lastRowFirstColumn="0" w:lastRowLastColumn="0"/>
            </w:pPr>
            <w:r w:rsidRPr="00590FBF">
              <w:t>10.4</w:t>
            </w:r>
          </w:p>
        </w:tc>
        <w:tc>
          <w:tcPr>
            <w:tcW w:w="918" w:type="dxa"/>
            <w:noWrap/>
            <w:vAlign w:val="bottom"/>
          </w:tcPr>
          <w:p w:rsidR="00590FBF" w:rsidRPr="00590FBF" w:rsidRDefault="00590FBF" w:rsidP="00590FBF">
            <w:pPr>
              <w:cnfStyle w:val="000000010000" w:firstRow="0" w:lastRow="0" w:firstColumn="0" w:lastColumn="0" w:oddVBand="0" w:evenVBand="0" w:oddHBand="0" w:evenHBand="1" w:firstRowFirstColumn="0" w:firstRowLastColumn="0" w:lastRowFirstColumn="0" w:lastRowLastColumn="0"/>
            </w:pPr>
            <w:r w:rsidRPr="00590FBF">
              <w:t>10.8</w:t>
            </w:r>
          </w:p>
        </w:tc>
        <w:tc>
          <w:tcPr>
            <w:tcW w:w="919" w:type="dxa"/>
            <w:noWrap/>
            <w:vAlign w:val="bottom"/>
          </w:tcPr>
          <w:p w:rsidR="00590FBF" w:rsidRPr="00590FBF" w:rsidRDefault="00590FBF" w:rsidP="00590FBF">
            <w:pPr>
              <w:cnfStyle w:val="000000010000" w:firstRow="0" w:lastRow="0" w:firstColumn="0" w:lastColumn="0" w:oddVBand="0" w:evenVBand="0" w:oddHBand="0" w:evenHBand="1" w:firstRowFirstColumn="0" w:firstRowLastColumn="0" w:lastRowFirstColumn="0" w:lastRowLastColumn="0"/>
            </w:pPr>
            <w:r w:rsidRPr="00590FBF">
              <w:t>11.5</w:t>
            </w:r>
          </w:p>
        </w:tc>
        <w:tc>
          <w:tcPr>
            <w:tcW w:w="918" w:type="dxa"/>
            <w:noWrap/>
            <w:vAlign w:val="bottom"/>
          </w:tcPr>
          <w:p w:rsidR="00590FBF" w:rsidRPr="00590FBF" w:rsidRDefault="00590FBF" w:rsidP="00590FBF">
            <w:pPr>
              <w:cnfStyle w:val="000000010000" w:firstRow="0" w:lastRow="0" w:firstColumn="0" w:lastColumn="0" w:oddVBand="0" w:evenVBand="0" w:oddHBand="0" w:evenHBand="1" w:firstRowFirstColumn="0" w:firstRowLastColumn="0" w:lastRowFirstColumn="0" w:lastRowLastColumn="0"/>
            </w:pPr>
            <w:r w:rsidRPr="00590FBF">
              <w:t>12.8</w:t>
            </w:r>
          </w:p>
        </w:tc>
        <w:tc>
          <w:tcPr>
            <w:tcW w:w="918" w:type="dxa"/>
            <w:noWrap/>
            <w:vAlign w:val="bottom"/>
          </w:tcPr>
          <w:p w:rsidR="00590FBF" w:rsidRPr="00590FBF" w:rsidRDefault="00590FBF" w:rsidP="00590FBF">
            <w:pPr>
              <w:cnfStyle w:val="000000010000" w:firstRow="0" w:lastRow="0" w:firstColumn="0" w:lastColumn="0" w:oddVBand="0" w:evenVBand="0" w:oddHBand="0" w:evenHBand="1" w:firstRowFirstColumn="0" w:firstRowLastColumn="0" w:lastRowFirstColumn="0" w:lastRowLastColumn="0"/>
            </w:pPr>
            <w:r w:rsidRPr="00590FBF">
              <w:t>10.9</w:t>
            </w:r>
          </w:p>
        </w:tc>
        <w:tc>
          <w:tcPr>
            <w:tcW w:w="919" w:type="dxa"/>
            <w:noWrap/>
            <w:vAlign w:val="bottom"/>
          </w:tcPr>
          <w:p w:rsidR="00590FBF" w:rsidRPr="00590FBF" w:rsidRDefault="00590FBF" w:rsidP="00590FBF">
            <w:pPr>
              <w:cnfStyle w:val="000000010000" w:firstRow="0" w:lastRow="0" w:firstColumn="0" w:lastColumn="0" w:oddVBand="0" w:evenVBand="0" w:oddHBand="0" w:evenHBand="1" w:firstRowFirstColumn="0" w:firstRowLastColumn="0" w:lastRowFirstColumn="0" w:lastRowLastColumn="0"/>
            </w:pPr>
            <w:r w:rsidRPr="00590FBF">
              <w:t>56.4</w:t>
            </w:r>
          </w:p>
        </w:tc>
      </w:tr>
      <w:tr w:rsidR="00590FBF" w:rsidRPr="00590FBF" w:rsidTr="007439D2">
        <w:trPr>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590FBF" w:rsidRPr="00590FBF" w:rsidRDefault="00590FBF" w:rsidP="007439D2">
            <w:pPr>
              <w:rPr>
                <w:rStyle w:val="Strong"/>
              </w:rPr>
            </w:pPr>
            <w:r w:rsidRPr="00590FBF">
              <w:rPr>
                <w:rStyle w:val="Strong"/>
              </w:rPr>
              <w:t>Net corporate income tax allowance</w:t>
            </w:r>
          </w:p>
        </w:tc>
        <w:tc>
          <w:tcPr>
            <w:tcW w:w="918" w:type="dxa"/>
            <w:noWrap/>
            <w:vAlign w:val="bottom"/>
          </w:tcPr>
          <w:p w:rsidR="00590FBF" w:rsidRPr="00590FBF" w:rsidRDefault="00590FBF" w:rsidP="00590FBF">
            <w:pPr>
              <w:cnfStyle w:val="000000000000" w:firstRow="0" w:lastRow="0" w:firstColumn="0" w:lastColumn="0" w:oddVBand="0" w:evenVBand="0" w:oddHBand="0" w:evenHBand="0" w:firstRowFirstColumn="0" w:firstRowLastColumn="0" w:lastRowFirstColumn="0" w:lastRowLastColumn="0"/>
              <w:rPr>
                <w:rStyle w:val="Strong"/>
              </w:rPr>
            </w:pPr>
            <w:r w:rsidRPr="00590FBF">
              <w:rPr>
                <w:rStyle w:val="Strong"/>
              </w:rPr>
              <w:t>15.6</w:t>
            </w:r>
          </w:p>
        </w:tc>
        <w:tc>
          <w:tcPr>
            <w:tcW w:w="918" w:type="dxa"/>
            <w:noWrap/>
            <w:vAlign w:val="bottom"/>
          </w:tcPr>
          <w:p w:rsidR="00590FBF" w:rsidRPr="00590FBF" w:rsidRDefault="00590FBF" w:rsidP="00590FBF">
            <w:pPr>
              <w:cnfStyle w:val="000000000000" w:firstRow="0" w:lastRow="0" w:firstColumn="0" w:lastColumn="0" w:oddVBand="0" w:evenVBand="0" w:oddHBand="0" w:evenHBand="0" w:firstRowFirstColumn="0" w:firstRowLastColumn="0" w:lastRowFirstColumn="0" w:lastRowLastColumn="0"/>
              <w:rPr>
                <w:rStyle w:val="Strong"/>
              </w:rPr>
            </w:pPr>
            <w:r w:rsidRPr="00590FBF">
              <w:rPr>
                <w:rStyle w:val="Strong"/>
              </w:rPr>
              <w:t>16.2</w:t>
            </w:r>
          </w:p>
        </w:tc>
        <w:tc>
          <w:tcPr>
            <w:tcW w:w="919" w:type="dxa"/>
            <w:noWrap/>
            <w:vAlign w:val="bottom"/>
          </w:tcPr>
          <w:p w:rsidR="00590FBF" w:rsidRPr="00590FBF" w:rsidRDefault="00590FBF" w:rsidP="00590FBF">
            <w:pPr>
              <w:cnfStyle w:val="000000000000" w:firstRow="0" w:lastRow="0" w:firstColumn="0" w:lastColumn="0" w:oddVBand="0" w:evenVBand="0" w:oddHBand="0" w:evenHBand="0" w:firstRowFirstColumn="0" w:firstRowLastColumn="0" w:lastRowFirstColumn="0" w:lastRowLastColumn="0"/>
              <w:rPr>
                <w:rStyle w:val="Strong"/>
              </w:rPr>
            </w:pPr>
            <w:r w:rsidRPr="00590FBF">
              <w:rPr>
                <w:rStyle w:val="Strong"/>
              </w:rPr>
              <w:t>17.3</w:t>
            </w:r>
          </w:p>
        </w:tc>
        <w:tc>
          <w:tcPr>
            <w:tcW w:w="918" w:type="dxa"/>
            <w:noWrap/>
            <w:vAlign w:val="bottom"/>
          </w:tcPr>
          <w:p w:rsidR="00590FBF" w:rsidRPr="00590FBF" w:rsidRDefault="00590FBF" w:rsidP="00590FBF">
            <w:pPr>
              <w:cnfStyle w:val="000000000000" w:firstRow="0" w:lastRow="0" w:firstColumn="0" w:lastColumn="0" w:oddVBand="0" w:evenVBand="0" w:oddHBand="0" w:evenHBand="0" w:firstRowFirstColumn="0" w:firstRowLastColumn="0" w:lastRowFirstColumn="0" w:lastRowLastColumn="0"/>
              <w:rPr>
                <w:rStyle w:val="Strong"/>
              </w:rPr>
            </w:pPr>
            <w:r w:rsidRPr="00590FBF">
              <w:rPr>
                <w:rStyle w:val="Strong"/>
              </w:rPr>
              <w:t>19.1</w:t>
            </w:r>
          </w:p>
        </w:tc>
        <w:tc>
          <w:tcPr>
            <w:tcW w:w="918" w:type="dxa"/>
            <w:noWrap/>
            <w:vAlign w:val="bottom"/>
          </w:tcPr>
          <w:p w:rsidR="00590FBF" w:rsidRPr="00590FBF" w:rsidRDefault="00590FBF" w:rsidP="00590FBF">
            <w:pPr>
              <w:cnfStyle w:val="000000000000" w:firstRow="0" w:lastRow="0" w:firstColumn="0" w:lastColumn="0" w:oddVBand="0" w:evenVBand="0" w:oddHBand="0" w:evenHBand="0" w:firstRowFirstColumn="0" w:firstRowLastColumn="0" w:lastRowFirstColumn="0" w:lastRowLastColumn="0"/>
              <w:rPr>
                <w:rStyle w:val="Strong"/>
              </w:rPr>
            </w:pPr>
            <w:r w:rsidRPr="00590FBF">
              <w:rPr>
                <w:rStyle w:val="Strong"/>
              </w:rPr>
              <w:t>16.3</w:t>
            </w:r>
          </w:p>
        </w:tc>
        <w:tc>
          <w:tcPr>
            <w:tcW w:w="919" w:type="dxa"/>
            <w:noWrap/>
            <w:vAlign w:val="bottom"/>
          </w:tcPr>
          <w:p w:rsidR="00590FBF" w:rsidRPr="00590FBF" w:rsidRDefault="00590FBF" w:rsidP="00590FBF">
            <w:pPr>
              <w:cnfStyle w:val="000000000000" w:firstRow="0" w:lastRow="0" w:firstColumn="0" w:lastColumn="0" w:oddVBand="0" w:evenVBand="0" w:oddHBand="0" w:evenHBand="0" w:firstRowFirstColumn="0" w:firstRowLastColumn="0" w:lastRowFirstColumn="0" w:lastRowLastColumn="0"/>
              <w:rPr>
                <w:rStyle w:val="Strong"/>
              </w:rPr>
            </w:pPr>
            <w:r w:rsidRPr="00590FBF">
              <w:rPr>
                <w:rStyle w:val="Strong"/>
              </w:rPr>
              <w:t>84.6</w:t>
            </w:r>
          </w:p>
        </w:tc>
      </w:tr>
    </w:tbl>
    <w:p w:rsidR="00F90FA4" w:rsidRPr="00F90FA4" w:rsidRDefault="00F90FA4" w:rsidP="00F40D1C">
      <w:pPr>
        <w:pStyle w:val="AERtablesource"/>
      </w:pPr>
      <w:r>
        <w:t>Source:</w:t>
      </w:r>
      <w:r>
        <w:tab/>
        <w:t>AER analysis.</w:t>
      </w:r>
    </w:p>
    <w:p w:rsidR="009A5113" w:rsidRDefault="004E1775" w:rsidP="009A5113">
      <w:pPr>
        <w:pStyle w:val="Heading2"/>
      </w:pPr>
      <w:bookmarkStart w:id="14" w:name="_Toc433521286"/>
      <w:r>
        <w:t>United Energy</w:t>
      </w:r>
      <w:r w:rsidR="005C0A7F">
        <w:t>'s proposal</w:t>
      </w:r>
      <w:bookmarkEnd w:id="14"/>
    </w:p>
    <w:p w:rsidR="00F90FA4" w:rsidRPr="00375619" w:rsidRDefault="00F90FA4" w:rsidP="00F90FA4">
      <w:r>
        <w:t>United Energy</w:t>
      </w:r>
      <w:r w:rsidRPr="00375619">
        <w:t xml:space="preserve"> proposed a forecast cost of corporate income tax of $</w:t>
      </w:r>
      <w:r w:rsidR="00F40D1C">
        <w:t>149.1 </w:t>
      </w:r>
      <w:r w:rsidRPr="00375619">
        <w:t>million ($</w:t>
      </w:r>
      <w:r w:rsidR="00F40D1C">
        <w:t> </w:t>
      </w:r>
      <w:r w:rsidRPr="00375619">
        <w:t>nominal) using the AER's PTRM</w:t>
      </w:r>
      <w:r w:rsidR="00981DAF">
        <w:t>, which adopts a straight-line tax depreciation approach</w:t>
      </w:r>
      <w:r w:rsidRPr="00375619">
        <w:t xml:space="preserve"> and the following inputs:</w:t>
      </w:r>
      <w:r>
        <w:rPr>
          <w:rStyle w:val="FootnoteReference"/>
        </w:rPr>
        <w:footnoteReference w:id="2"/>
      </w:r>
      <w:r w:rsidRPr="00375619">
        <w:t xml:space="preserve"> </w:t>
      </w:r>
    </w:p>
    <w:p w:rsidR="00F90FA4" w:rsidRPr="00375619" w:rsidRDefault="00F90FA4" w:rsidP="00F90FA4">
      <w:pPr>
        <w:pStyle w:val="AERbulletlistfirststyle"/>
      </w:pPr>
      <w:r w:rsidRPr="00375619">
        <w:t xml:space="preserve">an opening TAB as at </w:t>
      </w:r>
      <w:r>
        <w:t>1 January 2016</w:t>
      </w:r>
      <w:r w:rsidRPr="00375619">
        <w:t xml:space="preserve"> of $</w:t>
      </w:r>
      <w:r w:rsidR="00F40D1C">
        <w:t>1</w:t>
      </w:r>
      <w:r w:rsidR="00B15664">
        <w:t xml:space="preserve">307.4 </w:t>
      </w:r>
      <w:r w:rsidRPr="00375619">
        <w:t xml:space="preserve">million ($ nominal) </w:t>
      </w:r>
    </w:p>
    <w:p w:rsidR="00F90FA4" w:rsidRPr="00375619" w:rsidRDefault="00F90FA4" w:rsidP="00F90FA4">
      <w:pPr>
        <w:pStyle w:val="AERbulletlistfirststyle"/>
      </w:pPr>
      <w:r w:rsidRPr="00375619">
        <w:t>an expected statutory income tax rate of 30 per cent per year</w:t>
      </w:r>
    </w:p>
    <w:p w:rsidR="00F90FA4" w:rsidRPr="00375619" w:rsidRDefault="00F90FA4" w:rsidP="00F90FA4">
      <w:pPr>
        <w:pStyle w:val="AERbulletlistfirststyle"/>
      </w:pPr>
      <w:r w:rsidRPr="00375619">
        <w:t>a value for gamma of 0.25</w:t>
      </w:r>
    </w:p>
    <w:p w:rsidR="00F90FA4" w:rsidRPr="00375619" w:rsidRDefault="00F90FA4" w:rsidP="00A41B65">
      <w:pPr>
        <w:pStyle w:val="AERbulletlistfirststyle"/>
      </w:pPr>
      <w:r w:rsidRPr="00375619">
        <w:t xml:space="preserve">remaining tax asset lives of assets in existence as at </w:t>
      </w:r>
      <w:r>
        <w:t>31 December 2015</w:t>
      </w:r>
      <w:r w:rsidRPr="00375619">
        <w:t xml:space="preserve"> </w:t>
      </w:r>
      <w:r w:rsidR="00A41B65">
        <w:t xml:space="preserve">calculated </w:t>
      </w:r>
      <w:r w:rsidR="00CF636A" w:rsidRPr="00B565E9">
        <w:t>based on the</w:t>
      </w:r>
      <w:r w:rsidR="00CF636A">
        <w:t xml:space="preserve"> </w:t>
      </w:r>
      <w:r w:rsidR="00CF636A" w:rsidRPr="00B565E9">
        <w:t>standard tax asset life for an asset class multiplied by the ratio of the RAB</w:t>
      </w:r>
      <w:r w:rsidR="00CF636A">
        <w:t xml:space="preserve"> </w:t>
      </w:r>
      <w:r w:rsidR="00CF636A" w:rsidRPr="00B565E9">
        <w:t>remaining asset life to the RAB standard asset life</w:t>
      </w:r>
    </w:p>
    <w:p w:rsidR="00F90FA4" w:rsidRDefault="00F90FA4" w:rsidP="00F40D1C">
      <w:pPr>
        <w:pStyle w:val="AERbulletlistfirststyle"/>
      </w:pPr>
      <w:proofErr w:type="gramStart"/>
      <w:r>
        <w:t>standard</w:t>
      </w:r>
      <w:proofErr w:type="gramEnd"/>
      <w:r>
        <w:t xml:space="preserve"> </w:t>
      </w:r>
      <w:r w:rsidR="001F2733">
        <w:t xml:space="preserve">tax asset </w:t>
      </w:r>
      <w:r>
        <w:t xml:space="preserve">lives </w:t>
      </w:r>
      <w:r w:rsidR="00F40D1C">
        <w:t xml:space="preserve">calculated using a </w:t>
      </w:r>
      <w:r w:rsidR="00F40D1C" w:rsidRPr="00F40D1C">
        <w:t>weighted average</w:t>
      </w:r>
      <w:r w:rsidR="00F40D1C">
        <w:t xml:space="preserve"> of relevant tax categories from the July 2014</w:t>
      </w:r>
      <w:r w:rsidR="00981DAF">
        <w:t xml:space="preserve"> ATO</w:t>
      </w:r>
      <w:r w:rsidR="00F40D1C">
        <w:t xml:space="preserve"> tax ruling</w:t>
      </w:r>
      <w:r w:rsidR="00A41B65">
        <w:t xml:space="preserve"> (TR 2014/4)</w:t>
      </w:r>
      <w:r w:rsidR="00F40D1C">
        <w:t>.</w:t>
      </w:r>
      <w:r w:rsidR="00A41B65">
        <w:rPr>
          <w:rStyle w:val="CommentReference"/>
          <w:rFonts w:asciiTheme="minorHAnsi" w:eastAsia="Calibri" w:hAnsiTheme="minorHAnsi"/>
        </w:rPr>
        <w:t xml:space="preserve"> </w:t>
      </w:r>
    </w:p>
    <w:p w:rsidR="00F90FA4" w:rsidRDefault="00F90FA4" w:rsidP="00F90FA4">
      <w:r>
        <w:fldChar w:fldCharType="begin"/>
      </w:r>
      <w:r>
        <w:instrText xml:space="preserve"> REF _Ref410980088 \h </w:instrText>
      </w:r>
      <w:r>
        <w:fldChar w:fldCharType="separate"/>
      </w:r>
      <w:r w:rsidR="006822D9">
        <w:t xml:space="preserve">Table </w:t>
      </w:r>
      <w:r w:rsidR="006822D9">
        <w:rPr>
          <w:noProof/>
        </w:rPr>
        <w:t>8</w:t>
      </w:r>
      <w:r w:rsidR="006822D9">
        <w:t>-</w:t>
      </w:r>
      <w:r w:rsidR="006822D9">
        <w:rPr>
          <w:noProof/>
        </w:rPr>
        <w:t>2</w:t>
      </w:r>
      <w:r>
        <w:fldChar w:fldCharType="end"/>
      </w:r>
      <w:r>
        <w:t xml:space="preserve"> </w:t>
      </w:r>
      <w:r w:rsidRPr="00375619">
        <w:t xml:space="preserve">sets out </w:t>
      </w:r>
      <w:r>
        <w:t>United Energy</w:t>
      </w:r>
      <w:r w:rsidRPr="00375619">
        <w:t>'s proposed corporate i</w:t>
      </w:r>
      <w:r>
        <w:t xml:space="preserve">ncome tax allowance for the </w:t>
      </w:r>
      <w:r>
        <w:br/>
        <w:t>2016–20</w:t>
      </w:r>
      <w:r w:rsidRPr="00375619">
        <w:t xml:space="preserve"> </w:t>
      </w:r>
      <w:r>
        <w:t xml:space="preserve">regulatory control </w:t>
      </w:r>
      <w:r w:rsidRPr="00375619">
        <w:t>period.</w:t>
      </w:r>
    </w:p>
    <w:p w:rsidR="00F90FA4" w:rsidRDefault="00F90FA4" w:rsidP="00F90FA4">
      <w:pPr>
        <w:pStyle w:val="Caption"/>
      </w:pPr>
      <w:bookmarkStart w:id="15" w:name="_Ref410980088"/>
      <w:r>
        <w:t xml:space="preserve">Table </w:t>
      </w:r>
      <w:r w:rsidR="00F60694">
        <w:fldChar w:fldCharType="begin"/>
      </w:r>
      <w:r w:rsidR="00F60694">
        <w:instrText xml:space="preserve"> STYLEREF 1 \s </w:instrText>
      </w:r>
      <w:r w:rsidR="00F60694">
        <w:fldChar w:fldCharType="separate"/>
      </w:r>
      <w:r w:rsidR="000A7EF4">
        <w:rPr>
          <w:noProof/>
        </w:rPr>
        <w:t>8</w:t>
      </w:r>
      <w:r w:rsidR="00F60694">
        <w:rPr>
          <w:noProof/>
        </w:rPr>
        <w:fldChar w:fldCharType="end"/>
      </w:r>
      <w:r w:rsidR="006822D9">
        <w:t>-</w:t>
      </w:r>
      <w:r w:rsidR="007C7BFD">
        <w:fldChar w:fldCharType="begin"/>
      </w:r>
      <w:r w:rsidR="007C7BFD">
        <w:instrText xml:space="preserve"> SEQ Table \* ARABIC \s 1 </w:instrText>
      </w:r>
      <w:r w:rsidR="007C7BFD">
        <w:fldChar w:fldCharType="separate"/>
      </w:r>
      <w:r w:rsidR="000A7EF4">
        <w:rPr>
          <w:noProof/>
        </w:rPr>
        <w:t>2</w:t>
      </w:r>
      <w:r w:rsidR="007C7BFD">
        <w:rPr>
          <w:noProof/>
        </w:rPr>
        <w:fldChar w:fldCharType="end"/>
      </w:r>
      <w:bookmarkEnd w:id="15"/>
      <w:r>
        <w:tab/>
        <w:t>United Energy's</w:t>
      </w:r>
      <w:r w:rsidRPr="00375619">
        <w:t xml:space="preserve"> proposed cost of corporate income tax allowance for the </w:t>
      </w:r>
      <w:r>
        <w:t>2016–20</w:t>
      </w:r>
      <w:r w:rsidRPr="00375619">
        <w:t xml:space="preserve"> regulatory control period ($ million, nominal)</w:t>
      </w:r>
    </w:p>
    <w:tbl>
      <w:tblPr>
        <w:tblStyle w:val="AERtable-numbers"/>
        <w:tblW w:w="5000" w:type="pct"/>
        <w:tblLook w:val="04A0" w:firstRow="1" w:lastRow="0" w:firstColumn="1" w:lastColumn="0" w:noHBand="0" w:noVBand="1"/>
      </w:tblPr>
      <w:tblGrid>
        <w:gridCol w:w="3068"/>
        <w:gridCol w:w="922"/>
        <w:gridCol w:w="922"/>
        <w:gridCol w:w="922"/>
        <w:gridCol w:w="921"/>
        <w:gridCol w:w="1017"/>
        <w:gridCol w:w="921"/>
      </w:tblGrid>
      <w:tr w:rsidR="00F90FA4" w:rsidRPr="00521143" w:rsidTr="007439D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63" w:type="pct"/>
            <w:noWrap/>
            <w:hideMark/>
          </w:tcPr>
          <w:p w:rsidR="00F90FA4" w:rsidRPr="00521143" w:rsidRDefault="00F90FA4" w:rsidP="007439D2">
            <w:r w:rsidRPr="00521143">
              <w:t> </w:t>
            </w:r>
          </w:p>
        </w:tc>
        <w:tc>
          <w:tcPr>
            <w:tcW w:w="530" w:type="pct"/>
            <w:noWrap/>
            <w:hideMark/>
          </w:tcPr>
          <w:p w:rsidR="00F90FA4" w:rsidRPr="00521143" w:rsidRDefault="00F90FA4" w:rsidP="00B156AE">
            <w:pPr>
              <w:cnfStyle w:val="100000000000" w:firstRow="1" w:lastRow="0" w:firstColumn="0" w:lastColumn="0" w:oddVBand="0" w:evenVBand="0" w:oddHBand="0" w:evenHBand="0" w:firstRowFirstColumn="0" w:firstRowLastColumn="0" w:lastRowFirstColumn="0" w:lastRowLastColumn="0"/>
            </w:pPr>
            <w:r w:rsidRPr="00521143">
              <w:t>20</w:t>
            </w:r>
            <w:r w:rsidR="00B156AE">
              <w:t>1</w:t>
            </w:r>
            <w:r w:rsidRPr="00521143">
              <w:t>6</w:t>
            </w:r>
          </w:p>
        </w:tc>
        <w:tc>
          <w:tcPr>
            <w:tcW w:w="530" w:type="pct"/>
            <w:noWrap/>
            <w:hideMark/>
          </w:tcPr>
          <w:p w:rsidR="00F90FA4" w:rsidRPr="00521143" w:rsidRDefault="00F90FA4" w:rsidP="00B156AE">
            <w:pPr>
              <w:cnfStyle w:val="100000000000" w:firstRow="1" w:lastRow="0" w:firstColumn="0" w:lastColumn="0" w:oddVBand="0" w:evenVBand="0" w:oddHBand="0" w:evenHBand="0" w:firstRowFirstColumn="0" w:firstRowLastColumn="0" w:lastRowFirstColumn="0" w:lastRowLastColumn="0"/>
            </w:pPr>
            <w:r w:rsidRPr="00521143">
              <w:t>2017</w:t>
            </w:r>
          </w:p>
        </w:tc>
        <w:tc>
          <w:tcPr>
            <w:tcW w:w="530" w:type="pct"/>
            <w:noWrap/>
            <w:hideMark/>
          </w:tcPr>
          <w:p w:rsidR="00F90FA4" w:rsidRPr="00521143" w:rsidRDefault="00F90FA4" w:rsidP="00B156AE">
            <w:pPr>
              <w:cnfStyle w:val="100000000000" w:firstRow="1" w:lastRow="0" w:firstColumn="0" w:lastColumn="0" w:oddVBand="0" w:evenVBand="0" w:oddHBand="0" w:evenHBand="0" w:firstRowFirstColumn="0" w:firstRowLastColumn="0" w:lastRowFirstColumn="0" w:lastRowLastColumn="0"/>
            </w:pPr>
            <w:r w:rsidRPr="00521143">
              <w:t>2018</w:t>
            </w:r>
          </w:p>
        </w:tc>
        <w:tc>
          <w:tcPr>
            <w:tcW w:w="530" w:type="pct"/>
            <w:noWrap/>
            <w:hideMark/>
          </w:tcPr>
          <w:p w:rsidR="00F90FA4" w:rsidRPr="00521143" w:rsidRDefault="00F90FA4" w:rsidP="00B156AE">
            <w:pPr>
              <w:cnfStyle w:val="100000000000" w:firstRow="1" w:lastRow="0" w:firstColumn="0" w:lastColumn="0" w:oddVBand="0" w:evenVBand="0" w:oddHBand="0" w:evenHBand="0" w:firstRowFirstColumn="0" w:firstRowLastColumn="0" w:lastRowFirstColumn="0" w:lastRowLastColumn="0"/>
            </w:pPr>
            <w:r w:rsidRPr="00521143">
              <w:t>2019</w:t>
            </w:r>
          </w:p>
        </w:tc>
        <w:tc>
          <w:tcPr>
            <w:tcW w:w="585" w:type="pct"/>
            <w:noWrap/>
            <w:hideMark/>
          </w:tcPr>
          <w:p w:rsidR="00F90FA4" w:rsidRPr="00521143" w:rsidRDefault="00B156AE" w:rsidP="00B156AE">
            <w:pPr>
              <w:cnfStyle w:val="100000000000" w:firstRow="1" w:lastRow="0" w:firstColumn="0" w:lastColumn="0" w:oddVBand="0" w:evenVBand="0" w:oddHBand="0" w:evenHBand="0" w:firstRowFirstColumn="0" w:firstRowLastColumn="0" w:lastRowFirstColumn="0" w:lastRowLastColumn="0"/>
            </w:pPr>
            <w:r>
              <w:t>20</w:t>
            </w:r>
            <w:r w:rsidR="00F90FA4" w:rsidRPr="00521143">
              <w:t>20</w:t>
            </w:r>
          </w:p>
        </w:tc>
        <w:tc>
          <w:tcPr>
            <w:tcW w:w="530" w:type="pct"/>
            <w:noWrap/>
            <w:hideMark/>
          </w:tcPr>
          <w:p w:rsidR="00F90FA4" w:rsidRPr="00521143" w:rsidRDefault="00F90FA4" w:rsidP="007439D2">
            <w:pPr>
              <w:cnfStyle w:val="100000000000" w:firstRow="1" w:lastRow="0" w:firstColumn="0" w:lastColumn="0" w:oddVBand="0" w:evenVBand="0" w:oddHBand="0" w:evenHBand="0" w:firstRowFirstColumn="0" w:firstRowLastColumn="0" w:lastRowFirstColumn="0" w:lastRowLastColumn="0"/>
            </w:pPr>
            <w:r w:rsidRPr="00521143">
              <w:t>Total</w:t>
            </w:r>
          </w:p>
        </w:tc>
      </w:tr>
      <w:tr w:rsidR="00F90FA4" w:rsidRPr="00521143" w:rsidTr="00B156AE">
        <w:trPr>
          <w:trHeight w:val="300"/>
        </w:trPr>
        <w:tc>
          <w:tcPr>
            <w:cnfStyle w:val="001000000000" w:firstRow="0" w:lastRow="0" w:firstColumn="1" w:lastColumn="0" w:oddVBand="0" w:evenVBand="0" w:oddHBand="0" w:evenHBand="0" w:firstRowFirstColumn="0" w:firstRowLastColumn="0" w:lastRowFirstColumn="0" w:lastRowLastColumn="0"/>
            <w:tcW w:w="1763" w:type="pct"/>
            <w:noWrap/>
            <w:hideMark/>
          </w:tcPr>
          <w:p w:rsidR="00F90FA4" w:rsidRPr="00521143" w:rsidRDefault="00F90FA4" w:rsidP="007439D2">
            <w:r w:rsidRPr="00521143">
              <w:t>Tax payable</w:t>
            </w:r>
          </w:p>
        </w:tc>
        <w:tc>
          <w:tcPr>
            <w:tcW w:w="530" w:type="pct"/>
            <w:noWrap/>
          </w:tcPr>
          <w:p w:rsidR="00F90FA4" w:rsidRPr="00521143" w:rsidRDefault="00A471F2" w:rsidP="007439D2">
            <w:pPr>
              <w:cnfStyle w:val="000000000000" w:firstRow="0" w:lastRow="0" w:firstColumn="0" w:lastColumn="0" w:oddVBand="0" w:evenVBand="0" w:oddHBand="0" w:evenHBand="0" w:firstRowFirstColumn="0" w:firstRowLastColumn="0" w:lastRowFirstColumn="0" w:lastRowLastColumn="0"/>
            </w:pPr>
            <w:r>
              <w:t>42.5</w:t>
            </w:r>
          </w:p>
        </w:tc>
        <w:tc>
          <w:tcPr>
            <w:tcW w:w="530" w:type="pct"/>
            <w:noWrap/>
          </w:tcPr>
          <w:p w:rsidR="00F90FA4" w:rsidRPr="00521143" w:rsidRDefault="00A471F2" w:rsidP="007439D2">
            <w:pPr>
              <w:cnfStyle w:val="000000000000" w:firstRow="0" w:lastRow="0" w:firstColumn="0" w:lastColumn="0" w:oddVBand="0" w:evenVBand="0" w:oddHBand="0" w:evenHBand="0" w:firstRowFirstColumn="0" w:firstRowLastColumn="0" w:lastRowFirstColumn="0" w:lastRowLastColumn="0"/>
            </w:pPr>
            <w:r>
              <w:t>43.7</w:t>
            </w:r>
          </w:p>
        </w:tc>
        <w:tc>
          <w:tcPr>
            <w:tcW w:w="530" w:type="pct"/>
            <w:noWrap/>
          </w:tcPr>
          <w:p w:rsidR="00F90FA4" w:rsidRPr="00521143" w:rsidRDefault="00A471F2" w:rsidP="007439D2">
            <w:pPr>
              <w:cnfStyle w:val="000000000000" w:firstRow="0" w:lastRow="0" w:firstColumn="0" w:lastColumn="0" w:oddVBand="0" w:evenVBand="0" w:oddHBand="0" w:evenHBand="0" w:firstRowFirstColumn="0" w:firstRowLastColumn="0" w:lastRowFirstColumn="0" w:lastRowLastColumn="0"/>
            </w:pPr>
            <w:r>
              <w:t>42.6</w:t>
            </w:r>
          </w:p>
        </w:tc>
        <w:tc>
          <w:tcPr>
            <w:tcW w:w="530" w:type="pct"/>
            <w:noWrap/>
          </w:tcPr>
          <w:p w:rsidR="00F90FA4" w:rsidRPr="00521143" w:rsidRDefault="00A471F2" w:rsidP="007439D2">
            <w:pPr>
              <w:cnfStyle w:val="000000000000" w:firstRow="0" w:lastRow="0" w:firstColumn="0" w:lastColumn="0" w:oddVBand="0" w:evenVBand="0" w:oddHBand="0" w:evenHBand="0" w:firstRowFirstColumn="0" w:firstRowLastColumn="0" w:lastRowFirstColumn="0" w:lastRowLastColumn="0"/>
            </w:pPr>
            <w:r>
              <w:t>33.2</w:t>
            </w:r>
          </w:p>
        </w:tc>
        <w:tc>
          <w:tcPr>
            <w:tcW w:w="585" w:type="pct"/>
            <w:noWrap/>
          </w:tcPr>
          <w:p w:rsidR="00F90FA4" w:rsidRPr="00521143" w:rsidRDefault="00A471F2" w:rsidP="007439D2">
            <w:pPr>
              <w:cnfStyle w:val="000000000000" w:firstRow="0" w:lastRow="0" w:firstColumn="0" w:lastColumn="0" w:oddVBand="0" w:evenVBand="0" w:oddHBand="0" w:evenHBand="0" w:firstRowFirstColumn="0" w:firstRowLastColumn="0" w:lastRowFirstColumn="0" w:lastRowLastColumn="0"/>
            </w:pPr>
            <w:r>
              <w:t>36.9</w:t>
            </w:r>
          </w:p>
        </w:tc>
        <w:tc>
          <w:tcPr>
            <w:tcW w:w="530" w:type="pct"/>
            <w:noWrap/>
          </w:tcPr>
          <w:p w:rsidR="00F90FA4" w:rsidRPr="00521143" w:rsidRDefault="00A471F2" w:rsidP="00852B1D">
            <w:pPr>
              <w:cnfStyle w:val="000000000000" w:firstRow="0" w:lastRow="0" w:firstColumn="0" w:lastColumn="0" w:oddVBand="0" w:evenVBand="0" w:oddHBand="0" w:evenHBand="0" w:firstRowFirstColumn="0" w:firstRowLastColumn="0" w:lastRowFirstColumn="0" w:lastRowLastColumn="0"/>
            </w:pPr>
            <w:r>
              <w:t>198.</w:t>
            </w:r>
            <w:r w:rsidR="00852B1D">
              <w:t>8</w:t>
            </w:r>
          </w:p>
        </w:tc>
      </w:tr>
      <w:tr w:rsidR="00F90FA4" w:rsidRPr="00521143" w:rsidTr="00B156A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63" w:type="pct"/>
            <w:noWrap/>
            <w:hideMark/>
          </w:tcPr>
          <w:p w:rsidR="00F90FA4" w:rsidRPr="00521143" w:rsidRDefault="00F90FA4" w:rsidP="007439D2">
            <w:r w:rsidRPr="002D14B4">
              <w:rPr>
                <w:rStyle w:val="AERtextitalic"/>
              </w:rPr>
              <w:t>Less:</w:t>
            </w:r>
            <w:r w:rsidRPr="00521143">
              <w:t xml:space="preserve"> value of imputation credits</w:t>
            </w:r>
          </w:p>
        </w:tc>
        <w:tc>
          <w:tcPr>
            <w:tcW w:w="530" w:type="pct"/>
            <w:noWrap/>
          </w:tcPr>
          <w:p w:rsidR="00F90FA4" w:rsidRPr="00521143" w:rsidRDefault="00A471F2" w:rsidP="007439D2">
            <w:pPr>
              <w:cnfStyle w:val="000000010000" w:firstRow="0" w:lastRow="0" w:firstColumn="0" w:lastColumn="0" w:oddVBand="0" w:evenVBand="0" w:oddHBand="0" w:evenHBand="1" w:firstRowFirstColumn="0" w:firstRowLastColumn="0" w:lastRowFirstColumn="0" w:lastRowLastColumn="0"/>
            </w:pPr>
            <w:r>
              <w:t>10.6</w:t>
            </w:r>
          </w:p>
        </w:tc>
        <w:tc>
          <w:tcPr>
            <w:tcW w:w="530" w:type="pct"/>
            <w:noWrap/>
          </w:tcPr>
          <w:p w:rsidR="00F90FA4" w:rsidRPr="00521143" w:rsidRDefault="00A471F2" w:rsidP="007439D2">
            <w:pPr>
              <w:cnfStyle w:val="000000010000" w:firstRow="0" w:lastRow="0" w:firstColumn="0" w:lastColumn="0" w:oddVBand="0" w:evenVBand="0" w:oddHBand="0" w:evenHBand="1" w:firstRowFirstColumn="0" w:firstRowLastColumn="0" w:lastRowFirstColumn="0" w:lastRowLastColumn="0"/>
            </w:pPr>
            <w:r>
              <w:t>10.9</w:t>
            </w:r>
          </w:p>
        </w:tc>
        <w:tc>
          <w:tcPr>
            <w:tcW w:w="530" w:type="pct"/>
            <w:noWrap/>
          </w:tcPr>
          <w:p w:rsidR="00F90FA4" w:rsidRPr="00521143" w:rsidRDefault="00A471F2" w:rsidP="007439D2">
            <w:pPr>
              <w:cnfStyle w:val="000000010000" w:firstRow="0" w:lastRow="0" w:firstColumn="0" w:lastColumn="0" w:oddVBand="0" w:evenVBand="0" w:oddHBand="0" w:evenHBand="1" w:firstRowFirstColumn="0" w:firstRowLastColumn="0" w:lastRowFirstColumn="0" w:lastRowLastColumn="0"/>
            </w:pPr>
            <w:r>
              <w:t>10.6</w:t>
            </w:r>
          </w:p>
        </w:tc>
        <w:tc>
          <w:tcPr>
            <w:tcW w:w="530" w:type="pct"/>
            <w:noWrap/>
          </w:tcPr>
          <w:p w:rsidR="00F90FA4" w:rsidRPr="00521143" w:rsidRDefault="00A471F2" w:rsidP="007439D2">
            <w:pPr>
              <w:cnfStyle w:val="000000010000" w:firstRow="0" w:lastRow="0" w:firstColumn="0" w:lastColumn="0" w:oddVBand="0" w:evenVBand="0" w:oddHBand="0" w:evenHBand="1" w:firstRowFirstColumn="0" w:firstRowLastColumn="0" w:lastRowFirstColumn="0" w:lastRowLastColumn="0"/>
            </w:pPr>
            <w:r>
              <w:t>8.3</w:t>
            </w:r>
          </w:p>
        </w:tc>
        <w:tc>
          <w:tcPr>
            <w:tcW w:w="585" w:type="pct"/>
            <w:noWrap/>
          </w:tcPr>
          <w:p w:rsidR="00F90FA4" w:rsidRPr="00521143" w:rsidRDefault="00A471F2" w:rsidP="007439D2">
            <w:pPr>
              <w:cnfStyle w:val="000000010000" w:firstRow="0" w:lastRow="0" w:firstColumn="0" w:lastColumn="0" w:oddVBand="0" w:evenVBand="0" w:oddHBand="0" w:evenHBand="1" w:firstRowFirstColumn="0" w:firstRowLastColumn="0" w:lastRowFirstColumn="0" w:lastRowLastColumn="0"/>
            </w:pPr>
            <w:r>
              <w:t>9.2</w:t>
            </w:r>
          </w:p>
        </w:tc>
        <w:tc>
          <w:tcPr>
            <w:tcW w:w="530" w:type="pct"/>
            <w:noWrap/>
          </w:tcPr>
          <w:p w:rsidR="00F90FA4" w:rsidRPr="00521143" w:rsidRDefault="00A471F2" w:rsidP="00852B1D">
            <w:pPr>
              <w:cnfStyle w:val="000000010000" w:firstRow="0" w:lastRow="0" w:firstColumn="0" w:lastColumn="0" w:oddVBand="0" w:evenVBand="0" w:oddHBand="0" w:evenHBand="1" w:firstRowFirstColumn="0" w:firstRowLastColumn="0" w:lastRowFirstColumn="0" w:lastRowLastColumn="0"/>
            </w:pPr>
            <w:r>
              <w:t>49.</w:t>
            </w:r>
            <w:r w:rsidR="00852B1D">
              <w:t>7</w:t>
            </w:r>
          </w:p>
        </w:tc>
      </w:tr>
      <w:tr w:rsidR="00F90FA4" w:rsidRPr="002D14B4" w:rsidTr="00B156AE">
        <w:trPr>
          <w:trHeight w:val="300"/>
        </w:trPr>
        <w:tc>
          <w:tcPr>
            <w:cnfStyle w:val="001000000000" w:firstRow="0" w:lastRow="0" w:firstColumn="1" w:lastColumn="0" w:oddVBand="0" w:evenVBand="0" w:oddHBand="0" w:evenHBand="0" w:firstRowFirstColumn="0" w:firstRowLastColumn="0" w:lastRowFirstColumn="0" w:lastRowLastColumn="0"/>
            <w:tcW w:w="1763" w:type="pct"/>
            <w:noWrap/>
            <w:hideMark/>
          </w:tcPr>
          <w:p w:rsidR="00F90FA4" w:rsidRPr="002D14B4" w:rsidRDefault="00F90FA4" w:rsidP="007439D2">
            <w:pPr>
              <w:rPr>
                <w:rStyle w:val="Strong"/>
              </w:rPr>
            </w:pPr>
            <w:r w:rsidRPr="002D14B4">
              <w:rPr>
                <w:rStyle w:val="Strong"/>
              </w:rPr>
              <w:t>Net corporate income tax allowance</w:t>
            </w:r>
          </w:p>
        </w:tc>
        <w:tc>
          <w:tcPr>
            <w:tcW w:w="530" w:type="pct"/>
            <w:noWrap/>
          </w:tcPr>
          <w:p w:rsidR="00F90FA4" w:rsidRPr="002D14B4" w:rsidRDefault="00A471F2" w:rsidP="007439D2">
            <w:pPr>
              <w:cnfStyle w:val="000000000000" w:firstRow="0" w:lastRow="0" w:firstColumn="0" w:lastColumn="0" w:oddVBand="0" w:evenVBand="0" w:oddHBand="0" w:evenHBand="0" w:firstRowFirstColumn="0" w:firstRowLastColumn="0" w:lastRowFirstColumn="0" w:lastRowLastColumn="0"/>
              <w:rPr>
                <w:rStyle w:val="Strong"/>
              </w:rPr>
            </w:pPr>
            <w:r>
              <w:rPr>
                <w:rStyle w:val="Strong"/>
              </w:rPr>
              <w:t>31.9</w:t>
            </w:r>
          </w:p>
        </w:tc>
        <w:tc>
          <w:tcPr>
            <w:tcW w:w="530" w:type="pct"/>
            <w:noWrap/>
          </w:tcPr>
          <w:p w:rsidR="00F90FA4" w:rsidRPr="002D14B4" w:rsidRDefault="00A471F2" w:rsidP="007439D2">
            <w:pPr>
              <w:cnfStyle w:val="000000000000" w:firstRow="0" w:lastRow="0" w:firstColumn="0" w:lastColumn="0" w:oddVBand="0" w:evenVBand="0" w:oddHBand="0" w:evenHBand="0" w:firstRowFirstColumn="0" w:firstRowLastColumn="0" w:lastRowFirstColumn="0" w:lastRowLastColumn="0"/>
              <w:rPr>
                <w:rStyle w:val="Strong"/>
              </w:rPr>
            </w:pPr>
            <w:r>
              <w:rPr>
                <w:rStyle w:val="Strong"/>
              </w:rPr>
              <w:t>32.8</w:t>
            </w:r>
          </w:p>
        </w:tc>
        <w:tc>
          <w:tcPr>
            <w:tcW w:w="530" w:type="pct"/>
            <w:noWrap/>
          </w:tcPr>
          <w:p w:rsidR="00F90FA4" w:rsidRPr="002D14B4" w:rsidRDefault="00852B1D" w:rsidP="007439D2">
            <w:pPr>
              <w:cnfStyle w:val="000000000000" w:firstRow="0" w:lastRow="0" w:firstColumn="0" w:lastColumn="0" w:oddVBand="0" w:evenVBand="0" w:oddHBand="0" w:evenHBand="0" w:firstRowFirstColumn="0" w:firstRowLastColumn="0" w:lastRowFirstColumn="0" w:lastRowLastColumn="0"/>
              <w:rPr>
                <w:rStyle w:val="Strong"/>
              </w:rPr>
            </w:pPr>
            <w:r>
              <w:rPr>
                <w:rStyle w:val="Strong"/>
              </w:rPr>
              <w:t>31.9</w:t>
            </w:r>
          </w:p>
        </w:tc>
        <w:tc>
          <w:tcPr>
            <w:tcW w:w="530" w:type="pct"/>
            <w:noWrap/>
          </w:tcPr>
          <w:p w:rsidR="00F90FA4" w:rsidRPr="002D14B4" w:rsidRDefault="00A471F2" w:rsidP="007439D2">
            <w:pPr>
              <w:cnfStyle w:val="000000000000" w:firstRow="0" w:lastRow="0" w:firstColumn="0" w:lastColumn="0" w:oddVBand="0" w:evenVBand="0" w:oddHBand="0" w:evenHBand="0" w:firstRowFirstColumn="0" w:firstRowLastColumn="0" w:lastRowFirstColumn="0" w:lastRowLastColumn="0"/>
              <w:rPr>
                <w:rStyle w:val="Strong"/>
              </w:rPr>
            </w:pPr>
            <w:r>
              <w:rPr>
                <w:rStyle w:val="Strong"/>
              </w:rPr>
              <w:t>24.9</w:t>
            </w:r>
          </w:p>
        </w:tc>
        <w:tc>
          <w:tcPr>
            <w:tcW w:w="585" w:type="pct"/>
            <w:noWrap/>
          </w:tcPr>
          <w:p w:rsidR="00F90FA4" w:rsidRPr="002D14B4" w:rsidRDefault="00A471F2" w:rsidP="00852B1D">
            <w:pPr>
              <w:cnfStyle w:val="000000000000" w:firstRow="0" w:lastRow="0" w:firstColumn="0" w:lastColumn="0" w:oddVBand="0" w:evenVBand="0" w:oddHBand="0" w:evenHBand="0" w:firstRowFirstColumn="0" w:firstRowLastColumn="0" w:lastRowFirstColumn="0" w:lastRowLastColumn="0"/>
              <w:rPr>
                <w:rStyle w:val="Strong"/>
              </w:rPr>
            </w:pPr>
            <w:r>
              <w:rPr>
                <w:rStyle w:val="Strong"/>
              </w:rPr>
              <w:t>27.</w:t>
            </w:r>
            <w:r w:rsidR="00852B1D">
              <w:rPr>
                <w:rStyle w:val="Strong"/>
              </w:rPr>
              <w:t>6</w:t>
            </w:r>
          </w:p>
        </w:tc>
        <w:tc>
          <w:tcPr>
            <w:tcW w:w="530" w:type="pct"/>
            <w:noWrap/>
          </w:tcPr>
          <w:p w:rsidR="00F90FA4" w:rsidRPr="002D14B4" w:rsidRDefault="00A471F2" w:rsidP="00852B1D">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149.</w:t>
            </w:r>
            <w:r w:rsidR="00852B1D">
              <w:rPr>
                <w:rStyle w:val="Strong"/>
              </w:rPr>
              <w:t>1</w:t>
            </w:r>
          </w:p>
        </w:tc>
      </w:tr>
    </w:tbl>
    <w:p w:rsidR="00F90FA4" w:rsidRDefault="00F90FA4" w:rsidP="00F40D1C">
      <w:pPr>
        <w:pStyle w:val="AERtablesource"/>
      </w:pPr>
      <w:r>
        <w:t>Source:</w:t>
      </w:r>
      <w:r>
        <w:tab/>
        <w:t xml:space="preserve">United Energy, </w:t>
      </w:r>
      <w:r w:rsidR="00036A8F" w:rsidRPr="001C6888">
        <w:rPr>
          <w:rStyle w:val="AERtextitalic"/>
        </w:rPr>
        <w:t>Regulatory proposal</w:t>
      </w:r>
      <w:r w:rsidRPr="001678BA">
        <w:t xml:space="preserve">, </w:t>
      </w:r>
      <w:r>
        <w:t>April 2015</w:t>
      </w:r>
      <w:r w:rsidR="00036A8F">
        <w:t>, Attachment 6 - PTRM - standard control</w:t>
      </w:r>
      <w:r w:rsidR="00A471F2">
        <w:t>.</w:t>
      </w:r>
    </w:p>
    <w:p w:rsidR="00A173A2" w:rsidRPr="00A173A2" w:rsidRDefault="00A173A2" w:rsidP="00A173A2">
      <w:pPr>
        <w:pStyle w:val="AERtablesource"/>
      </w:pPr>
      <w:r>
        <w:t>N</w:t>
      </w:r>
      <w:r w:rsidR="000B033B">
        <w:t>ote</w:t>
      </w:r>
      <w:r>
        <w:t xml:space="preserve"> </w:t>
      </w:r>
      <w:r w:rsidR="000B033B">
        <w:tab/>
        <w:t>T</w:t>
      </w:r>
      <w:r>
        <w:t>otals may not add up due to rounding</w:t>
      </w:r>
      <w:r w:rsidR="000B033B">
        <w:t>.</w:t>
      </w:r>
    </w:p>
    <w:p w:rsidR="009A5113" w:rsidRDefault="009A5113" w:rsidP="009A5113">
      <w:pPr>
        <w:pStyle w:val="Heading2"/>
      </w:pPr>
      <w:bookmarkStart w:id="16" w:name="_Toc408404322"/>
      <w:bookmarkStart w:id="17" w:name="_Toc433521287"/>
      <w:r w:rsidRPr="0074565D">
        <w:t>AER’s assessment approach</w:t>
      </w:r>
      <w:bookmarkEnd w:id="16"/>
      <w:bookmarkEnd w:id="17"/>
    </w:p>
    <w:p w:rsidR="00F90FA4" w:rsidRPr="00375619" w:rsidRDefault="00F90FA4" w:rsidP="00F90FA4">
      <w:r w:rsidRPr="00375619">
        <w:t xml:space="preserve">Under clause 6.5.3 of the National Electricity Rules (NER), we must make an estimate of taxable income for each regulatory year. Our estimate must be for the taxable income a benchmark efficient entity would earn for providing standard control services if it operated </w:t>
      </w:r>
      <w:r>
        <w:t>United Energy's</w:t>
      </w:r>
      <w:r w:rsidRPr="00375619">
        <w:t xml:space="preserve"> business. The estimate is required to be determined in accordance with the PTRM. Our approach for calculating a service provider's cost of corporate income tax allowance is set out in our PTRM and involves the following steps:</w:t>
      </w:r>
    </w:p>
    <w:p w:rsidR="00F90FA4" w:rsidRPr="00375619" w:rsidRDefault="00F90FA4" w:rsidP="00F90FA4">
      <w:pPr>
        <w:pStyle w:val="ListNumber"/>
      </w:pPr>
      <w:r w:rsidRPr="00375619">
        <w:t>We estimate the annual taxable income that would be earned by a benchmark efficient entity operating the service provider's business. A service provider's taxable income is calculated by subtracting from the approved forecast revenues the benchmark estimates of tax expenses. Using the PTRM, we model the service provider's benchmark tax expenses, including interest tax expense and tax depreciation, over the regulatory control period. The interest tax expense is estimated using the benchmark 60 per cent gearing used for the rate of return calculation. Tax depreciation is calculated using a separate value for the TAB, and standard and remaining tax asset lives for taxation purposes. All tax expenses (including other expenses such as opex) are offset against the service provider's forecast revenue to estimate the taxable income.</w:t>
      </w:r>
    </w:p>
    <w:p w:rsidR="00F90FA4" w:rsidRPr="00375619" w:rsidRDefault="00F90FA4" w:rsidP="00F90FA4">
      <w:pPr>
        <w:pStyle w:val="ListNumber"/>
      </w:pPr>
      <w:r w:rsidRPr="00375619">
        <w:t xml:space="preserve">The statutory income tax rate is then applied to the estimated annual taxable income </w:t>
      </w:r>
      <w:r>
        <w:t xml:space="preserve">(after adjustment for any tax loss carried forward) </w:t>
      </w:r>
      <w:r w:rsidRPr="00375619">
        <w:t xml:space="preserve">to arrive at a notional amount of tax payable. </w:t>
      </w:r>
    </w:p>
    <w:p w:rsidR="00F90FA4" w:rsidRPr="00375619" w:rsidRDefault="00F90FA4" w:rsidP="00F90FA4">
      <w:pPr>
        <w:pStyle w:val="ListNumber"/>
      </w:pPr>
      <w:r w:rsidRPr="00375619">
        <w:t xml:space="preserve">We apply a discount to that notional amount of tax payable to account for the utilisation of imputation credits (gamma) by investors. </w:t>
      </w:r>
    </w:p>
    <w:p w:rsidR="00F90FA4" w:rsidRPr="00375619" w:rsidRDefault="00F90FA4" w:rsidP="00F90FA4">
      <w:pPr>
        <w:pStyle w:val="ListNumber"/>
      </w:pPr>
      <w:r w:rsidRPr="00375619">
        <w:t>The tax payable net of assumed utilised imputation credits represents the corporate income tax allowance and is included as a separate building block in determining the service provider’s annual revenue requirement.</w:t>
      </w:r>
    </w:p>
    <w:p w:rsidR="00F90FA4" w:rsidRPr="00375619" w:rsidRDefault="00F90FA4" w:rsidP="00F90FA4">
      <w:r w:rsidRPr="00375619">
        <w:t>The cost of corporate income tax allowance is an output of our PTRM. We therefore assess the service provider's proposed cost of corporate tax allowance by analysing the proposed inputs to the PTRM for calculating that allowance. These inputs include:</w:t>
      </w:r>
    </w:p>
    <w:p w:rsidR="00F90FA4" w:rsidRPr="00375619" w:rsidRDefault="00F90FA4" w:rsidP="00F90FA4">
      <w:pPr>
        <w:pStyle w:val="AERbulletlistfirststyle"/>
      </w:pPr>
      <w:r w:rsidRPr="00375619">
        <w:rPr>
          <w:rStyle w:val="Strong"/>
        </w:rPr>
        <w:t xml:space="preserve">The opening TAB as at the commencement of the </w:t>
      </w:r>
      <w:r>
        <w:rPr>
          <w:rStyle w:val="Strong"/>
        </w:rPr>
        <w:t>2016–20</w:t>
      </w:r>
      <w:r w:rsidRPr="00375619">
        <w:rPr>
          <w:rStyle w:val="Strong"/>
        </w:rPr>
        <w:t xml:space="preserve"> regulatory control period:</w:t>
      </w:r>
      <w:r w:rsidRPr="00375619">
        <w:t xml:space="preserve"> We consider that the roll forward of the opening TAB should be based on the approved opening TAB as at commencement of the </w:t>
      </w:r>
      <w:r>
        <w:t>2011–15</w:t>
      </w:r>
      <w:r w:rsidRPr="00375619">
        <w:t xml:space="preserve"> regulatory control period and the service provider's actual capex incurred during the </w:t>
      </w:r>
      <w:r>
        <w:t>2011–15</w:t>
      </w:r>
      <w:r w:rsidRPr="00375619">
        <w:t xml:space="preserve"> regulatory control period.</w:t>
      </w:r>
      <w:r w:rsidRPr="00375619">
        <w:rPr>
          <w:rStyle w:val="FootnoteReference"/>
        </w:rPr>
        <w:footnoteReference w:id="3"/>
      </w:r>
    </w:p>
    <w:p w:rsidR="00F90FA4" w:rsidRPr="00375619" w:rsidRDefault="00F90FA4" w:rsidP="00F90FA4">
      <w:pPr>
        <w:pStyle w:val="AERbulletlistfirststyle"/>
      </w:pPr>
      <w:r w:rsidRPr="00375619">
        <w:rPr>
          <w:rStyle w:val="Strong"/>
        </w:rPr>
        <w:t xml:space="preserve">The remaining tax asset life for each asset class at the commencement of the </w:t>
      </w:r>
      <w:r>
        <w:rPr>
          <w:rStyle w:val="Strong"/>
        </w:rPr>
        <w:t>2016–20</w:t>
      </w:r>
      <w:r w:rsidRPr="00375619">
        <w:rPr>
          <w:rStyle w:val="Strong"/>
        </w:rPr>
        <w:t xml:space="preserve"> regulatory control period:</w:t>
      </w:r>
      <w:r w:rsidRPr="00375619">
        <w:t xml:space="preserve"> </w:t>
      </w:r>
      <w:r w:rsidR="00621A21">
        <w:t>For the 2016–20 regulatory control period, United Energy</w:t>
      </w:r>
      <w:r w:rsidR="00621A21" w:rsidRPr="00444746">
        <w:t xml:space="preserve"> propos</w:t>
      </w:r>
      <w:r w:rsidR="00621A21">
        <w:t>ed to transition to the straight-line tax depreciation approach from the diminishing value approach.</w:t>
      </w:r>
      <w:r w:rsidR="00621A21">
        <w:rPr>
          <w:rStyle w:val="FootnoteReference"/>
        </w:rPr>
        <w:footnoteReference w:id="4"/>
      </w:r>
      <w:r w:rsidR="00621A21">
        <w:t xml:space="preserve"> This requires the establishment of remaining tax asset lives </w:t>
      </w:r>
      <w:r w:rsidR="00621A21" w:rsidRPr="00444746">
        <w:t xml:space="preserve">at 1 </w:t>
      </w:r>
      <w:r w:rsidR="00621A21">
        <w:t xml:space="preserve">January 2016. We have recently approved a method in our determination for </w:t>
      </w:r>
      <w:proofErr w:type="spellStart"/>
      <w:r w:rsidR="00621A21">
        <w:t>Ausgrid</w:t>
      </w:r>
      <w:proofErr w:type="spellEnd"/>
      <w:r w:rsidR="00621A21">
        <w:t xml:space="preserve"> to establish remaining tax asset lives for existing assets.</w:t>
      </w:r>
      <w:r w:rsidR="00621A21">
        <w:rPr>
          <w:rStyle w:val="FootnoteReference"/>
        </w:rPr>
        <w:footnoteReference w:id="5"/>
      </w:r>
      <w:r w:rsidR="00621A21">
        <w:t xml:space="preserve"> United Energy's proposal is based on this method to calculate</w:t>
      </w:r>
      <w:r w:rsidR="00621A21" w:rsidRPr="00444746">
        <w:t xml:space="preserve"> </w:t>
      </w:r>
      <w:r w:rsidR="00621A21">
        <w:t>the remaining tax asset life for an asset class. This involves using</w:t>
      </w:r>
      <w:r w:rsidR="00621A21" w:rsidRPr="00444746">
        <w:t xml:space="preserve"> the standard tax asset life </w:t>
      </w:r>
      <w:r w:rsidR="00621A21">
        <w:t xml:space="preserve">for the </w:t>
      </w:r>
      <w:r w:rsidR="00621A21" w:rsidRPr="00444746">
        <w:t>asset class multiplied by the ratio of the RAB remaining asset life to the RAB standard asset life</w:t>
      </w:r>
      <w:r w:rsidR="00621A21">
        <w:t xml:space="preserve">. </w:t>
      </w:r>
      <w:r w:rsidR="00621A21" w:rsidRPr="00375619">
        <w:t xml:space="preserve">We will assess </w:t>
      </w:r>
      <w:r w:rsidR="00621A21">
        <w:t xml:space="preserve">United Energy's proposed </w:t>
      </w:r>
      <w:r w:rsidR="00621A21" w:rsidRPr="00375619">
        <w:t>approach against th</w:t>
      </w:r>
      <w:r w:rsidR="00621A21">
        <w:t xml:space="preserve">at approved </w:t>
      </w:r>
      <w:r w:rsidR="00621A21" w:rsidRPr="00375619">
        <w:t>method.</w:t>
      </w:r>
    </w:p>
    <w:p w:rsidR="00F90FA4" w:rsidRPr="00375619" w:rsidRDefault="00F90FA4" w:rsidP="00F90FA4">
      <w:pPr>
        <w:pStyle w:val="AERbulletlistfirststyle"/>
      </w:pPr>
      <w:r w:rsidRPr="00375619">
        <w:rPr>
          <w:rStyle w:val="Strong"/>
        </w:rPr>
        <w:t>The standard tax asset life for each asset class:</w:t>
      </w:r>
      <w:r w:rsidRPr="00375619">
        <w:t xml:space="preserve"> We assess the service provider's proposed standard tax asset lives, where necessary, against those prescribed by the Commissioner for taxation in tax ruling 201</w:t>
      </w:r>
      <w:r w:rsidR="00DF2B7B">
        <w:t>5</w:t>
      </w:r>
      <w:r w:rsidRPr="00375619">
        <w:t>/</w:t>
      </w:r>
      <w:r w:rsidR="00DF2B7B">
        <w:t>2</w:t>
      </w:r>
      <w:r w:rsidRPr="00375619">
        <w:t xml:space="preserve"> and the approved standard tax asset lives in the service provider's distribution determination for the </w:t>
      </w:r>
      <w:r>
        <w:t>2011–15</w:t>
      </w:r>
      <w:r w:rsidRPr="00375619">
        <w:t xml:space="preserve"> regulatory control period.</w:t>
      </w:r>
    </w:p>
    <w:p w:rsidR="00F90FA4" w:rsidRPr="00375619" w:rsidRDefault="00F90FA4" w:rsidP="00F90FA4">
      <w:pPr>
        <w:pStyle w:val="AERbulletlistfirststyle"/>
      </w:pPr>
      <w:r w:rsidRPr="00375619">
        <w:rPr>
          <w:rStyle w:val="Strong"/>
        </w:rPr>
        <w:t>The income tax rate:</w:t>
      </w:r>
      <w:r w:rsidRPr="00375619">
        <w:t xml:space="preserve"> The statutory income tax rate is 30 per cent per year.</w:t>
      </w:r>
    </w:p>
    <w:p w:rsidR="00F90FA4" w:rsidRDefault="00F90FA4" w:rsidP="00F90FA4">
      <w:pPr>
        <w:pStyle w:val="AERbulletlistfirststyle"/>
      </w:pPr>
      <w:r w:rsidRPr="00375619">
        <w:rPr>
          <w:rStyle w:val="Strong"/>
        </w:rPr>
        <w:t>The value of gamma:</w:t>
      </w:r>
      <w:r w:rsidRPr="00375619">
        <w:t xml:space="preserve"> </w:t>
      </w:r>
      <w:r w:rsidR="00C24BDE">
        <w:t>We have determined t</w:t>
      </w:r>
      <w:r w:rsidRPr="00375619">
        <w:t xml:space="preserve">he gamma input for </w:t>
      </w:r>
      <w:r>
        <w:t>United Energy</w:t>
      </w:r>
      <w:r w:rsidRPr="00375619">
        <w:t xml:space="preserve"> is 0.40. Refer to attachment 4 for detailed discussion on this matter.</w:t>
      </w:r>
    </w:p>
    <w:p w:rsidR="00F90FA4" w:rsidRPr="00F90FA4" w:rsidRDefault="00F90FA4" w:rsidP="00F90FA4">
      <w:r>
        <w:t xml:space="preserve">We are required </w:t>
      </w:r>
      <w:r w:rsidRPr="004F673D">
        <w:t xml:space="preserve">to estimate the </w:t>
      </w:r>
      <w:r>
        <w:t xml:space="preserve">cost of </w:t>
      </w:r>
      <w:r w:rsidRPr="004F673D">
        <w:t>corporate</w:t>
      </w:r>
      <w:r>
        <w:t xml:space="preserve"> income</w:t>
      </w:r>
      <w:r w:rsidRPr="004F673D">
        <w:t xml:space="preserve"> tax based on a benchmark efficient entity</w:t>
      </w:r>
      <w:r>
        <w:t>.</w:t>
      </w:r>
      <w:r>
        <w:rPr>
          <w:rStyle w:val="FootnoteReference"/>
        </w:rPr>
        <w:footnoteReference w:id="6"/>
      </w:r>
      <w:r w:rsidRPr="004F673D">
        <w:t xml:space="preserve"> </w:t>
      </w:r>
      <w:r>
        <w:t xml:space="preserve">This </w:t>
      </w:r>
      <w:r w:rsidRPr="00881269">
        <w:t xml:space="preserve">estimate </w:t>
      </w:r>
      <w:r>
        <w:t>must be</w:t>
      </w:r>
      <w:r w:rsidRPr="00881269">
        <w:t xml:space="preserve"> determined in accordance with the</w:t>
      </w:r>
      <w:r>
        <w:t xml:space="preserve"> manner set out in the PTRM</w:t>
      </w:r>
      <w:r w:rsidRPr="00881269">
        <w:t>.</w:t>
      </w:r>
      <w:r>
        <w:rPr>
          <w:rStyle w:val="FootnoteReference"/>
        </w:rPr>
        <w:footnoteReference w:id="7"/>
      </w:r>
      <w:r>
        <w:t xml:space="preserve"> </w:t>
      </w:r>
    </w:p>
    <w:p w:rsidR="005C0A7F" w:rsidRDefault="005C0A7F" w:rsidP="005C0A7F">
      <w:pPr>
        <w:pStyle w:val="Heading3"/>
      </w:pPr>
      <w:bookmarkStart w:id="18" w:name="_Toc433521288"/>
      <w:r>
        <w:t>Interrelationships</w:t>
      </w:r>
      <w:bookmarkEnd w:id="18"/>
    </w:p>
    <w:p w:rsidR="00F90FA4" w:rsidRPr="00375619" w:rsidRDefault="00F90FA4" w:rsidP="00F90FA4">
      <w:r w:rsidRPr="00375619">
        <w:t>The cost of corporate income tax building block feeds directly into the annual revenue requirement (ARR). This allowance is determined by four factors:</w:t>
      </w:r>
    </w:p>
    <w:p w:rsidR="00F90FA4" w:rsidRPr="00375619" w:rsidRDefault="00F90FA4" w:rsidP="00F90FA4">
      <w:pPr>
        <w:pStyle w:val="AERbulletlistfirststyle"/>
      </w:pPr>
      <w:r w:rsidRPr="00375619">
        <w:t xml:space="preserve">pre-tax revenues </w:t>
      </w:r>
    </w:p>
    <w:p w:rsidR="00F90FA4" w:rsidRPr="00375619" w:rsidRDefault="00F90FA4" w:rsidP="00F90FA4">
      <w:pPr>
        <w:pStyle w:val="AERbulletlistfirststyle"/>
      </w:pPr>
      <w:r w:rsidRPr="00375619">
        <w:t>tax expenses (including tax depreciation)</w:t>
      </w:r>
    </w:p>
    <w:p w:rsidR="00F90FA4" w:rsidRPr="00375619" w:rsidRDefault="00F90FA4" w:rsidP="00F90FA4">
      <w:pPr>
        <w:pStyle w:val="AERbulletlistfirststyle"/>
      </w:pPr>
      <w:r w:rsidRPr="00375619">
        <w:t>the corporate tax rate</w:t>
      </w:r>
    </w:p>
    <w:p w:rsidR="00F90FA4" w:rsidRPr="00375619" w:rsidRDefault="00F90FA4" w:rsidP="00F90FA4">
      <w:pPr>
        <w:pStyle w:val="AERbulletlistfirststyle"/>
      </w:pPr>
      <w:proofErr w:type="gramStart"/>
      <w:r w:rsidRPr="00375619">
        <w:t>gamma—</w:t>
      </w:r>
      <w:proofErr w:type="gramEnd"/>
      <w:r w:rsidRPr="00375619">
        <w:t>the expected proportion of company tax that is returned to investors through the utilisation of imputation credits—which is offset against the corporate income tax allowance. This is discussed further at attachment 4.</w:t>
      </w:r>
    </w:p>
    <w:p w:rsidR="00F90FA4" w:rsidRPr="00375619" w:rsidRDefault="00F90FA4" w:rsidP="00F90FA4">
      <w:r w:rsidRPr="00375619">
        <w:t>Of these four factors, the corporate tax rate is set externally by the Government. The higher the tax rate the higher the required tax allowance.</w:t>
      </w:r>
    </w:p>
    <w:p w:rsidR="00F90FA4" w:rsidRPr="00375619" w:rsidRDefault="00F90FA4" w:rsidP="00F90FA4">
      <w:r w:rsidRPr="00375619">
        <w:t>The pre-tax revenues depend on all the building block components. Any factor that affects revenue will therefore affect pre-tax revenues. Higher pre-tax revenues can increase the tax allowance.</w:t>
      </w:r>
      <w:r w:rsidRPr="00375619">
        <w:rPr>
          <w:rStyle w:val="FootnoteReference"/>
        </w:rPr>
        <w:footnoteReference w:id="8"/>
      </w:r>
      <w:r w:rsidRPr="00375619">
        <w:t xml:space="preserve"> Depending on the source of the revenue increase, the tax increase may be equal to or less than proportional to the company tax rate.</w:t>
      </w:r>
      <w:r w:rsidRPr="00375619">
        <w:rPr>
          <w:rStyle w:val="FootnoteReference"/>
        </w:rPr>
        <w:footnoteReference w:id="9"/>
      </w:r>
      <w:r w:rsidRPr="00375619">
        <w:t xml:space="preserve">   </w:t>
      </w:r>
    </w:p>
    <w:p w:rsidR="00F90FA4" w:rsidRPr="00375619" w:rsidRDefault="00F90FA4" w:rsidP="00F90FA4">
      <w:r w:rsidRPr="00375619">
        <w:t xml:space="preserve">The tax expenses </w:t>
      </w:r>
      <w:r>
        <w:t xml:space="preserve">(or deductions) </w:t>
      </w:r>
      <w:r w:rsidRPr="00375619">
        <w:t>depend on various building block components and their size. Some components give rise to tax expenses, such as opex, interest payments and tax depreciation of assets. However, others do not, such as increases in return on equity. Higher tax expenses offset revenues as deductions in the tax calculation and therefore reduce the cost of corporate income tax allowance (all things being equal). Tax expenses include:</w:t>
      </w:r>
    </w:p>
    <w:p w:rsidR="00F90FA4" w:rsidRPr="00375619" w:rsidRDefault="00F90FA4" w:rsidP="00F90FA4">
      <w:pPr>
        <w:pStyle w:val="AERbulletlistfirststyle"/>
      </w:pPr>
      <w:r w:rsidRPr="00375619">
        <w:t xml:space="preserve">Interest on debt – Interest is a tax offset. The size of </w:t>
      </w:r>
      <w:r>
        <w:t xml:space="preserve">this offset </w:t>
      </w:r>
      <w:r w:rsidRPr="00375619">
        <w:t>depends on the ratio of debt to equity and therefore the proportion of the RAB funded through debt. It also depends on the allowed return on debt and the size of the RAB.</w:t>
      </w:r>
    </w:p>
    <w:p w:rsidR="00F90FA4" w:rsidRPr="00375619" w:rsidRDefault="00F90FA4" w:rsidP="00F90FA4">
      <w:pPr>
        <w:pStyle w:val="AERbulletlistfirststyle"/>
      </w:pPr>
      <w:r w:rsidRPr="00375619">
        <w:t>General expenses – In the main these expenses will match the opex allowance.</w:t>
      </w:r>
    </w:p>
    <w:p w:rsidR="00F90FA4" w:rsidRDefault="00F90FA4" w:rsidP="00F90FA4">
      <w:pPr>
        <w:pStyle w:val="AERbulletlistfirststyle"/>
      </w:pPr>
      <w:r w:rsidRPr="00375619">
        <w:t>Tax depreciation – A separate TAB is maintained for the businesses reflecting tax rules. This TAB is affected by many of the same factors as the RAB, such as capex, although unlike the RAB value it is maintained at its historical cost with no indexation. The TAB is also affected by the depreciation rate and asset lives assigned for tax depreciation purposes.</w:t>
      </w:r>
    </w:p>
    <w:p w:rsidR="00F90FA4" w:rsidRPr="00F90FA4" w:rsidRDefault="000A0B75" w:rsidP="00F90FA4">
      <w:r>
        <w:t>For United Energy, a</w:t>
      </w:r>
      <w:r w:rsidR="00F90FA4" w:rsidRPr="00ED290F">
        <w:t xml:space="preserve"> </w:t>
      </w:r>
      <w:r w:rsidR="00F90FA4">
        <w:t>10</w:t>
      </w:r>
      <w:r w:rsidR="00F90FA4" w:rsidRPr="00ED290F">
        <w:t xml:space="preserve"> per cent increase in the corporate income tax allowance causes revenues to increase by about </w:t>
      </w:r>
      <w:r>
        <w:t>0.5</w:t>
      </w:r>
      <w:r w:rsidR="00A32734">
        <w:t> </w:t>
      </w:r>
      <w:r w:rsidR="00F90FA4" w:rsidRPr="00ED290F">
        <w:t xml:space="preserve">per cent. The proposed gamma of 0.25, compared to the value in our </w:t>
      </w:r>
      <w:r w:rsidR="00F90FA4">
        <w:t>preliminary</w:t>
      </w:r>
      <w:r w:rsidR="00F90FA4" w:rsidRPr="00ED290F">
        <w:t xml:space="preserve"> decision of 0.40, would increase the corporate income tax allowance by </w:t>
      </w:r>
      <w:r w:rsidR="00A32734">
        <w:t>32</w:t>
      </w:r>
      <w:r w:rsidR="00F90FA4" w:rsidRPr="00ED290F">
        <w:t xml:space="preserve"> per cent and total revenues by about </w:t>
      </w:r>
      <w:r w:rsidR="00A32734">
        <w:t>1.5</w:t>
      </w:r>
      <w:r w:rsidR="00F90FA4" w:rsidRPr="00ED290F">
        <w:t xml:space="preserve"> per cent.</w:t>
      </w:r>
    </w:p>
    <w:p w:rsidR="00367BCE" w:rsidRDefault="009A5113" w:rsidP="00367BCE">
      <w:pPr>
        <w:pStyle w:val="Heading2"/>
      </w:pPr>
      <w:bookmarkStart w:id="19" w:name="_Toc408404324"/>
      <w:bookmarkStart w:id="20" w:name="_Toc433521289"/>
      <w:r w:rsidRPr="0074565D">
        <w:t xml:space="preserve">Reasons for </w:t>
      </w:r>
      <w:r w:rsidR="00AD2DF0">
        <w:t>preliminary</w:t>
      </w:r>
      <w:r w:rsidR="00651CB2" w:rsidRPr="0074565D">
        <w:t xml:space="preserve"> </w:t>
      </w:r>
      <w:r w:rsidRPr="0074565D">
        <w:t>decision</w:t>
      </w:r>
      <w:bookmarkEnd w:id="19"/>
      <w:bookmarkEnd w:id="20"/>
      <w:r w:rsidRPr="0074565D">
        <w:t xml:space="preserve"> </w:t>
      </w:r>
    </w:p>
    <w:p w:rsidR="000D68A8" w:rsidRDefault="000D68A8" w:rsidP="000D68A8">
      <w:r>
        <w:t>We do not accept United Energy's proposed estimated cost of corporate income tax. We have instead determined a cost of corporate income tax allowance of $</w:t>
      </w:r>
      <w:r w:rsidR="00590FBF">
        <w:t>84.6</w:t>
      </w:r>
      <w:r>
        <w:t> million ($ nominal). This represents a reduction of $</w:t>
      </w:r>
      <w:r w:rsidR="00E80B6A">
        <w:t>64.6</w:t>
      </w:r>
      <w:r>
        <w:t xml:space="preserve"> million (or </w:t>
      </w:r>
      <w:r w:rsidR="00E80B6A">
        <w:t>43.3</w:t>
      </w:r>
      <w:r>
        <w:t> per cent) from United Energy's proposal.</w:t>
      </w:r>
    </w:p>
    <w:p w:rsidR="000D68A8" w:rsidRDefault="000D68A8" w:rsidP="000D68A8">
      <w:r>
        <w:t xml:space="preserve">This is because we adjusted the following proposed inputs to the PTRM for tax purposes: </w:t>
      </w:r>
    </w:p>
    <w:p w:rsidR="000D68A8" w:rsidRPr="000D68A8" w:rsidRDefault="000D68A8" w:rsidP="000D68A8">
      <w:pPr>
        <w:pStyle w:val="AERbulletlistfirststyle"/>
      </w:pPr>
      <w:r w:rsidRPr="000D68A8">
        <w:t xml:space="preserve">the opening TAB value </w:t>
      </w:r>
      <w:r>
        <w:t>a</w:t>
      </w:r>
      <w:r w:rsidR="00C24BDE">
        <w:t>t</w:t>
      </w:r>
      <w:r>
        <w:t xml:space="preserve"> 1 January 2016</w:t>
      </w:r>
      <w:r w:rsidRPr="000D68A8">
        <w:t xml:space="preserve"> (section </w:t>
      </w:r>
      <w:r w:rsidR="007439D2">
        <w:fldChar w:fldCharType="begin"/>
      </w:r>
      <w:r w:rsidR="007439D2">
        <w:instrText xml:space="preserve"> REF _Ref426445912 \r \h </w:instrText>
      </w:r>
      <w:r w:rsidR="007439D2">
        <w:fldChar w:fldCharType="separate"/>
      </w:r>
      <w:r w:rsidR="000A7EF4">
        <w:t>8.4.2</w:t>
      </w:r>
      <w:r w:rsidR="007439D2">
        <w:fldChar w:fldCharType="end"/>
      </w:r>
      <w:r w:rsidRPr="000D68A8">
        <w:t>)</w:t>
      </w:r>
    </w:p>
    <w:p w:rsidR="000D68A8" w:rsidRPr="000D68A8" w:rsidRDefault="000D68A8" w:rsidP="000D68A8">
      <w:pPr>
        <w:pStyle w:val="AERbulletlistfirststyle"/>
      </w:pPr>
      <w:r w:rsidRPr="000D68A8">
        <w:t xml:space="preserve">the standard and remaining tax asset lives (sections </w:t>
      </w:r>
      <w:r w:rsidR="007439D2">
        <w:fldChar w:fldCharType="begin"/>
      </w:r>
      <w:r w:rsidR="007439D2">
        <w:instrText xml:space="preserve"> REF _Ref426445919 \r \h </w:instrText>
      </w:r>
      <w:r w:rsidR="007439D2">
        <w:fldChar w:fldCharType="separate"/>
      </w:r>
      <w:r w:rsidR="000A7EF4">
        <w:t>8.4.3</w:t>
      </w:r>
      <w:r w:rsidR="007439D2">
        <w:fldChar w:fldCharType="end"/>
      </w:r>
      <w:r w:rsidR="007439D2">
        <w:t xml:space="preserve"> </w:t>
      </w:r>
      <w:r w:rsidRPr="000D68A8">
        <w:t xml:space="preserve">and </w:t>
      </w:r>
      <w:r w:rsidR="007439D2">
        <w:fldChar w:fldCharType="begin"/>
      </w:r>
      <w:r w:rsidR="007439D2">
        <w:instrText xml:space="preserve"> REF _Ref426445941 \r \h </w:instrText>
      </w:r>
      <w:r w:rsidR="007439D2">
        <w:fldChar w:fldCharType="separate"/>
      </w:r>
      <w:r w:rsidR="000A7EF4">
        <w:t>8.4.4</w:t>
      </w:r>
      <w:r w:rsidR="007439D2">
        <w:fldChar w:fldCharType="end"/>
      </w:r>
      <w:r w:rsidR="007439D2">
        <w:t xml:space="preserve"> </w:t>
      </w:r>
      <w:r w:rsidRPr="000D68A8">
        <w:t>respectively)</w:t>
      </w:r>
    </w:p>
    <w:p w:rsidR="000D68A8" w:rsidRPr="000D68A8" w:rsidRDefault="000D68A8" w:rsidP="000D68A8">
      <w:pPr>
        <w:pStyle w:val="AERbulletlistfirststyle"/>
      </w:pPr>
      <w:r w:rsidRPr="000D68A8">
        <w:t>the value of gamma (attachment 4)</w:t>
      </w:r>
    </w:p>
    <w:p w:rsidR="000D68A8" w:rsidRDefault="000D68A8" w:rsidP="000D68A8">
      <w:pPr>
        <w:pStyle w:val="AERbulletlistfirststyle"/>
      </w:pPr>
      <w:r w:rsidRPr="000D68A8">
        <w:t xml:space="preserve">other building block components including forecast opex (attachment 7) and forecast capex (attachment 6) that impact revenues, and therefore also impact the forecast corporate income tax allowance.  </w:t>
      </w:r>
    </w:p>
    <w:p w:rsidR="00CB2D63" w:rsidRDefault="00CB2D63" w:rsidP="00CB2D63">
      <w:pPr>
        <w:pStyle w:val="Heading3"/>
      </w:pPr>
      <w:bookmarkStart w:id="21" w:name="_Ref428536651"/>
      <w:bookmarkStart w:id="22" w:name="_Toc433521290"/>
      <w:r>
        <w:t xml:space="preserve">Transition to straight-line </w:t>
      </w:r>
      <w:r w:rsidR="000D53EB">
        <w:t xml:space="preserve">tax </w:t>
      </w:r>
      <w:r>
        <w:t>depreciation</w:t>
      </w:r>
      <w:bookmarkEnd w:id="21"/>
      <w:bookmarkEnd w:id="22"/>
    </w:p>
    <w:p w:rsidR="007B10E5" w:rsidRDefault="007B10E5" w:rsidP="007B10E5">
      <w:r w:rsidRPr="001F0A99">
        <w:t xml:space="preserve">We accept </w:t>
      </w:r>
      <w:r>
        <w:t>United Energy</w:t>
      </w:r>
      <w:r w:rsidRPr="001F0A99">
        <w:t xml:space="preserve">'s proposal to </w:t>
      </w:r>
      <w:r>
        <w:t xml:space="preserve">use the </w:t>
      </w:r>
      <w:r w:rsidRPr="001F0A99">
        <w:t>straight-line depreciation approach</w:t>
      </w:r>
      <w:r>
        <w:t xml:space="preserve"> to calculate the corporate income tax allowance for the 2016–20 regulatory control period. This is consistent with the approach set out in the PTRM.</w:t>
      </w:r>
    </w:p>
    <w:p w:rsidR="00CB2D63" w:rsidRPr="000D68A8" w:rsidRDefault="007B10E5" w:rsidP="007B10E5">
      <w:r>
        <w:t xml:space="preserve">United Energy's corporate income tax allowance for the 2011–15 regulatory control </w:t>
      </w:r>
      <w:proofErr w:type="gramStart"/>
      <w:r>
        <w:t>period</w:t>
      </w:r>
      <w:proofErr w:type="gramEnd"/>
      <w:r>
        <w:t xml:space="preserve"> </w:t>
      </w:r>
      <w:r w:rsidR="00C24BDE">
        <w:t>wa</w:t>
      </w:r>
      <w:r>
        <w:t xml:space="preserve">s calculated based on the diminishing value method. This method was established by the previous regulator, the Essential Services Commission of Victoria (ESCV), and adopted by the AER for the 2011–15 regulatory control </w:t>
      </w:r>
      <w:proofErr w:type="gramStart"/>
      <w:r>
        <w:t>period</w:t>
      </w:r>
      <w:proofErr w:type="gramEnd"/>
      <w:r>
        <w:t xml:space="preserve"> in accordance with clause 11.17.2 (</w:t>
      </w:r>
      <w:r w:rsidRPr="001F0A99">
        <w:t>Transitional provisions of specific application to Victoria</w:t>
      </w:r>
      <w:r>
        <w:t>) of the NER.</w:t>
      </w:r>
      <w:r>
        <w:rPr>
          <w:rStyle w:val="FootnoteReference"/>
        </w:rPr>
        <w:footnoteReference w:id="10"/>
      </w:r>
      <w:r>
        <w:t xml:space="preserve"> This transitional rule does not apply for the 2016–20 regulatory control period. Therefore, we accept United Energy's proposal to transition to our preferred straight-line tax depreciation approach for the 2016–20 regulatory control period.</w:t>
      </w:r>
    </w:p>
    <w:p w:rsidR="00367BCE" w:rsidRDefault="000D68A8" w:rsidP="000D68A8">
      <w:pPr>
        <w:pStyle w:val="Heading3"/>
      </w:pPr>
      <w:bookmarkStart w:id="23" w:name="_Ref426445912"/>
      <w:bookmarkStart w:id="24" w:name="_Toc433521291"/>
      <w:r w:rsidRPr="000D68A8">
        <w:t>Opening tax asset base</w:t>
      </w:r>
      <w:bookmarkEnd w:id="23"/>
      <w:bookmarkEnd w:id="24"/>
    </w:p>
    <w:p w:rsidR="000D68A8" w:rsidRDefault="000D68A8" w:rsidP="000D68A8">
      <w:r w:rsidRPr="000D68A8">
        <w:t xml:space="preserve">We accept </w:t>
      </w:r>
      <w:r>
        <w:t>United</w:t>
      </w:r>
      <w:r w:rsidRPr="000D68A8">
        <w:t xml:space="preserve"> Energy's proposed method to establish the opening TAB as at </w:t>
      </w:r>
      <w:r>
        <w:t>1</w:t>
      </w:r>
      <w:r w:rsidR="00555C13">
        <w:t> </w:t>
      </w:r>
      <w:r>
        <w:t xml:space="preserve">January 2016 </w:t>
      </w:r>
      <w:r w:rsidRPr="000D68A8">
        <w:t xml:space="preserve">as it is based on the approach </w:t>
      </w:r>
      <w:r w:rsidR="00B91EF3">
        <w:t xml:space="preserve">approved at the </w:t>
      </w:r>
      <w:r w:rsidR="0061603B">
        <w:t xml:space="preserve">2010 </w:t>
      </w:r>
      <w:r w:rsidR="00B91EF3">
        <w:t>determination</w:t>
      </w:r>
      <w:r w:rsidRPr="000D68A8">
        <w:t xml:space="preserve">. However, we do not accept </w:t>
      </w:r>
      <w:r w:rsidR="00B91EF3">
        <w:t>United</w:t>
      </w:r>
      <w:r w:rsidRPr="000D68A8">
        <w:t xml:space="preserve"> Energy's proposed opening TAB value as at 1</w:t>
      </w:r>
      <w:r w:rsidR="00196AB3">
        <w:t> </w:t>
      </w:r>
      <w:r w:rsidR="00B91EF3">
        <w:t xml:space="preserve">January 2016 </w:t>
      </w:r>
      <w:r w:rsidRPr="000D68A8">
        <w:t>of $</w:t>
      </w:r>
      <w:r w:rsidR="00B91EF3">
        <w:t>1307.4 </w:t>
      </w:r>
      <w:r w:rsidRPr="000D68A8">
        <w:t>million ($</w:t>
      </w:r>
      <w:r w:rsidR="00B91EF3">
        <w:t> </w:t>
      </w:r>
      <w:r w:rsidRPr="000D68A8">
        <w:t xml:space="preserve">nominal). Instead we determine an opening TAB as at </w:t>
      </w:r>
      <w:r w:rsidR="00B91EF3">
        <w:t>1 January 2016</w:t>
      </w:r>
      <w:r w:rsidRPr="000D68A8">
        <w:t xml:space="preserve"> of $</w:t>
      </w:r>
      <w:r w:rsidR="00B91EF3">
        <w:t>1358.</w:t>
      </w:r>
      <w:r w:rsidR="00196AB3">
        <w:t>1</w:t>
      </w:r>
      <w:r w:rsidR="00B91EF3">
        <w:t> </w:t>
      </w:r>
      <w:r w:rsidRPr="000D68A8">
        <w:t>million ($</w:t>
      </w:r>
      <w:r w:rsidR="00B91EF3">
        <w:t> </w:t>
      </w:r>
      <w:r w:rsidRPr="000D68A8">
        <w:t>nominal).</w:t>
      </w:r>
      <w:r w:rsidR="008B27E2">
        <w:rPr>
          <w:rStyle w:val="FootnoteReference"/>
        </w:rPr>
        <w:footnoteReference w:id="11"/>
      </w:r>
      <w:r w:rsidRPr="000D68A8">
        <w:t xml:space="preserve"> This represents an increase of $</w:t>
      </w:r>
      <w:r w:rsidR="00B91EF3">
        <w:t>5</w:t>
      </w:r>
      <w:r w:rsidR="00196AB3">
        <w:t>0.8</w:t>
      </w:r>
      <w:r w:rsidR="00B91EF3">
        <w:t> </w:t>
      </w:r>
      <w:r w:rsidRPr="000D68A8">
        <w:t>million ($</w:t>
      </w:r>
      <w:r w:rsidR="00B91EF3">
        <w:t> </w:t>
      </w:r>
      <w:r w:rsidRPr="000D68A8">
        <w:t xml:space="preserve">nominal) or </w:t>
      </w:r>
      <w:r w:rsidR="00B91EF3">
        <w:t>3.9 </w:t>
      </w:r>
      <w:r w:rsidRPr="000D68A8">
        <w:t>per</w:t>
      </w:r>
      <w:r w:rsidR="00B91EF3">
        <w:t> </w:t>
      </w:r>
      <w:r w:rsidRPr="000D68A8">
        <w:t xml:space="preserve">cent. This increase is due to the adjustments made to </w:t>
      </w:r>
      <w:r w:rsidR="00B91EF3">
        <w:t xml:space="preserve">United Energy’s proposed </w:t>
      </w:r>
      <w:r w:rsidRPr="000D68A8">
        <w:t>capex values as discussed in attachment 2.</w:t>
      </w:r>
      <w:r w:rsidR="0061603B">
        <w:rPr>
          <w:rStyle w:val="FootnoteReference"/>
        </w:rPr>
        <w:footnoteReference w:id="12"/>
      </w:r>
      <w:r w:rsidR="00B91EF3">
        <w:t xml:space="preserve"> The same adjustments are required to be made to the tax additions used in the TAB calculations. This includes the removal of capitalised provisions in 2014 and the correction f</w:t>
      </w:r>
      <w:r w:rsidR="0027694A">
        <w:t>or</w:t>
      </w:r>
      <w:r w:rsidR="00B91EF3">
        <w:t xml:space="preserve"> asset class allocation of 2011–14 capex.</w:t>
      </w:r>
    </w:p>
    <w:p w:rsidR="00B91EF3" w:rsidRDefault="00DD3E14" w:rsidP="000D68A8">
      <w:r>
        <w:fldChar w:fldCharType="begin"/>
      </w:r>
      <w:r>
        <w:instrText xml:space="preserve"> REF _Ref426451299 \h </w:instrText>
      </w:r>
      <w:r>
        <w:fldChar w:fldCharType="separate"/>
      </w:r>
      <w:r w:rsidR="006822D9">
        <w:t xml:space="preserve">Table </w:t>
      </w:r>
      <w:r w:rsidR="006822D9">
        <w:rPr>
          <w:noProof/>
        </w:rPr>
        <w:t>8</w:t>
      </w:r>
      <w:r w:rsidR="006822D9">
        <w:t>-</w:t>
      </w:r>
      <w:r w:rsidR="006822D9">
        <w:rPr>
          <w:noProof/>
        </w:rPr>
        <w:t>3</w:t>
      </w:r>
      <w:r>
        <w:fldChar w:fldCharType="end"/>
      </w:r>
      <w:r>
        <w:t xml:space="preserve"> </w:t>
      </w:r>
      <w:r w:rsidR="00B91EF3" w:rsidRPr="00B91EF3">
        <w:t xml:space="preserve">sets out our </w:t>
      </w:r>
      <w:r w:rsidR="0027694A">
        <w:t>preliminary</w:t>
      </w:r>
      <w:r w:rsidR="0027694A" w:rsidRPr="00B91EF3">
        <w:t xml:space="preserve"> </w:t>
      </w:r>
      <w:r w:rsidR="00B91EF3" w:rsidRPr="00B91EF3">
        <w:t xml:space="preserve">decision on the roll forward of </w:t>
      </w:r>
      <w:r w:rsidR="00B91EF3">
        <w:t>United</w:t>
      </w:r>
      <w:r w:rsidR="00B91EF3" w:rsidRPr="00B91EF3">
        <w:t xml:space="preserve"> Energy's TAB values over the 20</w:t>
      </w:r>
      <w:r w:rsidR="00B91EF3">
        <w:t>1</w:t>
      </w:r>
      <w:r>
        <w:t>1</w:t>
      </w:r>
      <w:r w:rsidR="00B91EF3" w:rsidRPr="00B91EF3">
        <w:t>–1</w:t>
      </w:r>
      <w:r w:rsidR="00B91EF3">
        <w:t>5</w:t>
      </w:r>
      <w:r w:rsidR="00B91EF3" w:rsidRPr="00B91EF3">
        <w:t xml:space="preserve"> regulatory control period.</w:t>
      </w:r>
    </w:p>
    <w:p w:rsidR="007439D2" w:rsidRDefault="007439D2" w:rsidP="007439D2">
      <w:pPr>
        <w:pStyle w:val="Caption"/>
      </w:pPr>
      <w:bookmarkStart w:id="25" w:name="_Ref426451299"/>
      <w:r>
        <w:t xml:space="preserve">Table </w:t>
      </w:r>
      <w:r w:rsidR="00F60694">
        <w:fldChar w:fldCharType="begin"/>
      </w:r>
      <w:r w:rsidR="00F60694">
        <w:instrText xml:space="preserve"> STYLEREF 1 \s </w:instrText>
      </w:r>
      <w:r w:rsidR="00F60694">
        <w:fldChar w:fldCharType="separate"/>
      </w:r>
      <w:r w:rsidR="000A7EF4">
        <w:rPr>
          <w:noProof/>
        </w:rPr>
        <w:t>8</w:t>
      </w:r>
      <w:r w:rsidR="00F60694">
        <w:rPr>
          <w:noProof/>
        </w:rPr>
        <w:fldChar w:fldCharType="end"/>
      </w:r>
      <w:r w:rsidR="006822D9">
        <w:t>-</w:t>
      </w:r>
      <w:r w:rsidR="007C7BFD">
        <w:fldChar w:fldCharType="begin"/>
      </w:r>
      <w:r w:rsidR="007C7BFD">
        <w:instrText xml:space="preserve"> SEQ Table \* ARABIC \s 1 </w:instrText>
      </w:r>
      <w:r w:rsidR="007C7BFD">
        <w:fldChar w:fldCharType="separate"/>
      </w:r>
      <w:r w:rsidR="000A7EF4">
        <w:rPr>
          <w:noProof/>
        </w:rPr>
        <w:t>3</w:t>
      </w:r>
      <w:r w:rsidR="007C7BFD">
        <w:rPr>
          <w:noProof/>
        </w:rPr>
        <w:fldChar w:fldCharType="end"/>
      </w:r>
      <w:bookmarkEnd w:id="25"/>
      <w:r>
        <w:tab/>
      </w:r>
      <w:r w:rsidRPr="007439D2">
        <w:t xml:space="preserve">AER's </w:t>
      </w:r>
      <w:r>
        <w:t>preliminary</w:t>
      </w:r>
      <w:r w:rsidRPr="007439D2">
        <w:t xml:space="preserve"> decision on </w:t>
      </w:r>
      <w:r>
        <w:t>United</w:t>
      </w:r>
      <w:r w:rsidRPr="007439D2">
        <w:t xml:space="preserve"> Energy's TAB roll forward ($ million, nominal)</w:t>
      </w:r>
    </w:p>
    <w:tbl>
      <w:tblPr>
        <w:tblStyle w:val="AERtable-numbers"/>
        <w:tblW w:w="5000" w:type="pct"/>
        <w:tblLook w:val="04A0" w:firstRow="1" w:lastRow="0" w:firstColumn="1" w:lastColumn="0" w:noHBand="0" w:noVBand="1"/>
      </w:tblPr>
      <w:tblGrid>
        <w:gridCol w:w="3430"/>
        <w:gridCol w:w="1033"/>
        <w:gridCol w:w="1031"/>
        <w:gridCol w:w="1031"/>
        <w:gridCol w:w="1031"/>
        <w:gridCol w:w="1137"/>
      </w:tblGrid>
      <w:tr w:rsidR="007439D2" w:rsidRPr="00521143" w:rsidTr="007439D2">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973" w:type="pct"/>
            <w:noWrap/>
            <w:hideMark/>
          </w:tcPr>
          <w:p w:rsidR="007439D2" w:rsidRPr="00521143" w:rsidRDefault="007439D2" w:rsidP="007439D2">
            <w:r w:rsidRPr="00521143">
              <w:t> </w:t>
            </w:r>
          </w:p>
        </w:tc>
        <w:tc>
          <w:tcPr>
            <w:tcW w:w="594" w:type="pct"/>
            <w:noWrap/>
            <w:hideMark/>
          </w:tcPr>
          <w:p w:rsidR="007439D2" w:rsidRPr="00521143" w:rsidRDefault="007439D2" w:rsidP="007439D2">
            <w:pPr>
              <w:cnfStyle w:val="100000000000" w:firstRow="1" w:lastRow="0" w:firstColumn="0" w:lastColumn="0" w:oddVBand="0" w:evenVBand="0" w:oddHBand="0" w:evenHBand="0" w:firstRowFirstColumn="0" w:firstRowLastColumn="0" w:lastRowFirstColumn="0" w:lastRowLastColumn="0"/>
            </w:pPr>
            <w:r>
              <w:t>2011</w:t>
            </w:r>
          </w:p>
        </w:tc>
        <w:tc>
          <w:tcPr>
            <w:tcW w:w="593" w:type="pct"/>
            <w:noWrap/>
            <w:hideMark/>
          </w:tcPr>
          <w:p w:rsidR="007439D2" w:rsidRPr="00521143" w:rsidRDefault="007439D2" w:rsidP="007439D2">
            <w:pPr>
              <w:cnfStyle w:val="100000000000" w:firstRow="1" w:lastRow="0" w:firstColumn="0" w:lastColumn="0" w:oddVBand="0" w:evenVBand="0" w:oddHBand="0" w:evenHBand="0" w:firstRowFirstColumn="0" w:firstRowLastColumn="0" w:lastRowFirstColumn="0" w:lastRowLastColumn="0"/>
            </w:pPr>
            <w:r>
              <w:t>2012</w:t>
            </w:r>
          </w:p>
        </w:tc>
        <w:tc>
          <w:tcPr>
            <w:tcW w:w="593" w:type="pct"/>
            <w:noWrap/>
            <w:hideMark/>
          </w:tcPr>
          <w:p w:rsidR="007439D2" w:rsidRPr="00521143" w:rsidRDefault="007439D2" w:rsidP="007439D2">
            <w:pPr>
              <w:cnfStyle w:val="100000000000" w:firstRow="1" w:lastRow="0" w:firstColumn="0" w:lastColumn="0" w:oddVBand="0" w:evenVBand="0" w:oddHBand="0" w:evenHBand="0" w:firstRowFirstColumn="0" w:firstRowLastColumn="0" w:lastRowFirstColumn="0" w:lastRowLastColumn="0"/>
            </w:pPr>
            <w:r>
              <w:t>2013</w:t>
            </w:r>
          </w:p>
        </w:tc>
        <w:tc>
          <w:tcPr>
            <w:tcW w:w="593" w:type="pct"/>
            <w:noWrap/>
            <w:hideMark/>
          </w:tcPr>
          <w:p w:rsidR="007439D2" w:rsidRPr="00521143" w:rsidRDefault="007439D2" w:rsidP="007439D2">
            <w:pPr>
              <w:cnfStyle w:val="100000000000" w:firstRow="1" w:lastRow="0" w:firstColumn="0" w:lastColumn="0" w:oddVBand="0" w:evenVBand="0" w:oddHBand="0" w:evenHBand="0" w:firstRowFirstColumn="0" w:firstRowLastColumn="0" w:lastRowFirstColumn="0" w:lastRowLastColumn="0"/>
            </w:pPr>
            <w:r>
              <w:t>2014</w:t>
            </w:r>
          </w:p>
        </w:tc>
        <w:tc>
          <w:tcPr>
            <w:tcW w:w="654" w:type="pct"/>
            <w:noWrap/>
            <w:hideMark/>
          </w:tcPr>
          <w:p w:rsidR="007439D2" w:rsidRPr="00521143" w:rsidRDefault="007439D2" w:rsidP="007439D2">
            <w:pPr>
              <w:cnfStyle w:val="100000000000" w:firstRow="1" w:lastRow="0" w:firstColumn="0" w:lastColumn="0" w:oddVBand="0" w:evenVBand="0" w:oddHBand="0" w:evenHBand="0" w:firstRowFirstColumn="0" w:firstRowLastColumn="0" w:lastRowFirstColumn="0" w:lastRowLastColumn="0"/>
            </w:pPr>
            <w:r>
              <w:t>2015</w:t>
            </w:r>
            <w:r w:rsidRPr="007439D2">
              <w:rPr>
                <w:rStyle w:val="AERsuperscript"/>
              </w:rPr>
              <w:t>a</w:t>
            </w:r>
          </w:p>
        </w:tc>
      </w:tr>
      <w:tr w:rsidR="00196AB3" w:rsidRPr="00521143" w:rsidTr="007439D2">
        <w:trPr>
          <w:trHeight w:val="270"/>
        </w:trPr>
        <w:tc>
          <w:tcPr>
            <w:cnfStyle w:val="001000000000" w:firstRow="0" w:lastRow="0" w:firstColumn="1" w:lastColumn="0" w:oddVBand="0" w:evenVBand="0" w:oddHBand="0" w:evenHBand="0" w:firstRowFirstColumn="0" w:firstRowLastColumn="0" w:lastRowFirstColumn="0" w:lastRowLastColumn="0"/>
            <w:tcW w:w="1973" w:type="pct"/>
            <w:noWrap/>
            <w:vAlign w:val="bottom"/>
            <w:hideMark/>
          </w:tcPr>
          <w:p w:rsidR="00196AB3" w:rsidRPr="007439D2" w:rsidRDefault="00196AB3" w:rsidP="007439D2">
            <w:r w:rsidRPr="007439D2">
              <w:t>Opening TAB</w:t>
            </w:r>
          </w:p>
        </w:tc>
        <w:tc>
          <w:tcPr>
            <w:tcW w:w="594" w:type="pct"/>
            <w:noWrap/>
            <w:vAlign w:val="bottom"/>
          </w:tcPr>
          <w:p w:rsidR="00196AB3" w:rsidRPr="00196AB3" w:rsidRDefault="00196AB3" w:rsidP="00196AB3">
            <w:pPr>
              <w:cnfStyle w:val="000000000000" w:firstRow="0" w:lastRow="0" w:firstColumn="0" w:lastColumn="0" w:oddVBand="0" w:evenVBand="0" w:oddHBand="0" w:evenHBand="0" w:firstRowFirstColumn="0" w:firstRowLastColumn="0" w:lastRowFirstColumn="0" w:lastRowLastColumn="0"/>
            </w:pPr>
            <w:r w:rsidRPr="00196AB3">
              <w:t>861.4</w:t>
            </w:r>
          </w:p>
        </w:tc>
        <w:tc>
          <w:tcPr>
            <w:tcW w:w="593" w:type="pct"/>
            <w:noWrap/>
            <w:vAlign w:val="bottom"/>
          </w:tcPr>
          <w:p w:rsidR="00196AB3" w:rsidRPr="00196AB3" w:rsidRDefault="00196AB3" w:rsidP="00196AB3">
            <w:pPr>
              <w:cnfStyle w:val="000000000000" w:firstRow="0" w:lastRow="0" w:firstColumn="0" w:lastColumn="0" w:oddVBand="0" w:evenVBand="0" w:oddHBand="0" w:evenHBand="0" w:firstRowFirstColumn="0" w:firstRowLastColumn="0" w:lastRowFirstColumn="0" w:lastRowLastColumn="0"/>
            </w:pPr>
            <w:r w:rsidRPr="00196AB3">
              <w:t>972.9</w:t>
            </w:r>
          </w:p>
        </w:tc>
        <w:tc>
          <w:tcPr>
            <w:tcW w:w="593" w:type="pct"/>
            <w:noWrap/>
            <w:vAlign w:val="bottom"/>
          </w:tcPr>
          <w:p w:rsidR="00196AB3" w:rsidRPr="00196AB3" w:rsidRDefault="00196AB3" w:rsidP="00196AB3">
            <w:pPr>
              <w:cnfStyle w:val="000000000000" w:firstRow="0" w:lastRow="0" w:firstColumn="0" w:lastColumn="0" w:oddVBand="0" w:evenVBand="0" w:oddHBand="0" w:evenHBand="0" w:firstRowFirstColumn="0" w:firstRowLastColumn="0" w:lastRowFirstColumn="0" w:lastRowLastColumn="0"/>
            </w:pPr>
            <w:r w:rsidRPr="00196AB3">
              <w:t>1097.2</w:t>
            </w:r>
          </w:p>
        </w:tc>
        <w:tc>
          <w:tcPr>
            <w:tcW w:w="593" w:type="pct"/>
            <w:noWrap/>
            <w:vAlign w:val="bottom"/>
          </w:tcPr>
          <w:p w:rsidR="00196AB3" w:rsidRPr="00196AB3" w:rsidRDefault="00196AB3" w:rsidP="00196AB3">
            <w:pPr>
              <w:cnfStyle w:val="000000000000" w:firstRow="0" w:lastRow="0" w:firstColumn="0" w:lastColumn="0" w:oddVBand="0" w:evenVBand="0" w:oddHBand="0" w:evenHBand="0" w:firstRowFirstColumn="0" w:firstRowLastColumn="0" w:lastRowFirstColumn="0" w:lastRowLastColumn="0"/>
            </w:pPr>
            <w:r w:rsidRPr="00196AB3">
              <w:t>1197.7</w:t>
            </w:r>
          </w:p>
        </w:tc>
        <w:tc>
          <w:tcPr>
            <w:tcW w:w="654" w:type="pct"/>
            <w:noWrap/>
            <w:vAlign w:val="bottom"/>
          </w:tcPr>
          <w:p w:rsidR="00196AB3" w:rsidRPr="00196AB3" w:rsidRDefault="00196AB3" w:rsidP="00196AB3">
            <w:pPr>
              <w:cnfStyle w:val="000000000000" w:firstRow="0" w:lastRow="0" w:firstColumn="0" w:lastColumn="0" w:oddVBand="0" w:evenVBand="0" w:oddHBand="0" w:evenHBand="0" w:firstRowFirstColumn="0" w:firstRowLastColumn="0" w:lastRowFirstColumn="0" w:lastRowLastColumn="0"/>
            </w:pPr>
            <w:r w:rsidRPr="00196AB3">
              <w:t>1313.5</w:t>
            </w:r>
          </w:p>
        </w:tc>
      </w:tr>
      <w:tr w:rsidR="00196AB3" w:rsidRPr="00521143" w:rsidTr="007439D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973" w:type="pct"/>
            <w:noWrap/>
            <w:vAlign w:val="bottom"/>
            <w:hideMark/>
          </w:tcPr>
          <w:p w:rsidR="00196AB3" w:rsidRPr="007439D2" w:rsidRDefault="00196AB3" w:rsidP="007439D2">
            <w:r w:rsidRPr="007439D2">
              <w:t>Capital expenditure</w:t>
            </w:r>
          </w:p>
        </w:tc>
        <w:tc>
          <w:tcPr>
            <w:tcW w:w="594" w:type="pct"/>
            <w:noWrap/>
            <w:vAlign w:val="bottom"/>
          </w:tcPr>
          <w:p w:rsidR="00196AB3" w:rsidRPr="00196AB3" w:rsidRDefault="00196AB3" w:rsidP="00196AB3">
            <w:pPr>
              <w:cnfStyle w:val="000000010000" w:firstRow="0" w:lastRow="0" w:firstColumn="0" w:lastColumn="0" w:oddVBand="0" w:evenVBand="0" w:oddHBand="0" w:evenHBand="1" w:firstRowFirstColumn="0" w:firstRowLastColumn="0" w:lastRowFirstColumn="0" w:lastRowLastColumn="0"/>
            </w:pPr>
            <w:r w:rsidRPr="00196AB3">
              <w:t>185.9</w:t>
            </w:r>
          </w:p>
        </w:tc>
        <w:tc>
          <w:tcPr>
            <w:tcW w:w="593" w:type="pct"/>
            <w:noWrap/>
            <w:vAlign w:val="bottom"/>
          </w:tcPr>
          <w:p w:rsidR="00196AB3" w:rsidRPr="00196AB3" w:rsidRDefault="00196AB3" w:rsidP="00196AB3">
            <w:pPr>
              <w:cnfStyle w:val="000000010000" w:firstRow="0" w:lastRow="0" w:firstColumn="0" w:lastColumn="0" w:oddVBand="0" w:evenVBand="0" w:oddHBand="0" w:evenHBand="1" w:firstRowFirstColumn="0" w:firstRowLastColumn="0" w:lastRowFirstColumn="0" w:lastRowLastColumn="0"/>
            </w:pPr>
            <w:r w:rsidRPr="00196AB3">
              <w:t>204.9</w:t>
            </w:r>
          </w:p>
        </w:tc>
        <w:tc>
          <w:tcPr>
            <w:tcW w:w="593" w:type="pct"/>
            <w:noWrap/>
            <w:vAlign w:val="bottom"/>
          </w:tcPr>
          <w:p w:rsidR="00196AB3" w:rsidRPr="00196AB3" w:rsidRDefault="00196AB3" w:rsidP="00196AB3">
            <w:pPr>
              <w:cnfStyle w:val="000000010000" w:firstRow="0" w:lastRow="0" w:firstColumn="0" w:lastColumn="0" w:oddVBand="0" w:evenVBand="0" w:oddHBand="0" w:evenHBand="1" w:firstRowFirstColumn="0" w:firstRowLastColumn="0" w:lastRowFirstColumn="0" w:lastRowLastColumn="0"/>
            </w:pPr>
            <w:r w:rsidRPr="00196AB3">
              <w:t>192.1</w:t>
            </w:r>
          </w:p>
        </w:tc>
        <w:tc>
          <w:tcPr>
            <w:tcW w:w="593" w:type="pct"/>
            <w:noWrap/>
            <w:vAlign w:val="bottom"/>
          </w:tcPr>
          <w:p w:rsidR="00196AB3" w:rsidRPr="00196AB3" w:rsidRDefault="00196AB3" w:rsidP="00196AB3">
            <w:pPr>
              <w:cnfStyle w:val="000000010000" w:firstRow="0" w:lastRow="0" w:firstColumn="0" w:lastColumn="0" w:oddVBand="0" w:evenVBand="0" w:oddHBand="0" w:evenHBand="1" w:firstRowFirstColumn="0" w:firstRowLastColumn="0" w:lastRowFirstColumn="0" w:lastRowLastColumn="0"/>
            </w:pPr>
            <w:r w:rsidRPr="00196AB3">
              <w:t>210.1</w:t>
            </w:r>
          </w:p>
        </w:tc>
        <w:tc>
          <w:tcPr>
            <w:tcW w:w="654" w:type="pct"/>
            <w:noWrap/>
            <w:vAlign w:val="bottom"/>
          </w:tcPr>
          <w:p w:rsidR="00196AB3" w:rsidRPr="00196AB3" w:rsidRDefault="00196AB3" w:rsidP="00196AB3">
            <w:pPr>
              <w:cnfStyle w:val="000000010000" w:firstRow="0" w:lastRow="0" w:firstColumn="0" w:lastColumn="0" w:oddVBand="0" w:evenVBand="0" w:oddHBand="0" w:evenHBand="1" w:firstRowFirstColumn="0" w:firstRowLastColumn="0" w:lastRowFirstColumn="0" w:lastRowLastColumn="0"/>
            </w:pPr>
            <w:r w:rsidRPr="00196AB3">
              <w:t>203.6</w:t>
            </w:r>
          </w:p>
        </w:tc>
      </w:tr>
      <w:tr w:rsidR="00196AB3" w:rsidRPr="002D14B4" w:rsidTr="007439D2">
        <w:trPr>
          <w:trHeight w:val="270"/>
        </w:trPr>
        <w:tc>
          <w:tcPr>
            <w:cnfStyle w:val="001000000000" w:firstRow="0" w:lastRow="0" w:firstColumn="1" w:lastColumn="0" w:oddVBand="0" w:evenVBand="0" w:oddHBand="0" w:evenHBand="0" w:firstRowFirstColumn="0" w:firstRowLastColumn="0" w:lastRowFirstColumn="0" w:lastRowLastColumn="0"/>
            <w:tcW w:w="1973" w:type="pct"/>
            <w:noWrap/>
            <w:vAlign w:val="bottom"/>
            <w:hideMark/>
          </w:tcPr>
          <w:p w:rsidR="00196AB3" w:rsidRPr="007439D2" w:rsidRDefault="00196AB3" w:rsidP="007439D2">
            <w:r w:rsidRPr="007439D2">
              <w:rPr>
                <w:rStyle w:val="AERtextitalic"/>
              </w:rPr>
              <w:t>Less:</w:t>
            </w:r>
            <w:r w:rsidRPr="007439D2">
              <w:t xml:space="preserve"> Tax depreciation</w:t>
            </w:r>
          </w:p>
        </w:tc>
        <w:tc>
          <w:tcPr>
            <w:tcW w:w="594" w:type="pct"/>
            <w:noWrap/>
            <w:vAlign w:val="bottom"/>
          </w:tcPr>
          <w:p w:rsidR="00196AB3" w:rsidRPr="00196AB3" w:rsidRDefault="00196AB3" w:rsidP="00196AB3">
            <w:pPr>
              <w:cnfStyle w:val="000000000000" w:firstRow="0" w:lastRow="0" w:firstColumn="0" w:lastColumn="0" w:oddVBand="0" w:evenVBand="0" w:oddHBand="0" w:evenHBand="0" w:firstRowFirstColumn="0" w:firstRowLastColumn="0" w:lastRowFirstColumn="0" w:lastRowLastColumn="0"/>
            </w:pPr>
            <w:r w:rsidRPr="00196AB3">
              <w:t>74.3</w:t>
            </w:r>
          </w:p>
        </w:tc>
        <w:tc>
          <w:tcPr>
            <w:tcW w:w="593" w:type="pct"/>
            <w:noWrap/>
            <w:vAlign w:val="bottom"/>
          </w:tcPr>
          <w:p w:rsidR="00196AB3" w:rsidRPr="00196AB3" w:rsidRDefault="00196AB3" w:rsidP="00196AB3">
            <w:pPr>
              <w:cnfStyle w:val="000000000000" w:firstRow="0" w:lastRow="0" w:firstColumn="0" w:lastColumn="0" w:oddVBand="0" w:evenVBand="0" w:oddHBand="0" w:evenHBand="0" w:firstRowFirstColumn="0" w:firstRowLastColumn="0" w:lastRowFirstColumn="0" w:lastRowLastColumn="0"/>
            </w:pPr>
            <w:r w:rsidRPr="00196AB3">
              <w:t>80.7</w:t>
            </w:r>
          </w:p>
        </w:tc>
        <w:tc>
          <w:tcPr>
            <w:tcW w:w="593" w:type="pct"/>
            <w:noWrap/>
            <w:vAlign w:val="bottom"/>
          </w:tcPr>
          <w:p w:rsidR="00196AB3" w:rsidRPr="00196AB3" w:rsidRDefault="00196AB3" w:rsidP="00196AB3">
            <w:pPr>
              <w:cnfStyle w:val="000000000000" w:firstRow="0" w:lastRow="0" w:firstColumn="0" w:lastColumn="0" w:oddVBand="0" w:evenVBand="0" w:oddHBand="0" w:evenHBand="0" w:firstRowFirstColumn="0" w:firstRowLastColumn="0" w:lastRowFirstColumn="0" w:lastRowLastColumn="0"/>
            </w:pPr>
            <w:r w:rsidRPr="00196AB3">
              <w:t>91.5</w:t>
            </w:r>
          </w:p>
        </w:tc>
        <w:tc>
          <w:tcPr>
            <w:tcW w:w="593" w:type="pct"/>
            <w:noWrap/>
            <w:vAlign w:val="bottom"/>
          </w:tcPr>
          <w:p w:rsidR="00196AB3" w:rsidRPr="00196AB3" w:rsidRDefault="00196AB3" w:rsidP="00196AB3">
            <w:pPr>
              <w:cnfStyle w:val="000000000000" w:firstRow="0" w:lastRow="0" w:firstColumn="0" w:lastColumn="0" w:oddVBand="0" w:evenVBand="0" w:oddHBand="0" w:evenHBand="0" w:firstRowFirstColumn="0" w:firstRowLastColumn="0" w:lastRowFirstColumn="0" w:lastRowLastColumn="0"/>
            </w:pPr>
            <w:r w:rsidRPr="00196AB3">
              <w:t>94.2</w:t>
            </w:r>
          </w:p>
        </w:tc>
        <w:tc>
          <w:tcPr>
            <w:tcW w:w="654" w:type="pct"/>
            <w:noWrap/>
            <w:vAlign w:val="bottom"/>
          </w:tcPr>
          <w:p w:rsidR="00196AB3" w:rsidRPr="00196AB3" w:rsidRDefault="00196AB3" w:rsidP="00196AB3">
            <w:pPr>
              <w:cnfStyle w:val="000000000000" w:firstRow="0" w:lastRow="0" w:firstColumn="0" w:lastColumn="0" w:oddVBand="0" w:evenVBand="0" w:oddHBand="0" w:evenHBand="0" w:firstRowFirstColumn="0" w:firstRowLastColumn="0" w:lastRowFirstColumn="0" w:lastRowLastColumn="0"/>
            </w:pPr>
            <w:r w:rsidRPr="00196AB3">
              <w:t>159.0</w:t>
            </w:r>
          </w:p>
        </w:tc>
      </w:tr>
      <w:tr w:rsidR="00196AB3" w:rsidRPr="00196AB3" w:rsidTr="007439D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973" w:type="pct"/>
            <w:noWrap/>
            <w:vAlign w:val="bottom"/>
          </w:tcPr>
          <w:p w:rsidR="00196AB3" w:rsidRPr="00196AB3" w:rsidRDefault="00196AB3" w:rsidP="007439D2">
            <w:pPr>
              <w:rPr>
                <w:rStyle w:val="Strong"/>
              </w:rPr>
            </w:pPr>
            <w:r w:rsidRPr="00196AB3">
              <w:rPr>
                <w:rStyle w:val="Strong"/>
              </w:rPr>
              <w:t>Closing TAB</w:t>
            </w:r>
          </w:p>
        </w:tc>
        <w:tc>
          <w:tcPr>
            <w:tcW w:w="594" w:type="pct"/>
            <w:noWrap/>
            <w:vAlign w:val="bottom"/>
          </w:tcPr>
          <w:p w:rsidR="00196AB3" w:rsidRPr="00196AB3" w:rsidRDefault="00196AB3" w:rsidP="00196AB3">
            <w:pPr>
              <w:cnfStyle w:val="000000010000" w:firstRow="0" w:lastRow="0" w:firstColumn="0" w:lastColumn="0" w:oddVBand="0" w:evenVBand="0" w:oddHBand="0" w:evenHBand="1" w:firstRowFirstColumn="0" w:firstRowLastColumn="0" w:lastRowFirstColumn="0" w:lastRowLastColumn="0"/>
              <w:rPr>
                <w:rStyle w:val="Strong"/>
              </w:rPr>
            </w:pPr>
            <w:r w:rsidRPr="00196AB3">
              <w:rPr>
                <w:rStyle w:val="Strong"/>
              </w:rPr>
              <w:t>972.9</w:t>
            </w:r>
          </w:p>
        </w:tc>
        <w:tc>
          <w:tcPr>
            <w:tcW w:w="593" w:type="pct"/>
            <w:noWrap/>
            <w:vAlign w:val="bottom"/>
          </w:tcPr>
          <w:p w:rsidR="00196AB3" w:rsidRPr="00196AB3" w:rsidRDefault="00196AB3" w:rsidP="00196AB3">
            <w:pPr>
              <w:cnfStyle w:val="000000010000" w:firstRow="0" w:lastRow="0" w:firstColumn="0" w:lastColumn="0" w:oddVBand="0" w:evenVBand="0" w:oddHBand="0" w:evenHBand="1" w:firstRowFirstColumn="0" w:firstRowLastColumn="0" w:lastRowFirstColumn="0" w:lastRowLastColumn="0"/>
              <w:rPr>
                <w:rStyle w:val="Strong"/>
              </w:rPr>
            </w:pPr>
            <w:r w:rsidRPr="00196AB3">
              <w:rPr>
                <w:rStyle w:val="Strong"/>
              </w:rPr>
              <w:t>1097.2</w:t>
            </w:r>
          </w:p>
        </w:tc>
        <w:tc>
          <w:tcPr>
            <w:tcW w:w="593" w:type="pct"/>
            <w:noWrap/>
            <w:vAlign w:val="bottom"/>
          </w:tcPr>
          <w:p w:rsidR="00196AB3" w:rsidRPr="00196AB3" w:rsidRDefault="00196AB3" w:rsidP="00196AB3">
            <w:pPr>
              <w:cnfStyle w:val="000000010000" w:firstRow="0" w:lastRow="0" w:firstColumn="0" w:lastColumn="0" w:oddVBand="0" w:evenVBand="0" w:oddHBand="0" w:evenHBand="1" w:firstRowFirstColumn="0" w:firstRowLastColumn="0" w:lastRowFirstColumn="0" w:lastRowLastColumn="0"/>
              <w:rPr>
                <w:rStyle w:val="Strong"/>
              </w:rPr>
            </w:pPr>
            <w:r w:rsidRPr="00196AB3">
              <w:rPr>
                <w:rStyle w:val="Strong"/>
              </w:rPr>
              <w:t>1197.7</w:t>
            </w:r>
          </w:p>
        </w:tc>
        <w:tc>
          <w:tcPr>
            <w:tcW w:w="593" w:type="pct"/>
            <w:noWrap/>
            <w:vAlign w:val="bottom"/>
          </w:tcPr>
          <w:p w:rsidR="00196AB3" w:rsidRPr="00196AB3" w:rsidRDefault="00196AB3" w:rsidP="00196AB3">
            <w:pPr>
              <w:cnfStyle w:val="000000010000" w:firstRow="0" w:lastRow="0" w:firstColumn="0" w:lastColumn="0" w:oddVBand="0" w:evenVBand="0" w:oddHBand="0" w:evenHBand="1" w:firstRowFirstColumn="0" w:firstRowLastColumn="0" w:lastRowFirstColumn="0" w:lastRowLastColumn="0"/>
              <w:rPr>
                <w:rStyle w:val="Strong"/>
              </w:rPr>
            </w:pPr>
            <w:r w:rsidRPr="00196AB3">
              <w:rPr>
                <w:rStyle w:val="Strong"/>
              </w:rPr>
              <w:t>1313.5</w:t>
            </w:r>
          </w:p>
        </w:tc>
        <w:tc>
          <w:tcPr>
            <w:tcW w:w="654" w:type="pct"/>
            <w:noWrap/>
            <w:vAlign w:val="bottom"/>
          </w:tcPr>
          <w:p w:rsidR="00196AB3" w:rsidRPr="00196AB3" w:rsidRDefault="00196AB3" w:rsidP="00196AB3">
            <w:pPr>
              <w:cnfStyle w:val="000000010000" w:firstRow="0" w:lastRow="0" w:firstColumn="0" w:lastColumn="0" w:oddVBand="0" w:evenVBand="0" w:oddHBand="0" w:evenHBand="1" w:firstRowFirstColumn="0" w:firstRowLastColumn="0" w:lastRowFirstColumn="0" w:lastRowLastColumn="0"/>
              <w:rPr>
                <w:rStyle w:val="Strong"/>
              </w:rPr>
            </w:pPr>
            <w:r w:rsidRPr="00196AB3">
              <w:rPr>
                <w:rStyle w:val="Strong"/>
              </w:rPr>
              <w:t>1358.1</w:t>
            </w:r>
          </w:p>
        </w:tc>
      </w:tr>
    </w:tbl>
    <w:p w:rsidR="00B91EF3" w:rsidRDefault="007439D2" w:rsidP="007439D2">
      <w:pPr>
        <w:pStyle w:val="AERtablesource"/>
      </w:pPr>
      <w:r>
        <w:t>Source:</w:t>
      </w:r>
      <w:r>
        <w:tab/>
        <w:t>AER analysis.</w:t>
      </w:r>
    </w:p>
    <w:p w:rsidR="00122B48" w:rsidRDefault="007439D2" w:rsidP="00E80B6A">
      <w:pPr>
        <w:pStyle w:val="AERtablesource"/>
      </w:pPr>
      <w:r>
        <w:t>(a)</w:t>
      </w:r>
      <w:r>
        <w:tab/>
        <w:t>Based on estimated capex.</w:t>
      </w:r>
    </w:p>
    <w:p w:rsidR="00E80B6A" w:rsidRDefault="00E80B6A" w:rsidP="00E80B6A"/>
    <w:p w:rsidR="00E80B6A" w:rsidRDefault="00E80B6A" w:rsidP="00E80B6A"/>
    <w:p w:rsidR="00E80B6A" w:rsidRPr="00E80B6A" w:rsidRDefault="00E80B6A" w:rsidP="00E80B6A"/>
    <w:p w:rsidR="007439D2" w:rsidRDefault="007439D2" w:rsidP="007439D2">
      <w:pPr>
        <w:pStyle w:val="Heading3"/>
      </w:pPr>
      <w:bookmarkStart w:id="26" w:name="_Ref426445919"/>
      <w:bookmarkStart w:id="27" w:name="_Toc433521292"/>
      <w:r>
        <w:t>Standard tax asset lives</w:t>
      </w:r>
      <w:bookmarkEnd w:id="26"/>
      <w:bookmarkEnd w:id="27"/>
    </w:p>
    <w:p w:rsidR="007439D2" w:rsidRDefault="007439D2" w:rsidP="007439D2">
      <w:r>
        <w:t>We accept the majority of United Energy's proposed standard tax asset lives because they are broadly consistent with the values prescribed by the Commissioner for taxation in tax ruling 2015/2.</w:t>
      </w:r>
      <w:r>
        <w:rPr>
          <w:rStyle w:val="FootnoteReference"/>
        </w:rPr>
        <w:footnoteReference w:id="13"/>
      </w:r>
      <w:r>
        <w:t xml:space="preserve"> </w:t>
      </w:r>
    </w:p>
    <w:p w:rsidR="0027694A" w:rsidRDefault="007439D2" w:rsidP="007439D2">
      <w:r>
        <w:t xml:space="preserve">We are satisfied that the proposed standard tax asset lives </w:t>
      </w:r>
      <w:r w:rsidR="002E4137">
        <w:t>are</w:t>
      </w:r>
      <w:r>
        <w:t xml:space="preserve"> appropriate for applying over the 201</w:t>
      </w:r>
      <w:r w:rsidR="002E4137">
        <w:t>6</w:t>
      </w:r>
      <w:r>
        <w:t>–</w:t>
      </w:r>
      <w:r w:rsidR="002E4137">
        <w:t>20</w:t>
      </w:r>
      <w:r>
        <w:t xml:space="preserve"> </w:t>
      </w:r>
      <w:r w:rsidR="0027694A">
        <w:t xml:space="preserve">regulatory control </w:t>
      </w:r>
      <w:r>
        <w:t>period.</w:t>
      </w:r>
      <w:r w:rsidR="00196AB3">
        <w:t xml:space="preserve"> </w:t>
      </w:r>
    </w:p>
    <w:p w:rsidR="007439D2" w:rsidRDefault="007439D2" w:rsidP="007439D2">
      <w:r>
        <w:t>However, we have changed the standard tax asset li</w:t>
      </w:r>
      <w:r w:rsidR="0027694A">
        <w:t>ves</w:t>
      </w:r>
      <w:r>
        <w:t xml:space="preserve"> for the </w:t>
      </w:r>
      <w:r w:rsidR="009F7D4D">
        <w:t>‘SCADA (5-year asset)</w:t>
      </w:r>
      <w:r>
        <w:t>'</w:t>
      </w:r>
      <w:r w:rsidR="009F7D4D">
        <w:t xml:space="preserve"> and ‘SCADA (10-year asset)’</w:t>
      </w:r>
      <w:r>
        <w:t xml:space="preserve"> asset class</w:t>
      </w:r>
      <w:r w:rsidR="009F7D4D">
        <w:t>es</w:t>
      </w:r>
      <w:r>
        <w:t xml:space="preserve">. </w:t>
      </w:r>
      <w:r w:rsidR="009F7D4D">
        <w:t xml:space="preserve">United Energy proposed a standard tax </w:t>
      </w:r>
      <w:r w:rsidR="0027694A">
        <w:t xml:space="preserve">asset </w:t>
      </w:r>
      <w:r w:rsidR="009F7D4D">
        <w:t xml:space="preserve">life of 10 years to apply to </w:t>
      </w:r>
      <w:r w:rsidR="00B35903">
        <w:t xml:space="preserve">the </w:t>
      </w:r>
      <w:r w:rsidR="009F7D4D">
        <w:t>‘SCADA (5</w:t>
      </w:r>
      <w:r w:rsidR="00B35903">
        <w:t xml:space="preserve">-year asset)' asset class, and </w:t>
      </w:r>
      <w:r w:rsidR="009F7D4D">
        <w:t>5 year</w:t>
      </w:r>
      <w:r w:rsidR="00B35903">
        <w:t>s</w:t>
      </w:r>
      <w:r w:rsidR="009F7D4D">
        <w:t xml:space="preserve"> to apply to </w:t>
      </w:r>
      <w:r w:rsidR="0027694A">
        <w:t>the</w:t>
      </w:r>
      <w:r w:rsidR="009F7D4D">
        <w:t xml:space="preserve"> ‘SCADA (10-year asset)' asset class. We consider this to be an error in the proposal which we have corrected. Our preliminary decision is to apply a standard </w:t>
      </w:r>
      <w:r w:rsidR="00B35903">
        <w:t xml:space="preserve">tax asset </w:t>
      </w:r>
      <w:r w:rsidR="009F7D4D">
        <w:t>life</w:t>
      </w:r>
      <w:r w:rsidR="0027694A">
        <w:t xml:space="preserve"> if 5 years</w:t>
      </w:r>
      <w:r w:rsidR="009F7D4D">
        <w:t xml:space="preserve"> to </w:t>
      </w:r>
      <w:r w:rsidR="0027694A">
        <w:t xml:space="preserve">the </w:t>
      </w:r>
      <w:r w:rsidR="009F7D4D">
        <w:t xml:space="preserve">‘SCADA (5-year asset)' </w:t>
      </w:r>
      <w:r w:rsidR="0027694A">
        <w:t xml:space="preserve">asset class </w:t>
      </w:r>
      <w:r w:rsidR="009F7D4D">
        <w:t>and 10 year</w:t>
      </w:r>
      <w:r w:rsidR="00B35903">
        <w:t>s</w:t>
      </w:r>
      <w:r w:rsidR="009F7D4D">
        <w:t xml:space="preserve"> to</w:t>
      </w:r>
      <w:r w:rsidR="0027694A">
        <w:t xml:space="preserve"> the</w:t>
      </w:r>
      <w:r w:rsidR="009F7D4D">
        <w:t xml:space="preserve"> ‘SCADA (10-year asset)'</w:t>
      </w:r>
      <w:r w:rsidR="0027694A">
        <w:t xml:space="preserve"> asset class</w:t>
      </w:r>
      <w:r w:rsidR="009F7D4D">
        <w:t>.</w:t>
      </w:r>
    </w:p>
    <w:p w:rsidR="009F7D4D" w:rsidRDefault="009F7D4D" w:rsidP="007439D2">
      <w:r>
        <w:t xml:space="preserve">We also consider that a standard </w:t>
      </w:r>
      <w:r w:rsidR="00A52722">
        <w:t xml:space="preserve">tax asset </w:t>
      </w:r>
      <w:r>
        <w:t xml:space="preserve">life of ‘n/a’ should be </w:t>
      </w:r>
      <w:r w:rsidR="00A52722">
        <w:t>assigned</w:t>
      </w:r>
      <w:r>
        <w:t xml:space="preserve"> to the proposed ‘Land’ asset class instead of </w:t>
      </w:r>
      <w:r w:rsidR="00F05736">
        <w:t>zero</w:t>
      </w:r>
      <w:r w:rsidR="00A52722">
        <w:t xml:space="preserve"> for tax modelling purposes in the PTRM reflecting the non-depreciating nature of land capex</w:t>
      </w:r>
      <w:r>
        <w:t>.</w:t>
      </w:r>
      <w:r w:rsidR="00A52722">
        <w:rPr>
          <w:rStyle w:val="FootnoteReference"/>
        </w:rPr>
        <w:footnoteReference w:id="14"/>
      </w:r>
      <w:r>
        <w:t xml:space="preserve"> </w:t>
      </w:r>
    </w:p>
    <w:p w:rsidR="003140EF" w:rsidRPr="007439D2" w:rsidRDefault="003140EF" w:rsidP="007439D2">
      <w:r>
        <w:fldChar w:fldCharType="begin"/>
      </w:r>
      <w:r>
        <w:instrText xml:space="preserve"> REF _Ref426448292 \h </w:instrText>
      </w:r>
      <w:r>
        <w:fldChar w:fldCharType="separate"/>
      </w:r>
      <w:r w:rsidR="006822D9">
        <w:t xml:space="preserve">Table </w:t>
      </w:r>
      <w:r w:rsidR="006822D9">
        <w:rPr>
          <w:noProof/>
        </w:rPr>
        <w:t>8</w:t>
      </w:r>
      <w:r w:rsidR="006822D9">
        <w:t>-</w:t>
      </w:r>
      <w:r w:rsidR="006822D9">
        <w:rPr>
          <w:noProof/>
        </w:rPr>
        <w:t>4</w:t>
      </w:r>
      <w:r>
        <w:fldChar w:fldCharType="end"/>
      </w:r>
      <w:r>
        <w:t xml:space="preserve"> </w:t>
      </w:r>
      <w:r w:rsidRPr="003140EF">
        <w:t xml:space="preserve">sets out our </w:t>
      </w:r>
      <w:r w:rsidR="009B388A">
        <w:t>preliminary</w:t>
      </w:r>
      <w:r w:rsidRPr="003140EF">
        <w:t xml:space="preserve"> decision on the standard tax asset lives for </w:t>
      </w:r>
      <w:r>
        <w:t>United</w:t>
      </w:r>
      <w:r w:rsidRPr="003140EF">
        <w:t xml:space="preserve"> Energy.</w:t>
      </w:r>
    </w:p>
    <w:p w:rsidR="007439D2" w:rsidRDefault="007439D2" w:rsidP="007439D2">
      <w:pPr>
        <w:pStyle w:val="Heading3"/>
      </w:pPr>
      <w:bookmarkStart w:id="28" w:name="_Ref426445941"/>
      <w:bookmarkStart w:id="29" w:name="_Toc433521293"/>
      <w:r>
        <w:t>Remaining tax asset lives</w:t>
      </w:r>
      <w:bookmarkEnd w:id="28"/>
      <w:bookmarkEnd w:id="29"/>
    </w:p>
    <w:p w:rsidR="00CB2C55" w:rsidRDefault="00CB2C55" w:rsidP="00A024CF">
      <w:r>
        <w:t xml:space="preserve">Our 2010 determination for United Energy did not contain remaining tax asset lives for depreciating its opening TAB as at 1 January 2011. Instead, the transitional rules at the time required us to adopt </w:t>
      </w:r>
      <w:r w:rsidR="00201B4A">
        <w:t xml:space="preserve">for the 2011–15 regulatory control period </w:t>
      </w:r>
      <w:r>
        <w:t xml:space="preserve">the same tax depreciation methodology as used by the </w:t>
      </w:r>
      <w:r w:rsidR="007B10E5">
        <w:t>ESCV</w:t>
      </w:r>
      <w:r>
        <w:t xml:space="preserve"> for the </w:t>
      </w:r>
      <w:r w:rsidR="00201B4A">
        <w:t>2006–10</w:t>
      </w:r>
      <w:r>
        <w:t xml:space="preserve"> regulatory control period.</w:t>
      </w:r>
      <w:r>
        <w:rPr>
          <w:rStyle w:val="FootnoteReference"/>
        </w:rPr>
        <w:footnoteReference w:id="15"/>
      </w:r>
      <w:r>
        <w:t xml:space="preserve"> </w:t>
      </w:r>
      <w:r w:rsidR="00C76C9E">
        <w:t>A</w:t>
      </w:r>
      <w:r w:rsidR="00C76C9E" w:rsidRPr="007F2FB0">
        <w:t xml:space="preserve">s discussed in section </w:t>
      </w:r>
      <w:r w:rsidR="00C76C9E" w:rsidRPr="007F2FB0">
        <w:fldChar w:fldCharType="begin"/>
      </w:r>
      <w:r w:rsidR="00C76C9E" w:rsidRPr="007F2FB0">
        <w:instrText xml:space="preserve"> REF _Ref428536651 \r \h </w:instrText>
      </w:r>
      <w:r w:rsidR="00A024CF">
        <w:instrText xml:space="preserve"> \* MERGEFORMAT </w:instrText>
      </w:r>
      <w:r w:rsidR="00C76C9E" w:rsidRPr="007F2FB0">
        <w:fldChar w:fldCharType="separate"/>
      </w:r>
      <w:r w:rsidR="000A7EF4">
        <w:t>8.4.1</w:t>
      </w:r>
      <w:r w:rsidR="00C76C9E" w:rsidRPr="007F2FB0">
        <w:fldChar w:fldCharType="end"/>
      </w:r>
      <w:r w:rsidR="00C76C9E">
        <w:t>, we accept United Energy</w:t>
      </w:r>
      <w:r w:rsidR="00C76C9E" w:rsidRPr="007F2FB0">
        <w:t>'s proposal to use the straight-line depreciation approach to calculate the corporate income tax allowance for the 201</w:t>
      </w:r>
      <w:r w:rsidR="00C76C9E">
        <w:t>6–20 regulatory control period. This requires us to</w:t>
      </w:r>
      <w:r>
        <w:t xml:space="preserve"> determine remaining tax asset lives </w:t>
      </w:r>
      <w:r w:rsidR="00C76C9E">
        <w:t>for</w:t>
      </w:r>
      <w:r>
        <w:t xml:space="preserve"> depreciat</w:t>
      </w:r>
      <w:r w:rsidR="00C76C9E">
        <w:t>ing</w:t>
      </w:r>
      <w:r>
        <w:t xml:space="preserve"> the opening TAB as at 1 January 2016.</w:t>
      </w:r>
    </w:p>
    <w:p w:rsidR="0015441B" w:rsidRDefault="0015441B" w:rsidP="00A7672E">
      <w:r>
        <w:t xml:space="preserve">We </w:t>
      </w:r>
      <w:r w:rsidR="00C76C9E">
        <w:t xml:space="preserve">consider </w:t>
      </w:r>
      <w:r>
        <w:t>United Energy’s approach to determin</w:t>
      </w:r>
      <w:r w:rsidR="00B509DD">
        <w:t>e</w:t>
      </w:r>
      <w:r>
        <w:t xml:space="preserve"> remaining tax asset lives</w:t>
      </w:r>
      <w:r w:rsidR="00A7672E">
        <w:t xml:space="preserve"> as at 1 January 2016</w:t>
      </w:r>
      <w:r w:rsidR="00C76C9E">
        <w:t xml:space="preserve"> is reasonable. This approach is</w:t>
      </w:r>
      <w:r w:rsidR="006878F8">
        <w:t xml:space="preserve"> based on the standard tax asset life of an asset class multiplied by the ratio of the RAB remaining asset life to the RAB standard asset life</w:t>
      </w:r>
      <w:r w:rsidR="00A7672E">
        <w:t>.</w:t>
      </w:r>
      <w:r w:rsidR="006878F8">
        <w:rPr>
          <w:rStyle w:val="FootnoteReference"/>
        </w:rPr>
        <w:footnoteReference w:id="16"/>
      </w:r>
      <w:r w:rsidR="00A7672E">
        <w:t xml:space="preserve"> </w:t>
      </w:r>
      <w:r w:rsidR="006878F8">
        <w:t xml:space="preserve">However, we </w:t>
      </w:r>
      <w:r w:rsidR="00C76C9E">
        <w:t>consider an adjustment is required with</w:t>
      </w:r>
      <w:r w:rsidR="006878F8">
        <w:t xml:space="preserve"> the</w:t>
      </w:r>
      <w:r w:rsidR="00C76C9E">
        <w:t xml:space="preserve"> proposed</w:t>
      </w:r>
      <w:r w:rsidR="00CB2C55">
        <w:t xml:space="preserve"> use of</w:t>
      </w:r>
      <w:r w:rsidR="006878F8">
        <w:t xml:space="preserve"> </w:t>
      </w:r>
      <w:r w:rsidR="00CB2C55">
        <w:t xml:space="preserve">RAB remaining </w:t>
      </w:r>
      <w:r w:rsidR="00C76C9E">
        <w:t xml:space="preserve">asset </w:t>
      </w:r>
      <w:r w:rsidR="00CB2C55">
        <w:t xml:space="preserve">lives as at 1 January 2011 </w:t>
      </w:r>
      <w:r w:rsidR="006878F8">
        <w:t xml:space="preserve">in the calculation. </w:t>
      </w:r>
      <w:r w:rsidR="00C76C9E">
        <w:t>The adjustment requires</w:t>
      </w:r>
      <w:r w:rsidR="00CB2C55">
        <w:t xml:space="preserve"> the RAB remaining asset lives as at 1</w:t>
      </w:r>
      <w:r w:rsidR="005C331A">
        <w:t> </w:t>
      </w:r>
      <w:r w:rsidR="00CB2C55">
        <w:t xml:space="preserve">January 2016 </w:t>
      </w:r>
      <w:r w:rsidR="00C76C9E">
        <w:t xml:space="preserve">to </w:t>
      </w:r>
      <w:r w:rsidR="00CB2C55">
        <w:t xml:space="preserve">instead be used in the calculation </w:t>
      </w:r>
      <w:r w:rsidR="00C76C9E">
        <w:t>bec</w:t>
      </w:r>
      <w:r w:rsidR="00CB2C55">
        <w:t>a</w:t>
      </w:r>
      <w:r w:rsidR="00C76C9E">
        <w:t>u</w:t>
      </w:r>
      <w:r w:rsidR="00CB2C55">
        <w:t>s</w:t>
      </w:r>
      <w:r w:rsidR="00C76C9E">
        <w:t>e</w:t>
      </w:r>
      <w:r w:rsidR="00CB2C55">
        <w:t xml:space="preserve"> </w:t>
      </w:r>
      <w:r w:rsidR="00196AB3">
        <w:t xml:space="preserve">the </w:t>
      </w:r>
      <w:r w:rsidR="00C76C9E">
        <w:t xml:space="preserve">establishment of the </w:t>
      </w:r>
      <w:r w:rsidR="00CB2C55">
        <w:t>remaining</w:t>
      </w:r>
      <w:r w:rsidR="00C76C9E">
        <w:t xml:space="preserve"> tax asset</w:t>
      </w:r>
      <w:r w:rsidR="00CB2C55">
        <w:t xml:space="preserve"> lives </w:t>
      </w:r>
      <w:r w:rsidR="00196AB3">
        <w:t xml:space="preserve">relate to assets existing </w:t>
      </w:r>
      <w:r w:rsidR="00CB2C55">
        <w:t>at 1 January 2016.</w:t>
      </w:r>
      <w:r w:rsidR="00C76C9E">
        <w:t xml:space="preserve"> With this adjustment, w</w:t>
      </w:r>
      <w:r w:rsidR="00C76C9E" w:rsidRPr="00856BBF">
        <w:rPr>
          <w:rStyle w:val="AERbody"/>
        </w:rPr>
        <w:t xml:space="preserve">e are satisfied that </w:t>
      </w:r>
      <w:r w:rsidR="00C76C9E">
        <w:rPr>
          <w:rStyle w:val="AERbody"/>
        </w:rPr>
        <w:t>the</w:t>
      </w:r>
      <w:r w:rsidR="00C76C9E" w:rsidRPr="00856BBF">
        <w:rPr>
          <w:rStyle w:val="AERbody"/>
        </w:rPr>
        <w:t xml:space="preserve"> approach results in an estimate of tax depreciation consistent with the tax expenses used to estimate the annual taxable income of a benchmark efficient entity over the 201</w:t>
      </w:r>
      <w:r w:rsidR="00C76C9E">
        <w:rPr>
          <w:rStyle w:val="AERbody"/>
        </w:rPr>
        <w:t xml:space="preserve">6–20 regulatory control period. </w:t>
      </w:r>
      <w:r w:rsidR="00C76C9E" w:rsidRPr="00856BBF">
        <w:rPr>
          <w:rStyle w:val="AERbody"/>
        </w:rPr>
        <w:t xml:space="preserve">The </w:t>
      </w:r>
      <w:r w:rsidR="00C76C9E">
        <w:rPr>
          <w:rStyle w:val="AERbody"/>
        </w:rPr>
        <w:t>approach</w:t>
      </w:r>
      <w:r w:rsidR="00C76C9E" w:rsidRPr="00856BBF">
        <w:rPr>
          <w:rStyle w:val="AERbody"/>
        </w:rPr>
        <w:t xml:space="preserve"> is consistent with the </w:t>
      </w:r>
      <w:r w:rsidR="00C76C9E">
        <w:rPr>
          <w:rStyle w:val="AERbody"/>
        </w:rPr>
        <w:t>method</w:t>
      </w:r>
      <w:r w:rsidR="00C76C9E" w:rsidRPr="00856BBF">
        <w:rPr>
          <w:rStyle w:val="AERbody"/>
        </w:rPr>
        <w:t xml:space="preserve"> approved in our recent determination for </w:t>
      </w:r>
      <w:proofErr w:type="spellStart"/>
      <w:r w:rsidR="00C76C9E" w:rsidRPr="00856BBF">
        <w:rPr>
          <w:rStyle w:val="AERbody"/>
        </w:rPr>
        <w:t>Ausgrid</w:t>
      </w:r>
      <w:proofErr w:type="spellEnd"/>
      <w:r w:rsidR="00C76C9E" w:rsidRPr="00856BBF">
        <w:rPr>
          <w:rStyle w:val="AERbody"/>
        </w:rPr>
        <w:t>.</w:t>
      </w:r>
      <w:r w:rsidR="00C76C9E">
        <w:rPr>
          <w:rStyle w:val="FootnoteReference"/>
        </w:rPr>
        <w:footnoteReference w:id="17"/>
      </w:r>
    </w:p>
    <w:p w:rsidR="0087340D" w:rsidRPr="00F06D2E" w:rsidRDefault="00C76C9E" w:rsidP="0087340D">
      <w:pPr>
        <w:numPr>
          <w:ilvl w:val="0"/>
          <w:numId w:val="24"/>
        </w:numPr>
      </w:pPr>
      <w:r>
        <w:t>In adjusting</w:t>
      </w:r>
      <w:r w:rsidRPr="00F06D2E">
        <w:t xml:space="preserve"> </w:t>
      </w:r>
      <w:r>
        <w:t>United Energy’</w:t>
      </w:r>
      <w:r w:rsidRPr="00F06D2E">
        <w:t xml:space="preserve">s approach to establish the remaining tax asset lives as at 1 </w:t>
      </w:r>
      <w:r>
        <w:t>January 2016</w:t>
      </w:r>
      <w:r w:rsidRPr="00F06D2E">
        <w:t xml:space="preserve">, we have </w:t>
      </w:r>
      <w:r>
        <w:t xml:space="preserve">updated </w:t>
      </w:r>
      <w:r w:rsidRPr="00F06D2E">
        <w:t>the proposed remaining tax asset lives consistent with the adjustments to the RAB remaining asset lives as at 1 July 2014, discussed in attachment 5.</w:t>
      </w:r>
      <w:r w:rsidRPr="00F06D2E">
        <w:rPr>
          <w:rStyle w:val="FootnoteReference"/>
        </w:rPr>
        <w:footnoteReference w:id="18"/>
      </w:r>
      <w:r w:rsidRPr="00F06D2E">
        <w:t xml:space="preserve"> </w:t>
      </w:r>
      <w:r w:rsidR="0087340D" w:rsidRPr="00F06D2E">
        <w:t xml:space="preserve">This is because </w:t>
      </w:r>
      <w:r w:rsidR="0087340D">
        <w:t xml:space="preserve">the </w:t>
      </w:r>
      <w:r w:rsidR="0087340D" w:rsidRPr="00F06D2E">
        <w:t>approach to calculate the remaining tax asset life uses the ratio of the RAB remaining asset life to the RAB standard asset life.</w:t>
      </w:r>
    </w:p>
    <w:p w:rsidR="006878F8" w:rsidRDefault="00C71DE7" w:rsidP="006878F8">
      <w:r>
        <w:t>At the time of this preliminary decision, the RAB remaining asset lives use</w:t>
      </w:r>
      <w:r w:rsidR="006E2964">
        <w:t>d</w:t>
      </w:r>
      <w:r>
        <w:t xml:space="preserve"> in this calculation include estimated capex values for 2015. We expect to update the 2015 estimated capex values for</w:t>
      </w:r>
      <w:r w:rsidRPr="00926B90">
        <w:t xml:space="preserve"> the </w:t>
      </w:r>
      <w:r>
        <w:t xml:space="preserve">final </w:t>
      </w:r>
      <w:r w:rsidRPr="00926B90">
        <w:t>decision</w:t>
      </w:r>
      <w:r>
        <w:t>. Therefore, for the final decision,</w:t>
      </w:r>
      <w:r w:rsidRPr="00926B90">
        <w:t xml:space="preserve"> we will </w:t>
      </w:r>
      <w:r w:rsidR="00DF2B7B">
        <w:t>update</w:t>
      </w:r>
      <w:r w:rsidR="00DF2B7B" w:rsidRPr="00926B90">
        <w:t xml:space="preserve"> </w:t>
      </w:r>
      <w:r>
        <w:t>United Energy</w:t>
      </w:r>
      <w:r w:rsidRPr="00926B90">
        <w:t>'</w:t>
      </w:r>
      <w:r>
        <w:t>s</w:t>
      </w:r>
      <w:r w:rsidRPr="00926B90">
        <w:t xml:space="preserve"> remaining </w:t>
      </w:r>
      <w:r>
        <w:t xml:space="preserve">tax </w:t>
      </w:r>
      <w:r w:rsidRPr="00926B90">
        <w:t>asset lives at 1</w:t>
      </w:r>
      <w:r>
        <w:t> </w:t>
      </w:r>
      <w:r w:rsidRPr="00926B90">
        <w:t>J</w:t>
      </w:r>
      <w:r>
        <w:t>anuary</w:t>
      </w:r>
      <w:r w:rsidRPr="00926B90">
        <w:t xml:space="preserve"> 201</w:t>
      </w:r>
      <w:r>
        <w:t>6</w:t>
      </w:r>
      <w:r w:rsidRPr="00926B90">
        <w:t xml:space="preserve"> </w:t>
      </w:r>
      <w:r>
        <w:t xml:space="preserve">using the method approved in this preliminary decision for any </w:t>
      </w:r>
      <w:r w:rsidR="00DF2B7B">
        <w:t>revisions</w:t>
      </w:r>
      <w:r>
        <w:t xml:space="preserve"> to the RAB remaining asset lives</w:t>
      </w:r>
      <w:r w:rsidRPr="00926B90">
        <w:t>.</w:t>
      </w:r>
    </w:p>
    <w:p w:rsidR="00C813B4" w:rsidRDefault="00C813B4" w:rsidP="006878F8">
      <w:r>
        <w:t xml:space="preserve">We </w:t>
      </w:r>
      <w:r w:rsidR="00621A21">
        <w:t>note</w:t>
      </w:r>
      <w:r>
        <w:t xml:space="preserve"> United Energy’s propos</w:t>
      </w:r>
      <w:r w:rsidR="00621A21">
        <w:t>al assigns a</w:t>
      </w:r>
      <w:r>
        <w:t xml:space="preserve"> remaining tax asset life of ‘n/a’ for its ‘Metering’ asset class. Applying ‘n/a’ </w:t>
      </w:r>
      <w:r w:rsidR="00C76C9E">
        <w:t xml:space="preserve">in the PTRM </w:t>
      </w:r>
      <w:r>
        <w:t>means that the s</w:t>
      </w:r>
      <w:r w:rsidR="005C331A">
        <w:t xml:space="preserve">mall residual opening TAB value of $0.1 million ($ nominal) </w:t>
      </w:r>
      <w:r w:rsidR="00621A21">
        <w:t xml:space="preserve">as at 1 January 2016 </w:t>
      </w:r>
      <w:r>
        <w:t xml:space="preserve">will not be depreciated. We instead determine </w:t>
      </w:r>
      <w:r w:rsidRPr="00C813B4">
        <w:t xml:space="preserve">a remaining </w:t>
      </w:r>
      <w:r w:rsidR="00621A21">
        <w:t xml:space="preserve">tax </w:t>
      </w:r>
      <w:r w:rsidRPr="00C813B4">
        <w:t xml:space="preserve">asset life of 1 year to fully depreciate (by way of </w:t>
      </w:r>
      <w:r>
        <w:t>writing off) this residual value.</w:t>
      </w:r>
    </w:p>
    <w:p w:rsidR="003140EF" w:rsidRDefault="003140EF" w:rsidP="000D68A8">
      <w:r>
        <w:fldChar w:fldCharType="begin"/>
      </w:r>
      <w:r>
        <w:instrText xml:space="preserve"> REF _Ref426448292 \h </w:instrText>
      </w:r>
      <w:r>
        <w:fldChar w:fldCharType="separate"/>
      </w:r>
      <w:proofErr w:type="gramStart"/>
      <w:r w:rsidR="006822D9">
        <w:t xml:space="preserve">Table </w:t>
      </w:r>
      <w:r w:rsidR="006822D9">
        <w:rPr>
          <w:noProof/>
        </w:rPr>
        <w:t>8</w:t>
      </w:r>
      <w:r w:rsidR="006822D9">
        <w:t>-</w:t>
      </w:r>
      <w:r w:rsidR="006822D9">
        <w:rPr>
          <w:noProof/>
        </w:rPr>
        <w:t>4</w:t>
      </w:r>
      <w:r>
        <w:fldChar w:fldCharType="end"/>
      </w:r>
      <w:r>
        <w:t xml:space="preserve"> </w:t>
      </w:r>
      <w:r w:rsidRPr="003140EF">
        <w:t xml:space="preserve">sets out our </w:t>
      </w:r>
      <w:r w:rsidR="009B388A">
        <w:t>preliminary</w:t>
      </w:r>
      <w:r w:rsidRPr="003140EF">
        <w:t xml:space="preserve"> decision on</w:t>
      </w:r>
      <w:r w:rsidR="00F45426">
        <w:t xml:space="preserve"> the</w:t>
      </w:r>
      <w:r w:rsidRPr="003140EF">
        <w:t xml:space="preserve"> remaining tax asset lives </w:t>
      </w:r>
      <w:r w:rsidR="00F45426">
        <w:t xml:space="preserve">at 1 January 2016 </w:t>
      </w:r>
      <w:r w:rsidRPr="003140EF">
        <w:t xml:space="preserve">for </w:t>
      </w:r>
      <w:r>
        <w:t>United</w:t>
      </w:r>
      <w:r w:rsidRPr="003140EF">
        <w:t xml:space="preserve"> Energy.</w:t>
      </w:r>
      <w:proofErr w:type="gramEnd"/>
      <w:r w:rsidR="00F45426">
        <w:t xml:space="preserve"> </w:t>
      </w:r>
      <w:r w:rsidR="00F45426" w:rsidRPr="00FA7AD3">
        <w:t>We are satisfied the remaining tax asset lives provide an appropriate estimate of the tax depreciation amount for a benchmark efficient service provider as required by the NER.</w:t>
      </w:r>
      <w:r w:rsidR="00F45426" w:rsidRPr="00FA7AD3">
        <w:rPr>
          <w:rStyle w:val="FootnoteReference"/>
        </w:rPr>
        <w:footnoteReference w:id="19"/>
      </w:r>
    </w:p>
    <w:p w:rsidR="00BF4994" w:rsidRDefault="00BF4994" w:rsidP="000D68A8"/>
    <w:p w:rsidR="00BF4994" w:rsidRDefault="00BF4994" w:rsidP="000D68A8"/>
    <w:p w:rsidR="00BF4994" w:rsidRDefault="00BF4994" w:rsidP="000D68A8"/>
    <w:p w:rsidR="003140EF" w:rsidRDefault="003140EF" w:rsidP="003140EF">
      <w:pPr>
        <w:pStyle w:val="Caption"/>
      </w:pPr>
      <w:bookmarkStart w:id="30" w:name="_Ref426448292"/>
      <w:r>
        <w:t xml:space="preserve">Table </w:t>
      </w:r>
      <w:r w:rsidR="00F60694">
        <w:fldChar w:fldCharType="begin"/>
      </w:r>
      <w:r w:rsidR="00F60694">
        <w:instrText xml:space="preserve"> STYLEREF 1 \s </w:instrText>
      </w:r>
      <w:r w:rsidR="00F60694">
        <w:fldChar w:fldCharType="separate"/>
      </w:r>
      <w:r w:rsidR="000A7EF4">
        <w:rPr>
          <w:noProof/>
        </w:rPr>
        <w:t>8</w:t>
      </w:r>
      <w:r w:rsidR="00F60694">
        <w:rPr>
          <w:noProof/>
        </w:rPr>
        <w:fldChar w:fldCharType="end"/>
      </w:r>
      <w:r w:rsidR="006822D9">
        <w:t>-</w:t>
      </w:r>
      <w:r w:rsidR="00F60694">
        <w:fldChar w:fldCharType="begin"/>
      </w:r>
      <w:r w:rsidR="00F60694">
        <w:instrText xml:space="preserve"> SEQ Table \* ARABIC \s 1 </w:instrText>
      </w:r>
      <w:r w:rsidR="00F60694">
        <w:fldChar w:fldCharType="separate"/>
      </w:r>
      <w:r w:rsidR="000A7EF4">
        <w:rPr>
          <w:noProof/>
        </w:rPr>
        <w:t>4</w:t>
      </w:r>
      <w:r w:rsidR="00F60694">
        <w:rPr>
          <w:noProof/>
        </w:rPr>
        <w:fldChar w:fldCharType="end"/>
      </w:r>
      <w:bookmarkEnd w:id="30"/>
      <w:r>
        <w:tab/>
      </w:r>
      <w:r w:rsidRPr="003140EF">
        <w:t xml:space="preserve">AER's </w:t>
      </w:r>
      <w:r>
        <w:t>preliminary</w:t>
      </w:r>
      <w:r w:rsidRPr="003140EF">
        <w:t xml:space="preserve"> decision on </w:t>
      </w:r>
      <w:r>
        <w:t>United</w:t>
      </w:r>
      <w:r w:rsidRPr="003140EF">
        <w:t xml:space="preserve"> Energy's standard and remaining tax asset lives (years)</w:t>
      </w:r>
    </w:p>
    <w:tbl>
      <w:tblPr>
        <w:tblStyle w:val="AERtable-numbers"/>
        <w:tblW w:w="8685" w:type="dxa"/>
        <w:tblLook w:val="04A0" w:firstRow="1" w:lastRow="0" w:firstColumn="1" w:lastColumn="0" w:noHBand="0" w:noVBand="1"/>
      </w:tblPr>
      <w:tblGrid>
        <w:gridCol w:w="3794"/>
        <w:gridCol w:w="2126"/>
        <w:gridCol w:w="2765"/>
      </w:tblGrid>
      <w:tr w:rsidR="003140EF" w:rsidRPr="003140EF" w:rsidTr="003140EF">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3794" w:type="dxa"/>
            <w:noWrap/>
            <w:hideMark/>
          </w:tcPr>
          <w:p w:rsidR="003140EF" w:rsidRPr="003140EF" w:rsidRDefault="003140EF" w:rsidP="003140EF">
            <w:r w:rsidRPr="003140EF">
              <w:t xml:space="preserve">Asset class </w:t>
            </w:r>
          </w:p>
        </w:tc>
        <w:tc>
          <w:tcPr>
            <w:tcW w:w="2126" w:type="dxa"/>
            <w:noWrap/>
            <w:hideMark/>
          </w:tcPr>
          <w:p w:rsidR="003140EF" w:rsidRPr="003140EF" w:rsidRDefault="003140EF" w:rsidP="003140EF">
            <w:pPr>
              <w:cnfStyle w:val="100000000000" w:firstRow="1" w:lastRow="0" w:firstColumn="0" w:lastColumn="0" w:oddVBand="0" w:evenVBand="0" w:oddHBand="0" w:evenHBand="0" w:firstRowFirstColumn="0" w:firstRowLastColumn="0" w:lastRowFirstColumn="0" w:lastRowLastColumn="0"/>
            </w:pPr>
            <w:r w:rsidRPr="003140EF">
              <w:t>Standard tax asset life</w:t>
            </w:r>
          </w:p>
        </w:tc>
        <w:tc>
          <w:tcPr>
            <w:tcW w:w="2765" w:type="dxa"/>
            <w:noWrap/>
            <w:hideMark/>
          </w:tcPr>
          <w:p w:rsidR="003140EF" w:rsidRPr="003140EF" w:rsidRDefault="003140EF" w:rsidP="006878F8">
            <w:pPr>
              <w:cnfStyle w:val="100000000000" w:firstRow="1" w:lastRow="0" w:firstColumn="0" w:lastColumn="0" w:oddVBand="0" w:evenVBand="0" w:oddHBand="0" w:evenHBand="0" w:firstRowFirstColumn="0" w:firstRowLastColumn="0" w:lastRowFirstColumn="0" w:lastRowLastColumn="0"/>
            </w:pPr>
            <w:r w:rsidRPr="003140EF">
              <w:t>Remaining tax asset life as at 1</w:t>
            </w:r>
            <w:r w:rsidR="006878F8">
              <w:t> </w:t>
            </w:r>
            <w:r w:rsidRPr="003140EF">
              <w:t xml:space="preserve">January 2016 </w:t>
            </w:r>
          </w:p>
        </w:tc>
      </w:tr>
      <w:tr w:rsidR="003140EF" w:rsidRPr="003140EF" w:rsidTr="003140EF">
        <w:trPr>
          <w:trHeight w:val="409"/>
        </w:trPr>
        <w:tc>
          <w:tcPr>
            <w:cnfStyle w:val="001000000000" w:firstRow="0" w:lastRow="0" w:firstColumn="1" w:lastColumn="0" w:oddVBand="0" w:evenVBand="0" w:oddHBand="0" w:evenHBand="0" w:firstRowFirstColumn="0" w:firstRowLastColumn="0" w:lastRowFirstColumn="0" w:lastRowLastColumn="0"/>
            <w:tcW w:w="3794" w:type="dxa"/>
            <w:noWrap/>
            <w:hideMark/>
          </w:tcPr>
          <w:p w:rsidR="003140EF" w:rsidRPr="003140EF" w:rsidRDefault="003140EF" w:rsidP="003140EF">
            <w:proofErr w:type="spellStart"/>
            <w:r w:rsidRPr="003140EF">
              <w:t>Subtransmission</w:t>
            </w:r>
            <w:proofErr w:type="spellEnd"/>
          </w:p>
        </w:tc>
        <w:tc>
          <w:tcPr>
            <w:tcW w:w="2126" w:type="dxa"/>
            <w:noWrap/>
            <w:hideMark/>
          </w:tcPr>
          <w:p w:rsidR="003140EF" w:rsidRPr="003140EF" w:rsidRDefault="003140EF" w:rsidP="003140EF">
            <w:pPr>
              <w:cnfStyle w:val="000000000000" w:firstRow="0" w:lastRow="0" w:firstColumn="0" w:lastColumn="0" w:oddVBand="0" w:evenVBand="0" w:oddHBand="0" w:evenHBand="0" w:firstRowFirstColumn="0" w:firstRowLastColumn="0" w:lastRowFirstColumn="0" w:lastRowLastColumn="0"/>
            </w:pPr>
            <w:r w:rsidRPr="003140EF">
              <w:t>45.0</w:t>
            </w:r>
          </w:p>
        </w:tc>
        <w:tc>
          <w:tcPr>
            <w:tcW w:w="2765" w:type="dxa"/>
            <w:noWrap/>
            <w:hideMark/>
          </w:tcPr>
          <w:p w:rsidR="003140EF" w:rsidRPr="003140EF" w:rsidRDefault="00E03B1A" w:rsidP="00E03B1A">
            <w:pPr>
              <w:cnfStyle w:val="000000000000" w:firstRow="0" w:lastRow="0" w:firstColumn="0" w:lastColumn="0" w:oddVBand="0" w:evenVBand="0" w:oddHBand="0" w:evenHBand="0" w:firstRowFirstColumn="0" w:firstRowLastColumn="0" w:lastRowFirstColumn="0" w:lastRowLastColumn="0"/>
            </w:pPr>
            <w:r>
              <w:t>25.2</w:t>
            </w:r>
          </w:p>
        </w:tc>
      </w:tr>
      <w:tr w:rsidR="003140EF" w:rsidRPr="003140EF" w:rsidTr="003140EF">
        <w:trPr>
          <w:cnfStyle w:val="000000010000" w:firstRow="0" w:lastRow="0" w:firstColumn="0" w:lastColumn="0" w:oddVBand="0" w:evenVBand="0" w:oddHBand="0" w:evenHBand="1"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3794" w:type="dxa"/>
            <w:noWrap/>
            <w:hideMark/>
          </w:tcPr>
          <w:p w:rsidR="003140EF" w:rsidRPr="003140EF" w:rsidRDefault="003140EF" w:rsidP="003140EF">
            <w:r w:rsidRPr="003140EF">
              <w:t>Distribution system assets</w:t>
            </w:r>
          </w:p>
        </w:tc>
        <w:tc>
          <w:tcPr>
            <w:tcW w:w="2126" w:type="dxa"/>
            <w:noWrap/>
            <w:hideMark/>
          </w:tcPr>
          <w:p w:rsidR="003140EF" w:rsidRPr="003140EF" w:rsidRDefault="003140EF" w:rsidP="003140EF">
            <w:pPr>
              <w:cnfStyle w:val="000000010000" w:firstRow="0" w:lastRow="0" w:firstColumn="0" w:lastColumn="0" w:oddVBand="0" w:evenVBand="0" w:oddHBand="0" w:evenHBand="1" w:firstRowFirstColumn="0" w:firstRowLastColumn="0" w:lastRowFirstColumn="0" w:lastRowLastColumn="0"/>
            </w:pPr>
            <w:r w:rsidRPr="003140EF">
              <w:t>46.0</w:t>
            </w:r>
          </w:p>
        </w:tc>
        <w:tc>
          <w:tcPr>
            <w:tcW w:w="2765" w:type="dxa"/>
            <w:noWrap/>
            <w:hideMark/>
          </w:tcPr>
          <w:p w:rsidR="003140EF" w:rsidRPr="003140EF" w:rsidRDefault="003140EF" w:rsidP="00E03B1A">
            <w:pPr>
              <w:cnfStyle w:val="000000010000" w:firstRow="0" w:lastRow="0" w:firstColumn="0" w:lastColumn="0" w:oddVBand="0" w:evenVBand="0" w:oddHBand="0" w:evenHBand="1" w:firstRowFirstColumn="0" w:firstRowLastColumn="0" w:lastRowFirstColumn="0" w:lastRowLastColumn="0"/>
            </w:pPr>
            <w:r w:rsidRPr="003140EF">
              <w:t>3</w:t>
            </w:r>
            <w:r w:rsidR="00E03B1A">
              <w:t>2.7</w:t>
            </w:r>
          </w:p>
        </w:tc>
      </w:tr>
      <w:tr w:rsidR="003140EF" w:rsidRPr="003140EF" w:rsidTr="003140EF">
        <w:trPr>
          <w:trHeight w:val="409"/>
        </w:trPr>
        <w:tc>
          <w:tcPr>
            <w:cnfStyle w:val="001000000000" w:firstRow="0" w:lastRow="0" w:firstColumn="1" w:lastColumn="0" w:oddVBand="0" w:evenVBand="0" w:oddHBand="0" w:evenHBand="0" w:firstRowFirstColumn="0" w:firstRowLastColumn="0" w:lastRowFirstColumn="0" w:lastRowLastColumn="0"/>
            <w:tcW w:w="3794" w:type="dxa"/>
            <w:noWrap/>
            <w:hideMark/>
          </w:tcPr>
          <w:p w:rsidR="003140EF" w:rsidRPr="003140EF" w:rsidRDefault="003140EF" w:rsidP="003140EF">
            <w:r w:rsidRPr="003140EF">
              <w:t>Metering</w:t>
            </w:r>
          </w:p>
        </w:tc>
        <w:tc>
          <w:tcPr>
            <w:tcW w:w="2126" w:type="dxa"/>
            <w:noWrap/>
            <w:hideMark/>
          </w:tcPr>
          <w:p w:rsidR="003140EF" w:rsidRPr="003140EF" w:rsidRDefault="003140EF" w:rsidP="003140EF">
            <w:pPr>
              <w:cnfStyle w:val="000000000000" w:firstRow="0" w:lastRow="0" w:firstColumn="0" w:lastColumn="0" w:oddVBand="0" w:evenVBand="0" w:oddHBand="0" w:evenHBand="0" w:firstRowFirstColumn="0" w:firstRowLastColumn="0" w:lastRowFirstColumn="0" w:lastRowLastColumn="0"/>
            </w:pPr>
            <w:r w:rsidRPr="003140EF">
              <w:t>25.0</w:t>
            </w:r>
          </w:p>
        </w:tc>
        <w:tc>
          <w:tcPr>
            <w:tcW w:w="2765" w:type="dxa"/>
            <w:noWrap/>
            <w:hideMark/>
          </w:tcPr>
          <w:p w:rsidR="003140EF" w:rsidRPr="003140EF" w:rsidRDefault="003140EF" w:rsidP="003140EF">
            <w:pPr>
              <w:cnfStyle w:val="000000000000" w:firstRow="0" w:lastRow="0" w:firstColumn="0" w:lastColumn="0" w:oddVBand="0" w:evenVBand="0" w:oddHBand="0" w:evenHBand="0" w:firstRowFirstColumn="0" w:firstRowLastColumn="0" w:lastRowFirstColumn="0" w:lastRowLastColumn="0"/>
            </w:pPr>
            <w:r w:rsidRPr="003140EF">
              <w:t>1.0</w:t>
            </w:r>
          </w:p>
        </w:tc>
      </w:tr>
      <w:tr w:rsidR="003140EF" w:rsidRPr="003140EF" w:rsidTr="003140EF">
        <w:trPr>
          <w:cnfStyle w:val="000000010000" w:firstRow="0" w:lastRow="0" w:firstColumn="0" w:lastColumn="0" w:oddVBand="0" w:evenVBand="0" w:oddHBand="0" w:evenHBand="1"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3794" w:type="dxa"/>
            <w:noWrap/>
            <w:hideMark/>
          </w:tcPr>
          <w:p w:rsidR="003140EF" w:rsidRPr="003140EF" w:rsidRDefault="003140EF" w:rsidP="00C71DE7">
            <w:r w:rsidRPr="003140EF">
              <w:t xml:space="preserve">Public </w:t>
            </w:r>
            <w:r w:rsidR="00C71DE7">
              <w:t>l</w:t>
            </w:r>
            <w:r w:rsidRPr="003140EF">
              <w:t>ighting</w:t>
            </w:r>
          </w:p>
        </w:tc>
        <w:tc>
          <w:tcPr>
            <w:tcW w:w="2126" w:type="dxa"/>
            <w:noWrap/>
            <w:hideMark/>
          </w:tcPr>
          <w:p w:rsidR="003140EF" w:rsidRPr="003140EF" w:rsidRDefault="003140EF" w:rsidP="003140EF">
            <w:pPr>
              <w:cnfStyle w:val="000000010000" w:firstRow="0" w:lastRow="0" w:firstColumn="0" w:lastColumn="0" w:oddVBand="0" w:evenVBand="0" w:oddHBand="0" w:evenHBand="1" w:firstRowFirstColumn="0" w:firstRowLastColumn="0" w:lastRowFirstColumn="0" w:lastRowLastColumn="0"/>
            </w:pPr>
            <w:r w:rsidRPr="003140EF">
              <w:t>15.0</w:t>
            </w:r>
          </w:p>
        </w:tc>
        <w:tc>
          <w:tcPr>
            <w:tcW w:w="2765" w:type="dxa"/>
            <w:noWrap/>
            <w:hideMark/>
          </w:tcPr>
          <w:p w:rsidR="003140EF" w:rsidRPr="003140EF" w:rsidRDefault="003140EF" w:rsidP="003140EF">
            <w:pPr>
              <w:cnfStyle w:val="000000010000" w:firstRow="0" w:lastRow="0" w:firstColumn="0" w:lastColumn="0" w:oddVBand="0" w:evenVBand="0" w:oddHBand="0" w:evenHBand="1" w:firstRowFirstColumn="0" w:firstRowLastColumn="0" w:lastRowFirstColumn="0" w:lastRowLastColumn="0"/>
            </w:pPr>
            <w:r w:rsidRPr="003140EF">
              <w:t>n/a</w:t>
            </w:r>
          </w:p>
        </w:tc>
      </w:tr>
      <w:tr w:rsidR="003140EF" w:rsidRPr="003140EF" w:rsidTr="003140EF">
        <w:trPr>
          <w:trHeight w:val="409"/>
        </w:trPr>
        <w:tc>
          <w:tcPr>
            <w:cnfStyle w:val="001000000000" w:firstRow="0" w:lastRow="0" w:firstColumn="1" w:lastColumn="0" w:oddVBand="0" w:evenVBand="0" w:oddHBand="0" w:evenHBand="0" w:firstRowFirstColumn="0" w:firstRowLastColumn="0" w:lastRowFirstColumn="0" w:lastRowLastColumn="0"/>
            <w:tcW w:w="3794" w:type="dxa"/>
            <w:noWrap/>
            <w:hideMark/>
          </w:tcPr>
          <w:p w:rsidR="003140EF" w:rsidRPr="003140EF" w:rsidRDefault="003140EF" w:rsidP="003140EF">
            <w:r w:rsidRPr="003140EF">
              <w:t>SCADA (5-year asset)</w:t>
            </w:r>
          </w:p>
        </w:tc>
        <w:tc>
          <w:tcPr>
            <w:tcW w:w="2126" w:type="dxa"/>
            <w:noWrap/>
            <w:hideMark/>
          </w:tcPr>
          <w:p w:rsidR="003140EF" w:rsidRPr="003140EF" w:rsidRDefault="003140EF" w:rsidP="003140EF">
            <w:pPr>
              <w:cnfStyle w:val="000000000000" w:firstRow="0" w:lastRow="0" w:firstColumn="0" w:lastColumn="0" w:oddVBand="0" w:evenVBand="0" w:oddHBand="0" w:evenHBand="0" w:firstRowFirstColumn="0" w:firstRowLastColumn="0" w:lastRowFirstColumn="0" w:lastRowLastColumn="0"/>
            </w:pPr>
            <w:r w:rsidRPr="003140EF">
              <w:t>5.0</w:t>
            </w:r>
          </w:p>
        </w:tc>
        <w:tc>
          <w:tcPr>
            <w:tcW w:w="2765" w:type="dxa"/>
            <w:noWrap/>
            <w:hideMark/>
          </w:tcPr>
          <w:p w:rsidR="003140EF" w:rsidRPr="003140EF" w:rsidRDefault="00E03B1A" w:rsidP="00E03B1A">
            <w:pPr>
              <w:cnfStyle w:val="000000000000" w:firstRow="0" w:lastRow="0" w:firstColumn="0" w:lastColumn="0" w:oddVBand="0" w:evenVBand="0" w:oddHBand="0" w:evenHBand="0" w:firstRowFirstColumn="0" w:firstRowLastColumn="0" w:lastRowFirstColumn="0" w:lastRowLastColumn="0"/>
            </w:pPr>
            <w:r>
              <w:t>2.3</w:t>
            </w:r>
          </w:p>
        </w:tc>
      </w:tr>
      <w:tr w:rsidR="003140EF" w:rsidRPr="003140EF" w:rsidTr="003140EF">
        <w:trPr>
          <w:cnfStyle w:val="000000010000" w:firstRow="0" w:lastRow="0" w:firstColumn="0" w:lastColumn="0" w:oddVBand="0" w:evenVBand="0" w:oddHBand="0" w:evenHBand="1"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3794" w:type="dxa"/>
            <w:noWrap/>
            <w:hideMark/>
          </w:tcPr>
          <w:p w:rsidR="003140EF" w:rsidRPr="003140EF" w:rsidRDefault="003140EF" w:rsidP="003140EF">
            <w:r w:rsidRPr="003140EF">
              <w:t>Non network - IT</w:t>
            </w:r>
          </w:p>
        </w:tc>
        <w:tc>
          <w:tcPr>
            <w:tcW w:w="2126" w:type="dxa"/>
            <w:noWrap/>
            <w:hideMark/>
          </w:tcPr>
          <w:p w:rsidR="003140EF" w:rsidRPr="003140EF" w:rsidRDefault="003140EF" w:rsidP="003140EF">
            <w:pPr>
              <w:cnfStyle w:val="000000010000" w:firstRow="0" w:lastRow="0" w:firstColumn="0" w:lastColumn="0" w:oddVBand="0" w:evenVBand="0" w:oddHBand="0" w:evenHBand="1" w:firstRowFirstColumn="0" w:firstRowLastColumn="0" w:lastRowFirstColumn="0" w:lastRowLastColumn="0"/>
            </w:pPr>
            <w:r w:rsidRPr="003140EF">
              <w:t>4.0</w:t>
            </w:r>
          </w:p>
        </w:tc>
        <w:tc>
          <w:tcPr>
            <w:tcW w:w="2765" w:type="dxa"/>
            <w:noWrap/>
            <w:hideMark/>
          </w:tcPr>
          <w:p w:rsidR="003140EF" w:rsidRPr="003140EF" w:rsidRDefault="00E03B1A" w:rsidP="00E03B1A">
            <w:pPr>
              <w:cnfStyle w:val="000000010000" w:firstRow="0" w:lastRow="0" w:firstColumn="0" w:lastColumn="0" w:oddVBand="0" w:evenVBand="0" w:oddHBand="0" w:evenHBand="1" w:firstRowFirstColumn="0" w:firstRowLastColumn="0" w:lastRowFirstColumn="0" w:lastRowLastColumn="0"/>
            </w:pPr>
            <w:r>
              <w:t>2.9</w:t>
            </w:r>
          </w:p>
        </w:tc>
      </w:tr>
      <w:tr w:rsidR="003140EF" w:rsidRPr="003140EF" w:rsidTr="003140EF">
        <w:trPr>
          <w:trHeight w:val="409"/>
        </w:trPr>
        <w:tc>
          <w:tcPr>
            <w:cnfStyle w:val="001000000000" w:firstRow="0" w:lastRow="0" w:firstColumn="1" w:lastColumn="0" w:oddVBand="0" w:evenVBand="0" w:oddHBand="0" w:evenHBand="0" w:firstRowFirstColumn="0" w:firstRowLastColumn="0" w:lastRowFirstColumn="0" w:lastRowLastColumn="0"/>
            <w:tcW w:w="3794" w:type="dxa"/>
            <w:noWrap/>
            <w:hideMark/>
          </w:tcPr>
          <w:p w:rsidR="003140EF" w:rsidRPr="003140EF" w:rsidRDefault="003140EF" w:rsidP="003140EF">
            <w:r w:rsidRPr="003140EF">
              <w:t>Non network - other</w:t>
            </w:r>
          </w:p>
        </w:tc>
        <w:tc>
          <w:tcPr>
            <w:tcW w:w="2126" w:type="dxa"/>
            <w:noWrap/>
            <w:hideMark/>
          </w:tcPr>
          <w:p w:rsidR="003140EF" w:rsidRPr="003140EF" w:rsidRDefault="003140EF" w:rsidP="003140EF">
            <w:pPr>
              <w:cnfStyle w:val="000000000000" w:firstRow="0" w:lastRow="0" w:firstColumn="0" w:lastColumn="0" w:oddVBand="0" w:evenVBand="0" w:oddHBand="0" w:evenHBand="0" w:firstRowFirstColumn="0" w:firstRowLastColumn="0" w:lastRowFirstColumn="0" w:lastRowLastColumn="0"/>
            </w:pPr>
            <w:r w:rsidRPr="003140EF">
              <w:t>12.0</w:t>
            </w:r>
          </w:p>
        </w:tc>
        <w:tc>
          <w:tcPr>
            <w:tcW w:w="2765" w:type="dxa"/>
            <w:noWrap/>
            <w:hideMark/>
          </w:tcPr>
          <w:p w:rsidR="003140EF" w:rsidRPr="003140EF" w:rsidRDefault="003140EF" w:rsidP="00E03B1A">
            <w:pPr>
              <w:cnfStyle w:val="000000000000" w:firstRow="0" w:lastRow="0" w:firstColumn="0" w:lastColumn="0" w:oddVBand="0" w:evenVBand="0" w:oddHBand="0" w:evenHBand="0" w:firstRowFirstColumn="0" w:firstRowLastColumn="0" w:lastRowFirstColumn="0" w:lastRowLastColumn="0"/>
            </w:pPr>
            <w:r w:rsidRPr="003140EF">
              <w:t>8.</w:t>
            </w:r>
            <w:r w:rsidR="00E03B1A">
              <w:t>4</w:t>
            </w:r>
          </w:p>
        </w:tc>
      </w:tr>
      <w:tr w:rsidR="003140EF" w:rsidRPr="003140EF" w:rsidTr="003140EF">
        <w:trPr>
          <w:cnfStyle w:val="000000010000" w:firstRow="0" w:lastRow="0" w:firstColumn="0" w:lastColumn="0" w:oddVBand="0" w:evenVBand="0" w:oddHBand="0" w:evenHBand="1"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3794" w:type="dxa"/>
            <w:noWrap/>
            <w:hideMark/>
          </w:tcPr>
          <w:p w:rsidR="003140EF" w:rsidRPr="003140EF" w:rsidRDefault="003140EF" w:rsidP="00C71DE7">
            <w:r w:rsidRPr="003140EF">
              <w:t xml:space="preserve">Neutral </w:t>
            </w:r>
            <w:r w:rsidR="00C71DE7">
              <w:t>s</w:t>
            </w:r>
            <w:r w:rsidRPr="003140EF">
              <w:t xml:space="preserve">creen </w:t>
            </w:r>
            <w:r w:rsidR="00C71DE7">
              <w:t>s</w:t>
            </w:r>
            <w:r w:rsidRPr="003140EF">
              <w:t>ervices</w:t>
            </w:r>
          </w:p>
        </w:tc>
        <w:tc>
          <w:tcPr>
            <w:tcW w:w="2126" w:type="dxa"/>
            <w:noWrap/>
            <w:hideMark/>
          </w:tcPr>
          <w:p w:rsidR="003140EF" w:rsidRPr="003140EF" w:rsidRDefault="003140EF" w:rsidP="003140EF">
            <w:pPr>
              <w:cnfStyle w:val="000000010000" w:firstRow="0" w:lastRow="0" w:firstColumn="0" w:lastColumn="0" w:oddVBand="0" w:evenVBand="0" w:oddHBand="0" w:evenHBand="1" w:firstRowFirstColumn="0" w:firstRowLastColumn="0" w:lastRowFirstColumn="0" w:lastRowLastColumn="0"/>
            </w:pPr>
            <w:r w:rsidRPr="003140EF">
              <w:t>n/a</w:t>
            </w:r>
          </w:p>
        </w:tc>
        <w:tc>
          <w:tcPr>
            <w:tcW w:w="2765" w:type="dxa"/>
            <w:noWrap/>
            <w:hideMark/>
          </w:tcPr>
          <w:p w:rsidR="003140EF" w:rsidRPr="003140EF" w:rsidRDefault="003140EF" w:rsidP="003140EF">
            <w:pPr>
              <w:cnfStyle w:val="000000010000" w:firstRow="0" w:lastRow="0" w:firstColumn="0" w:lastColumn="0" w:oddVBand="0" w:evenVBand="0" w:oddHBand="0" w:evenHBand="1" w:firstRowFirstColumn="0" w:firstRowLastColumn="0" w:lastRowFirstColumn="0" w:lastRowLastColumn="0"/>
            </w:pPr>
            <w:r w:rsidRPr="003140EF">
              <w:t>n/a</w:t>
            </w:r>
          </w:p>
        </w:tc>
      </w:tr>
      <w:tr w:rsidR="003140EF" w:rsidRPr="003140EF" w:rsidTr="003140EF">
        <w:trPr>
          <w:trHeight w:val="409"/>
        </w:trPr>
        <w:tc>
          <w:tcPr>
            <w:cnfStyle w:val="001000000000" w:firstRow="0" w:lastRow="0" w:firstColumn="1" w:lastColumn="0" w:oddVBand="0" w:evenVBand="0" w:oddHBand="0" w:evenHBand="0" w:firstRowFirstColumn="0" w:firstRowLastColumn="0" w:lastRowFirstColumn="0" w:lastRowLastColumn="0"/>
            <w:tcW w:w="3794" w:type="dxa"/>
            <w:noWrap/>
            <w:hideMark/>
          </w:tcPr>
          <w:p w:rsidR="003140EF" w:rsidRPr="003140EF" w:rsidRDefault="003140EF" w:rsidP="00C71DE7">
            <w:r w:rsidRPr="003140EF">
              <w:t xml:space="preserve">Distribution </w:t>
            </w:r>
            <w:r w:rsidR="00C71DE7">
              <w:t>t</w:t>
            </w:r>
            <w:r w:rsidRPr="003140EF">
              <w:t>ransformers upgrades</w:t>
            </w:r>
          </w:p>
        </w:tc>
        <w:tc>
          <w:tcPr>
            <w:tcW w:w="2126" w:type="dxa"/>
            <w:noWrap/>
            <w:hideMark/>
          </w:tcPr>
          <w:p w:rsidR="003140EF" w:rsidRPr="003140EF" w:rsidRDefault="003140EF" w:rsidP="003140EF">
            <w:pPr>
              <w:cnfStyle w:val="000000000000" w:firstRow="0" w:lastRow="0" w:firstColumn="0" w:lastColumn="0" w:oddVBand="0" w:evenVBand="0" w:oddHBand="0" w:evenHBand="0" w:firstRowFirstColumn="0" w:firstRowLastColumn="0" w:lastRowFirstColumn="0" w:lastRowLastColumn="0"/>
            </w:pPr>
            <w:r w:rsidRPr="003140EF">
              <w:t>n/a</w:t>
            </w:r>
          </w:p>
        </w:tc>
        <w:tc>
          <w:tcPr>
            <w:tcW w:w="2765" w:type="dxa"/>
            <w:noWrap/>
            <w:hideMark/>
          </w:tcPr>
          <w:p w:rsidR="003140EF" w:rsidRPr="003140EF" w:rsidRDefault="003140EF" w:rsidP="003140EF">
            <w:pPr>
              <w:cnfStyle w:val="000000000000" w:firstRow="0" w:lastRow="0" w:firstColumn="0" w:lastColumn="0" w:oddVBand="0" w:evenVBand="0" w:oddHBand="0" w:evenHBand="0" w:firstRowFirstColumn="0" w:firstRowLastColumn="0" w:lastRowFirstColumn="0" w:lastRowLastColumn="0"/>
            </w:pPr>
            <w:r w:rsidRPr="003140EF">
              <w:t>n/a</w:t>
            </w:r>
          </w:p>
        </w:tc>
      </w:tr>
      <w:tr w:rsidR="003140EF" w:rsidRPr="003140EF" w:rsidTr="003140EF">
        <w:trPr>
          <w:cnfStyle w:val="000000010000" w:firstRow="0" w:lastRow="0" w:firstColumn="0" w:lastColumn="0" w:oddVBand="0" w:evenVBand="0" w:oddHBand="0" w:evenHBand="1"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3794" w:type="dxa"/>
            <w:noWrap/>
            <w:hideMark/>
          </w:tcPr>
          <w:p w:rsidR="003140EF" w:rsidRPr="003140EF" w:rsidRDefault="003140EF" w:rsidP="003140EF">
            <w:r w:rsidRPr="003140EF">
              <w:t>SCADA (10-year asset)</w:t>
            </w:r>
          </w:p>
        </w:tc>
        <w:tc>
          <w:tcPr>
            <w:tcW w:w="2126" w:type="dxa"/>
            <w:noWrap/>
            <w:hideMark/>
          </w:tcPr>
          <w:p w:rsidR="003140EF" w:rsidRPr="003140EF" w:rsidRDefault="003140EF" w:rsidP="003140EF">
            <w:pPr>
              <w:cnfStyle w:val="000000010000" w:firstRow="0" w:lastRow="0" w:firstColumn="0" w:lastColumn="0" w:oddVBand="0" w:evenVBand="0" w:oddHBand="0" w:evenHBand="1" w:firstRowFirstColumn="0" w:firstRowLastColumn="0" w:lastRowFirstColumn="0" w:lastRowLastColumn="0"/>
            </w:pPr>
            <w:r w:rsidRPr="003140EF">
              <w:t>10.0</w:t>
            </w:r>
          </w:p>
        </w:tc>
        <w:tc>
          <w:tcPr>
            <w:tcW w:w="2765" w:type="dxa"/>
            <w:noWrap/>
            <w:hideMark/>
          </w:tcPr>
          <w:p w:rsidR="003140EF" w:rsidRPr="003140EF" w:rsidRDefault="003140EF" w:rsidP="003140EF">
            <w:pPr>
              <w:cnfStyle w:val="000000010000" w:firstRow="0" w:lastRow="0" w:firstColumn="0" w:lastColumn="0" w:oddVBand="0" w:evenVBand="0" w:oddHBand="0" w:evenHBand="1" w:firstRowFirstColumn="0" w:firstRowLastColumn="0" w:lastRowFirstColumn="0" w:lastRowLastColumn="0"/>
            </w:pPr>
            <w:r w:rsidRPr="003140EF">
              <w:t>n/a</w:t>
            </w:r>
          </w:p>
        </w:tc>
      </w:tr>
      <w:tr w:rsidR="003140EF" w:rsidRPr="003140EF" w:rsidTr="003140EF">
        <w:trPr>
          <w:trHeight w:val="409"/>
        </w:trPr>
        <w:tc>
          <w:tcPr>
            <w:cnfStyle w:val="001000000000" w:firstRow="0" w:lastRow="0" w:firstColumn="1" w:lastColumn="0" w:oddVBand="0" w:evenVBand="0" w:oddHBand="0" w:evenHBand="0" w:firstRowFirstColumn="0" w:firstRowLastColumn="0" w:lastRowFirstColumn="0" w:lastRowLastColumn="0"/>
            <w:tcW w:w="3794" w:type="dxa"/>
            <w:noWrap/>
            <w:hideMark/>
          </w:tcPr>
          <w:p w:rsidR="003140EF" w:rsidRPr="003140EF" w:rsidRDefault="003140EF" w:rsidP="003140EF">
            <w:r w:rsidRPr="003140EF">
              <w:t>Land</w:t>
            </w:r>
          </w:p>
        </w:tc>
        <w:tc>
          <w:tcPr>
            <w:tcW w:w="2126" w:type="dxa"/>
            <w:noWrap/>
            <w:hideMark/>
          </w:tcPr>
          <w:p w:rsidR="003140EF" w:rsidRPr="003140EF" w:rsidRDefault="003140EF" w:rsidP="003140EF">
            <w:pPr>
              <w:cnfStyle w:val="000000000000" w:firstRow="0" w:lastRow="0" w:firstColumn="0" w:lastColumn="0" w:oddVBand="0" w:evenVBand="0" w:oddHBand="0" w:evenHBand="0" w:firstRowFirstColumn="0" w:firstRowLastColumn="0" w:lastRowFirstColumn="0" w:lastRowLastColumn="0"/>
            </w:pPr>
            <w:r w:rsidRPr="003140EF">
              <w:t>n/a</w:t>
            </w:r>
          </w:p>
        </w:tc>
        <w:tc>
          <w:tcPr>
            <w:tcW w:w="2765" w:type="dxa"/>
            <w:noWrap/>
            <w:hideMark/>
          </w:tcPr>
          <w:p w:rsidR="003140EF" w:rsidRPr="003140EF" w:rsidRDefault="003140EF" w:rsidP="003140EF">
            <w:pPr>
              <w:cnfStyle w:val="000000000000" w:firstRow="0" w:lastRow="0" w:firstColumn="0" w:lastColumn="0" w:oddVBand="0" w:evenVBand="0" w:oddHBand="0" w:evenHBand="0" w:firstRowFirstColumn="0" w:firstRowLastColumn="0" w:lastRowFirstColumn="0" w:lastRowLastColumn="0"/>
            </w:pPr>
            <w:r w:rsidRPr="003140EF">
              <w:t>n/a</w:t>
            </w:r>
          </w:p>
        </w:tc>
      </w:tr>
      <w:tr w:rsidR="006E2964" w:rsidRPr="003140EF" w:rsidTr="003140EF">
        <w:trPr>
          <w:cnfStyle w:val="000000010000" w:firstRow="0" w:lastRow="0" w:firstColumn="0" w:lastColumn="0" w:oddVBand="0" w:evenVBand="0" w:oddHBand="0" w:evenHBand="1"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3794" w:type="dxa"/>
            <w:noWrap/>
          </w:tcPr>
          <w:p w:rsidR="006E2964" w:rsidRPr="003140EF" w:rsidRDefault="006E2964" w:rsidP="003140EF">
            <w:r>
              <w:t>Equity raising costs</w:t>
            </w:r>
          </w:p>
        </w:tc>
        <w:tc>
          <w:tcPr>
            <w:tcW w:w="2126" w:type="dxa"/>
            <w:noWrap/>
          </w:tcPr>
          <w:p w:rsidR="006E2964" w:rsidRPr="003140EF" w:rsidRDefault="006E2964" w:rsidP="003140EF">
            <w:pPr>
              <w:cnfStyle w:val="000000010000" w:firstRow="0" w:lastRow="0" w:firstColumn="0" w:lastColumn="0" w:oddVBand="0" w:evenVBand="0" w:oddHBand="0" w:evenHBand="1" w:firstRowFirstColumn="0" w:firstRowLastColumn="0" w:lastRowFirstColumn="0" w:lastRowLastColumn="0"/>
            </w:pPr>
            <w:r>
              <w:t>5.0</w:t>
            </w:r>
          </w:p>
        </w:tc>
        <w:tc>
          <w:tcPr>
            <w:tcW w:w="2765" w:type="dxa"/>
            <w:noWrap/>
          </w:tcPr>
          <w:p w:rsidR="006E2964" w:rsidRPr="003140EF" w:rsidRDefault="006E2964" w:rsidP="003140EF">
            <w:pPr>
              <w:cnfStyle w:val="000000010000" w:firstRow="0" w:lastRow="0" w:firstColumn="0" w:lastColumn="0" w:oddVBand="0" w:evenVBand="0" w:oddHBand="0" w:evenHBand="1" w:firstRowFirstColumn="0" w:firstRowLastColumn="0" w:lastRowFirstColumn="0" w:lastRowLastColumn="0"/>
            </w:pPr>
            <w:r>
              <w:t>n/a</w:t>
            </w:r>
          </w:p>
        </w:tc>
      </w:tr>
    </w:tbl>
    <w:p w:rsidR="003140EF" w:rsidRDefault="003140EF" w:rsidP="003140EF">
      <w:pPr>
        <w:pStyle w:val="AERtablesource"/>
      </w:pPr>
      <w:r>
        <w:t>Source:</w:t>
      </w:r>
      <w:r>
        <w:tab/>
        <w:t>AER analysis.</w:t>
      </w:r>
    </w:p>
    <w:p w:rsidR="003D7CFF" w:rsidRPr="003D7CFF" w:rsidRDefault="003D7CFF" w:rsidP="003D7CFF">
      <w:pPr>
        <w:pStyle w:val="AERtablesource"/>
      </w:pPr>
      <w:r>
        <w:t>n/a:</w:t>
      </w:r>
      <w:r>
        <w:tab/>
        <w:t>not applicable</w:t>
      </w:r>
      <w:r w:rsidR="00CF636A">
        <w:t>.</w:t>
      </w:r>
    </w:p>
    <w:sectPr w:rsidR="003D7CFF" w:rsidRPr="003D7CFF" w:rsidSect="00B757A6">
      <w:headerReference w:type="even" r:id="rId12"/>
      <w:footerReference w:type="even" r:id="rId13"/>
      <w:footerReference w:type="default" r:id="rId14"/>
      <w:headerReference w:type="first" r:id="rId15"/>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4E4" w:rsidRPr="00290C63" w:rsidRDefault="00DE74E4" w:rsidP="00290C63">
      <w:r>
        <w:separator/>
      </w:r>
    </w:p>
    <w:p w:rsidR="00DE74E4" w:rsidRDefault="00DE74E4"/>
  </w:endnote>
  <w:endnote w:type="continuationSeparator" w:id="0">
    <w:p w:rsidR="00DE74E4" w:rsidRPr="00290C63" w:rsidRDefault="00DE74E4" w:rsidP="00290C63">
      <w:r>
        <w:continuationSeparator/>
      </w:r>
    </w:p>
    <w:p w:rsidR="00DE74E4" w:rsidRDefault="00DE74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4E4" w:rsidRDefault="00DE74E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DE74E4" w:rsidRDefault="00DE74E4">
    <w:pPr>
      <w:pStyle w:val="Footer"/>
    </w:pPr>
  </w:p>
  <w:p w:rsidR="00DE74E4" w:rsidRDefault="00DE74E4">
    <w:pPr>
      <w:pStyle w:val="Footer"/>
    </w:pPr>
    <w:r>
      <w:fldChar w:fldCharType="begin"/>
    </w:r>
    <w:r>
      <w:instrText xml:space="preserve"> DOCPROPERTY DocumentID \* MERGEFORMAT </w:instrText>
    </w:r>
    <w:r>
      <w:fldChar w:fldCharType="separate"/>
    </w:r>
    <w:r w:rsidR="000A7EF4">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DE74E4" w:rsidRPr="00CA52A2" w:rsidRDefault="00DE74E4" w:rsidP="00CA52A2">
        <w:pPr>
          <w:pStyle w:val="Footer"/>
        </w:pPr>
        <w:r w:rsidRPr="00CA52A2">
          <w:fldChar w:fldCharType="begin"/>
        </w:r>
        <w:r>
          <w:instrText xml:space="preserve"> PAGE   \* MERGEFORMAT </w:instrText>
        </w:r>
        <w:r w:rsidRPr="00CA52A2">
          <w:fldChar w:fldCharType="separate"/>
        </w:r>
        <w:r w:rsidR="007C7BFD">
          <w:rPr>
            <w:noProof/>
          </w:rPr>
          <w:t>8-3</w:t>
        </w:r>
        <w:r w:rsidRPr="00CA52A2">
          <w:fldChar w:fldCharType="end"/>
        </w:r>
        <w:r w:rsidRPr="00CA52A2">
          <w:t xml:space="preserve">        </w:t>
        </w:r>
        <w:r>
          <w:t xml:space="preserve">                  </w:t>
        </w:r>
        <w:r w:rsidRPr="00CA52A2">
          <w:t xml:space="preserve">  Attachment </w:t>
        </w:r>
        <w:r>
          <w:t xml:space="preserve">8 </w:t>
        </w:r>
        <w:r w:rsidRPr="00CA52A2">
          <w:t xml:space="preserve">– </w:t>
        </w:r>
        <w:r>
          <w:t xml:space="preserve">Corporate income tax </w:t>
        </w:r>
        <w:r w:rsidRPr="00CA52A2">
          <w:t xml:space="preserve">| </w:t>
        </w:r>
        <w:r>
          <w:t>United Energy</w:t>
        </w:r>
        <w:r w:rsidRPr="00CA52A2">
          <w:t xml:space="preserve"> </w:t>
        </w:r>
        <w:r>
          <w:t>Preliminary decision 2016</w:t>
        </w:r>
        <w:r w:rsidRPr="00CA52A2">
          <w:t>–</w:t>
        </w:r>
        <w:r>
          <w:t>20</w:t>
        </w:r>
      </w:p>
    </w:sdtContent>
  </w:sdt>
  <w:p w:rsidR="00DE74E4" w:rsidRDefault="00DE74E4">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4E4" w:rsidRPr="00290C63" w:rsidRDefault="00DE74E4" w:rsidP="00290C63">
      <w:r>
        <w:separator/>
      </w:r>
    </w:p>
    <w:p w:rsidR="00DE74E4" w:rsidRDefault="00DE74E4"/>
  </w:footnote>
  <w:footnote w:type="continuationSeparator" w:id="0">
    <w:p w:rsidR="00DE74E4" w:rsidRPr="00290C63" w:rsidRDefault="00DE74E4" w:rsidP="00290C63">
      <w:r>
        <w:continuationSeparator/>
      </w:r>
    </w:p>
    <w:p w:rsidR="00DE74E4" w:rsidRDefault="00DE74E4"/>
  </w:footnote>
  <w:footnote w:id="1">
    <w:p w:rsidR="00DE74E4" w:rsidRDefault="00DE74E4" w:rsidP="00F90FA4">
      <w:pPr>
        <w:pStyle w:val="FootnoteText"/>
      </w:pPr>
      <w:r>
        <w:rPr>
          <w:rStyle w:val="FootnoteReference"/>
        </w:rPr>
        <w:footnoteRef/>
      </w:r>
      <w:r>
        <w:t xml:space="preserve"> </w:t>
      </w:r>
      <w:r>
        <w:tab/>
      </w:r>
      <w:r w:rsidRPr="0046015E">
        <w:t>NER, cl</w:t>
      </w:r>
      <w:r>
        <w:t>.</w:t>
      </w:r>
      <w:r w:rsidRPr="0046015E">
        <w:t xml:space="preserve"> 6.4.3(a</w:t>
      </w:r>
      <w:proofErr w:type="gramStart"/>
      <w:r w:rsidRPr="0046015E">
        <w:t>)(</w:t>
      </w:r>
      <w:proofErr w:type="gramEnd"/>
      <w:r w:rsidRPr="0046015E">
        <w:t>4).</w:t>
      </w:r>
    </w:p>
  </w:footnote>
  <w:footnote w:id="2">
    <w:p w:rsidR="00DE74E4" w:rsidRDefault="00DE74E4" w:rsidP="00F90FA4">
      <w:pPr>
        <w:pStyle w:val="FootnoteText"/>
      </w:pPr>
      <w:r>
        <w:rPr>
          <w:rStyle w:val="FootnoteReference"/>
        </w:rPr>
        <w:footnoteRef/>
      </w:r>
      <w:r>
        <w:t xml:space="preserve"> </w:t>
      </w:r>
      <w:r>
        <w:tab/>
        <w:t xml:space="preserve">United Energy, </w:t>
      </w:r>
      <w:r w:rsidRPr="001C6888">
        <w:rPr>
          <w:rStyle w:val="AERtextitalic"/>
        </w:rPr>
        <w:t>Regulatory proposal</w:t>
      </w:r>
      <w:r w:rsidRPr="001678BA">
        <w:t xml:space="preserve">, </w:t>
      </w:r>
      <w:r>
        <w:t>April 2015</w:t>
      </w:r>
      <w:r w:rsidRPr="001678BA">
        <w:t>,</w:t>
      </w:r>
      <w:r>
        <w:t xml:space="preserve"> pp 127–134 </w:t>
      </w:r>
      <w:proofErr w:type="gramStart"/>
      <w:r>
        <w:t>and  Attachment</w:t>
      </w:r>
      <w:proofErr w:type="gramEnd"/>
      <w:r>
        <w:t xml:space="preserve"> 6 - PTRM - standard control. </w:t>
      </w:r>
    </w:p>
  </w:footnote>
  <w:footnote w:id="3">
    <w:p w:rsidR="00DE74E4" w:rsidRDefault="00DE74E4" w:rsidP="00F90FA4">
      <w:pPr>
        <w:pStyle w:val="FootnoteText"/>
      </w:pPr>
      <w:r>
        <w:rPr>
          <w:rStyle w:val="FootnoteReference"/>
        </w:rPr>
        <w:footnoteRef/>
      </w:r>
      <w:r>
        <w:t xml:space="preserve"> </w:t>
      </w:r>
      <w:r>
        <w:tab/>
      </w:r>
      <w:r w:rsidRPr="005C4CCF">
        <w:t>The tax depreciation is therefore recalculated based on actual capex. The same tax depreciation approach of using actual capex applies to the roll forward of the TAB at the next reset.</w:t>
      </w:r>
    </w:p>
  </w:footnote>
  <w:footnote w:id="4">
    <w:p w:rsidR="00DE74E4" w:rsidRDefault="00DE74E4" w:rsidP="00621A21">
      <w:pPr>
        <w:pStyle w:val="FootnoteText"/>
      </w:pPr>
      <w:r>
        <w:rPr>
          <w:rStyle w:val="FootnoteReference"/>
        </w:rPr>
        <w:footnoteRef/>
      </w:r>
      <w:r>
        <w:t xml:space="preserve"> </w:t>
      </w:r>
      <w:r>
        <w:tab/>
        <w:t xml:space="preserve">Our 2011–15 determination for United Energy </w:t>
      </w:r>
      <w:r w:rsidRPr="00856BBF">
        <w:t>did not contain remaining tax asset lives for depreciating its opening TAB at 1 January 201</w:t>
      </w:r>
      <w:r>
        <w:t>1</w:t>
      </w:r>
      <w:r w:rsidRPr="00856BBF">
        <w:t xml:space="preserve"> as </w:t>
      </w:r>
      <w:r>
        <w:t>they are</w:t>
      </w:r>
      <w:r w:rsidRPr="00856BBF">
        <w:t xml:space="preserve"> not required under the </w:t>
      </w:r>
      <w:r>
        <w:t>diminishing value</w:t>
      </w:r>
      <w:r w:rsidRPr="00856BBF">
        <w:t xml:space="preserve"> approach. </w:t>
      </w:r>
    </w:p>
  </w:footnote>
  <w:footnote w:id="5">
    <w:p w:rsidR="00DE74E4" w:rsidRDefault="00DE74E4" w:rsidP="00621A21">
      <w:pPr>
        <w:pStyle w:val="FootnoteText"/>
      </w:pPr>
      <w:r>
        <w:rPr>
          <w:rStyle w:val="FootnoteReference"/>
        </w:rPr>
        <w:footnoteRef/>
      </w:r>
      <w:r>
        <w:t xml:space="preserve"> </w:t>
      </w:r>
      <w:r>
        <w:tab/>
        <w:t xml:space="preserve">AER, </w:t>
      </w:r>
      <w:r w:rsidRPr="006873FD">
        <w:rPr>
          <w:rStyle w:val="Emphasis"/>
        </w:rPr>
        <w:t xml:space="preserve">Draft decision, </w:t>
      </w:r>
      <w:proofErr w:type="spellStart"/>
      <w:r w:rsidRPr="006873FD">
        <w:rPr>
          <w:rStyle w:val="Emphasis"/>
        </w:rPr>
        <w:t>Ausgrid</w:t>
      </w:r>
      <w:proofErr w:type="spellEnd"/>
      <w:r w:rsidRPr="00D52D99">
        <w:rPr>
          <w:rStyle w:val="AERtextitalic"/>
        </w:rPr>
        <w:t xml:space="preserve"> distribution determination 2015–16 to 2018–</w:t>
      </w:r>
      <w:r w:rsidRPr="006873FD">
        <w:rPr>
          <w:rStyle w:val="Emphasis"/>
        </w:rPr>
        <w:t>19, Attachment 8: Corporate income tax</w:t>
      </w:r>
      <w:r>
        <w:t>, November 2014, pp. 8</w:t>
      </w:r>
      <w:r w:rsidR="00A00968">
        <w:t>–</w:t>
      </w:r>
      <w:r>
        <w:t>17 to 8</w:t>
      </w:r>
      <w:r w:rsidR="00A00968">
        <w:t>–</w:t>
      </w:r>
      <w:r>
        <w:t xml:space="preserve">19. </w:t>
      </w:r>
    </w:p>
  </w:footnote>
  <w:footnote w:id="6">
    <w:p w:rsidR="00DE74E4" w:rsidRDefault="00DE74E4" w:rsidP="00F90FA4">
      <w:pPr>
        <w:pStyle w:val="FootnoteText"/>
      </w:pPr>
      <w:r>
        <w:rPr>
          <w:rStyle w:val="FootnoteReference"/>
        </w:rPr>
        <w:footnoteRef/>
      </w:r>
      <w:r>
        <w:t xml:space="preserve"> </w:t>
      </w:r>
      <w:r>
        <w:tab/>
      </w:r>
      <w:proofErr w:type="gramStart"/>
      <w:r w:rsidRPr="0046015E">
        <w:t>NER, cl</w:t>
      </w:r>
      <w:r>
        <w:t>. 6.5.3.</w:t>
      </w:r>
      <w:proofErr w:type="gramEnd"/>
    </w:p>
  </w:footnote>
  <w:footnote w:id="7">
    <w:p w:rsidR="00DE74E4" w:rsidRDefault="00DE74E4" w:rsidP="00F90FA4">
      <w:pPr>
        <w:pStyle w:val="FootnoteText"/>
      </w:pPr>
      <w:r>
        <w:rPr>
          <w:rStyle w:val="FootnoteReference"/>
        </w:rPr>
        <w:footnoteRef/>
      </w:r>
      <w:r>
        <w:t xml:space="preserve"> </w:t>
      </w:r>
      <w:r>
        <w:tab/>
      </w:r>
      <w:proofErr w:type="gramStart"/>
      <w:r w:rsidR="00F60694">
        <w:t xml:space="preserve">NER, </w:t>
      </w:r>
      <w:proofErr w:type="spellStart"/>
      <w:r w:rsidR="00F60694">
        <w:t>c</w:t>
      </w:r>
      <w:r w:rsidR="00A00968">
        <w:t>l</w:t>
      </w:r>
      <w:r w:rsidR="00F60694">
        <w:t>s</w:t>
      </w:r>
      <w:proofErr w:type="spellEnd"/>
      <w:r>
        <w:t>.</w:t>
      </w:r>
      <w:proofErr w:type="gramEnd"/>
      <w:r>
        <w:t xml:space="preserve"> 6.5.3 and 6.4.2</w:t>
      </w:r>
      <w:r w:rsidRPr="0046015E">
        <w:t>(</w:t>
      </w:r>
      <w:r>
        <w:t>b</w:t>
      </w:r>
      <w:proofErr w:type="gramStart"/>
      <w:r w:rsidRPr="0046015E">
        <w:t>)(</w:t>
      </w:r>
      <w:proofErr w:type="gramEnd"/>
      <w:r w:rsidRPr="0046015E">
        <w:t>4).</w:t>
      </w:r>
    </w:p>
  </w:footnote>
  <w:footnote w:id="8">
    <w:p w:rsidR="00DE74E4" w:rsidRDefault="00DE74E4" w:rsidP="00F90FA4">
      <w:pPr>
        <w:pStyle w:val="FootnoteText"/>
      </w:pPr>
      <w:r>
        <w:rPr>
          <w:rStyle w:val="FootnoteReference"/>
        </w:rPr>
        <w:footnoteRef/>
      </w:r>
      <w:r>
        <w:t xml:space="preserve"> </w:t>
      </w:r>
      <w:r>
        <w:tab/>
      </w:r>
      <w:r w:rsidRPr="004656C5">
        <w:t>In fact, there is an iterative relationship between tax and revenues. That is, revenues lead to tax, being applied, which increases revenues and leads to slightly more tax and so on. The PTRM is therefore set up to run an iterative process until the revenue and tax allowances become stable.</w:t>
      </w:r>
    </w:p>
  </w:footnote>
  <w:footnote w:id="9">
    <w:p w:rsidR="00DE74E4" w:rsidRDefault="00DE74E4" w:rsidP="00F90FA4">
      <w:pPr>
        <w:pStyle w:val="FootnoteText"/>
      </w:pPr>
      <w:r>
        <w:rPr>
          <w:rStyle w:val="FootnoteReference"/>
        </w:rPr>
        <w:footnoteRef/>
      </w:r>
      <w:r>
        <w:t xml:space="preserve"> </w:t>
      </w:r>
      <w:r>
        <w:tab/>
      </w:r>
      <w:r w:rsidRPr="008A212B">
        <w:t>For example, although increased opex adds to revenue requirement, these expenses are also offset against the revenues as deductions in determining tax, so there is no net impact in this case. A higher return on equity, in contrast, gives rise to no offsetting tax expenses and therefore increases the tax allowance in proportion to the company tax rate.</w:t>
      </w:r>
    </w:p>
  </w:footnote>
  <w:footnote w:id="10">
    <w:p w:rsidR="00DE74E4" w:rsidRDefault="00DE74E4" w:rsidP="007B10E5">
      <w:pPr>
        <w:pStyle w:val="FootnoteText"/>
      </w:pPr>
      <w:r>
        <w:rPr>
          <w:rStyle w:val="FootnoteReference"/>
        </w:rPr>
        <w:footnoteRef/>
      </w:r>
      <w:r>
        <w:t xml:space="preserve"> </w:t>
      </w:r>
      <w:r>
        <w:tab/>
      </w:r>
      <w:proofErr w:type="gramStart"/>
      <w:r>
        <w:t xml:space="preserve">AER, </w:t>
      </w:r>
      <w:r w:rsidRPr="00653594">
        <w:rPr>
          <w:rStyle w:val="AERtextitalic"/>
        </w:rPr>
        <w:t>Final decision, Vi</w:t>
      </w:r>
      <w:r w:rsidRPr="001F0A99">
        <w:rPr>
          <w:rStyle w:val="AERtextitalic"/>
        </w:rPr>
        <w:t>ctorian electricity distribution network service providers Distribution determination 2011–2015</w:t>
      </w:r>
      <w:r>
        <w:t>, October 2010, pp. 520–521.</w:t>
      </w:r>
      <w:proofErr w:type="gramEnd"/>
    </w:p>
  </w:footnote>
  <w:footnote w:id="11">
    <w:p w:rsidR="00DE74E4" w:rsidRDefault="00DE74E4">
      <w:pPr>
        <w:pStyle w:val="FootnoteText"/>
      </w:pPr>
      <w:r>
        <w:rPr>
          <w:rStyle w:val="FootnoteReference"/>
        </w:rPr>
        <w:footnoteRef/>
      </w:r>
      <w:r>
        <w:t xml:space="preserve"> </w:t>
      </w:r>
      <w:r>
        <w:tab/>
        <w:t xml:space="preserve">At the time of this preliminary decision, the roll forward of United Energy's TAB includes estimated capex values for </w:t>
      </w:r>
      <w:r>
        <w:br/>
        <w:t>2015. We will update the 2015 estimated capex values for the substitute (final) decision.</w:t>
      </w:r>
    </w:p>
  </w:footnote>
  <w:footnote w:id="12">
    <w:p w:rsidR="00DE74E4" w:rsidRDefault="00DE74E4">
      <w:pPr>
        <w:pStyle w:val="FootnoteText"/>
      </w:pPr>
      <w:r>
        <w:rPr>
          <w:rStyle w:val="FootnoteReference"/>
        </w:rPr>
        <w:footnoteRef/>
      </w:r>
      <w:r>
        <w:t xml:space="preserve"> </w:t>
      </w:r>
      <w:r>
        <w:tab/>
        <w:t>The proposed capex was incorrectly allocated to a shorter lived asset class. United Energy’s proposal therefore included too much tax depreciation of capex than if the capex had been correctly allocated.</w:t>
      </w:r>
    </w:p>
  </w:footnote>
  <w:footnote w:id="13">
    <w:p w:rsidR="00DE74E4" w:rsidRDefault="00DE74E4">
      <w:pPr>
        <w:pStyle w:val="FootnoteText"/>
      </w:pPr>
      <w:r>
        <w:rPr>
          <w:rStyle w:val="FootnoteReference"/>
        </w:rPr>
        <w:footnoteRef/>
      </w:r>
      <w:r>
        <w:t xml:space="preserve"> </w:t>
      </w:r>
      <w:r>
        <w:tab/>
      </w:r>
      <w:r w:rsidRPr="007439D2">
        <w:t xml:space="preserve">ATO, </w:t>
      </w:r>
      <w:r w:rsidRPr="00122B48">
        <w:rPr>
          <w:rStyle w:val="AERtextitalic"/>
        </w:rPr>
        <w:t>Taxation Ruling Income tax: effective life of depreciating assets (applicable from 1 July 2015)</w:t>
      </w:r>
      <w:r w:rsidRPr="007439D2">
        <w:t xml:space="preserve">, </w:t>
      </w:r>
      <w:r>
        <w:t>July</w:t>
      </w:r>
      <w:r w:rsidRPr="007439D2">
        <w:t xml:space="preserve"> 201</w:t>
      </w:r>
      <w:r>
        <w:t>5</w:t>
      </w:r>
      <w:r w:rsidRPr="007439D2">
        <w:t xml:space="preserve">, </w:t>
      </w:r>
      <w:hyperlink r:id="rId1" w:history="1">
        <w:r w:rsidRPr="00AB5005">
          <w:rPr>
            <w:rStyle w:val="Hyperlink"/>
            <w:sz w:val="16"/>
          </w:rPr>
          <w:t>http://law.ato.gov.au/atolaw/view.htm?docid=%22TXR%2FTR20152%2FNAT%2FATO%2F00001%22</w:t>
        </w:r>
      </w:hyperlink>
      <w:r w:rsidRPr="007439D2">
        <w:t xml:space="preserve">, accessed on </w:t>
      </w:r>
      <w:r>
        <w:t>29</w:t>
      </w:r>
      <w:r w:rsidRPr="007439D2">
        <w:t xml:space="preserve"> </w:t>
      </w:r>
      <w:r>
        <w:t>July</w:t>
      </w:r>
      <w:r w:rsidRPr="007439D2">
        <w:t xml:space="preserve"> 201</w:t>
      </w:r>
      <w:r>
        <w:t>5</w:t>
      </w:r>
      <w:r w:rsidRPr="007439D2">
        <w:t>.</w:t>
      </w:r>
    </w:p>
  </w:footnote>
  <w:footnote w:id="14">
    <w:p w:rsidR="00DE74E4" w:rsidRDefault="00DE74E4">
      <w:pPr>
        <w:pStyle w:val="FootnoteText"/>
      </w:pPr>
      <w:r>
        <w:rPr>
          <w:rStyle w:val="FootnoteReference"/>
        </w:rPr>
        <w:footnoteRef/>
      </w:r>
      <w:r>
        <w:t xml:space="preserve"> </w:t>
      </w:r>
      <w:r>
        <w:tab/>
        <w:t xml:space="preserve">We note that United Energy did propose any land capex over the 2016–20 regulatory </w:t>
      </w:r>
      <w:r w:rsidR="006822D9">
        <w:t xml:space="preserve">control </w:t>
      </w:r>
      <w:proofErr w:type="gramStart"/>
      <w:r>
        <w:t>period,</w:t>
      </w:r>
      <w:proofErr w:type="gramEnd"/>
      <w:r>
        <w:t xml:space="preserve"> therefore this change has no impact over that period.</w:t>
      </w:r>
    </w:p>
  </w:footnote>
  <w:footnote w:id="15">
    <w:p w:rsidR="00DE74E4" w:rsidRDefault="00DE74E4" w:rsidP="00CB2C55">
      <w:pPr>
        <w:pStyle w:val="FootnoteText"/>
      </w:pPr>
      <w:r>
        <w:rPr>
          <w:rStyle w:val="FootnoteReference"/>
        </w:rPr>
        <w:footnoteRef/>
      </w:r>
      <w:r>
        <w:t xml:space="preserve"> </w:t>
      </w:r>
      <w:r>
        <w:tab/>
      </w:r>
      <w:proofErr w:type="gramStart"/>
      <w:r w:rsidRPr="00A7672E">
        <w:t xml:space="preserve">AER, </w:t>
      </w:r>
      <w:r w:rsidRPr="00A7672E">
        <w:rPr>
          <w:rStyle w:val="AERtextitalic"/>
        </w:rPr>
        <w:t>Victorian distribution draft decision 2011–15</w:t>
      </w:r>
      <w:r w:rsidRPr="00A7672E">
        <w:t>, June 2010, p. 552.</w:t>
      </w:r>
      <w:proofErr w:type="gramEnd"/>
    </w:p>
  </w:footnote>
  <w:footnote w:id="16">
    <w:p w:rsidR="00DE74E4" w:rsidRDefault="00DE74E4" w:rsidP="006878F8">
      <w:pPr>
        <w:pStyle w:val="FootnoteText"/>
      </w:pPr>
      <w:r>
        <w:rPr>
          <w:rStyle w:val="FootnoteReference"/>
        </w:rPr>
        <w:footnoteRef/>
      </w:r>
      <w:r>
        <w:t xml:space="preserve"> </w:t>
      </w:r>
      <w:r>
        <w:tab/>
      </w:r>
      <w:proofErr w:type="gramStart"/>
      <w:r>
        <w:t xml:space="preserve">United Energy, </w:t>
      </w:r>
      <w:r w:rsidRPr="001C6888">
        <w:rPr>
          <w:rStyle w:val="AERtextitalic"/>
        </w:rPr>
        <w:t>Regulatory proposal</w:t>
      </w:r>
      <w:r w:rsidRPr="001678BA">
        <w:t xml:space="preserve">, </w:t>
      </w:r>
      <w:r>
        <w:t>April 2015</w:t>
      </w:r>
      <w:r w:rsidRPr="001678BA">
        <w:t>,</w:t>
      </w:r>
      <w:r>
        <w:t xml:space="preserve"> p</w:t>
      </w:r>
      <w:r w:rsidR="00A00968">
        <w:t>.</w:t>
      </w:r>
      <w:r>
        <w:t xml:space="preserve"> 133.</w:t>
      </w:r>
      <w:proofErr w:type="gramEnd"/>
    </w:p>
  </w:footnote>
  <w:footnote w:id="17">
    <w:p w:rsidR="00DE74E4" w:rsidRDefault="00DE74E4" w:rsidP="00C76C9E">
      <w:pPr>
        <w:pStyle w:val="FootnoteText"/>
      </w:pPr>
      <w:r>
        <w:rPr>
          <w:rStyle w:val="FootnoteReference"/>
        </w:rPr>
        <w:footnoteRef/>
      </w:r>
      <w:r>
        <w:t xml:space="preserve"> </w:t>
      </w:r>
      <w:r>
        <w:tab/>
      </w:r>
      <w:proofErr w:type="gramStart"/>
      <w:r w:rsidRPr="00991768">
        <w:t xml:space="preserve">AER, </w:t>
      </w:r>
      <w:proofErr w:type="spellStart"/>
      <w:r w:rsidRPr="00991768">
        <w:rPr>
          <w:rStyle w:val="AERtextitalic"/>
        </w:rPr>
        <w:t>Ausgrid</w:t>
      </w:r>
      <w:proofErr w:type="spellEnd"/>
      <w:r w:rsidRPr="00991768">
        <w:rPr>
          <w:rStyle w:val="AERtextitalic"/>
        </w:rPr>
        <w:t xml:space="preserve"> distribution determination 2015–16 to 2018–19 draft decision</w:t>
      </w:r>
      <w:r w:rsidRPr="00991768">
        <w:t>, attachment 8, November 2014, pp. 25–26.</w:t>
      </w:r>
      <w:proofErr w:type="gramEnd"/>
    </w:p>
  </w:footnote>
  <w:footnote w:id="18">
    <w:p w:rsidR="00DE74E4" w:rsidRDefault="00DE74E4" w:rsidP="00C76C9E">
      <w:pPr>
        <w:pStyle w:val="FootnoteText"/>
      </w:pPr>
      <w:r>
        <w:rPr>
          <w:rStyle w:val="FootnoteReference"/>
        </w:rPr>
        <w:footnoteRef/>
      </w:r>
      <w:r>
        <w:t xml:space="preserve"> </w:t>
      </w:r>
      <w:r>
        <w:tab/>
        <w:t xml:space="preserve">Having established the remaining tax asset lives as at 1 January 2016 for this determination process, we consider that when rolling forward these remaining tax asset lives to 1 January 2020 at the next reset </w:t>
      </w:r>
      <w:r w:rsidRPr="009F349F">
        <w:t xml:space="preserve">our </w:t>
      </w:r>
      <w:r>
        <w:t xml:space="preserve">preferred </w:t>
      </w:r>
      <w:r w:rsidRPr="009F349F">
        <w:t xml:space="preserve">weighted average </w:t>
      </w:r>
      <w:r>
        <w:t xml:space="preserve">method should be </w:t>
      </w:r>
      <w:r w:rsidRPr="009F349F">
        <w:t>used.</w:t>
      </w:r>
    </w:p>
  </w:footnote>
  <w:footnote w:id="19">
    <w:p w:rsidR="00DE74E4" w:rsidRDefault="00DE74E4" w:rsidP="00F45426">
      <w:pPr>
        <w:pStyle w:val="FootnoteText"/>
      </w:pPr>
      <w:r>
        <w:rPr>
          <w:rStyle w:val="FootnoteReference"/>
        </w:rPr>
        <w:footnoteRef/>
      </w:r>
      <w:r>
        <w:t xml:space="preserve"> </w:t>
      </w:r>
      <w:r>
        <w:tab/>
      </w:r>
      <w:proofErr w:type="gramStart"/>
      <w:r w:rsidRPr="005F0D1A">
        <w:t xml:space="preserve">NER, </w:t>
      </w:r>
      <w:r>
        <w:t>cl</w:t>
      </w:r>
      <w:r w:rsidR="000A7EF4">
        <w:t>.</w:t>
      </w:r>
      <w:r w:rsidRPr="005F0D1A">
        <w:t xml:space="preserve"> 6</w:t>
      </w:r>
      <w:r>
        <w:t>.5.3</w:t>
      </w:r>
      <w:r w:rsidRPr="005F0D1A">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4E4" w:rsidRDefault="007C7BFD">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DE74E4">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4E4" w:rsidRDefault="007C7BFD">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6C2EAF4A"/>
    <w:lvl w:ilvl="0">
      <w:start w:val="8"/>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ezgvxdz3BQsPiZDnaEFwU0vk+7J1xYAifn/u3n7awpE=" w:saltValue="wWms1LRF8zRh8Hor79naMg=="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lewi\Desktop\Templates\ausnet - prelim decision - attachment 9.docx"/>
  </w:docVars>
  <w:rsids>
    <w:rsidRoot w:val="00961A4A"/>
    <w:rsid w:val="00010286"/>
    <w:rsid w:val="00021202"/>
    <w:rsid w:val="00021C2B"/>
    <w:rsid w:val="0002517F"/>
    <w:rsid w:val="00026495"/>
    <w:rsid w:val="000356A2"/>
    <w:rsid w:val="0003578C"/>
    <w:rsid w:val="00036A8F"/>
    <w:rsid w:val="000401AF"/>
    <w:rsid w:val="00063247"/>
    <w:rsid w:val="00070F9F"/>
    <w:rsid w:val="0007137B"/>
    <w:rsid w:val="00085663"/>
    <w:rsid w:val="00085EBF"/>
    <w:rsid w:val="00091B15"/>
    <w:rsid w:val="000A0B75"/>
    <w:rsid w:val="000A100B"/>
    <w:rsid w:val="000A3020"/>
    <w:rsid w:val="000A6C7B"/>
    <w:rsid w:val="000A7EF4"/>
    <w:rsid w:val="000B033B"/>
    <w:rsid w:val="000C2B40"/>
    <w:rsid w:val="000D06C1"/>
    <w:rsid w:val="000D122C"/>
    <w:rsid w:val="000D3016"/>
    <w:rsid w:val="000D53EB"/>
    <w:rsid w:val="000D68A8"/>
    <w:rsid w:val="000E1819"/>
    <w:rsid w:val="000E4821"/>
    <w:rsid w:val="000E6C72"/>
    <w:rsid w:val="000F0B2B"/>
    <w:rsid w:val="000F3E72"/>
    <w:rsid w:val="000F48B1"/>
    <w:rsid w:val="001157B0"/>
    <w:rsid w:val="00116EB2"/>
    <w:rsid w:val="00122B48"/>
    <w:rsid w:val="00124609"/>
    <w:rsid w:val="00126A4C"/>
    <w:rsid w:val="00142AB6"/>
    <w:rsid w:val="0014573B"/>
    <w:rsid w:val="0015441B"/>
    <w:rsid w:val="001573E4"/>
    <w:rsid w:val="00160756"/>
    <w:rsid w:val="0017232E"/>
    <w:rsid w:val="00174102"/>
    <w:rsid w:val="001754EE"/>
    <w:rsid w:val="00180157"/>
    <w:rsid w:val="00185CB9"/>
    <w:rsid w:val="00186F77"/>
    <w:rsid w:val="001926A4"/>
    <w:rsid w:val="00192AD5"/>
    <w:rsid w:val="00196AB3"/>
    <w:rsid w:val="001B45A0"/>
    <w:rsid w:val="001B7D00"/>
    <w:rsid w:val="001D055E"/>
    <w:rsid w:val="001F05A4"/>
    <w:rsid w:val="001F2733"/>
    <w:rsid w:val="001F492E"/>
    <w:rsid w:val="001F6DA3"/>
    <w:rsid w:val="002010BC"/>
    <w:rsid w:val="002016E7"/>
    <w:rsid w:val="00201B4A"/>
    <w:rsid w:val="00201F98"/>
    <w:rsid w:val="00202E03"/>
    <w:rsid w:val="0020478D"/>
    <w:rsid w:val="0020492C"/>
    <w:rsid w:val="00224DB9"/>
    <w:rsid w:val="00227DCE"/>
    <w:rsid w:val="0023276C"/>
    <w:rsid w:val="00233775"/>
    <w:rsid w:val="00251745"/>
    <w:rsid w:val="00256D51"/>
    <w:rsid w:val="00263AC0"/>
    <w:rsid w:val="00264264"/>
    <w:rsid w:val="0026772D"/>
    <w:rsid w:val="0027694A"/>
    <w:rsid w:val="00286874"/>
    <w:rsid w:val="00290C63"/>
    <w:rsid w:val="00296B65"/>
    <w:rsid w:val="002A7DEF"/>
    <w:rsid w:val="002B1003"/>
    <w:rsid w:val="002C233C"/>
    <w:rsid w:val="002D72E8"/>
    <w:rsid w:val="002E4137"/>
    <w:rsid w:val="002E7B22"/>
    <w:rsid w:val="002F7986"/>
    <w:rsid w:val="00301B40"/>
    <w:rsid w:val="003029EE"/>
    <w:rsid w:val="0030370B"/>
    <w:rsid w:val="00305CC8"/>
    <w:rsid w:val="00307F6D"/>
    <w:rsid w:val="003140EF"/>
    <w:rsid w:val="003177A2"/>
    <w:rsid w:val="003271B5"/>
    <w:rsid w:val="00327A1E"/>
    <w:rsid w:val="00331264"/>
    <w:rsid w:val="00334C8D"/>
    <w:rsid w:val="00343A18"/>
    <w:rsid w:val="00344473"/>
    <w:rsid w:val="003518B3"/>
    <w:rsid w:val="00367BCE"/>
    <w:rsid w:val="003846F1"/>
    <w:rsid w:val="003931A7"/>
    <w:rsid w:val="003B484F"/>
    <w:rsid w:val="003B7FBA"/>
    <w:rsid w:val="003D7CFF"/>
    <w:rsid w:val="003F174D"/>
    <w:rsid w:val="003F7442"/>
    <w:rsid w:val="00415F31"/>
    <w:rsid w:val="00423A77"/>
    <w:rsid w:val="004244EF"/>
    <w:rsid w:val="00432DC7"/>
    <w:rsid w:val="0045777E"/>
    <w:rsid w:val="00474EC7"/>
    <w:rsid w:val="00480B4B"/>
    <w:rsid w:val="00484429"/>
    <w:rsid w:val="00485DC4"/>
    <w:rsid w:val="004A43D1"/>
    <w:rsid w:val="004A44CE"/>
    <w:rsid w:val="004A5227"/>
    <w:rsid w:val="004B34FB"/>
    <w:rsid w:val="004B4412"/>
    <w:rsid w:val="004C348C"/>
    <w:rsid w:val="004D55BA"/>
    <w:rsid w:val="004E1775"/>
    <w:rsid w:val="004E22EC"/>
    <w:rsid w:val="004F6A0E"/>
    <w:rsid w:val="00530128"/>
    <w:rsid w:val="005311B3"/>
    <w:rsid w:val="00532467"/>
    <w:rsid w:val="00537FD6"/>
    <w:rsid w:val="00555C13"/>
    <w:rsid w:val="00564A4D"/>
    <w:rsid w:val="0056588A"/>
    <w:rsid w:val="00567BA5"/>
    <w:rsid w:val="00571B35"/>
    <w:rsid w:val="00571D57"/>
    <w:rsid w:val="00577A09"/>
    <w:rsid w:val="005829C2"/>
    <w:rsid w:val="00584D8F"/>
    <w:rsid w:val="00586819"/>
    <w:rsid w:val="00590FBF"/>
    <w:rsid w:val="0059704C"/>
    <w:rsid w:val="005A404D"/>
    <w:rsid w:val="005B1E3C"/>
    <w:rsid w:val="005B3FB7"/>
    <w:rsid w:val="005B704A"/>
    <w:rsid w:val="005C0A7F"/>
    <w:rsid w:val="005C26CC"/>
    <w:rsid w:val="005C331A"/>
    <w:rsid w:val="005C4C9C"/>
    <w:rsid w:val="005D6A7A"/>
    <w:rsid w:val="005D7BA2"/>
    <w:rsid w:val="005E0979"/>
    <w:rsid w:val="005E36C2"/>
    <w:rsid w:val="006007DE"/>
    <w:rsid w:val="00601638"/>
    <w:rsid w:val="006066A1"/>
    <w:rsid w:val="00610EF9"/>
    <w:rsid w:val="00612F4F"/>
    <w:rsid w:val="00615C6B"/>
    <w:rsid w:val="0061603B"/>
    <w:rsid w:val="00621A21"/>
    <w:rsid w:val="00621DCE"/>
    <w:rsid w:val="00632D6D"/>
    <w:rsid w:val="00642C3E"/>
    <w:rsid w:val="00651C3A"/>
    <w:rsid w:val="00651CB2"/>
    <w:rsid w:val="00653594"/>
    <w:rsid w:val="006560CA"/>
    <w:rsid w:val="0066104A"/>
    <w:rsid w:val="00663DAD"/>
    <w:rsid w:val="00665649"/>
    <w:rsid w:val="006672AA"/>
    <w:rsid w:val="00675E20"/>
    <w:rsid w:val="00676679"/>
    <w:rsid w:val="006822D9"/>
    <w:rsid w:val="00683C89"/>
    <w:rsid w:val="00684BDB"/>
    <w:rsid w:val="006878F8"/>
    <w:rsid w:val="00691D9A"/>
    <w:rsid w:val="006B2395"/>
    <w:rsid w:val="006B45A4"/>
    <w:rsid w:val="006B4CF9"/>
    <w:rsid w:val="006B785B"/>
    <w:rsid w:val="006B7AC8"/>
    <w:rsid w:val="006C1736"/>
    <w:rsid w:val="006C4798"/>
    <w:rsid w:val="006D550F"/>
    <w:rsid w:val="006E2964"/>
    <w:rsid w:val="006F3AD1"/>
    <w:rsid w:val="006F3FC8"/>
    <w:rsid w:val="0070011E"/>
    <w:rsid w:val="00701CAB"/>
    <w:rsid w:val="00707563"/>
    <w:rsid w:val="0072348C"/>
    <w:rsid w:val="00724A37"/>
    <w:rsid w:val="007303C3"/>
    <w:rsid w:val="00741E23"/>
    <w:rsid w:val="007429BE"/>
    <w:rsid w:val="00743223"/>
    <w:rsid w:val="007439D2"/>
    <w:rsid w:val="00746E01"/>
    <w:rsid w:val="00747EEA"/>
    <w:rsid w:val="00757364"/>
    <w:rsid w:val="00757BDF"/>
    <w:rsid w:val="007609D0"/>
    <w:rsid w:val="00763E5D"/>
    <w:rsid w:val="00767740"/>
    <w:rsid w:val="00777EE6"/>
    <w:rsid w:val="00782EEA"/>
    <w:rsid w:val="007B10E5"/>
    <w:rsid w:val="007B186E"/>
    <w:rsid w:val="007B2C72"/>
    <w:rsid w:val="007C1C53"/>
    <w:rsid w:val="007C74BB"/>
    <w:rsid w:val="007C7BFD"/>
    <w:rsid w:val="007D456E"/>
    <w:rsid w:val="007E4904"/>
    <w:rsid w:val="007E4CB5"/>
    <w:rsid w:val="007F066B"/>
    <w:rsid w:val="007F213A"/>
    <w:rsid w:val="007F75C4"/>
    <w:rsid w:val="008033C4"/>
    <w:rsid w:val="00806C88"/>
    <w:rsid w:val="0081034E"/>
    <w:rsid w:val="00813252"/>
    <w:rsid w:val="008221F2"/>
    <w:rsid w:val="00825985"/>
    <w:rsid w:val="008344F6"/>
    <w:rsid w:val="0083510F"/>
    <w:rsid w:val="008408C5"/>
    <w:rsid w:val="00851209"/>
    <w:rsid w:val="00852B1D"/>
    <w:rsid w:val="0085722A"/>
    <w:rsid w:val="0087340D"/>
    <w:rsid w:val="008837AC"/>
    <w:rsid w:val="008A587D"/>
    <w:rsid w:val="008B27E2"/>
    <w:rsid w:val="008B35CD"/>
    <w:rsid w:val="008B5F36"/>
    <w:rsid w:val="008B5FCC"/>
    <w:rsid w:val="008B7544"/>
    <w:rsid w:val="008C3374"/>
    <w:rsid w:val="008C5486"/>
    <w:rsid w:val="008C61CE"/>
    <w:rsid w:val="008C708B"/>
    <w:rsid w:val="008D1661"/>
    <w:rsid w:val="008D6800"/>
    <w:rsid w:val="008E7031"/>
    <w:rsid w:val="008E77DE"/>
    <w:rsid w:val="008F07A3"/>
    <w:rsid w:val="008F34DD"/>
    <w:rsid w:val="009001B6"/>
    <w:rsid w:val="00900E1B"/>
    <w:rsid w:val="0090114F"/>
    <w:rsid w:val="00901C3C"/>
    <w:rsid w:val="009233EE"/>
    <w:rsid w:val="009272AD"/>
    <w:rsid w:val="009277DC"/>
    <w:rsid w:val="009364CD"/>
    <w:rsid w:val="009460AA"/>
    <w:rsid w:val="00951978"/>
    <w:rsid w:val="00961A4A"/>
    <w:rsid w:val="009661DE"/>
    <w:rsid w:val="00981DAF"/>
    <w:rsid w:val="00983C25"/>
    <w:rsid w:val="009856B7"/>
    <w:rsid w:val="00985C86"/>
    <w:rsid w:val="009A5113"/>
    <w:rsid w:val="009A5FC3"/>
    <w:rsid w:val="009B388A"/>
    <w:rsid w:val="009B6F84"/>
    <w:rsid w:val="009B74B0"/>
    <w:rsid w:val="009D3286"/>
    <w:rsid w:val="009D3906"/>
    <w:rsid w:val="009D6B46"/>
    <w:rsid w:val="009E4256"/>
    <w:rsid w:val="009F4940"/>
    <w:rsid w:val="009F5BA1"/>
    <w:rsid w:val="009F7D4D"/>
    <w:rsid w:val="00A00968"/>
    <w:rsid w:val="00A024CF"/>
    <w:rsid w:val="00A02A88"/>
    <w:rsid w:val="00A0562E"/>
    <w:rsid w:val="00A0667F"/>
    <w:rsid w:val="00A0726D"/>
    <w:rsid w:val="00A14560"/>
    <w:rsid w:val="00A173A2"/>
    <w:rsid w:val="00A27C0E"/>
    <w:rsid w:val="00A32734"/>
    <w:rsid w:val="00A32FBB"/>
    <w:rsid w:val="00A41B65"/>
    <w:rsid w:val="00A428EE"/>
    <w:rsid w:val="00A44307"/>
    <w:rsid w:val="00A4478A"/>
    <w:rsid w:val="00A44852"/>
    <w:rsid w:val="00A4650A"/>
    <w:rsid w:val="00A471F2"/>
    <w:rsid w:val="00A50502"/>
    <w:rsid w:val="00A52722"/>
    <w:rsid w:val="00A57D04"/>
    <w:rsid w:val="00A60A26"/>
    <w:rsid w:val="00A61598"/>
    <w:rsid w:val="00A66CD4"/>
    <w:rsid w:val="00A7672E"/>
    <w:rsid w:val="00A84A99"/>
    <w:rsid w:val="00A84F46"/>
    <w:rsid w:val="00A871F4"/>
    <w:rsid w:val="00A87F91"/>
    <w:rsid w:val="00AC1B2C"/>
    <w:rsid w:val="00AC3264"/>
    <w:rsid w:val="00AD2DF0"/>
    <w:rsid w:val="00AE1BF1"/>
    <w:rsid w:val="00AF0DD2"/>
    <w:rsid w:val="00B0209D"/>
    <w:rsid w:val="00B07CEA"/>
    <w:rsid w:val="00B13048"/>
    <w:rsid w:val="00B15664"/>
    <w:rsid w:val="00B156AE"/>
    <w:rsid w:val="00B1716D"/>
    <w:rsid w:val="00B17A1D"/>
    <w:rsid w:val="00B207A0"/>
    <w:rsid w:val="00B35903"/>
    <w:rsid w:val="00B509DD"/>
    <w:rsid w:val="00B514DD"/>
    <w:rsid w:val="00B52AF0"/>
    <w:rsid w:val="00B561BD"/>
    <w:rsid w:val="00B56E03"/>
    <w:rsid w:val="00B757A6"/>
    <w:rsid w:val="00B8080B"/>
    <w:rsid w:val="00B82223"/>
    <w:rsid w:val="00B87BA5"/>
    <w:rsid w:val="00B87C39"/>
    <w:rsid w:val="00B91EF3"/>
    <w:rsid w:val="00B9562D"/>
    <w:rsid w:val="00BA4665"/>
    <w:rsid w:val="00BB2FB2"/>
    <w:rsid w:val="00BB3304"/>
    <w:rsid w:val="00BB7528"/>
    <w:rsid w:val="00BD310B"/>
    <w:rsid w:val="00BD3446"/>
    <w:rsid w:val="00BE1F1B"/>
    <w:rsid w:val="00BE47B5"/>
    <w:rsid w:val="00BF4994"/>
    <w:rsid w:val="00C04223"/>
    <w:rsid w:val="00C24BDE"/>
    <w:rsid w:val="00C25FA6"/>
    <w:rsid w:val="00C538A9"/>
    <w:rsid w:val="00C53B5A"/>
    <w:rsid w:val="00C54F5A"/>
    <w:rsid w:val="00C569B4"/>
    <w:rsid w:val="00C56A3E"/>
    <w:rsid w:val="00C643F9"/>
    <w:rsid w:val="00C66ABE"/>
    <w:rsid w:val="00C67A92"/>
    <w:rsid w:val="00C71DE7"/>
    <w:rsid w:val="00C7497E"/>
    <w:rsid w:val="00C76C9E"/>
    <w:rsid w:val="00C813B4"/>
    <w:rsid w:val="00C84560"/>
    <w:rsid w:val="00C84700"/>
    <w:rsid w:val="00C84F52"/>
    <w:rsid w:val="00C86679"/>
    <w:rsid w:val="00CA489E"/>
    <w:rsid w:val="00CA52A2"/>
    <w:rsid w:val="00CB0279"/>
    <w:rsid w:val="00CB2C55"/>
    <w:rsid w:val="00CB2D63"/>
    <w:rsid w:val="00CB666B"/>
    <w:rsid w:val="00CC7F1D"/>
    <w:rsid w:val="00CE484B"/>
    <w:rsid w:val="00CF0DEE"/>
    <w:rsid w:val="00CF636A"/>
    <w:rsid w:val="00CF6EDE"/>
    <w:rsid w:val="00D006AE"/>
    <w:rsid w:val="00D01CF0"/>
    <w:rsid w:val="00D01EFD"/>
    <w:rsid w:val="00D0442A"/>
    <w:rsid w:val="00D0759D"/>
    <w:rsid w:val="00D17683"/>
    <w:rsid w:val="00D429E7"/>
    <w:rsid w:val="00D45694"/>
    <w:rsid w:val="00D61388"/>
    <w:rsid w:val="00D61A54"/>
    <w:rsid w:val="00D64DEA"/>
    <w:rsid w:val="00D7168E"/>
    <w:rsid w:val="00D71E57"/>
    <w:rsid w:val="00D80893"/>
    <w:rsid w:val="00D84854"/>
    <w:rsid w:val="00D848B4"/>
    <w:rsid w:val="00D92CF1"/>
    <w:rsid w:val="00D92D38"/>
    <w:rsid w:val="00D950F5"/>
    <w:rsid w:val="00DA4752"/>
    <w:rsid w:val="00DA61F3"/>
    <w:rsid w:val="00DA6B93"/>
    <w:rsid w:val="00DB0F93"/>
    <w:rsid w:val="00DB1A67"/>
    <w:rsid w:val="00DB5074"/>
    <w:rsid w:val="00DB5B21"/>
    <w:rsid w:val="00DC7981"/>
    <w:rsid w:val="00DD3E14"/>
    <w:rsid w:val="00DE1093"/>
    <w:rsid w:val="00DE2957"/>
    <w:rsid w:val="00DE4EFA"/>
    <w:rsid w:val="00DE5520"/>
    <w:rsid w:val="00DE563D"/>
    <w:rsid w:val="00DE5E2E"/>
    <w:rsid w:val="00DE74E4"/>
    <w:rsid w:val="00DE772C"/>
    <w:rsid w:val="00DF2B7B"/>
    <w:rsid w:val="00DF312A"/>
    <w:rsid w:val="00E03B1A"/>
    <w:rsid w:val="00E04818"/>
    <w:rsid w:val="00E06442"/>
    <w:rsid w:val="00E06BCF"/>
    <w:rsid w:val="00E1001C"/>
    <w:rsid w:val="00E23993"/>
    <w:rsid w:val="00E257D6"/>
    <w:rsid w:val="00E25B8C"/>
    <w:rsid w:val="00E51D65"/>
    <w:rsid w:val="00E6200B"/>
    <w:rsid w:val="00E65C85"/>
    <w:rsid w:val="00E66199"/>
    <w:rsid w:val="00E711C7"/>
    <w:rsid w:val="00E755EC"/>
    <w:rsid w:val="00E7624D"/>
    <w:rsid w:val="00E80B6A"/>
    <w:rsid w:val="00EA3D42"/>
    <w:rsid w:val="00EA6B1B"/>
    <w:rsid w:val="00EB5BC8"/>
    <w:rsid w:val="00EB606C"/>
    <w:rsid w:val="00EC04F1"/>
    <w:rsid w:val="00EC771A"/>
    <w:rsid w:val="00ED0EC2"/>
    <w:rsid w:val="00ED7323"/>
    <w:rsid w:val="00EE28F3"/>
    <w:rsid w:val="00EE50D1"/>
    <w:rsid w:val="00EF5110"/>
    <w:rsid w:val="00F029D1"/>
    <w:rsid w:val="00F0334E"/>
    <w:rsid w:val="00F05736"/>
    <w:rsid w:val="00F10411"/>
    <w:rsid w:val="00F15882"/>
    <w:rsid w:val="00F171E0"/>
    <w:rsid w:val="00F20BD3"/>
    <w:rsid w:val="00F2526A"/>
    <w:rsid w:val="00F373A5"/>
    <w:rsid w:val="00F40D1C"/>
    <w:rsid w:val="00F44A94"/>
    <w:rsid w:val="00F45426"/>
    <w:rsid w:val="00F47559"/>
    <w:rsid w:val="00F60694"/>
    <w:rsid w:val="00F61176"/>
    <w:rsid w:val="00F64C7B"/>
    <w:rsid w:val="00F65B25"/>
    <w:rsid w:val="00F676DD"/>
    <w:rsid w:val="00F71667"/>
    <w:rsid w:val="00F75A26"/>
    <w:rsid w:val="00F76706"/>
    <w:rsid w:val="00F768C8"/>
    <w:rsid w:val="00F81B8D"/>
    <w:rsid w:val="00F83FAD"/>
    <w:rsid w:val="00F8653A"/>
    <w:rsid w:val="00F90FA4"/>
    <w:rsid w:val="00F92349"/>
    <w:rsid w:val="00F952A0"/>
    <w:rsid w:val="00FA3C7F"/>
    <w:rsid w:val="00FB16AC"/>
    <w:rsid w:val="00FB4402"/>
    <w:rsid w:val="00FB60FE"/>
    <w:rsid w:val="00FB74E2"/>
    <w:rsid w:val="00FC71DC"/>
    <w:rsid w:val="00FD2ED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861801">
      <w:bodyDiv w:val="1"/>
      <w:marLeft w:val="0"/>
      <w:marRight w:val="0"/>
      <w:marTop w:val="0"/>
      <w:marBottom w:val="0"/>
      <w:divBdr>
        <w:top w:val="none" w:sz="0" w:space="0" w:color="auto"/>
        <w:left w:val="none" w:sz="0" w:space="0" w:color="auto"/>
        <w:bottom w:val="none" w:sz="0" w:space="0" w:color="auto"/>
        <w:right w:val="none" w:sz="0" w:space="0" w:color="auto"/>
      </w:divBdr>
    </w:div>
    <w:div w:id="530874020">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8993236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80094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law.ato.gov.au/atolaw/view.htm?docid=%22TXR%2FTR20152%2FNAT%2FATO%2F00001%22"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D24D04-E4A2-42A8-8D7F-EB2759A2A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9ED61175</Template>
  <TotalTime>0</TotalTime>
  <Pages>15</Pages>
  <Words>3537</Words>
  <Characters>20164</Characters>
  <Application>Microsoft Office Word</Application>
  <DocSecurity>0</DocSecurity>
  <Lines>168</Lines>
  <Paragraphs>47</Paragraphs>
  <ScaleCrop>false</ScaleCrop>
  <Company/>
  <LinksUpToDate>false</LinksUpToDate>
  <CharactersWithSpaces>23654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2015-10-24T20:26:00Z</dcterms:created>
  <dcterms:modified xsi:type="dcterms:W3CDTF">2015-10-24T20:26:00Z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8429822</vt:lpwstr>
  </property>
</Properties>
</file>