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9100AD7" wp14:editId="477CA1A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036587" w:rsidP="008F07A3">
          <w:pPr>
            <w:pStyle w:val="ReportSubtitle"/>
          </w:pPr>
          <w:r>
            <w:t>United Energy</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5B3FB7">
            <w:t>9</w:t>
          </w:r>
          <w:r w:rsidR="00DA4752">
            <w:t xml:space="preserve"> </w:t>
          </w:r>
          <w:r w:rsidR="00415F31">
            <w:rPr>
              <w:rFonts w:cs="Arial"/>
            </w:rPr>
            <w:t>–</w:t>
          </w:r>
          <w:r w:rsidR="00DA4752">
            <w:t xml:space="preserve"> </w:t>
          </w:r>
          <w:r w:rsidR="005B3FB7">
            <w:t>Efficiency benefit</w:t>
          </w:r>
          <w:r w:rsidR="00E257D6">
            <w:t xml:space="preserve"> sharing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521776"/>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036587">
        <w:t>United Energy</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AA321A" w:rsidRDefault="0070011E" w:rsidP="00EB3BB9">
      <w:r>
        <w:t>Attach</w:t>
      </w:r>
      <w:r w:rsidR="009A5113">
        <w:t xml:space="preserve">ment 18 - </w:t>
      </w:r>
      <w:r w:rsidR="00AA321A">
        <w:t>f-</w:t>
      </w:r>
      <w:r w:rsidR="00AA321A" w:rsidRPr="001663B6">
        <w:t>factor scheme</w:t>
      </w:r>
    </w:p>
    <w:p w:rsidR="00DE563D" w:rsidRPr="00A72B34" w:rsidRDefault="00DE563D" w:rsidP="00DE772C">
      <w:pPr>
        <w:pStyle w:val="UnnumberedHeading"/>
        <w:numPr>
          <w:ilvl w:val="0"/>
          <w:numId w:val="23"/>
        </w:numPr>
      </w:pPr>
      <w:bookmarkStart w:id="5" w:name="_Toc403144133"/>
      <w:bookmarkStart w:id="6" w:name="_Toc433521777"/>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E618D" w:rsidRDefault="008E618D">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3521776" w:history="1">
            <w:r w:rsidRPr="002A6C59">
              <w:rPr>
                <w:rStyle w:val="Hyperlink"/>
              </w:rPr>
              <w:t>Note</w:t>
            </w:r>
            <w:r>
              <w:rPr>
                <w:webHidden/>
              </w:rPr>
              <w:tab/>
            </w:r>
            <w:r>
              <w:rPr>
                <w:webHidden/>
              </w:rPr>
              <w:fldChar w:fldCharType="begin"/>
            </w:r>
            <w:r>
              <w:rPr>
                <w:webHidden/>
              </w:rPr>
              <w:instrText xml:space="preserve"> PAGEREF _Toc433521776 \h </w:instrText>
            </w:r>
            <w:r>
              <w:rPr>
                <w:webHidden/>
              </w:rPr>
            </w:r>
            <w:r>
              <w:rPr>
                <w:webHidden/>
              </w:rPr>
              <w:fldChar w:fldCharType="separate"/>
            </w:r>
            <w:r>
              <w:rPr>
                <w:webHidden/>
              </w:rPr>
              <w:t>9-2</w:t>
            </w:r>
            <w:r>
              <w:rPr>
                <w:webHidden/>
              </w:rPr>
              <w:fldChar w:fldCharType="end"/>
            </w:r>
          </w:hyperlink>
        </w:p>
        <w:p w:rsidR="008E618D" w:rsidRDefault="008E618D">
          <w:pPr>
            <w:pStyle w:val="TOC1"/>
            <w:rPr>
              <w:rFonts w:asciiTheme="minorHAnsi" w:eastAsiaTheme="minorEastAsia" w:hAnsiTheme="minorHAnsi"/>
              <w:b w:val="0"/>
              <w:color w:val="auto"/>
              <w:sz w:val="22"/>
              <w:lang w:val="en-AU" w:eastAsia="en-AU"/>
            </w:rPr>
          </w:pPr>
          <w:hyperlink w:anchor="_Toc433521777" w:history="1">
            <w:r w:rsidRPr="002A6C59">
              <w:rPr>
                <w:rStyle w:val="Hyperlink"/>
              </w:rPr>
              <w:t>Contents</w:t>
            </w:r>
            <w:r>
              <w:rPr>
                <w:webHidden/>
              </w:rPr>
              <w:tab/>
            </w:r>
            <w:r>
              <w:rPr>
                <w:webHidden/>
              </w:rPr>
              <w:fldChar w:fldCharType="begin"/>
            </w:r>
            <w:r>
              <w:rPr>
                <w:webHidden/>
              </w:rPr>
              <w:instrText xml:space="preserve"> PAGEREF _Toc433521777 \h </w:instrText>
            </w:r>
            <w:r>
              <w:rPr>
                <w:webHidden/>
              </w:rPr>
            </w:r>
            <w:r>
              <w:rPr>
                <w:webHidden/>
              </w:rPr>
              <w:fldChar w:fldCharType="separate"/>
            </w:r>
            <w:r>
              <w:rPr>
                <w:webHidden/>
              </w:rPr>
              <w:t>9-3</w:t>
            </w:r>
            <w:r>
              <w:rPr>
                <w:webHidden/>
              </w:rPr>
              <w:fldChar w:fldCharType="end"/>
            </w:r>
          </w:hyperlink>
        </w:p>
        <w:p w:rsidR="008E618D" w:rsidRDefault="008E618D">
          <w:pPr>
            <w:pStyle w:val="TOC1"/>
            <w:rPr>
              <w:rFonts w:asciiTheme="minorHAnsi" w:eastAsiaTheme="minorEastAsia" w:hAnsiTheme="minorHAnsi"/>
              <w:b w:val="0"/>
              <w:color w:val="auto"/>
              <w:sz w:val="22"/>
              <w:lang w:val="en-AU" w:eastAsia="en-AU"/>
            </w:rPr>
          </w:pPr>
          <w:hyperlink w:anchor="_Toc433521778" w:history="1">
            <w:r w:rsidRPr="002A6C59">
              <w:rPr>
                <w:rStyle w:val="Hyperlink"/>
              </w:rPr>
              <w:t>Shortened forms</w:t>
            </w:r>
            <w:r>
              <w:rPr>
                <w:webHidden/>
              </w:rPr>
              <w:tab/>
            </w:r>
            <w:r>
              <w:rPr>
                <w:webHidden/>
              </w:rPr>
              <w:fldChar w:fldCharType="begin"/>
            </w:r>
            <w:r>
              <w:rPr>
                <w:webHidden/>
              </w:rPr>
              <w:instrText xml:space="preserve"> PAGEREF _Toc433521778 \h </w:instrText>
            </w:r>
            <w:r>
              <w:rPr>
                <w:webHidden/>
              </w:rPr>
            </w:r>
            <w:r>
              <w:rPr>
                <w:webHidden/>
              </w:rPr>
              <w:fldChar w:fldCharType="separate"/>
            </w:r>
            <w:r>
              <w:rPr>
                <w:webHidden/>
              </w:rPr>
              <w:t>9-4</w:t>
            </w:r>
            <w:r>
              <w:rPr>
                <w:webHidden/>
              </w:rPr>
              <w:fldChar w:fldCharType="end"/>
            </w:r>
          </w:hyperlink>
        </w:p>
        <w:p w:rsidR="008E618D" w:rsidRDefault="008E618D">
          <w:pPr>
            <w:pStyle w:val="TOC1"/>
            <w:rPr>
              <w:rFonts w:asciiTheme="minorHAnsi" w:eastAsiaTheme="minorEastAsia" w:hAnsiTheme="minorHAnsi"/>
              <w:b w:val="0"/>
              <w:color w:val="auto"/>
              <w:sz w:val="22"/>
              <w:lang w:val="en-AU" w:eastAsia="en-AU"/>
            </w:rPr>
          </w:pPr>
          <w:hyperlink w:anchor="_Toc433521779" w:history="1">
            <w:r w:rsidRPr="002A6C59">
              <w:rPr>
                <w:rStyle w:val="Hyperlink"/>
              </w:rPr>
              <w:t>9</w:t>
            </w:r>
            <w:r>
              <w:rPr>
                <w:rFonts w:asciiTheme="minorHAnsi" w:eastAsiaTheme="minorEastAsia" w:hAnsiTheme="minorHAnsi"/>
                <w:b w:val="0"/>
                <w:color w:val="auto"/>
                <w:sz w:val="22"/>
                <w:lang w:val="en-AU" w:eastAsia="en-AU"/>
              </w:rPr>
              <w:tab/>
            </w:r>
            <w:r w:rsidRPr="002A6C59">
              <w:rPr>
                <w:rStyle w:val="Hyperlink"/>
              </w:rPr>
              <w:t>Efficiency benefit sharing scheme</w:t>
            </w:r>
            <w:r>
              <w:rPr>
                <w:webHidden/>
              </w:rPr>
              <w:tab/>
            </w:r>
            <w:r>
              <w:rPr>
                <w:webHidden/>
              </w:rPr>
              <w:fldChar w:fldCharType="begin"/>
            </w:r>
            <w:r>
              <w:rPr>
                <w:webHidden/>
              </w:rPr>
              <w:instrText xml:space="preserve"> PAGEREF _Toc433521779 \h </w:instrText>
            </w:r>
            <w:r>
              <w:rPr>
                <w:webHidden/>
              </w:rPr>
            </w:r>
            <w:r>
              <w:rPr>
                <w:webHidden/>
              </w:rPr>
              <w:fldChar w:fldCharType="separate"/>
            </w:r>
            <w:r>
              <w:rPr>
                <w:webHidden/>
              </w:rPr>
              <w:t>9-6</w:t>
            </w:r>
            <w:r>
              <w:rPr>
                <w:webHidden/>
              </w:rPr>
              <w:fldChar w:fldCharType="end"/>
            </w:r>
          </w:hyperlink>
        </w:p>
        <w:p w:rsidR="008E618D" w:rsidRDefault="008E618D">
          <w:pPr>
            <w:pStyle w:val="TOC2"/>
            <w:rPr>
              <w:rFonts w:asciiTheme="minorHAnsi" w:eastAsiaTheme="minorEastAsia" w:hAnsiTheme="minorHAnsi"/>
              <w:b w:val="0"/>
              <w:color w:val="auto"/>
              <w:sz w:val="22"/>
              <w:lang w:eastAsia="en-AU"/>
            </w:rPr>
          </w:pPr>
          <w:hyperlink w:anchor="_Toc433521780" w:history="1">
            <w:r w:rsidRPr="002A6C59">
              <w:rPr>
                <w:rStyle w:val="Hyperlink"/>
              </w:rPr>
              <w:t>9.1</w:t>
            </w:r>
            <w:r>
              <w:rPr>
                <w:rFonts w:asciiTheme="minorHAnsi" w:eastAsiaTheme="minorEastAsia" w:hAnsiTheme="minorHAnsi"/>
                <w:b w:val="0"/>
                <w:color w:val="auto"/>
                <w:sz w:val="22"/>
                <w:lang w:eastAsia="en-AU"/>
              </w:rPr>
              <w:tab/>
            </w:r>
            <w:r w:rsidRPr="002A6C59">
              <w:rPr>
                <w:rStyle w:val="Hyperlink"/>
              </w:rPr>
              <w:t>Preliminary decision</w:t>
            </w:r>
            <w:r>
              <w:rPr>
                <w:webHidden/>
              </w:rPr>
              <w:tab/>
            </w:r>
            <w:r>
              <w:rPr>
                <w:webHidden/>
              </w:rPr>
              <w:fldChar w:fldCharType="begin"/>
            </w:r>
            <w:r>
              <w:rPr>
                <w:webHidden/>
              </w:rPr>
              <w:instrText xml:space="preserve"> PAGEREF _Toc433521780 \h </w:instrText>
            </w:r>
            <w:r>
              <w:rPr>
                <w:webHidden/>
              </w:rPr>
            </w:r>
            <w:r>
              <w:rPr>
                <w:webHidden/>
              </w:rPr>
              <w:fldChar w:fldCharType="separate"/>
            </w:r>
            <w:r>
              <w:rPr>
                <w:webHidden/>
              </w:rPr>
              <w:t>9-6</w:t>
            </w:r>
            <w:r>
              <w:rPr>
                <w:webHidden/>
              </w:rPr>
              <w:fldChar w:fldCharType="end"/>
            </w:r>
          </w:hyperlink>
        </w:p>
        <w:p w:rsidR="008E618D" w:rsidRDefault="008E618D">
          <w:pPr>
            <w:pStyle w:val="TOC2"/>
            <w:rPr>
              <w:rFonts w:asciiTheme="minorHAnsi" w:eastAsiaTheme="minorEastAsia" w:hAnsiTheme="minorHAnsi"/>
              <w:b w:val="0"/>
              <w:color w:val="auto"/>
              <w:sz w:val="22"/>
              <w:lang w:eastAsia="en-AU"/>
            </w:rPr>
          </w:pPr>
          <w:hyperlink w:anchor="_Toc433521781" w:history="1">
            <w:r w:rsidRPr="002A6C59">
              <w:rPr>
                <w:rStyle w:val="Hyperlink"/>
              </w:rPr>
              <w:t>9.2</w:t>
            </w:r>
            <w:r>
              <w:rPr>
                <w:rFonts w:asciiTheme="minorHAnsi" w:eastAsiaTheme="minorEastAsia" w:hAnsiTheme="minorHAnsi"/>
                <w:b w:val="0"/>
                <w:color w:val="auto"/>
                <w:sz w:val="22"/>
                <w:lang w:eastAsia="en-AU"/>
              </w:rPr>
              <w:tab/>
            </w:r>
            <w:r w:rsidRPr="002A6C59">
              <w:rPr>
                <w:rStyle w:val="Hyperlink"/>
              </w:rPr>
              <w:t>United Energy’s proposal</w:t>
            </w:r>
            <w:r>
              <w:rPr>
                <w:webHidden/>
              </w:rPr>
              <w:tab/>
            </w:r>
            <w:r>
              <w:rPr>
                <w:webHidden/>
              </w:rPr>
              <w:fldChar w:fldCharType="begin"/>
            </w:r>
            <w:r>
              <w:rPr>
                <w:webHidden/>
              </w:rPr>
              <w:instrText xml:space="preserve"> PAGEREF _Toc433521781 \h </w:instrText>
            </w:r>
            <w:r>
              <w:rPr>
                <w:webHidden/>
              </w:rPr>
            </w:r>
            <w:r>
              <w:rPr>
                <w:webHidden/>
              </w:rPr>
              <w:fldChar w:fldCharType="separate"/>
            </w:r>
            <w:r>
              <w:rPr>
                <w:webHidden/>
              </w:rPr>
              <w:t>9-7</w:t>
            </w:r>
            <w:r>
              <w:rPr>
                <w:webHidden/>
              </w:rPr>
              <w:fldChar w:fldCharType="end"/>
            </w:r>
          </w:hyperlink>
        </w:p>
        <w:p w:rsidR="008E618D" w:rsidRDefault="008E618D">
          <w:pPr>
            <w:pStyle w:val="TOC3"/>
            <w:rPr>
              <w:rFonts w:asciiTheme="minorHAnsi" w:eastAsiaTheme="minorEastAsia" w:hAnsiTheme="minorHAnsi"/>
              <w:lang w:eastAsia="en-AU"/>
            </w:rPr>
          </w:pPr>
          <w:hyperlink w:anchor="_Toc433521782" w:history="1">
            <w:r w:rsidRPr="002A6C59">
              <w:rPr>
                <w:rStyle w:val="Hyperlink"/>
              </w:rPr>
              <w:t>9.2.1</w:t>
            </w:r>
            <w:r>
              <w:rPr>
                <w:rFonts w:asciiTheme="minorHAnsi" w:eastAsiaTheme="minorEastAsia" w:hAnsiTheme="minorHAnsi"/>
                <w:lang w:eastAsia="en-AU"/>
              </w:rPr>
              <w:tab/>
            </w:r>
            <w:r w:rsidRPr="002A6C59">
              <w:rPr>
                <w:rStyle w:val="Hyperlink"/>
              </w:rPr>
              <w:t>Carryover amounts accrued during the 2011–15 regulatory control period</w:t>
            </w:r>
            <w:r>
              <w:rPr>
                <w:webHidden/>
              </w:rPr>
              <w:tab/>
            </w:r>
            <w:r>
              <w:rPr>
                <w:webHidden/>
              </w:rPr>
              <w:fldChar w:fldCharType="begin"/>
            </w:r>
            <w:r>
              <w:rPr>
                <w:webHidden/>
              </w:rPr>
              <w:instrText xml:space="preserve"> PAGEREF _Toc433521782 \h </w:instrText>
            </w:r>
            <w:r>
              <w:rPr>
                <w:webHidden/>
              </w:rPr>
            </w:r>
            <w:r>
              <w:rPr>
                <w:webHidden/>
              </w:rPr>
              <w:fldChar w:fldCharType="separate"/>
            </w:r>
            <w:r>
              <w:rPr>
                <w:webHidden/>
              </w:rPr>
              <w:t>9-7</w:t>
            </w:r>
            <w:r>
              <w:rPr>
                <w:webHidden/>
              </w:rPr>
              <w:fldChar w:fldCharType="end"/>
            </w:r>
          </w:hyperlink>
        </w:p>
        <w:p w:rsidR="008E618D" w:rsidRDefault="008E618D">
          <w:pPr>
            <w:pStyle w:val="TOC3"/>
            <w:rPr>
              <w:rFonts w:asciiTheme="minorHAnsi" w:eastAsiaTheme="minorEastAsia" w:hAnsiTheme="minorHAnsi"/>
              <w:lang w:eastAsia="en-AU"/>
            </w:rPr>
          </w:pPr>
          <w:hyperlink w:anchor="_Toc433521783" w:history="1">
            <w:r w:rsidRPr="002A6C59">
              <w:rPr>
                <w:rStyle w:val="Hyperlink"/>
              </w:rPr>
              <w:t>9.2.2</w:t>
            </w:r>
            <w:r>
              <w:rPr>
                <w:rFonts w:asciiTheme="minorHAnsi" w:eastAsiaTheme="minorEastAsia" w:hAnsiTheme="minorHAnsi"/>
                <w:lang w:eastAsia="en-AU"/>
              </w:rPr>
              <w:tab/>
            </w:r>
            <w:r w:rsidRPr="002A6C59">
              <w:rPr>
                <w:rStyle w:val="Hyperlink"/>
              </w:rPr>
              <w:t>Application of the EBSS in the 2016–20 regulatory control period</w:t>
            </w:r>
            <w:r>
              <w:rPr>
                <w:webHidden/>
              </w:rPr>
              <w:tab/>
            </w:r>
            <w:r>
              <w:rPr>
                <w:webHidden/>
              </w:rPr>
              <w:fldChar w:fldCharType="begin"/>
            </w:r>
            <w:r>
              <w:rPr>
                <w:webHidden/>
              </w:rPr>
              <w:instrText xml:space="preserve"> PAGEREF _Toc433521783 \h </w:instrText>
            </w:r>
            <w:r>
              <w:rPr>
                <w:webHidden/>
              </w:rPr>
            </w:r>
            <w:r>
              <w:rPr>
                <w:webHidden/>
              </w:rPr>
              <w:fldChar w:fldCharType="separate"/>
            </w:r>
            <w:r>
              <w:rPr>
                <w:webHidden/>
              </w:rPr>
              <w:t>9-8</w:t>
            </w:r>
            <w:r>
              <w:rPr>
                <w:webHidden/>
              </w:rPr>
              <w:fldChar w:fldCharType="end"/>
            </w:r>
          </w:hyperlink>
        </w:p>
        <w:p w:rsidR="008E618D" w:rsidRDefault="008E618D">
          <w:pPr>
            <w:pStyle w:val="TOC2"/>
            <w:rPr>
              <w:rFonts w:asciiTheme="minorHAnsi" w:eastAsiaTheme="minorEastAsia" w:hAnsiTheme="minorHAnsi"/>
              <w:b w:val="0"/>
              <w:color w:val="auto"/>
              <w:sz w:val="22"/>
              <w:lang w:eastAsia="en-AU"/>
            </w:rPr>
          </w:pPr>
          <w:hyperlink w:anchor="_Toc433521784" w:history="1">
            <w:r w:rsidRPr="002A6C59">
              <w:rPr>
                <w:rStyle w:val="Hyperlink"/>
              </w:rPr>
              <w:t>9.3</w:t>
            </w:r>
            <w:r>
              <w:rPr>
                <w:rFonts w:asciiTheme="minorHAnsi" w:eastAsiaTheme="minorEastAsia" w:hAnsiTheme="minorHAnsi"/>
                <w:b w:val="0"/>
                <w:color w:val="auto"/>
                <w:sz w:val="22"/>
                <w:lang w:eastAsia="en-AU"/>
              </w:rPr>
              <w:tab/>
            </w:r>
            <w:r w:rsidRPr="002A6C59">
              <w:rPr>
                <w:rStyle w:val="Hyperlink"/>
              </w:rPr>
              <w:t>AER’s assessment approach</w:t>
            </w:r>
            <w:r>
              <w:rPr>
                <w:webHidden/>
              </w:rPr>
              <w:tab/>
            </w:r>
            <w:r>
              <w:rPr>
                <w:webHidden/>
              </w:rPr>
              <w:fldChar w:fldCharType="begin"/>
            </w:r>
            <w:r>
              <w:rPr>
                <w:webHidden/>
              </w:rPr>
              <w:instrText xml:space="preserve"> PAGEREF _Toc433521784 \h </w:instrText>
            </w:r>
            <w:r>
              <w:rPr>
                <w:webHidden/>
              </w:rPr>
            </w:r>
            <w:r>
              <w:rPr>
                <w:webHidden/>
              </w:rPr>
              <w:fldChar w:fldCharType="separate"/>
            </w:r>
            <w:r>
              <w:rPr>
                <w:webHidden/>
              </w:rPr>
              <w:t>9-8</w:t>
            </w:r>
            <w:r>
              <w:rPr>
                <w:webHidden/>
              </w:rPr>
              <w:fldChar w:fldCharType="end"/>
            </w:r>
          </w:hyperlink>
        </w:p>
        <w:p w:rsidR="008E618D" w:rsidRDefault="008E618D">
          <w:pPr>
            <w:pStyle w:val="TOC3"/>
            <w:rPr>
              <w:rFonts w:asciiTheme="minorHAnsi" w:eastAsiaTheme="minorEastAsia" w:hAnsiTheme="minorHAnsi"/>
              <w:lang w:eastAsia="en-AU"/>
            </w:rPr>
          </w:pPr>
          <w:hyperlink w:anchor="_Toc433521785" w:history="1">
            <w:r w:rsidRPr="002A6C59">
              <w:rPr>
                <w:rStyle w:val="Hyperlink"/>
              </w:rPr>
              <w:t>9.3.1</w:t>
            </w:r>
            <w:r>
              <w:rPr>
                <w:rFonts w:asciiTheme="minorHAnsi" w:eastAsiaTheme="minorEastAsia" w:hAnsiTheme="minorHAnsi"/>
                <w:lang w:eastAsia="en-AU"/>
              </w:rPr>
              <w:tab/>
            </w:r>
            <w:r w:rsidRPr="002A6C59">
              <w:rPr>
                <w:rStyle w:val="Hyperlink"/>
              </w:rPr>
              <w:t>Interrelationships</w:t>
            </w:r>
            <w:r>
              <w:rPr>
                <w:webHidden/>
              </w:rPr>
              <w:tab/>
            </w:r>
            <w:r>
              <w:rPr>
                <w:webHidden/>
              </w:rPr>
              <w:fldChar w:fldCharType="begin"/>
            </w:r>
            <w:r>
              <w:rPr>
                <w:webHidden/>
              </w:rPr>
              <w:instrText xml:space="preserve"> PAGEREF _Toc433521785 \h </w:instrText>
            </w:r>
            <w:r>
              <w:rPr>
                <w:webHidden/>
              </w:rPr>
            </w:r>
            <w:r>
              <w:rPr>
                <w:webHidden/>
              </w:rPr>
              <w:fldChar w:fldCharType="separate"/>
            </w:r>
            <w:r>
              <w:rPr>
                <w:webHidden/>
              </w:rPr>
              <w:t>9-9</w:t>
            </w:r>
            <w:r>
              <w:rPr>
                <w:webHidden/>
              </w:rPr>
              <w:fldChar w:fldCharType="end"/>
            </w:r>
          </w:hyperlink>
        </w:p>
        <w:p w:rsidR="008E618D" w:rsidRDefault="008E618D">
          <w:pPr>
            <w:pStyle w:val="TOC2"/>
            <w:rPr>
              <w:rFonts w:asciiTheme="minorHAnsi" w:eastAsiaTheme="minorEastAsia" w:hAnsiTheme="minorHAnsi"/>
              <w:b w:val="0"/>
              <w:color w:val="auto"/>
              <w:sz w:val="22"/>
              <w:lang w:eastAsia="en-AU"/>
            </w:rPr>
          </w:pPr>
          <w:hyperlink w:anchor="_Toc433521786" w:history="1">
            <w:r w:rsidRPr="002A6C59">
              <w:rPr>
                <w:rStyle w:val="Hyperlink"/>
              </w:rPr>
              <w:t>9.4</w:t>
            </w:r>
            <w:r>
              <w:rPr>
                <w:rFonts w:asciiTheme="minorHAnsi" w:eastAsiaTheme="minorEastAsia" w:hAnsiTheme="minorHAnsi"/>
                <w:b w:val="0"/>
                <w:color w:val="auto"/>
                <w:sz w:val="22"/>
                <w:lang w:eastAsia="en-AU"/>
              </w:rPr>
              <w:tab/>
            </w:r>
            <w:r w:rsidRPr="002A6C59">
              <w:rPr>
                <w:rStyle w:val="Hyperlink"/>
              </w:rPr>
              <w:t>Reasons for preliminary decision</w:t>
            </w:r>
            <w:r>
              <w:rPr>
                <w:webHidden/>
              </w:rPr>
              <w:tab/>
            </w:r>
            <w:r>
              <w:rPr>
                <w:webHidden/>
              </w:rPr>
              <w:fldChar w:fldCharType="begin"/>
            </w:r>
            <w:r>
              <w:rPr>
                <w:webHidden/>
              </w:rPr>
              <w:instrText xml:space="preserve"> PAGEREF _Toc433521786 \h </w:instrText>
            </w:r>
            <w:r>
              <w:rPr>
                <w:webHidden/>
              </w:rPr>
            </w:r>
            <w:r>
              <w:rPr>
                <w:webHidden/>
              </w:rPr>
              <w:fldChar w:fldCharType="separate"/>
            </w:r>
            <w:r>
              <w:rPr>
                <w:webHidden/>
              </w:rPr>
              <w:t>9-9</w:t>
            </w:r>
            <w:r>
              <w:rPr>
                <w:webHidden/>
              </w:rPr>
              <w:fldChar w:fldCharType="end"/>
            </w:r>
          </w:hyperlink>
        </w:p>
        <w:p w:rsidR="008E618D" w:rsidRDefault="008E618D">
          <w:pPr>
            <w:pStyle w:val="TOC3"/>
            <w:rPr>
              <w:rFonts w:asciiTheme="minorHAnsi" w:eastAsiaTheme="minorEastAsia" w:hAnsiTheme="minorHAnsi"/>
              <w:lang w:eastAsia="en-AU"/>
            </w:rPr>
          </w:pPr>
          <w:hyperlink w:anchor="_Toc433521787" w:history="1">
            <w:r w:rsidRPr="002A6C59">
              <w:rPr>
                <w:rStyle w:val="Hyperlink"/>
              </w:rPr>
              <w:t>9.4.1</w:t>
            </w:r>
            <w:r>
              <w:rPr>
                <w:rFonts w:asciiTheme="minorHAnsi" w:eastAsiaTheme="minorEastAsia" w:hAnsiTheme="minorHAnsi"/>
                <w:lang w:eastAsia="en-AU"/>
              </w:rPr>
              <w:tab/>
            </w:r>
            <w:r w:rsidRPr="002A6C59">
              <w:rPr>
                <w:rStyle w:val="Hyperlink"/>
              </w:rPr>
              <w:t>Carryover amounts from the 2011–15 regulatory control period</w:t>
            </w:r>
            <w:r>
              <w:rPr>
                <w:webHidden/>
              </w:rPr>
              <w:tab/>
            </w:r>
            <w:r>
              <w:rPr>
                <w:webHidden/>
              </w:rPr>
              <w:fldChar w:fldCharType="begin"/>
            </w:r>
            <w:r>
              <w:rPr>
                <w:webHidden/>
              </w:rPr>
              <w:instrText xml:space="preserve"> PAGEREF _Toc433521787 \h </w:instrText>
            </w:r>
            <w:r>
              <w:rPr>
                <w:webHidden/>
              </w:rPr>
            </w:r>
            <w:r>
              <w:rPr>
                <w:webHidden/>
              </w:rPr>
              <w:fldChar w:fldCharType="separate"/>
            </w:r>
            <w:r>
              <w:rPr>
                <w:webHidden/>
              </w:rPr>
              <w:t>9-9</w:t>
            </w:r>
            <w:r>
              <w:rPr>
                <w:webHidden/>
              </w:rPr>
              <w:fldChar w:fldCharType="end"/>
            </w:r>
          </w:hyperlink>
        </w:p>
        <w:p w:rsidR="008E618D" w:rsidRDefault="008E618D">
          <w:pPr>
            <w:pStyle w:val="TOC3"/>
            <w:rPr>
              <w:rFonts w:asciiTheme="minorHAnsi" w:eastAsiaTheme="minorEastAsia" w:hAnsiTheme="minorHAnsi"/>
              <w:lang w:eastAsia="en-AU"/>
            </w:rPr>
          </w:pPr>
          <w:hyperlink w:anchor="_Toc433521788" w:history="1">
            <w:r w:rsidRPr="002A6C59">
              <w:rPr>
                <w:rStyle w:val="Hyperlink"/>
              </w:rPr>
              <w:t>9.4.2</w:t>
            </w:r>
            <w:r>
              <w:rPr>
                <w:rFonts w:asciiTheme="minorHAnsi" w:eastAsiaTheme="minorEastAsia" w:hAnsiTheme="minorHAnsi"/>
                <w:lang w:eastAsia="en-AU"/>
              </w:rPr>
              <w:tab/>
            </w:r>
            <w:r w:rsidRPr="002A6C59">
              <w:rPr>
                <w:rStyle w:val="Hyperlink"/>
              </w:rPr>
              <w:t>How the EBSS will apply in the 2016–20 regulatory control period</w:t>
            </w:r>
            <w:r>
              <w:rPr>
                <w:webHidden/>
              </w:rPr>
              <w:tab/>
            </w:r>
            <w:r>
              <w:rPr>
                <w:webHidden/>
              </w:rPr>
              <w:fldChar w:fldCharType="begin"/>
            </w:r>
            <w:r>
              <w:rPr>
                <w:webHidden/>
              </w:rPr>
              <w:instrText xml:space="preserve"> PAGEREF _Toc433521788 \h </w:instrText>
            </w:r>
            <w:r>
              <w:rPr>
                <w:webHidden/>
              </w:rPr>
            </w:r>
            <w:r>
              <w:rPr>
                <w:webHidden/>
              </w:rPr>
              <w:fldChar w:fldCharType="separate"/>
            </w:r>
            <w:r>
              <w:rPr>
                <w:webHidden/>
              </w:rPr>
              <w:t>9-11</w:t>
            </w:r>
            <w:r>
              <w:rPr>
                <w:webHidden/>
              </w:rPr>
              <w:fldChar w:fldCharType="end"/>
            </w:r>
          </w:hyperlink>
        </w:p>
        <w:p w:rsidR="00DE563D" w:rsidRDefault="008E618D" w:rsidP="008E618D">
          <w:pPr>
            <w:pStyle w:val="TOC1"/>
          </w:pPr>
          <w:r>
            <w:rPr>
              <w:color w:val="auto"/>
              <w:sz w:val="22"/>
            </w:rPr>
            <w:fldChar w:fldCharType="end"/>
          </w:r>
        </w:p>
        <w:bookmarkStart w:id="7" w:name="_GoBack" w:displacedByCustomXml="next"/>
        <w:bookmarkEnd w:id="7" w:displacedByCustomXml="next"/>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521778"/>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EB3BB9"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EB3BB9" w:rsidRPr="005C4C9C" w:rsidRDefault="00EB3BB9" w:rsidP="005C4C9C">
            <w:pPr>
              <w:numPr>
                <w:ilvl w:val="0"/>
                <w:numId w:val="24"/>
              </w:numPr>
            </w:pPr>
            <w:r>
              <w:t>AMI</w:t>
            </w:r>
          </w:p>
        </w:tc>
        <w:tc>
          <w:tcPr>
            <w:tcW w:w="4344" w:type="dxa"/>
          </w:tcPr>
          <w:p w:rsidR="00EB3BB9" w:rsidRPr="005C4C9C" w:rsidRDefault="005628CD" w:rsidP="005628CD">
            <w:pPr>
              <w:numPr>
                <w:ilvl w:val="0"/>
                <w:numId w:val="24"/>
              </w:numPr>
            </w:pPr>
            <w:r>
              <w:t>a</w:t>
            </w:r>
            <w:r w:rsidR="00EB3BB9">
              <w:t>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EB3BB9" w:rsidTr="005C4C9C">
        <w:tc>
          <w:tcPr>
            <w:tcW w:w="4349" w:type="dxa"/>
          </w:tcPr>
          <w:p w:rsidR="00EB3BB9" w:rsidRPr="005C4C9C" w:rsidRDefault="00EB3BB9" w:rsidP="005C4C9C">
            <w:pPr>
              <w:numPr>
                <w:ilvl w:val="0"/>
                <w:numId w:val="24"/>
              </w:numPr>
            </w:pPr>
            <w:r>
              <w:t>GSL</w:t>
            </w:r>
          </w:p>
        </w:tc>
        <w:tc>
          <w:tcPr>
            <w:tcW w:w="4344" w:type="dxa"/>
          </w:tcPr>
          <w:p w:rsidR="00EB3BB9" w:rsidRPr="005C4C9C" w:rsidRDefault="00EB3BB9" w:rsidP="005C4C9C">
            <w:pPr>
              <w:numPr>
                <w:ilvl w:val="0"/>
                <w:numId w:val="24"/>
              </w:numPr>
            </w:pPr>
            <w:r>
              <w:t>guaranteed service level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9C7CC7" w:rsidRPr="00200EB4" w:rsidRDefault="009C7CC7" w:rsidP="009C7CC7">
      <w:pPr>
        <w:pStyle w:val="Heading1"/>
      </w:pPr>
      <w:bookmarkStart w:id="10" w:name="_Toc417636181"/>
      <w:bookmarkStart w:id="11" w:name="_Toc433521779"/>
      <w:r w:rsidRPr="00200EB4">
        <w:t>Efficiency benefit sharing scheme</w:t>
      </w:r>
      <w:bookmarkEnd w:id="10"/>
      <w:bookmarkEnd w:id="11"/>
    </w:p>
    <w:p w:rsidR="009C7CC7" w:rsidRPr="0030169A" w:rsidRDefault="009C7CC7" w:rsidP="009C7CC7">
      <w:pPr>
        <w:numPr>
          <w:ilvl w:val="0"/>
          <w:numId w:val="24"/>
        </w:numPr>
      </w:pPr>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r w:rsidRPr="0030169A">
        <w:t>.</w:t>
      </w:r>
    </w:p>
    <w:p w:rsidR="009C7CC7" w:rsidRPr="00055F9B" w:rsidRDefault="009C7CC7" w:rsidP="009C7CC7">
      <w:pPr>
        <w:pStyle w:val="ListParagraph"/>
        <w:numPr>
          <w:ilvl w:val="0"/>
          <w:numId w:val="24"/>
        </w:numPr>
        <w:rPr>
          <w:rStyle w:val="AERbody"/>
        </w:rPr>
      </w:pPr>
      <w:r w:rsidRPr="00055F9B">
        <w:rPr>
          <w:rStyle w:val="AERbody"/>
        </w:rPr>
        <w:t>To encourage a service provider to become more efficient</w:t>
      </w:r>
      <w:r w:rsidR="00B678E6">
        <w:rPr>
          <w:rStyle w:val="AERbody"/>
        </w:rPr>
        <w:t>,</w:t>
      </w:r>
      <w:r w:rsidRPr="00055F9B">
        <w:rPr>
          <w:rStyle w:val="AERbody"/>
        </w:rPr>
        <w:t xml:space="preserve"> it is allowed to keep any </w:t>
      </w:r>
      <w:r w:rsidRPr="00055F9B">
        <w:t>difference between its approved forecast and its actual opex during</w:t>
      </w:r>
      <w:r w:rsidRPr="00055F9B">
        <w:rPr>
          <w:rStyle w:val="AERbody"/>
        </w:rPr>
        <w:t xml:space="preserve"> a regulatory control period. This is supplemented by the EBSS which provides the service provider with an additional reward for reductions in opex it makes and additional penalties for increases in opex. In total</w:t>
      </w:r>
      <w:r w:rsidR="001513EA">
        <w:rPr>
          <w:rStyle w:val="AERbody"/>
        </w:rPr>
        <w:t>,</w:t>
      </w:r>
      <w:r w:rsidRPr="00055F9B">
        <w:rPr>
          <w:rStyle w:val="AERbody"/>
        </w:rPr>
        <w:t xml:space="preserve"> these rewards and penalties work together to provide a </w:t>
      </w:r>
      <w:r w:rsidR="000002AB">
        <w:rPr>
          <w:rStyle w:val="AERbody"/>
        </w:rPr>
        <w:t>continuous</w:t>
      </w:r>
      <w:r w:rsidRPr="00055F9B">
        <w:rPr>
          <w:rStyle w:val="AERbody"/>
        </w:rPr>
        <w:t xml:space="preserve"> incentive for a service provider to pursue efficiency gains over the regulatory control period. The EBSS also discourages a service provider from </w:t>
      </w:r>
      <w:r w:rsidRPr="00055F9B">
        <w:t xml:space="preserve">incurring opex </w:t>
      </w:r>
      <w:r w:rsidRPr="00055F9B">
        <w:rPr>
          <w:rStyle w:val="AERbody"/>
        </w:rPr>
        <w:t>in the expected base year in order to receive a higher opex allowance in the following regulatory control period.</w:t>
      </w:r>
    </w:p>
    <w:p w:rsidR="009C7CC7" w:rsidRDefault="00565BF4" w:rsidP="009C7CC7">
      <w:r>
        <w:t>During the 2011</w:t>
      </w:r>
      <w:r w:rsidR="009C7CC7" w:rsidRPr="0030169A">
        <w:t>–</w:t>
      </w:r>
      <w:r w:rsidR="007422F5">
        <w:t>15</w:t>
      </w:r>
      <w:r w:rsidR="009C7CC7">
        <w:t xml:space="preserve"> regulatory control period</w:t>
      </w:r>
      <w:r w:rsidR="003E556F">
        <w:t>,</w:t>
      </w:r>
      <w:r w:rsidR="009C7CC7">
        <w:t xml:space="preserve"> United Energy</w:t>
      </w:r>
      <w:r w:rsidR="009C7CC7" w:rsidRPr="0030169A">
        <w:t xml:space="preserve"> operated under</w:t>
      </w:r>
      <w:r w:rsidR="009C7CC7">
        <w:t xml:space="preserve"> the Electricity distribution network service providers' EBSS released in June 2008.</w:t>
      </w:r>
      <w:r w:rsidR="009C7CC7">
        <w:rPr>
          <w:rStyle w:val="FootnoteReference"/>
        </w:rPr>
        <w:footnoteReference w:id="1"/>
      </w:r>
    </w:p>
    <w:p w:rsidR="009C7CC7" w:rsidRPr="00200EB4" w:rsidRDefault="009C7CC7" w:rsidP="009C7CC7">
      <w:pPr>
        <w:pStyle w:val="Heading2"/>
      </w:pPr>
      <w:bookmarkStart w:id="12" w:name="_Toc403138096"/>
      <w:bookmarkStart w:id="13" w:name="_Toc417636182"/>
      <w:bookmarkStart w:id="14" w:name="_Toc433521780"/>
      <w:r w:rsidRPr="00200EB4">
        <w:t>Preliminary decision</w:t>
      </w:r>
      <w:bookmarkEnd w:id="12"/>
      <w:bookmarkEnd w:id="13"/>
      <w:bookmarkEnd w:id="14"/>
    </w:p>
    <w:p w:rsidR="00E4449D" w:rsidRDefault="00356A23" w:rsidP="009C7CC7">
      <w:r w:rsidRPr="00BA7C17">
        <w:t xml:space="preserve">We </w:t>
      </w:r>
      <w:r w:rsidR="00DD30FC">
        <w:t>approve</w:t>
      </w:r>
      <w:r w:rsidR="000C5F09">
        <w:t xml:space="preserve"> an</w:t>
      </w:r>
      <w:r w:rsidR="00A73365">
        <w:t xml:space="preserve"> EBSS carryover amount</w:t>
      </w:r>
      <w:r w:rsidR="000C5F09">
        <w:t xml:space="preserve"> of $</w:t>
      </w:r>
      <w:r w:rsidR="00962CFC">
        <w:t>24.7</w:t>
      </w:r>
      <w:r w:rsidR="000C5F09">
        <w:t xml:space="preserve"> million ($2015)</w:t>
      </w:r>
      <w:r w:rsidR="00E822CF">
        <w:t xml:space="preserve"> from the application of the EBSS in the 2011–15</w:t>
      </w:r>
      <w:r w:rsidR="00E822CF" w:rsidRPr="00BA7C17">
        <w:t xml:space="preserve"> regulatory control period.</w:t>
      </w:r>
      <w:r w:rsidR="00E822CF">
        <w:rPr>
          <w:rStyle w:val="FootnoteReference"/>
        </w:rPr>
        <w:footnoteReference w:id="2"/>
      </w:r>
      <w:r w:rsidR="009C7CC7" w:rsidRPr="00BA7C17">
        <w:t xml:space="preserve"> </w:t>
      </w:r>
      <w:r w:rsidRPr="00BA7C17">
        <w:t>The difference between our calculations of the EBSS carryo</w:t>
      </w:r>
      <w:r>
        <w:t>ver amounts and United Energy’s</w:t>
      </w:r>
      <w:r w:rsidRPr="00BA7C17">
        <w:t xml:space="preserve"> proposal is </w:t>
      </w:r>
      <w:r w:rsidR="009A5488">
        <w:t>attributable to</w:t>
      </w:r>
      <w:r w:rsidR="00E4449D">
        <w:t>:</w:t>
      </w:r>
      <w:r w:rsidR="009A5488">
        <w:t xml:space="preserve"> </w:t>
      </w:r>
    </w:p>
    <w:p w:rsidR="00E4449D" w:rsidRDefault="009A5488" w:rsidP="00BB301B">
      <w:pPr>
        <w:pStyle w:val="AERbulletlistfirststyle"/>
      </w:pPr>
      <w:r>
        <w:t>a different formula used to calculate EBSS carryover amounts for 2011</w:t>
      </w:r>
      <w:r w:rsidR="00BB301B">
        <w:t xml:space="preserve"> </w:t>
      </w:r>
      <w:r w:rsidR="001F68E3">
        <w:t>w</w:t>
      </w:r>
      <w:r w:rsidR="00BB301B">
        <w:t>hich reduced the carryover</w:t>
      </w:r>
    </w:p>
    <w:p w:rsidR="001F68E3" w:rsidRDefault="00E4449D" w:rsidP="00BB301B">
      <w:pPr>
        <w:pStyle w:val="AERbulletlistfirststyle"/>
      </w:pPr>
      <w:r>
        <w:t>a</w:t>
      </w:r>
      <w:r w:rsidR="00BB301B">
        <w:t>n</w:t>
      </w:r>
      <w:r>
        <w:t xml:space="preserve"> </w:t>
      </w:r>
      <w:r w:rsidR="00BB301B">
        <w:t>adjustment to forecast opex</w:t>
      </w:r>
      <w:r>
        <w:t xml:space="preserve"> for </w:t>
      </w:r>
      <w:r w:rsidR="00BB301B">
        <w:t xml:space="preserve">the difference between </w:t>
      </w:r>
      <w:r>
        <w:t xml:space="preserve">actual </w:t>
      </w:r>
      <w:r w:rsidR="00BB301B">
        <w:t xml:space="preserve">and forecast </w:t>
      </w:r>
      <w:r>
        <w:t>network growth</w:t>
      </w:r>
      <w:r w:rsidR="00BB301B">
        <w:t xml:space="preserve"> which increased the carryover</w:t>
      </w:r>
      <w:r w:rsidR="001F68E3">
        <w:t xml:space="preserve"> by a small amount</w:t>
      </w:r>
    </w:p>
    <w:p w:rsidR="00E4449D" w:rsidRDefault="001F68E3" w:rsidP="00BB301B">
      <w:pPr>
        <w:pStyle w:val="AERbulletlistfirststyle"/>
      </w:pPr>
      <w:r>
        <w:t>a correction to the movements in provisions recorded for 2013 which increased the carryover</w:t>
      </w:r>
      <w:r w:rsidR="00BB301B">
        <w:t>.</w:t>
      </w:r>
    </w:p>
    <w:p w:rsidR="009C7CC7" w:rsidRDefault="009C7CC7" w:rsidP="009C7CC7">
      <w:r w:rsidRPr="00BA7C17">
        <w:t xml:space="preserve">Our </w:t>
      </w:r>
      <w:r>
        <w:t>preliminary</w:t>
      </w:r>
      <w:r w:rsidRPr="00BA7C17">
        <w:t xml:space="preserve"> decision for the EBSS</w:t>
      </w:r>
      <w:r w:rsidR="00565BF4">
        <w:t xml:space="preserve"> ca</w:t>
      </w:r>
      <w:r w:rsidR="007422F5">
        <w:t>rryover amounts from the 2011–15</w:t>
      </w:r>
      <w:r w:rsidRPr="00BA7C17">
        <w:t xml:space="preserve"> </w:t>
      </w:r>
      <w:r>
        <w:t xml:space="preserve">regulatory control </w:t>
      </w:r>
      <w:proofErr w:type="gramStart"/>
      <w:r w:rsidRPr="00BA7C17">
        <w:t>period</w:t>
      </w:r>
      <w:proofErr w:type="gramEnd"/>
      <w:r w:rsidRPr="00BA7C17">
        <w:t xml:space="preserve"> is outlined in</w:t>
      </w:r>
      <w:r>
        <w:t xml:space="preserve"> </w:t>
      </w:r>
      <w:r>
        <w:fldChar w:fldCharType="begin"/>
      </w:r>
      <w:r>
        <w:instrText xml:space="preserve"> REF _Ref406741455 \h </w:instrText>
      </w:r>
      <w:r>
        <w:fldChar w:fldCharType="separate"/>
      </w:r>
      <w:r w:rsidR="00572390">
        <w:t xml:space="preserve">Table </w:t>
      </w:r>
      <w:r w:rsidR="00572390">
        <w:rPr>
          <w:noProof/>
        </w:rPr>
        <w:t>9</w:t>
      </w:r>
      <w:r w:rsidR="00572390">
        <w:t>.</w:t>
      </w:r>
      <w:r w:rsidR="00572390">
        <w:rPr>
          <w:noProof/>
        </w:rPr>
        <w:t>1</w:t>
      </w:r>
      <w:r>
        <w:fldChar w:fldCharType="end"/>
      </w:r>
      <w:r>
        <w:t>.</w:t>
      </w:r>
    </w:p>
    <w:p w:rsidR="00A7624C" w:rsidRDefault="00A7624C" w:rsidP="009C7CC7"/>
    <w:p w:rsidR="00A7624C" w:rsidRDefault="00A7624C" w:rsidP="009C7CC7"/>
    <w:p w:rsidR="00A7624C" w:rsidRDefault="00A7624C" w:rsidP="009C7CC7"/>
    <w:p w:rsidR="009C7CC7" w:rsidRPr="00BA7C17" w:rsidRDefault="009C7CC7" w:rsidP="009C7CC7">
      <w:pPr>
        <w:pStyle w:val="Caption"/>
      </w:pPr>
      <w:bookmarkStart w:id="15" w:name="_Ref406741455"/>
      <w:r>
        <w:t xml:space="preserve">Table </w:t>
      </w:r>
      <w:fldSimple w:instr=" STYLEREF 1 \s ">
        <w:r w:rsidR="00572390">
          <w:rPr>
            <w:noProof/>
          </w:rPr>
          <w:t>9</w:t>
        </w:r>
      </w:fldSimple>
      <w:r>
        <w:t>.</w:t>
      </w:r>
      <w:fldSimple w:instr=" SEQ Table \* ARABIC \s 1 ">
        <w:r w:rsidR="00572390">
          <w:rPr>
            <w:noProof/>
          </w:rPr>
          <w:t>1</w:t>
        </w:r>
      </w:fldSimple>
      <w:bookmarkEnd w:id="15"/>
      <w:r>
        <w:tab/>
        <w:t>AER’s preliminary decision on United Energy's EBSS car</w:t>
      </w:r>
      <w:r w:rsidR="00565BF4">
        <w:t>ryover amounts ($ million, 20</w:t>
      </w:r>
      <w:r>
        <w:t>15)</w:t>
      </w:r>
    </w:p>
    <w:tbl>
      <w:tblPr>
        <w:tblStyle w:val="AERtable-numbers"/>
        <w:tblW w:w="0" w:type="auto"/>
        <w:tblLook w:val="04A0" w:firstRow="1" w:lastRow="0" w:firstColumn="1" w:lastColumn="0" w:noHBand="0" w:noVBand="1"/>
      </w:tblPr>
      <w:tblGrid>
        <w:gridCol w:w="2708"/>
        <w:gridCol w:w="996"/>
        <w:gridCol w:w="997"/>
        <w:gridCol w:w="997"/>
        <w:gridCol w:w="997"/>
        <w:gridCol w:w="997"/>
        <w:gridCol w:w="1001"/>
      </w:tblGrid>
      <w:tr w:rsidR="009C7CC7" w:rsidTr="009C7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9C7CC7" w:rsidRDefault="009C7CC7" w:rsidP="009C7CC7">
            <w:pPr>
              <w:pStyle w:val="AERtabletextleft"/>
            </w:pPr>
          </w:p>
        </w:tc>
        <w:tc>
          <w:tcPr>
            <w:tcW w:w="1049" w:type="dxa"/>
          </w:tcPr>
          <w:p w:rsidR="009C7CC7" w:rsidRPr="006E608B" w:rsidRDefault="00565BF4" w:rsidP="009C7CC7">
            <w:pPr>
              <w:pStyle w:val="AERtabletextright"/>
              <w:cnfStyle w:val="100000000000" w:firstRow="1" w:lastRow="0" w:firstColumn="0" w:lastColumn="0" w:oddVBand="0" w:evenVBand="0" w:oddHBand="0" w:evenHBand="0" w:firstRowFirstColumn="0" w:firstRowLastColumn="0" w:lastRowFirstColumn="0" w:lastRowLastColumn="0"/>
            </w:pPr>
            <w:r>
              <w:t>2016</w:t>
            </w:r>
          </w:p>
        </w:tc>
        <w:tc>
          <w:tcPr>
            <w:tcW w:w="1050" w:type="dxa"/>
          </w:tcPr>
          <w:p w:rsidR="009C7CC7" w:rsidRPr="006E608B" w:rsidRDefault="00565BF4" w:rsidP="009C7CC7">
            <w:pPr>
              <w:pStyle w:val="AERtabletextright"/>
              <w:cnfStyle w:val="100000000000" w:firstRow="1" w:lastRow="0" w:firstColumn="0" w:lastColumn="0" w:oddVBand="0" w:evenVBand="0" w:oddHBand="0" w:evenHBand="0" w:firstRowFirstColumn="0" w:firstRowLastColumn="0" w:lastRowFirstColumn="0" w:lastRowLastColumn="0"/>
            </w:pPr>
            <w:r>
              <w:t>20</w:t>
            </w:r>
            <w:r w:rsidR="009C7CC7">
              <w:t>17</w:t>
            </w:r>
          </w:p>
        </w:tc>
        <w:tc>
          <w:tcPr>
            <w:tcW w:w="1050" w:type="dxa"/>
          </w:tcPr>
          <w:p w:rsidR="009C7CC7" w:rsidRPr="006E608B" w:rsidRDefault="00565BF4" w:rsidP="009C7CC7">
            <w:pPr>
              <w:pStyle w:val="AERtabletextright"/>
              <w:cnfStyle w:val="100000000000" w:firstRow="1" w:lastRow="0" w:firstColumn="0" w:lastColumn="0" w:oddVBand="0" w:evenVBand="0" w:oddHBand="0" w:evenHBand="0" w:firstRowFirstColumn="0" w:firstRowLastColumn="0" w:lastRowFirstColumn="0" w:lastRowLastColumn="0"/>
            </w:pPr>
            <w:r>
              <w:t>20</w:t>
            </w:r>
            <w:r w:rsidR="009C7CC7">
              <w:t>18</w:t>
            </w:r>
          </w:p>
        </w:tc>
        <w:tc>
          <w:tcPr>
            <w:tcW w:w="1050" w:type="dxa"/>
          </w:tcPr>
          <w:p w:rsidR="009C7CC7" w:rsidRPr="006E608B" w:rsidRDefault="00565BF4" w:rsidP="009C7CC7">
            <w:pPr>
              <w:pStyle w:val="AERtabletextright"/>
              <w:cnfStyle w:val="100000000000" w:firstRow="1" w:lastRow="0" w:firstColumn="0" w:lastColumn="0" w:oddVBand="0" w:evenVBand="0" w:oddHBand="0" w:evenHBand="0" w:firstRowFirstColumn="0" w:firstRowLastColumn="0" w:lastRowFirstColumn="0" w:lastRowLastColumn="0"/>
            </w:pPr>
            <w:r>
              <w:t>20</w:t>
            </w:r>
            <w:r w:rsidR="009C7CC7">
              <w:t>19</w:t>
            </w:r>
          </w:p>
        </w:tc>
        <w:tc>
          <w:tcPr>
            <w:tcW w:w="1050" w:type="dxa"/>
          </w:tcPr>
          <w:p w:rsidR="009C7CC7" w:rsidRPr="006E608B" w:rsidRDefault="00565BF4" w:rsidP="009C7CC7">
            <w:pPr>
              <w:pStyle w:val="AERtabletextright"/>
              <w:cnfStyle w:val="100000000000" w:firstRow="1" w:lastRow="0" w:firstColumn="0" w:lastColumn="0" w:oddVBand="0" w:evenVBand="0" w:oddHBand="0" w:evenHBand="0" w:firstRowFirstColumn="0" w:firstRowLastColumn="0" w:lastRowFirstColumn="0" w:lastRowLastColumn="0"/>
            </w:pPr>
            <w:r>
              <w:t>20</w:t>
            </w:r>
            <w:r w:rsidR="009C7CC7">
              <w:t>20</w:t>
            </w:r>
          </w:p>
        </w:tc>
        <w:tc>
          <w:tcPr>
            <w:tcW w:w="1050" w:type="dxa"/>
          </w:tcPr>
          <w:p w:rsidR="009C7CC7" w:rsidRPr="006E608B" w:rsidRDefault="009C7CC7" w:rsidP="009C7CC7">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9C7CC7" w:rsidTr="009C7CC7">
        <w:tc>
          <w:tcPr>
            <w:cnfStyle w:val="001000000000" w:firstRow="0" w:lastRow="0" w:firstColumn="1" w:lastColumn="0" w:oddVBand="0" w:evenVBand="0" w:oddHBand="0" w:evenHBand="0" w:firstRowFirstColumn="0" w:firstRowLastColumn="0" w:lastRowFirstColumn="0" w:lastRowLastColumn="0"/>
            <w:tcW w:w="2943" w:type="dxa"/>
          </w:tcPr>
          <w:p w:rsidR="009C7CC7" w:rsidRPr="006E608B" w:rsidRDefault="009C7CC7" w:rsidP="009C7CC7">
            <w:pPr>
              <w:pStyle w:val="AERtabletextleft"/>
            </w:pPr>
            <w:r>
              <w:t>United Energy's proposed carryover</w:t>
            </w:r>
          </w:p>
        </w:tc>
        <w:tc>
          <w:tcPr>
            <w:tcW w:w="1049" w:type="dxa"/>
          </w:tcPr>
          <w:p w:rsidR="009C7CC7" w:rsidRPr="006E608B" w:rsidRDefault="004B308B" w:rsidP="009C7CC7">
            <w:pPr>
              <w:pStyle w:val="AERtabletextright"/>
              <w:cnfStyle w:val="000000000000" w:firstRow="0" w:lastRow="0" w:firstColumn="0" w:lastColumn="0" w:oddVBand="0" w:evenVBand="0" w:oddHBand="0" w:evenHBand="0" w:firstRowFirstColumn="0" w:firstRowLastColumn="0" w:lastRowFirstColumn="0" w:lastRowLastColumn="0"/>
            </w:pPr>
            <w:r>
              <w:t>2.0</w:t>
            </w:r>
          </w:p>
        </w:tc>
        <w:tc>
          <w:tcPr>
            <w:tcW w:w="1050" w:type="dxa"/>
          </w:tcPr>
          <w:p w:rsidR="009C7CC7" w:rsidRPr="006E608B" w:rsidRDefault="004B308B" w:rsidP="009C7CC7">
            <w:pPr>
              <w:pStyle w:val="AERtabletextright"/>
              <w:cnfStyle w:val="000000000000" w:firstRow="0" w:lastRow="0" w:firstColumn="0" w:lastColumn="0" w:oddVBand="0" w:evenVBand="0" w:oddHBand="0" w:evenHBand="0" w:firstRowFirstColumn="0" w:firstRowLastColumn="0" w:lastRowFirstColumn="0" w:lastRowLastColumn="0"/>
            </w:pPr>
            <w:r>
              <w:t>19.8</w:t>
            </w:r>
          </w:p>
        </w:tc>
        <w:tc>
          <w:tcPr>
            <w:tcW w:w="1050" w:type="dxa"/>
          </w:tcPr>
          <w:p w:rsidR="009C7CC7" w:rsidRPr="006E608B" w:rsidRDefault="004B308B" w:rsidP="009C7CC7">
            <w:pPr>
              <w:pStyle w:val="AERtabletextright"/>
              <w:cnfStyle w:val="000000000000" w:firstRow="0" w:lastRow="0" w:firstColumn="0" w:lastColumn="0" w:oddVBand="0" w:evenVBand="0" w:oddHBand="0" w:evenHBand="0" w:firstRowFirstColumn="0" w:firstRowLastColumn="0" w:lastRowFirstColumn="0" w:lastRowLastColumn="0"/>
            </w:pPr>
            <w:r>
              <w:t>5.9</w:t>
            </w:r>
          </w:p>
        </w:tc>
        <w:tc>
          <w:tcPr>
            <w:tcW w:w="1050" w:type="dxa"/>
          </w:tcPr>
          <w:p w:rsidR="009C7CC7" w:rsidRPr="006E608B" w:rsidRDefault="004B308B" w:rsidP="009C7CC7">
            <w:pPr>
              <w:pStyle w:val="AERtabletextright"/>
              <w:cnfStyle w:val="000000000000" w:firstRow="0" w:lastRow="0" w:firstColumn="0" w:lastColumn="0" w:oddVBand="0" w:evenVBand="0" w:oddHBand="0" w:evenHBand="0" w:firstRowFirstColumn="0" w:firstRowLastColumn="0" w:lastRowFirstColumn="0" w:lastRowLastColumn="0"/>
            </w:pPr>
            <w:r>
              <w:t>0.1</w:t>
            </w:r>
          </w:p>
        </w:tc>
        <w:tc>
          <w:tcPr>
            <w:tcW w:w="1050" w:type="dxa"/>
          </w:tcPr>
          <w:p w:rsidR="009C7CC7" w:rsidRPr="006E608B" w:rsidRDefault="003C19ED" w:rsidP="009C7CC7">
            <w:pPr>
              <w:pStyle w:val="AERtabletextright"/>
              <w:cnfStyle w:val="000000000000" w:firstRow="0" w:lastRow="0" w:firstColumn="0" w:lastColumn="0" w:oddVBand="0" w:evenVBand="0" w:oddHBand="0" w:evenHBand="0" w:firstRowFirstColumn="0" w:firstRowLastColumn="0" w:lastRowFirstColumn="0" w:lastRowLastColumn="0"/>
            </w:pPr>
            <w:r>
              <w:t>0.0</w:t>
            </w:r>
          </w:p>
        </w:tc>
        <w:tc>
          <w:tcPr>
            <w:tcW w:w="1050" w:type="dxa"/>
          </w:tcPr>
          <w:p w:rsidR="009C7CC7" w:rsidRPr="006E608B" w:rsidRDefault="003C19ED" w:rsidP="009C7CC7">
            <w:pPr>
              <w:pStyle w:val="AERtabletextright"/>
              <w:cnfStyle w:val="000000000000" w:firstRow="0" w:lastRow="0" w:firstColumn="0" w:lastColumn="0" w:oddVBand="0" w:evenVBand="0" w:oddHBand="0" w:evenHBand="0" w:firstRowFirstColumn="0" w:firstRowLastColumn="0" w:lastRowFirstColumn="0" w:lastRowLastColumn="0"/>
            </w:pPr>
            <w:r>
              <w:t>27.7</w:t>
            </w:r>
          </w:p>
        </w:tc>
      </w:tr>
      <w:tr w:rsidR="009C7CC7" w:rsidTr="009C7C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9C7CC7" w:rsidRPr="006E608B" w:rsidRDefault="009C7CC7" w:rsidP="009C7CC7">
            <w:pPr>
              <w:pStyle w:val="AERtabletextleft"/>
            </w:pPr>
            <w:r>
              <w:t>Preliminary decision</w:t>
            </w:r>
          </w:p>
        </w:tc>
        <w:tc>
          <w:tcPr>
            <w:tcW w:w="1049" w:type="dxa"/>
          </w:tcPr>
          <w:p w:rsidR="009C7CC7" w:rsidRDefault="001F10A1" w:rsidP="009C7CC7">
            <w:pPr>
              <w:pStyle w:val="AERtabletextright"/>
              <w:cnfStyle w:val="000000010000" w:firstRow="0" w:lastRow="0" w:firstColumn="0" w:lastColumn="0" w:oddVBand="0" w:evenVBand="0" w:oddHBand="0" w:evenHBand="1" w:firstRowFirstColumn="0" w:firstRowLastColumn="0" w:lastRowFirstColumn="0" w:lastRowLastColumn="0"/>
            </w:pPr>
            <w:r>
              <w:t>–</w:t>
            </w:r>
            <w:r w:rsidR="00962CFC">
              <w:t>12</w:t>
            </w:r>
            <w:r w:rsidR="00356A23">
              <w:t>.</w:t>
            </w:r>
            <w:r w:rsidR="001F68E3">
              <w:t>0</w:t>
            </w:r>
          </w:p>
        </w:tc>
        <w:tc>
          <w:tcPr>
            <w:tcW w:w="1050" w:type="dxa"/>
          </w:tcPr>
          <w:p w:rsidR="009C7CC7" w:rsidRDefault="00962CFC" w:rsidP="009C7CC7">
            <w:pPr>
              <w:pStyle w:val="AERtabletextright"/>
              <w:cnfStyle w:val="000000010000" w:firstRow="0" w:lastRow="0" w:firstColumn="0" w:lastColumn="0" w:oddVBand="0" w:evenVBand="0" w:oddHBand="0" w:evenHBand="1" w:firstRowFirstColumn="0" w:firstRowLastColumn="0" w:lastRowFirstColumn="0" w:lastRowLastColumn="0"/>
            </w:pPr>
            <w:r>
              <w:t>18.6</w:t>
            </w:r>
          </w:p>
        </w:tc>
        <w:tc>
          <w:tcPr>
            <w:tcW w:w="1050" w:type="dxa"/>
          </w:tcPr>
          <w:p w:rsidR="009C7CC7" w:rsidRDefault="00962CFC" w:rsidP="009C7CC7">
            <w:pPr>
              <w:pStyle w:val="AERtabletextright"/>
              <w:cnfStyle w:val="000000010000" w:firstRow="0" w:lastRow="0" w:firstColumn="0" w:lastColumn="0" w:oddVBand="0" w:evenVBand="0" w:oddHBand="0" w:evenHBand="1" w:firstRowFirstColumn="0" w:firstRowLastColumn="0" w:lastRowFirstColumn="0" w:lastRowLastColumn="0"/>
            </w:pPr>
            <w:r>
              <w:t>7.5</w:t>
            </w:r>
          </w:p>
        </w:tc>
        <w:tc>
          <w:tcPr>
            <w:tcW w:w="1050" w:type="dxa"/>
          </w:tcPr>
          <w:p w:rsidR="009C7CC7" w:rsidRDefault="00962CFC" w:rsidP="009C7CC7">
            <w:pPr>
              <w:pStyle w:val="AERtabletextright"/>
              <w:cnfStyle w:val="000000010000" w:firstRow="0" w:lastRow="0" w:firstColumn="0" w:lastColumn="0" w:oddVBand="0" w:evenVBand="0" w:oddHBand="0" w:evenHBand="1" w:firstRowFirstColumn="0" w:firstRowLastColumn="0" w:lastRowFirstColumn="0" w:lastRowLastColumn="0"/>
            </w:pPr>
            <w:r>
              <w:t>10.7</w:t>
            </w:r>
          </w:p>
        </w:tc>
        <w:tc>
          <w:tcPr>
            <w:tcW w:w="1050" w:type="dxa"/>
          </w:tcPr>
          <w:p w:rsidR="009C7CC7" w:rsidRDefault="009C7CC7" w:rsidP="009C7CC7">
            <w:pPr>
              <w:pStyle w:val="AERtabletextright"/>
              <w:cnfStyle w:val="000000010000" w:firstRow="0" w:lastRow="0" w:firstColumn="0" w:lastColumn="0" w:oddVBand="0" w:evenVBand="0" w:oddHBand="0" w:evenHBand="1" w:firstRowFirstColumn="0" w:firstRowLastColumn="0" w:lastRowFirstColumn="0" w:lastRowLastColumn="0"/>
            </w:pPr>
            <w:r>
              <w:t>0.0</w:t>
            </w:r>
          </w:p>
        </w:tc>
        <w:tc>
          <w:tcPr>
            <w:tcW w:w="1050" w:type="dxa"/>
          </w:tcPr>
          <w:p w:rsidR="009C7CC7" w:rsidRPr="006E608B" w:rsidRDefault="00962CFC" w:rsidP="00D76E74">
            <w:pPr>
              <w:pStyle w:val="AERtabletextright"/>
              <w:cnfStyle w:val="000000010000" w:firstRow="0" w:lastRow="0" w:firstColumn="0" w:lastColumn="0" w:oddVBand="0" w:evenVBand="0" w:oddHBand="0" w:evenHBand="1" w:firstRowFirstColumn="0" w:firstRowLastColumn="0" w:lastRowFirstColumn="0" w:lastRowLastColumn="0"/>
            </w:pPr>
            <w:r>
              <w:t>24.7</w:t>
            </w:r>
          </w:p>
        </w:tc>
      </w:tr>
    </w:tbl>
    <w:p w:rsidR="0020369A" w:rsidRDefault="0020369A" w:rsidP="0020369A">
      <w:pPr>
        <w:pStyle w:val="AERtablesource"/>
      </w:pPr>
      <w:r>
        <w:t xml:space="preserve">Note: </w:t>
      </w:r>
      <w:r>
        <w:tab/>
        <w:t>Numbers may not add due to rounding.</w:t>
      </w:r>
    </w:p>
    <w:p w:rsidR="0020369A" w:rsidRPr="0020369A" w:rsidRDefault="009C7CC7" w:rsidP="0020369A">
      <w:pPr>
        <w:pStyle w:val="AERtablesource"/>
      </w:pPr>
      <w:r w:rsidRPr="00BA7C17">
        <w:t xml:space="preserve">Source: </w:t>
      </w:r>
      <w:r w:rsidR="0020369A">
        <w:tab/>
      </w:r>
      <w:r w:rsidRPr="00BA7C17">
        <w:t xml:space="preserve">AER analysis; </w:t>
      </w:r>
      <w:r>
        <w:t>United Energy</w:t>
      </w:r>
      <w:r w:rsidRPr="00D20E85">
        <w:t xml:space="preserve">, </w:t>
      </w:r>
      <w:r w:rsidRPr="00D20E85">
        <w:rPr>
          <w:rStyle w:val="AERtextitalic"/>
        </w:rPr>
        <w:t>Regulatory proposal</w:t>
      </w:r>
      <w:r>
        <w:t xml:space="preserve">, p. 280. </w:t>
      </w:r>
    </w:p>
    <w:p w:rsidR="009C7CC7" w:rsidRDefault="009C7CC7" w:rsidP="009C7CC7">
      <w:pPr>
        <w:numPr>
          <w:ilvl w:val="0"/>
          <w:numId w:val="24"/>
        </w:numPr>
      </w:pPr>
      <w:r w:rsidRPr="001D6F12">
        <w:rPr>
          <w:rStyle w:val="AERbody"/>
        </w:rPr>
        <w:t xml:space="preserve">Our preliminary </w:t>
      </w:r>
      <w:r>
        <w:rPr>
          <w:rStyle w:val="AERbody"/>
        </w:rPr>
        <w:t>decision</w:t>
      </w:r>
      <w:r w:rsidRPr="001D6F12">
        <w:rPr>
          <w:rStyle w:val="AERbody"/>
        </w:rPr>
        <w:t xml:space="preserve"> is to apply </w:t>
      </w:r>
      <w:r>
        <w:rPr>
          <w:rStyle w:val="AERbody"/>
        </w:rPr>
        <w:t>version two of the</w:t>
      </w:r>
      <w:r w:rsidRPr="001D6F12">
        <w:rPr>
          <w:rStyle w:val="AERbody"/>
        </w:rPr>
        <w:t xml:space="preserve"> EBSS to </w:t>
      </w:r>
      <w:r>
        <w:rPr>
          <w:rStyle w:val="AERbody"/>
        </w:rPr>
        <w:t>United Energy</w:t>
      </w:r>
      <w:r w:rsidRPr="001D6F12">
        <w:rPr>
          <w:rStyle w:val="AERbody"/>
        </w:rPr>
        <w:t xml:space="preserve"> in the </w:t>
      </w:r>
      <w:r w:rsidR="00565BF4">
        <w:t>2016</w:t>
      </w:r>
      <w:r>
        <w:t>–20</w:t>
      </w:r>
      <w:r w:rsidRPr="00BD4587">
        <w:t xml:space="preserve"> </w:t>
      </w:r>
      <w:r w:rsidRPr="001D6F12">
        <w:rPr>
          <w:rStyle w:val="AERbody"/>
        </w:rPr>
        <w:t>regulatory control period.</w:t>
      </w:r>
      <w:r>
        <w:rPr>
          <w:rStyle w:val="FootnoteReference"/>
        </w:rPr>
        <w:footnoteReference w:id="3"/>
      </w:r>
      <w:r>
        <w:rPr>
          <w:rStyle w:val="AERbody"/>
        </w:rPr>
        <w:t xml:space="preserve"> </w:t>
      </w:r>
      <w:r w:rsidRPr="00BD4587">
        <w:t xml:space="preserve">When we apply version </w:t>
      </w:r>
      <w:r>
        <w:t>two</w:t>
      </w:r>
      <w:r w:rsidRPr="00BD4587">
        <w:t xml:space="preserve"> of the EBSS</w:t>
      </w:r>
      <w:r w:rsidR="00B27D73">
        <w:t>,</w:t>
      </w:r>
      <w:r w:rsidRPr="00BD4587">
        <w:t xml:space="preserve"> we will exclude the cost categories listed in section </w:t>
      </w:r>
      <w:r>
        <w:fldChar w:fldCharType="begin"/>
      </w:r>
      <w:r>
        <w:instrText xml:space="preserve"> REF _Ref398823659 \r \h </w:instrText>
      </w:r>
      <w:r>
        <w:fldChar w:fldCharType="separate"/>
      </w:r>
      <w:r w:rsidR="00572390">
        <w:t>9.4.2</w:t>
      </w:r>
      <w:r>
        <w:fldChar w:fldCharType="end"/>
      </w:r>
      <w:r>
        <w:t xml:space="preserve"> </w:t>
      </w:r>
      <w:r w:rsidRPr="00BD4587">
        <w:t>from forecast and actual opex for the calculat</w:t>
      </w:r>
      <w:r>
        <w:t xml:space="preserve">ion of EBSS carryover amounts. </w:t>
      </w:r>
      <w:r>
        <w:fldChar w:fldCharType="begin"/>
      </w:r>
      <w:r>
        <w:instrText xml:space="preserve"> REF _Ref402360609 \h </w:instrText>
      </w:r>
      <w:r>
        <w:fldChar w:fldCharType="separate"/>
      </w:r>
      <w:r w:rsidR="00572390">
        <w:t xml:space="preserve">Table </w:t>
      </w:r>
      <w:r w:rsidR="00572390">
        <w:rPr>
          <w:noProof/>
        </w:rPr>
        <w:t>9</w:t>
      </w:r>
      <w:r w:rsidR="00572390">
        <w:t>.</w:t>
      </w:r>
      <w:r w:rsidR="00572390">
        <w:rPr>
          <w:noProof/>
        </w:rPr>
        <w:t>2</w:t>
      </w:r>
      <w:r>
        <w:fldChar w:fldCharType="end"/>
      </w:r>
      <w:r>
        <w:t xml:space="preserve"> sets</w:t>
      </w:r>
      <w:r w:rsidRPr="006F6CCB">
        <w:t xml:space="preserve"> out our </w:t>
      </w:r>
      <w:r>
        <w:t>preliminary</w:t>
      </w:r>
      <w:r w:rsidRPr="006F6CCB">
        <w:t xml:space="preserve"> decision on </w:t>
      </w:r>
      <w:r>
        <w:t>United Energy's</w:t>
      </w:r>
      <w:r w:rsidRPr="006F6CCB">
        <w:t xml:space="preserve"> target opex for the EBSS (total opex less excluded categories</w:t>
      </w:r>
      <w:r w:rsidR="004C6EBB">
        <w:rPr>
          <w:rStyle w:val="FootnoteReference"/>
        </w:rPr>
        <w:footnoteReference w:id="4"/>
      </w:r>
      <w:r w:rsidRPr="006F6CCB">
        <w:t>), against which we will ca</w:t>
      </w:r>
      <w:r>
        <w:t>lcul</w:t>
      </w:r>
      <w:r w:rsidR="00565BF4">
        <w:t>ate efficiency gains in the 2016</w:t>
      </w:r>
      <w:r>
        <w:t xml:space="preserve">–20 regulatory control period. </w:t>
      </w:r>
    </w:p>
    <w:p w:rsidR="009C7CC7" w:rsidRPr="003F5EF6" w:rsidRDefault="009C7CC7" w:rsidP="009C7CC7">
      <w:pPr>
        <w:pStyle w:val="Caption"/>
      </w:pPr>
      <w:bookmarkStart w:id="16" w:name="_Ref402360609"/>
      <w:r>
        <w:t xml:space="preserve">Table </w:t>
      </w:r>
      <w:r w:rsidRPr="001D6F12">
        <w:fldChar w:fldCharType="begin"/>
      </w:r>
      <w:r>
        <w:instrText xml:space="preserve"> STYLEREF 1 \s </w:instrText>
      </w:r>
      <w:r w:rsidRPr="001D6F12">
        <w:fldChar w:fldCharType="separate"/>
      </w:r>
      <w:r w:rsidR="00572390">
        <w:rPr>
          <w:noProof/>
        </w:rPr>
        <w:t>9</w:t>
      </w:r>
      <w:r w:rsidRPr="001D6F12">
        <w:fldChar w:fldCharType="end"/>
      </w:r>
      <w:r>
        <w:t>.</w:t>
      </w:r>
      <w:r w:rsidRPr="001D6F12">
        <w:fldChar w:fldCharType="begin"/>
      </w:r>
      <w:r>
        <w:instrText xml:space="preserve"> SEQ Table \* ARABIC \s 1 </w:instrText>
      </w:r>
      <w:r w:rsidRPr="001D6F12">
        <w:fldChar w:fldCharType="separate"/>
      </w:r>
      <w:r w:rsidR="00572390">
        <w:rPr>
          <w:noProof/>
        </w:rPr>
        <w:t>2</w:t>
      </w:r>
      <w:r w:rsidRPr="001D6F12">
        <w:fldChar w:fldCharType="end"/>
      </w:r>
      <w:bookmarkEnd w:id="16"/>
      <w:r>
        <w:tab/>
        <w:t>AER's preliminary decision on United Energy’s forecast ope</w:t>
      </w:r>
      <w:r w:rsidR="00565BF4">
        <w:t>x for the EBSS ($ million, 20</w:t>
      </w:r>
      <w:r>
        <w:t>15)</w:t>
      </w:r>
    </w:p>
    <w:tbl>
      <w:tblPr>
        <w:tblStyle w:val="AERtable-numbers"/>
        <w:tblW w:w="5000" w:type="pct"/>
        <w:tblLook w:val="04A0" w:firstRow="1" w:lastRow="0" w:firstColumn="1" w:lastColumn="0" w:noHBand="0" w:noVBand="1"/>
      </w:tblPr>
      <w:tblGrid>
        <w:gridCol w:w="3085"/>
        <w:gridCol w:w="1124"/>
        <w:gridCol w:w="1121"/>
        <w:gridCol w:w="1121"/>
        <w:gridCol w:w="1121"/>
        <w:gridCol w:w="1121"/>
      </w:tblGrid>
      <w:tr w:rsidR="009C7CC7" w:rsidTr="009C7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pct"/>
          </w:tcPr>
          <w:p w:rsidR="009C7CC7" w:rsidRDefault="009C7CC7" w:rsidP="009C7CC7">
            <w:pPr>
              <w:pStyle w:val="AERtabletextleft"/>
            </w:pPr>
          </w:p>
        </w:tc>
        <w:tc>
          <w:tcPr>
            <w:tcW w:w="646" w:type="pct"/>
          </w:tcPr>
          <w:p w:rsidR="009C7CC7" w:rsidRPr="00190F3A" w:rsidRDefault="00565BF4" w:rsidP="009C7CC7">
            <w:pPr>
              <w:pStyle w:val="AERtabletextright"/>
              <w:cnfStyle w:val="100000000000" w:firstRow="1" w:lastRow="0" w:firstColumn="0" w:lastColumn="0" w:oddVBand="0" w:evenVBand="0" w:oddHBand="0" w:evenHBand="0" w:firstRowFirstColumn="0" w:firstRowLastColumn="0" w:lastRowFirstColumn="0" w:lastRowLastColumn="0"/>
            </w:pPr>
            <w:r>
              <w:t>20</w:t>
            </w:r>
            <w:r w:rsidR="009C7CC7" w:rsidRPr="00190F3A">
              <w:t>1</w:t>
            </w:r>
            <w:r w:rsidR="009C7CC7">
              <w:t>6</w:t>
            </w:r>
          </w:p>
        </w:tc>
        <w:tc>
          <w:tcPr>
            <w:tcW w:w="645" w:type="pct"/>
          </w:tcPr>
          <w:p w:rsidR="009C7CC7" w:rsidRPr="00190F3A" w:rsidRDefault="00565BF4" w:rsidP="009C7CC7">
            <w:pPr>
              <w:pStyle w:val="AERtabletextright"/>
              <w:cnfStyle w:val="100000000000" w:firstRow="1" w:lastRow="0" w:firstColumn="0" w:lastColumn="0" w:oddVBand="0" w:evenVBand="0" w:oddHBand="0" w:evenHBand="0" w:firstRowFirstColumn="0" w:firstRowLastColumn="0" w:lastRowFirstColumn="0" w:lastRowLastColumn="0"/>
            </w:pPr>
            <w:r>
              <w:t>20</w:t>
            </w:r>
            <w:r w:rsidR="009C7CC7" w:rsidRPr="00190F3A">
              <w:t>1</w:t>
            </w:r>
            <w:r w:rsidR="009C7CC7">
              <w:t>7</w:t>
            </w:r>
          </w:p>
        </w:tc>
        <w:tc>
          <w:tcPr>
            <w:tcW w:w="645" w:type="pct"/>
          </w:tcPr>
          <w:p w:rsidR="009C7CC7" w:rsidRPr="00190F3A" w:rsidRDefault="00565BF4" w:rsidP="009C7CC7">
            <w:pPr>
              <w:pStyle w:val="AERtabletextright"/>
              <w:cnfStyle w:val="100000000000" w:firstRow="1" w:lastRow="0" w:firstColumn="0" w:lastColumn="0" w:oddVBand="0" w:evenVBand="0" w:oddHBand="0" w:evenHBand="0" w:firstRowFirstColumn="0" w:firstRowLastColumn="0" w:lastRowFirstColumn="0" w:lastRowLastColumn="0"/>
            </w:pPr>
            <w:r>
              <w:t>20</w:t>
            </w:r>
            <w:r w:rsidR="009C7CC7" w:rsidRPr="00190F3A">
              <w:t>1</w:t>
            </w:r>
            <w:r w:rsidR="009C7CC7">
              <w:t>8</w:t>
            </w:r>
          </w:p>
        </w:tc>
        <w:tc>
          <w:tcPr>
            <w:tcW w:w="645" w:type="pct"/>
          </w:tcPr>
          <w:p w:rsidR="009C7CC7" w:rsidRPr="00190F3A" w:rsidRDefault="00565BF4" w:rsidP="009C7CC7">
            <w:pPr>
              <w:pStyle w:val="AERtabletextright"/>
              <w:cnfStyle w:val="100000000000" w:firstRow="1" w:lastRow="0" w:firstColumn="0" w:lastColumn="0" w:oddVBand="0" w:evenVBand="0" w:oddHBand="0" w:evenHBand="0" w:firstRowFirstColumn="0" w:firstRowLastColumn="0" w:lastRowFirstColumn="0" w:lastRowLastColumn="0"/>
            </w:pPr>
            <w:r>
              <w:t>20</w:t>
            </w:r>
            <w:r w:rsidR="009C7CC7" w:rsidRPr="00190F3A">
              <w:t>1</w:t>
            </w:r>
            <w:r w:rsidR="009C7CC7">
              <w:t>9</w:t>
            </w:r>
          </w:p>
        </w:tc>
        <w:tc>
          <w:tcPr>
            <w:tcW w:w="645" w:type="pct"/>
          </w:tcPr>
          <w:p w:rsidR="009C7CC7" w:rsidRPr="00190F3A" w:rsidRDefault="00565BF4" w:rsidP="009C7CC7">
            <w:pPr>
              <w:pStyle w:val="AERtabletextright"/>
              <w:cnfStyle w:val="100000000000" w:firstRow="1" w:lastRow="0" w:firstColumn="0" w:lastColumn="0" w:oddVBand="0" w:evenVBand="0" w:oddHBand="0" w:evenHBand="0" w:firstRowFirstColumn="0" w:firstRowLastColumn="0" w:lastRowFirstColumn="0" w:lastRowLastColumn="0"/>
            </w:pPr>
            <w:r>
              <w:t>20</w:t>
            </w:r>
            <w:r w:rsidR="009C7CC7">
              <w:t>20</w:t>
            </w:r>
          </w:p>
        </w:tc>
      </w:tr>
      <w:tr w:rsidR="009C7CC7" w:rsidTr="009C7CC7">
        <w:tc>
          <w:tcPr>
            <w:cnfStyle w:val="001000000000" w:firstRow="0" w:lastRow="0" w:firstColumn="1" w:lastColumn="0" w:oddVBand="0" w:evenVBand="0" w:oddHBand="0" w:evenHBand="0" w:firstRowFirstColumn="0" w:firstRowLastColumn="0" w:lastRowFirstColumn="0" w:lastRowLastColumn="0"/>
            <w:tcW w:w="1774" w:type="pct"/>
          </w:tcPr>
          <w:p w:rsidR="009C7CC7" w:rsidRPr="007347FF" w:rsidRDefault="009C7CC7" w:rsidP="001A16CD">
            <w:pPr>
              <w:pStyle w:val="AERtabletextleft"/>
            </w:pPr>
            <w:r w:rsidRPr="007347FF">
              <w:rPr>
                <w:rStyle w:val="Strong"/>
                <w:b w:val="0"/>
                <w:bCs w:val="0"/>
              </w:rPr>
              <w:t>Forecast opex for the EBSS</w:t>
            </w:r>
          </w:p>
        </w:tc>
        <w:tc>
          <w:tcPr>
            <w:tcW w:w="646" w:type="pct"/>
          </w:tcPr>
          <w:p w:rsidR="009C7CC7" w:rsidRPr="007347FF" w:rsidRDefault="00767A3F" w:rsidP="009C7CC7">
            <w:pPr>
              <w:pStyle w:val="AERtabletextright"/>
              <w:cnfStyle w:val="000000000000" w:firstRow="0" w:lastRow="0" w:firstColumn="0" w:lastColumn="0" w:oddVBand="0" w:evenVBand="0" w:oddHBand="0" w:evenHBand="0" w:firstRowFirstColumn="0" w:firstRowLastColumn="0" w:lastRowFirstColumn="0" w:lastRowLastColumn="0"/>
            </w:pPr>
            <w:r>
              <w:t>126.8</w:t>
            </w:r>
          </w:p>
        </w:tc>
        <w:tc>
          <w:tcPr>
            <w:tcW w:w="645" w:type="pct"/>
          </w:tcPr>
          <w:p w:rsidR="009C7CC7" w:rsidRPr="007347FF" w:rsidRDefault="00767A3F" w:rsidP="009C7CC7">
            <w:pPr>
              <w:pStyle w:val="AERtabletextright"/>
              <w:cnfStyle w:val="000000000000" w:firstRow="0" w:lastRow="0" w:firstColumn="0" w:lastColumn="0" w:oddVBand="0" w:evenVBand="0" w:oddHBand="0" w:evenHBand="0" w:firstRowFirstColumn="0" w:firstRowLastColumn="0" w:lastRowFirstColumn="0" w:lastRowLastColumn="0"/>
            </w:pPr>
            <w:r>
              <w:t>128.3</w:t>
            </w:r>
          </w:p>
        </w:tc>
        <w:tc>
          <w:tcPr>
            <w:tcW w:w="645" w:type="pct"/>
          </w:tcPr>
          <w:p w:rsidR="009C7CC7" w:rsidRPr="007347FF" w:rsidRDefault="00767A3F" w:rsidP="009C7CC7">
            <w:pPr>
              <w:pStyle w:val="AERtabletextright"/>
              <w:cnfStyle w:val="000000000000" w:firstRow="0" w:lastRow="0" w:firstColumn="0" w:lastColumn="0" w:oddVBand="0" w:evenVBand="0" w:oddHBand="0" w:evenHBand="0" w:firstRowFirstColumn="0" w:firstRowLastColumn="0" w:lastRowFirstColumn="0" w:lastRowLastColumn="0"/>
            </w:pPr>
            <w:r>
              <w:t>130.3</w:t>
            </w:r>
          </w:p>
        </w:tc>
        <w:tc>
          <w:tcPr>
            <w:tcW w:w="645" w:type="pct"/>
          </w:tcPr>
          <w:p w:rsidR="009C7CC7" w:rsidRPr="007347FF" w:rsidRDefault="00767A3F" w:rsidP="009C7CC7">
            <w:pPr>
              <w:pStyle w:val="AERtabletextright"/>
              <w:cnfStyle w:val="000000000000" w:firstRow="0" w:lastRow="0" w:firstColumn="0" w:lastColumn="0" w:oddVBand="0" w:evenVBand="0" w:oddHBand="0" w:evenHBand="0" w:firstRowFirstColumn="0" w:firstRowLastColumn="0" w:lastRowFirstColumn="0" w:lastRowLastColumn="0"/>
            </w:pPr>
            <w:r>
              <w:t>132.3</w:t>
            </w:r>
          </w:p>
        </w:tc>
        <w:tc>
          <w:tcPr>
            <w:tcW w:w="645" w:type="pct"/>
          </w:tcPr>
          <w:p w:rsidR="009C7CC7" w:rsidRPr="007347FF" w:rsidRDefault="00767A3F" w:rsidP="009C7CC7">
            <w:pPr>
              <w:pStyle w:val="AERtabletextright"/>
              <w:cnfStyle w:val="000000000000" w:firstRow="0" w:lastRow="0" w:firstColumn="0" w:lastColumn="0" w:oddVBand="0" w:evenVBand="0" w:oddHBand="0" w:evenHBand="0" w:firstRowFirstColumn="0" w:firstRowLastColumn="0" w:lastRowFirstColumn="0" w:lastRowLastColumn="0"/>
            </w:pPr>
            <w:r>
              <w:t>134.0</w:t>
            </w:r>
          </w:p>
        </w:tc>
      </w:tr>
    </w:tbl>
    <w:p w:rsidR="001A16CD" w:rsidRDefault="009C7CC7" w:rsidP="001A16CD">
      <w:pPr>
        <w:pStyle w:val="AERtablesource"/>
      </w:pPr>
      <w:r w:rsidRPr="000540F7">
        <w:t xml:space="preserve">Source: </w:t>
      </w:r>
      <w:r w:rsidR="001A16CD">
        <w:tab/>
      </w:r>
      <w:r w:rsidRPr="000540F7">
        <w:t>AER analysis</w:t>
      </w:r>
      <w:r>
        <w:t>.</w:t>
      </w:r>
      <w:r w:rsidR="001A16CD">
        <w:t xml:space="preserve"> </w:t>
      </w:r>
    </w:p>
    <w:p w:rsidR="001A16CD" w:rsidRPr="001A16CD" w:rsidRDefault="001A16CD" w:rsidP="001A16CD">
      <w:pPr>
        <w:pStyle w:val="AERtablesource"/>
      </w:pPr>
      <w:r>
        <w:t xml:space="preserve">Note: </w:t>
      </w:r>
      <w:r>
        <w:tab/>
      </w:r>
      <w:r w:rsidR="00E822CF">
        <w:t xml:space="preserve">Total forecast opex less forecast opex on DMIA, debt raising costs and GSL payments. </w:t>
      </w:r>
    </w:p>
    <w:p w:rsidR="009C7CC7" w:rsidRPr="006E608B" w:rsidRDefault="009C7CC7" w:rsidP="009C7CC7">
      <w:pPr>
        <w:pStyle w:val="Heading2"/>
      </w:pPr>
      <w:bookmarkStart w:id="17" w:name="_Toc403138097"/>
      <w:bookmarkStart w:id="18" w:name="_Toc417636183"/>
      <w:bookmarkStart w:id="19" w:name="_Toc433521781"/>
      <w:r>
        <w:t>United Energy’s</w:t>
      </w:r>
      <w:r w:rsidRPr="006E608B">
        <w:t xml:space="preserve"> proposal</w:t>
      </w:r>
      <w:bookmarkEnd w:id="17"/>
      <w:bookmarkEnd w:id="18"/>
      <w:bookmarkEnd w:id="19"/>
    </w:p>
    <w:p w:rsidR="009C7CC7" w:rsidRPr="0093132E" w:rsidRDefault="009C7CC7" w:rsidP="008E618D">
      <w:pPr>
        <w:pStyle w:val="Heading3"/>
      </w:pPr>
      <w:bookmarkStart w:id="20" w:name="_Toc417636184"/>
      <w:bookmarkStart w:id="21" w:name="_Toc433521782"/>
      <w:r w:rsidRPr="0093132E">
        <w:t>Carryover</w:t>
      </w:r>
      <w:r w:rsidR="00565BF4">
        <w:t xml:space="preserve"> am</w:t>
      </w:r>
      <w:r w:rsidR="007422F5">
        <w:t>ounts accrued during the 2011–15</w:t>
      </w:r>
      <w:r w:rsidRPr="0093132E">
        <w:t xml:space="preserve"> regulatory control period</w:t>
      </w:r>
      <w:bookmarkEnd w:id="20"/>
      <w:bookmarkEnd w:id="21"/>
    </w:p>
    <w:p w:rsidR="009C7CC7" w:rsidRDefault="009C7CC7" w:rsidP="00565BF4">
      <w:pPr>
        <w:rPr>
          <w:rStyle w:val="AERbody"/>
        </w:rPr>
      </w:pPr>
      <w:r>
        <w:rPr>
          <w:rStyle w:val="AERbody"/>
        </w:rPr>
        <w:t>United Energy</w:t>
      </w:r>
      <w:r w:rsidRPr="0093132E">
        <w:rPr>
          <w:rStyle w:val="AERbody"/>
        </w:rPr>
        <w:t xml:space="preserve"> propose</w:t>
      </w:r>
      <w:r>
        <w:rPr>
          <w:rStyle w:val="AERbody"/>
        </w:rPr>
        <w:t xml:space="preserve">d </w:t>
      </w:r>
      <w:r w:rsidR="003E556F">
        <w:rPr>
          <w:rStyle w:val="AERbody"/>
        </w:rPr>
        <w:t xml:space="preserve">that </w:t>
      </w:r>
      <w:r>
        <w:rPr>
          <w:rStyle w:val="AERbody"/>
        </w:rPr>
        <w:t>$</w:t>
      </w:r>
      <w:r w:rsidR="003C19ED">
        <w:rPr>
          <w:rStyle w:val="AERbody"/>
        </w:rPr>
        <w:t>27.7</w:t>
      </w:r>
      <w:r>
        <w:rPr>
          <w:rStyle w:val="AERbody"/>
        </w:rPr>
        <w:t xml:space="preserve"> million</w:t>
      </w:r>
      <w:r w:rsidRPr="0093132E">
        <w:rPr>
          <w:rStyle w:val="AERbody"/>
        </w:rPr>
        <w:t xml:space="preserve"> </w:t>
      </w:r>
      <w:r w:rsidR="00565BF4">
        <w:t>($20</w:t>
      </w:r>
      <w:r>
        <w:t>15</w:t>
      </w:r>
      <w:r w:rsidRPr="00D77205">
        <w:t>)</w:t>
      </w:r>
      <w:r>
        <w:t xml:space="preserve"> </w:t>
      </w:r>
      <w:r w:rsidRPr="0093132E">
        <w:rPr>
          <w:rStyle w:val="AERbody"/>
        </w:rPr>
        <w:t>be added to i</w:t>
      </w:r>
      <w:r w:rsidR="00565BF4">
        <w:rPr>
          <w:rStyle w:val="AERbody"/>
        </w:rPr>
        <w:t>ts regulated revenue in the 2016</w:t>
      </w:r>
      <w:r>
        <w:rPr>
          <w:rStyle w:val="AERbody"/>
        </w:rPr>
        <w:t>–20</w:t>
      </w:r>
      <w:r w:rsidRPr="0093132E">
        <w:rPr>
          <w:rStyle w:val="AERbody"/>
        </w:rPr>
        <w:t xml:space="preserve"> </w:t>
      </w:r>
      <w:r>
        <w:rPr>
          <w:rStyle w:val="AERbody"/>
        </w:rPr>
        <w:t xml:space="preserve">regulatory control </w:t>
      </w:r>
      <w:r w:rsidRPr="0093132E">
        <w:rPr>
          <w:rStyle w:val="AERbody"/>
        </w:rPr>
        <w:t>period</w:t>
      </w:r>
      <w:r w:rsidR="00565BF4">
        <w:rPr>
          <w:rStyle w:val="AERbody"/>
        </w:rPr>
        <w:t>.</w:t>
      </w:r>
    </w:p>
    <w:p w:rsidR="00E140F3" w:rsidRDefault="00E140F3" w:rsidP="00565BF4">
      <w:pPr>
        <w:rPr>
          <w:rStyle w:val="AERbody"/>
        </w:rPr>
      </w:pPr>
      <w:r>
        <w:rPr>
          <w:rStyle w:val="AERbody"/>
        </w:rPr>
        <w:t xml:space="preserve">In estimating its proposed EBSS carryover amounts </w:t>
      </w:r>
      <w:r w:rsidR="00354723">
        <w:rPr>
          <w:rStyle w:val="AERbody"/>
        </w:rPr>
        <w:t xml:space="preserve">United Energy </w:t>
      </w:r>
      <w:r>
        <w:rPr>
          <w:rStyle w:val="AERbody"/>
        </w:rPr>
        <w:t xml:space="preserve">adjusted its actual opex for the following costs: </w:t>
      </w:r>
    </w:p>
    <w:p w:rsidR="00E140F3" w:rsidRDefault="00E140F3" w:rsidP="00E140F3">
      <w:pPr>
        <w:pStyle w:val="AERbulletlistfirststyle"/>
        <w:rPr>
          <w:rStyle w:val="AERbody"/>
        </w:rPr>
      </w:pPr>
      <w:r>
        <w:rPr>
          <w:rStyle w:val="AERbody"/>
        </w:rPr>
        <w:t>debt raising costs</w:t>
      </w:r>
    </w:p>
    <w:p w:rsidR="00E140F3" w:rsidRDefault="00354723" w:rsidP="00E140F3">
      <w:pPr>
        <w:pStyle w:val="AERbulletlistfirststyle"/>
        <w:rPr>
          <w:rStyle w:val="AERbody"/>
        </w:rPr>
      </w:pPr>
      <w:r>
        <w:rPr>
          <w:rStyle w:val="AERbody"/>
        </w:rPr>
        <w:t xml:space="preserve">the demand management incentive allowance (DMIA) </w:t>
      </w:r>
    </w:p>
    <w:p w:rsidR="00FC3192" w:rsidRDefault="00354723" w:rsidP="00E140F3">
      <w:pPr>
        <w:pStyle w:val="AERbulletlistfirststyle"/>
        <w:rPr>
          <w:rStyle w:val="AERbody"/>
        </w:rPr>
      </w:pPr>
      <w:r>
        <w:rPr>
          <w:rStyle w:val="AERbody"/>
        </w:rPr>
        <w:t>guaranteed service lev</w:t>
      </w:r>
      <w:r w:rsidR="00441204">
        <w:rPr>
          <w:rStyle w:val="AERbody"/>
        </w:rPr>
        <w:t>el</w:t>
      </w:r>
      <w:r>
        <w:rPr>
          <w:rStyle w:val="AERbody"/>
        </w:rPr>
        <w:t xml:space="preserve"> (GSL</w:t>
      </w:r>
      <w:r w:rsidR="00DE2FA9">
        <w:rPr>
          <w:rStyle w:val="AERbody"/>
        </w:rPr>
        <w:t>)</w:t>
      </w:r>
      <w:r>
        <w:rPr>
          <w:rStyle w:val="AERbody"/>
        </w:rPr>
        <w:t xml:space="preserve"> payments</w:t>
      </w:r>
    </w:p>
    <w:p w:rsidR="00354723" w:rsidRDefault="00FC3192" w:rsidP="00E140F3">
      <w:pPr>
        <w:pStyle w:val="AERbulletlistfirststyle"/>
        <w:rPr>
          <w:rStyle w:val="AERbody"/>
        </w:rPr>
      </w:pPr>
      <w:proofErr w:type="gramStart"/>
      <w:r>
        <w:rPr>
          <w:rStyle w:val="AERbody"/>
        </w:rPr>
        <w:t>movements</w:t>
      </w:r>
      <w:proofErr w:type="gramEnd"/>
      <w:r>
        <w:rPr>
          <w:rStyle w:val="AERbody"/>
        </w:rPr>
        <w:t xml:space="preserve"> in provisions</w:t>
      </w:r>
      <w:r w:rsidR="00354723">
        <w:rPr>
          <w:rStyle w:val="AERbody"/>
        </w:rPr>
        <w:t>.</w:t>
      </w:r>
      <w:r w:rsidR="00354723">
        <w:rPr>
          <w:rStyle w:val="FootnoteReference"/>
        </w:rPr>
        <w:footnoteReference w:id="5"/>
      </w:r>
      <w:r w:rsidR="00354723">
        <w:rPr>
          <w:rStyle w:val="AERbody"/>
        </w:rPr>
        <w:t xml:space="preserve"> </w:t>
      </w:r>
    </w:p>
    <w:p w:rsidR="003C19ED" w:rsidRPr="003C19ED" w:rsidRDefault="003C19ED" w:rsidP="003C19ED">
      <w:pPr>
        <w:rPr>
          <w:rStyle w:val="AERbody"/>
        </w:rPr>
      </w:pPr>
      <w:r>
        <w:rPr>
          <w:rStyle w:val="AERbody"/>
        </w:rPr>
        <w:t xml:space="preserve">To calculate the carryover amount accrued in 2011, United Energy </w:t>
      </w:r>
      <w:r w:rsidR="00187275">
        <w:rPr>
          <w:rStyle w:val="AERbody"/>
        </w:rPr>
        <w:t>proposed using</w:t>
      </w:r>
      <w:r>
        <w:rPr>
          <w:rStyle w:val="AERbody"/>
        </w:rPr>
        <w:t xml:space="preserve"> the year one formula (the difference between actual opex and the allowance). It stated this was consistent with o</w:t>
      </w:r>
      <w:r w:rsidR="007422F5">
        <w:rPr>
          <w:rStyle w:val="AERbody"/>
        </w:rPr>
        <w:t>ur determination for the 2011–15</w:t>
      </w:r>
      <w:r w:rsidR="007253F4">
        <w:rPr>
          <w:rStyle w:val="AERbody"/>
        </w:rPr>
        <w:t xml:space="preserve"> regulatory control period</w:t>
      </w:r>
      <w:r>
        <w:rPr>
          <w:rStyle w:val="AERbody"/>
        </w:rPr>
        <w:t xml:space="preserve"> where we set its Efficiency Carryover Mechanism to zero.</w:t>
      </w:r>
      <w:r w:rsidR="00C71DE3">
        <w:rPr>
          <w:rStyle w:val="FootnoteReference"/>
        </w:rPr>
        <w:footnoteReference w:id="6"/>
      </w:r>
      <w:r w:rsidR="00187275" w:rsidRPr="00187275">
        <w:rPr>
          <w:rStyle w:val="AERbody"/>
        </w:rPr>
        <w:t xml:space="preserve"> </w:t>
      </w:r>
      <w:r w:rsidR="00187275">
        <w:rPr>
          <w:rStyle w:val="AERbody"/>
        </w:rPr>
        <w:t>Rather than change the formula in the RIN to achieve the same result</w:t>
      </w:r>
      <w:r w:rsidR="007253F4">
        <w:rPr>
          <w:rStyle w:val="AERbody"/>
        </w:rPr>
        <w:t>,</w:t>
      </w:r>
      <w:r w:rsidR="00187275">
        <w:rPr>
          <w:rStyle w:val="AERbody"/>
        </w:rPr>
        <w:t xml:space="preserve"> </w:t>
      </w:r>
      <w:r w:rsidR="007253F4">
        <w:rPr>
          <w:rStyle w:val="AERbody"/>
        </w:rPr>
        <w:t>United Energy</w:t>
      </w:r>
      <w:r w:rsidR="00187275">
        <w:rPr>
          <w:rStyle w:val="AERbody"/>
        </w:rPr>
        <w:t xml:space="preserve"> adjusted actual opex in 2009 and 2010 to record zero efficiency gains </w:t>
      </w:r>
      <w:r w:rsidR="007253F4">
        <w:rPr>
          <w:rStyle w:val="AERbody"/>
        </w:rPr>
        <w:t>for</w:t>
      </w:r>
      <w:r w:rsidR="00187275">
        <w:rPr>
          <w:rStyle w:val="AERbody"/>
        </w:rPr>
        <w:t xml:space="preserve"> those years.</w:t>
      </w:r>
      <w:r w:rsidR="00187275">
        <w:rPr>
          <w:rStyle w:val="FootnoteReference"/>
        </w:rPr>
        <w:footnoteReference w:id="7"/>
      </w:r>
    </w:p>
    <w:p w:rsidR="009C7CC7" w:rsidRPr="00D06BEA" w:rsidRDefault="009C7CC7" w:rsidP="008E618D">
      <w:pPr>
        <w:pStyle w:val="Heading3"/>
      </w:pPr>
      <w:bookmarkStart w:id="22" w:name="_Toc417636185"/>
      <w:bookmarkStart w:id="23" w:name="_Toc433521783"/>
      <w:r w:rsidRPr="00D06BEA">
        <w:t>Ap</w:t>
      </w:r>
      <w:r>
        <w:t>p</w:t>
      </w:r>
      <w:r w:rsidR="00565BF4">
        <w:t>lication of the EBSS in the 2016</w:t>
      </w:r>
      <w:r>
        <w:t>–20 regulatory control period</w:t>
      </w:r>
      <w:bookmarkEnd w:id="22"/>
      <w:bookmarkEnd w:id="23"/>
    </w:p>
    <w:p w:rsidR="00240716" w:rsidRDefault="009C7CC7" w:rsidP="00BC42EB">
      <w:pPr>
        <w:numPr>
          <w:ilvl w:val="0"/>
          <w:numId w:val="24"/>
        </w:numPr>
      </w:pPr>
      <w:r>
        <w:t>United Energy proposed version two of the scheme would apply to it</w:t>
      </w:r>
      <w:r w:rsidRPr="001A36B2">
        <w:t xml:space="preserve"> </w:t>
      </w:r>
      <w:r w:rsidR="00565BF4">
        <w:t xml:space="preserve">in the </w:t>
      </w:r>
      <w:r w:rsidR="00565BF4">
        <w:br/>
        <w:t>2016</w:t>
      </w:r>
      <w:r>
        <w:t xml:space="preserve">–20 regulatory control period. </w:t>
      </w:r>
      <w:r w:rsidR="00187275">
        <w:t>It proposed excluding</w:t>
      </w:r>
      <w:r w:rsidR="00240716">
        <w:t>:</w:t>
      </w:r>
      <w:r w:rsidR="00187275">
        <w:t xml:space="preserve"> </w:t>
      </w:r>
    </w:p>
    <w:p w:rsidR="00240716" w:rsidRDefault="00240716" w:rsidP="00240716">
      <w:pPr>
        <w:pStyle w:val="AERbulletlistfirststyle"/>
      </w:pPr>
      <w:r>
        <w:t>GSL payments</w:t>
      </w:r>
    </w:p>
    <w:p w:rsidR="00240716" w:rsidRDefault="00240716" w:rsidP="00240716">
      <w:pPr>
        <w:pStyle w:val="AERbulletlistfirststyle"/>
      </w:pPr>
      <w:r>
        <w:t>DMIA</w:t>
      </w:r>
      <w:r w:rsidR="00187275">
        <w:t xml:space="preserve"> </w:t>
      </w:r>
    </w:p>
    <w:p w:rsidR="00240716" w:rsidRDefault="00187275" w:rsidP="00240716">
      <w:pPr>
        <w:pStyle w:val="AERbulletlistfirststyle"/>
      </w:pPr>
      <w:r>
        <w:t xml:space="preserve">debt raising costs. </w:t>
      </w:r>
    </w:p>
    <w:p w:rsidR="009C7CC7" w:rsidRPr="006E608B" w:rsidRDefault="00BC42EB" w:rsidP="00BC42EB">
      <w:pPr>
        <w:numPr>
          <w:ilvl w:val="0"/>
          <w:numId w:val="24"/>
        </w:numPr>
      </w:pPr>
      <w:r>
        <w:t>It did not propose any modifications</w:t>
      </w:r>
      <w:r w:rsidR="00240716">
        <w:t xml:space="preserve"> to the scheme</w:t>
      </w:r>
      <w:r w:rsidR="0020369A">
        <w:t>.</w:t>
      </w:r>
      <w:r w:rsidR="0020369A" w:rsidRPr="0020369A">
        <w:rPr>
          <w:rStyle w:val="FootnoteReference"/>
        </w:rPr>
        <w:t xml:space="preserve"> </w:t>
      </w:r>
      <w:r w:rsidR="0020369A" w:rsidRPr="006E608B">
        <w:rPr>
          <w:rStyle w:val="FootnoteReference"/>
        </w:rPr>
        <w:footnoteReference w:id="8"/>
      </w:r>
    </w:p>
    <w:p w:rsidR="009C7CC7" w:rsidRPr="006E608B" w:rsidRDefault="009C7CC7" w:rsidP="009C7CC7">
      <w:pPr>
        <w:pStyle w:val="Heading2"/>
      </w:pPr>
      <w:bookmarkStart w:id="24" w:name="_Toc403138098"/>
      <w:bookmarkStart w:id="25" w:name="_Toc417636186"/>
      <w:bookmarkStart w:id="26" w:name="_Toc433521784"/>
      <w:r>
        <w:t>AER’s assessment approach</w:t>
      </w:r>
      <w:bookmarkEnd w:id="24"/>
      <w:bookmarkEnd w:id="25"/>
      <w:bookmarkEnd w:id="26"/>
    </w:p>
    <w:p w:rsidR="009C7CC7" w:rsidRPr="002D16B9" w:rsidRDefault="009C7CC7" w:rsidP="009C7CC7">
      <w:pPr>
        <w:numPr>
          <w:ilvl w:val="0"/>
          <w:numId w:val="24"/>
        </w:numPr>
      </w:pPr>
      <w:bookmarkStart w:id="27" w:name="_Toc387916854"/>
      <w:r>
        <w:t>Under t</w:t>
      </w:r>
      <w:r w:rsidRPr="002D16B9">
        <w:t xml:space="preserve">he National Electricity Rules (NER) </w:t>
      </w:r>
      <w:r>
        <w:t xml:space="preserve">we must </w:t>
      </w:r>
      <w:r w:rsidRPr="002D16B9">
        <w:t>decide</w:t>
      </w:r>
      <w:r w:rsidR="00B27D73">
        <w:t xml:space="preserve"> on</w:t>
      </w:r>
      <w:r w:rsidRPr="002D16B9">
        <w:t xml:space="preserve">: </w:t>
      </w:r>
    </w:p>
    <w:p w:rsidR="009C7CC7" w:rsidRPr="002D16B9" w:rsidRDefault="009C7CC7" w:rsidP="009C7CC7">
      <w:pPr>
        <w:pStyle w:val="ListNumber"/>
        <w:numPr>
          <w:ilvl w:val="1"/>
          <w:numId w:val="24"/>
        </w:numPr>
      </w:pPr>
      <w:r w:rsidRPr="002D16B9">
        <w:t xml:space="preserve">the </w:t>
      </w:r>
      <w:r w:rsidRPr="00061D4E">
        <w:t xml:space="preserve">revenue increments or decrements (if any) for each year </w:t>
      </w:r>
      <w:r w:rsidR="00565BF4">
        <w:t>of the 2016</w:t>
      </w:r>
      <w:r>
        <w:t xml:space="preserve">–20 regulatory control period </w:t>
      </w:r>
      <w:r w:rsidRPr="00061D4E">
        <w:t xml:space="preserve">arising from the application of the EBSS during the </w:t>
      </w:r>
      <w:r w:rsidR="007422F5">
        <w:br/>
        <w:t>2011–15</w:t>
      </w:r>
      <w:r w:rsidRPr="00061D4E">
        <w:t xml:space="preserve"> </w:t>
      </w:r>
      <w:r>
        <w:t xml:space="preserve">regulatory control </w:t>
      </w:r>
      <w:r w:rsidRPr="00061D4E">
        <w:t>period</w:t>
      </w:r>
      <w:r>
        <w:rPr>
          <w:rStyle w:val="FootnoteReference"/>
        </w:rPr>
        <w:footnoteReference w:id="9"/>
      </w:r>
      <w:r w:rsidRPr="002D16B9">
        <w:t xml:space="preserve"> </w:t>
      </w:r>
    </w:p>
    <w:p w:rsidR="009C7CC7" w:rsidRDefault="009C7CC7" w:rsidP="009C7CC7">
      <w:pPr>
        <w:pStyle w:val="ListNumber"/>
        <w:numPr>
          <w:ilvl w:val="1"/>
          <w:numId w:val="24"/>
        </w:numPr>
      </w:pPr>
      <w:r>
        <w:t xml:space="preserve">how </w:t>
      </w:r>
      <w:r w:rsidRPr="002D16B9">
        <w:t>the EBSS will a</w:t>
      </w:r>
      <w:r>
        <w:t>p</w:t>
      </w:r>
      <w:r w:rsidR="00565BF4">
        <w:t>ply to United Energy in the 2016</w:t>
      </w:r>
      <w:r>
        <w:t>–20</w:t>
      </w:r>
      <w:r w:rsidRPr="002D16B9">
        <w:t xml:space="preserve"> </w:t>
      </w:r>
      <w:r>
        <w:t xml:space="preserve">regulatory control </w:t>
      </w:r>
      <w:r w:rsidRPr="002D16B9">
        <w:t>period.</w:t>
      </w:r>
      <w:r>
        <w:rPr>
          <w:rStyle w:val="FootnoteReference"/>
        </w:rPr>
        <w:footnoteReference w:id="10"/>
      </w:r>
    </w:p>
    <w:p w:rsidR="009C7CC7" w:rsidRDefault="009C7CC7" w:rsidP="009C7CC7">
      <w:pPr>
        <w:numPr>
          <w:ilvl w:val="0"/>
          <w:numId w:val="24"/>
        </w:numPr>
      </w:pPr>
      <w:r>
        <w:rPr>
          <w:rStyle w:val="AERbody"/>
        </w:rPr>
        <w:t>The EBSS must provide for a fair sharing between service providers and network users of opex efficiency gains and efficiency losses.</w:t>
      </w:r>
      <w:r>
        <w:rPr>
          <w:rStyle w:val="FootnoteReference"/>
        </w:rPr>
        <w:footnoteReference w:id="11"/>
      </w:r>
      <w:r>
        <w:rPr>
          <w:rStyle w:val="AERbody"/>
        </w:rPr>
        <w:t xml:space="preserve"> We must also have regard to the following factors when implementing the EBSS</w:t>
      </w:r>
      <w:r>
        <w:t>:</w:t>
      </w:r>
      <w:r>
        <w:rPr>
          <w:rStyle w:val="FootnoteReference"/>
        </w:rPr>
        <w:footnoteReference w:id="12"/>
      </w:r>
    </w:p>
    <w:p w:rsidR="009C7CC7" w:rsidRPr="006E608B" w:rsidRDefault="009C7CC7" w:rsidP="009C7CC7">
      <w:pPr>
        <w:pStyle w:val="AERbulletlistfirststyle"/>
      </w:pPr>
      <w:r>
        <w:t>the need to ensure that benefits to electricity consumers likely to result from the scheme are sufficient to warrant any reward or penalty under the scheme</w:t>
      </w:r>
    </w:p>
    <w:p w:rsidR="009C7CC7" w:rsidRPr="006E608B" w:rsidRDefault="009C7CC7" w:rsidP="009C7CC7">
      <w:pPr>
        <w:pStyle w:val="AERbulletlistfirststyle"/>
      </w:pPr>
      <w:r w:rsidRPr="007439B9">
        <w:t xml:space="preserve">the need to provide </w:t>
      </w:r>
      <w:r>
        <w:t>the network service provider</w:t>
      </w:r>
      <w:r w:rsidRPr="006E608B">
        <w:t xml:space="preserve"> with continuous incentives to reduce opex </w:t>
      </w:r>
    </w:p>
    <w:p w:rsidR="009C7CC7" w:rsidRPr="006E608B" w:rsidRDefault="009C7CC7" w:rsidP="009C7CC7">
      <w:pPr>
        <w:pStyle w:val="AERbulletlistfirststyle"/>
      </w:pPr>
      <w:r w:rsidRPr="007439B9">
        <w:t xml:space="preserve">the desirability of both rewarding the </w:t>
      </w:r>
      <w:r w:rsidRPr="006E608B">
        <w:t xml:space="preserve">service providers for efficiency gains and penalising them for efficiency losses </w:t>
      </w:r>
    </w:p>
    <w:p w:rsidR="009C7CC7" w:rsidRPr="006E608B" w:rsidRDefault="009C7CC7" w:rsidP="009C7CC7">
      <w:pPr>
        <w:pStyle w:val="AERbulletlistfirststyle"/>
      </w:pPr>
      <w:r w:rsidRPr="007439B9">
        <w:t>any incentives that service providers may have to capitalise expenditure</w:t>
      </w:r>
    </w:p>
    <w:p w:rsidR="009C7CC7" w:rsidRPr="006E608B" w:rsidRDefault="009C7CC7" w:rsidP="009C7CC7">
      <w:pPr>
        <w:pStyle w:val="AERbulletlistfirststyle"/>
      </w:pPr>
      <w:r w:rsidRPr="00DC57D9">
        <w:t>the possible effects of the scheme on incentives for the implementation of non–network alternatives.</w:t>
      </w:r>
      <w:bookmarkEnd w:id="27"/>
    </w:p>
    <w:p w:rsidR="009C7CC7" w:rsidRPr="006E608B" w:rsidRDefault="009C7CC7" w:rsidP="009C7CC7">
      <w:pPr>
        <w:pStyle w:val="Heading3"/>
      </w:pPr>
      <w:bookmarkStart w:id="28" w:name="_Toc403138099"/>
      <w:bookmarkStart w:id="29" w:name="_Ref411244321"/>
      <w:bookmarkStart w:id="30" w:name="_Toc417636187"/>
      <w:bookmarkStart w:id="31" w:name="_Toc424130417"/>
      <w:bookmarkStart w:id="32" w:name="_Toc432755021"/>
      <w:bookmarkStart w:id="33" w:name="_Toc433521785"/>
      <w:r>
        <w:t>Interrelationships</w:t>
      </w:r>
      <w:bookmarkEnd w:id="28"/>
      <w:bookmarkEnd w:id="29"/>
      <w:bookmarkEnd w:id="30"/>
      <w:bookmarkEnd w:id="31"/>
      <w:bookmarkEnd w:id="32"/>
      <w:bookmarkEnd w:id="33"/>
    </w:p>
    <w:p w:rsidR="009C7CC7" w:rsidRPr="00567FCA" w:rsidRDefault="009C7CC7" w:rsidP="009C7CC7">
      <w:r w:rsidRPr="00567FCA">
        <w:t>The EBSS is intrinsically linked to our opex revealed cost forecasting approach. Under this opex forecasting approach, the EBSS has two specific functions:</w:t>
      </w:r>
    </w:p>
    <w:p w:rsidR="009C7CC7" w:rsidRPr="006E608B" w:rsidRDefault="00B27D73" w:rsidP="009C7CC7">
      <w:pPr>
        <w:pStyle w:val="AERbulletlistfirststyle"/>
      </w:pPr>
      <w:proofErr w:type="gramStart"/>
      <w:r>
        <w:t>t</w:t>
      </w:r>
      <w:r w:rsidR="009C7CC7" w:rsidRPr="00567FCA">
        <w:t>o</w:t>
      </w:r>
      <w:proofErr w:type="gramEnd"/>
      <w:r w:rsidR="009C7CC7" w:rsidRPr="00567FCA">
        <w:t xml:space="preserve"> mitigate the incentive for a service provider to increase opex in the expected 'base year' to increase its forecast opex allowance for the following regulatory control period.</w:t>
      </w:r>
    </w:p>
    <w:p w:rsidR="009C7CC7" w:rsidRPr="006E608B" w:rsidRDefault="00B27D73" w:rsidP="009C7CC7">
      <w:pPr>
        <w:pStyle w:val="AERbulletlistfirststyle"/>
      </w:pPr>
      <w:proofErr w:type="gramStart"/>
      <w:r>
        <w:t>t</w:t>
      </w:r>
      <w:r w:rsidR="009C7CC7" w:rsidRPr="00567FCA">
        <w:t>o</w:t>
      </w:r>
      <w:proofErr w:type="gramEnd"/>
      <w:r w:rsidR="009C7CC7" w:rsidRPr="00567FCA">
        <w:t xml:space="preserve"> provide a continuous incentive for a service provider to make efficiency gains - service providers receive the same reward for an underspend and the same penalty for an overspend in each year of the regulatory control period.</w:t>
      </w:r>
    </w:p>
    <w:p w:rsidR="009C7CC7" w:rsidRPr="00414837" w:rsidRDefault="009C7CC7" w:rsidP="009C7CC7">
      <w:pPr>
        <w:rPr>
          <w:rStyle w:val="AERbody"/>
        </w:rPr>
      </w:pPr>
      <w:r w:rsidRPr="00414837">
        <w:rPr>
          <w:rStyle w:val="AERbody"/>
        </w:rPr>
        <w:t>Where we do not propose to rely on the revealed costs of a service provider in forecasting opex, this has consequences for the service provider's incentives to make productivity improvements and consequently our decision on how we apply the EBSS.</w:t>
      </w:r>
    </w:p>
    <w:p w:rsidR="009C7CC7" w:rsidRPr="006E608B" w:rsidRDefault="009C7CC7" w:rsidP="009C7CC7">
      <w:pPr>
        <w:pStyle w:val="Heading2"/>
      </w:pPr>
      <w:bookmarkStart w:id="34" w:name="_Toc403138100"/>
      <w:bookmarkStart w:id="35" w:name="_Toc417636188"/>
      <w:bookmarkStart w:id="36" w:name="_Toc433521786"/>
      <w:r>
        <w:t>Reasons for preliminary decision</w:t>
      </w:r>
      <w:bookmarkEnd w:id="34"/>
      <w:bookmarkEnd w:id="35"/>
      <w:bookmarkEnd w:id="36"/>
      <w:r>
        <w:t xml:space="preserve"> </w:t>
      </w:r>
    </w:p>
    <w:p w:rsidR="009C7CC7" w:rsidRPr="0030169A" w:rsidRDefault="009C7CC7" w:rsidP="009C7CC7">
      <w:pPr>
        <w:rPr>
          <w:rStyle w:val="AERbody"/>
        </w:rPr>
      </w:pPr>
      <w:r w:rsidRPr="0030169A">
        <w:rPr>
          <w:rStyle w:val="AERbody"/>
        </w:rPr>
        <w:t xml:space="preserve">This section provides the reasons for our </w:t>
      </w:r>
      <w:r>
        <w:rPr>
          <w:rStyle w:val="AERbody"/>
        </w:rPr>
        <w:t>preliminary</w:t>
      </w:r>
      <w:r w:rsidRPr="0030169A">
        <w:rPr>
          <w:rStyle w:val="AERbody"/>
        </w:rPr>
        <w:t xml:space="preserve"> decision on the carryover amounts that arise from a</w:t>
      </w:r>
      <w:r w:rsidR="00565BF4">
        <w:rPr>
          <w:rStyle w:val="AERbody"/>
        </w:rPr>
        <w:t>ppl</w:t>
      </w:r>
      <w:r w:rsidR="007422F5">
        <w:rPr>
          <w:rStyle w:val="AERbody"/>
        </w:rPr>
        <w:t>ying the EBSS during the 2011–15</w:t>
      </w:r>
      <w:r w:rsidRPr="0030169A">
        <w:rPr>
          <w:rStyle w:val="AERbody"/>
        </w:rPr>
        <w:t xml:space="preserve"> regulatory control period, and how we</w:t>
      </w:r>
      <w:r w:rsidR="00565BF4">
        <w:rPr>
          <w:rStyle w:val="AERbody"/>
        </w:rPr>
        <w:t xml:space="preserve"> will apply the EBSS in the 2016</w:t>
      </w:r>
      <w:r>
        <w:rPr>
          <w:rStyle w:val="AERbody"/>
        </w:rPr>
        <w:t>–20</w:t>
      </w:r>
      <w:r w:rsidRPr="0030169A">
        <w:rPr>
          <w:rStyle w:val="AERbody"/>
        </w:rPr>
        <w:t xml:space="preserve"> </w:t>
      </w:r>
      <w:r>
        <w:rPr>
          <w:rStyle w:val="AERbody"/>
        </w:rPr>
        <w:t xml:space="preserve">regulatory control </w:t>
      </w:r>
      <w:r w:rsidRPr="0030169A">
        <w:rPr>
          <w:rStyle w:val="AERbody"/>
        </w:rPr>
        <w:t>period.</w:t>
      </w:r>
    </w:p>
    <w:p w:rsidR="009C7CC7" w:rsidRPr="006E608B" w:rsidRDefault="00565BF4" w:rsidP="009C7CC7">
      <w:pPr>
        <w:pStyle w:val="Heading3"/>
      </w:pPr>
      <w:bookmarkStart w:id="37" w:name="_Ref396474023"/>
      <w:bookmarkStart w:id="38" w:name="_Toc404160290"/>
      <w:bookmarkStart w:id="39" w:name="_Toc417636189"/>
      <w:bookmarkStart w:id="40" w:name="_Toc424130419"/>
      <w:bookmarkStart w:id="41" w:name="_Toc432755023"/>
      <w:bookmarkStart w:id="42" w:name="_Toc433521787"/>
      <w:r>
        <w:t>Ca</w:t>
      </w:r>
      <w:r w:rsidR="007422F5">
        <w:t>rryover amounts from the 2011–15</w:t>
      </w:r>
      <w:r w:rsidR="009C7CC7" w:rsidRPr="006E608B">
        <w:t xml:space="preserve"> regulatory control period</w:t>
      </w:r>
      <w:bookmarkEnd w:id="37"/>
      <w:bookmarkEnd w:id="38"/>
      <w:bookmarkEnd w:id="39"/>
      <w:bookmarkEnd w:id="40"/>
      <w:bookmarkEnd w:id="41"/>
      <w:bookmarkEnd w:id="42"/>
    </w:p>
    <w:p w:rsidR="009C7CC7" w:rsidRDefault="009C7CC7" w:rsidP="009C7CC7">
      <w:r>
        <w:t>W</w:t>
      </w:r>
      <w:r w:rsidRPr="005D1B25">
        <w:t xml:space="preserve">e </w:t>
      </w:r>
      <w:r>
        <w:t xml:space="preserve">consider United Energy should receive </w:t>
      </w:r>
      <w:r w:rsidR="009A5488">
        <w:t xml:space="preserve">an </w:t>
      </w:r>
      <w:r>
        <w:t>EBSS carryover amo</w:t>
      </w:r>
      <w:r w:rsidR="009A5488">
        <w:t>unt</w:t>
      </w:r>
      <w:r w:rsidR="00356A23">
        <w:t xml:space="preserve"> of </w:t>
      </w:r>
      <w:r>
        <w:t>$</w:t>
      </w:r>
      <w:r w:rsidR="00962CFC">
        <w:rPr>
          <w:rStyle w:val="AERbody"/>
        </w:rPr>
        <w:t>24.7</w:t>
      </w:r>
      <w:r w:rsidR="00B50638">
        <w:t xml:space="preserve"> million ($20</w:t>
      </w:r>
      <w:r>
        <w:t>15) from the applica</w:t>
      </w:r>
      <w:r w:rsidR="00565BF4">
        <w:t>tio</w:t>
      </w:r>
      <w:r w:rsidR="007422F5">
        <w:t>n of the EBSS during the 2011–15</w:t>
      </w:r>
      <w:r w:rsidRPr="003C3CBA">
        <w:t xml:space="preserve"> regulatory control period</w:t>
      </w:r>
      <w:r>
        <w:t>. Our calculation is in accordance with section 2.3 of the Electricity distribution network service providers EBSS.</w:t>
      </w:r>
      <w:r>
        <w:rPr>
          <w:rStyle w:val="FootnoteReference"/>
        </w:rPr>
        <w:footnoteReference w:id="13"/>
      </w:r>
    </w:p>
    <w:p w:rsidR="009C7CC7" w:rsidRDefault="007422F5" w:rsidP="009C7CC7">
      <w:pPr>
        <w:numPr>
          <w:ilvl w:val="0"/>
          <w:numId w:val="24"/>
        </w:numPr>
      </w:pPr>
      <w:r>
        <w:t>In the 2011–15</w:t>
      </w:r>
      <w:r w:rsidR="009C7CC7" w:rsidRPr="00135689">
        <w:t xml:space="preserve"> </w:t>
      </w:r>
      <w:r w:rsidR="009C7CC7">
        <w:t>regulatory control period, United Energy was subject to t</w:t>
      </w:r>
      <w:r w:rsidR="009C7CC7" w:rsidRPr="000C2EF1">
        <w:rPr>
          <w:rStyle w:val="AERbody"/>
        </w:rPr>
        <w:t xml:space="preserve">he </w:t>
      </w:r>
      <w:r w:rsidR="009C7CC7">
        <w:t>Electricity distribution network service providers EBSS</w:t>
      </w:r>
      <w:r w:rsidR="009C7CC7" w:rsidRPr="009120D0">
        <w:t>.</w:t>
      </w:r>
      <w:r w:rsidR="009C7CC7">
        <w:rPr>
          <w:rStyle w:val="FootnoteReference"/>
        </w:rPr>
        <w:footnoteReference w:id="14"/>
      </w:r>
      <w:r w:rsidR="009C7CC7">
        <w:t xml:space="preserve"> Under this scheme</w:t>
      </w:r>
      <w:r w:rsidR="00B27D73">
        <w:t>,</w:t>
      </w:r>
      <w:r w:rsidR="009C7CC7">
        <w:t xml:space="preserve"> the EBSS carryover amounts are based on the difference between:</w:t>
      </w:r>
    </w:p>
    <w:p w:rsidR="009C7CC7" w:rsidRPr="004D7706" w:rsidRDefault="009C7CC7" w:rsidP="009C7CC7">
      <w:pPr>
        <w:pStyle w:val="AERbulletlistfirststyle"/>
      </w:pPr>
      <w:r>
        <w:t>approved forecast opex which is set out in our determination for United Energy</w:t>
      </w:r>
      <w:r w:rsidR="007422F5">
        <w:t xml:space="preserve"> for the 2011–15</w:t>
      </w:r>
      <w:r w:rsidRPr="004D7706">
        <w:t xml:space="preserve"> regulatory control period</w:t>
      </w:r>
    </w:p>
    <w:p w:rsidR="009C7CC7" w:rsidRPr="004D7706" w:rsidRDefault="009C7CC7" w:rsidP="009C7CC7">
      <w:pPr>
        <w:pStyle w:val="AERbulletlistfirststyle"/>
      </w:pPr>
      <w:r>
        <w:t>actual opex for the regulatory years from 20</w:t>
      </w:r>
      <w:r w:rsidR="00565BF4">
        <w:t>11–12 to 2014–15</w:t>
      </w:r>
      <w:r w:rsidRPr="004D7706">
        <w:t xml:space="preserve"> less excluded cost categories.</w:t>
      </w:r>
    </w:p>
    <w:p w:rsidR="0006280E" w:rsidRDefault="0006280E" w:rsidP="00356A23">
      <w:pPr>
        <w:rPr>
          <w:rStyle w:val="AERbody"/>
        </w:rPr>
      </w:pPr>
      <w:r>
        <w:rPr>
          <w:rStyle w:val="AERbody"/>
        </w:rPr>
        <w:t>T</w:t>
      </w:r>
      <w:r w:rsidRPr="008D4C45">
        <w:rPr>
          <w:rStyle w:val="AERbody"/>
        </w:rPr>
        <w:t>he formul</w:t>
      </w:r>
      <w:r>
        <w:rPr>
          <w:rStyle w:val="AERbody"/>
        </w:rPr>
        <w:t>a</w:t>
      </w:r>
      <w:r w:rsidR="00EB3BB9">
        <w:rPr>
          <w:rStyle w:val="AERbody"/>
        </w:rPr>
        <w:t>s</w:t>
      </w:r>
      <w:r w:rsidRPr="008D4C45">
        <w:rPr>
          <w:rStyle w:val="AERbody"/>
        </w:rPr>
        <w:t xml:space="preserve"> for calculating the carryover amounts are set out in this scheme.</w:t>
      </w:r>
      <w:r>
        <w:rPr>
          <w:rStyle w:val="FootnoteReference"/>
        </w:rPr>
        <w:footnoteReference w:id="15"/>
      </w:r>
    </w:p>
    <w:p w:rsidR="00A73365" w:rsidRDefault="00356A23" w:rsidP="00356A23">
      <w:r>
        <w:t xml:space="preserve">The EBSS carryover we calculated </w:t>
      </w:r>
      <w:r>
        <w:rPr>
          <w:rStyle w:val="AERbody"/>
        </w:rPr>
        <w:t>(</w:t>
      </w:r>
      <w:r w:rsidRPr="0071501A">
        <w:rPr>
          <w:rStyle w:val="AERbody"/>
        </w:rPr>
        <w:t>$</w:t>
      </w:r>
      <w:r w:rsidR="00962CFC">
        <w:rPr>
          <w:rStyle w:val="AERbody"/>
        </w:rPr>
        <w:t>24.7</w:t>
      </w:r>
      <w:r>
        <w:rPr>
          <w:rStyle w:val="AERbody"/>
        </w:rPr>
        <w:t xml:space="preserve"> </w:t>
      </w:r>
      <w:r>
        <w:t>million) is different to the carryover United Energy’s proposed ($</w:t>
      </w:r>
      <w:r w:rsidR="001B2392">
        <w:t>27.7</w:t>
      </w:r>
      <w:r>
        <w:t xml:space="preserve"> million) </w:t>
      </w:r>
      <w:r w:rsidR="001B2392">
        <w:t>because</w:t>
      </w:r>
      <w:r w:rsidR="00A73365">
        <w:t>:</w:t>
      </w:r>
    </w:p>
    <w:p w:rsidR="00A73365" w:rsidRDefault="00E4449D" w:rsidP="00E4449D">
      <w:pPr>
        <w:pStyle w:val="AERbulletlistfirststyle"/>
      </w:pPr>
      <w:r>
        <w:t>w</w:t>
      </w:r>
      <w:r w:rsidR="00A73365">
        <w:t>e used different formulas to calculate EBSS carryover amounts for 2011</w:t>
      </w:r>
    </w:p>
    <w:p w:rsidR="001F68E3" w:rsidRDefault="00E4449D" w:rsidP="00E4449D">
      <w:pPr>
        <w:pStyle w:val="AERbulletlistfirststyle"/>
      </w:pPr>
      <w:r>
        <w:t>United Energy did not adjust forecast opex to account for actual growth</w:t>
      </w:r>
    </w:p>
    <w:p w:rsidR="00A73365" w:rsidRDefault="001F68E3" w:rsidP="00E4449D">
      <w:pPr>
        <w:pStyle w:val="AERbulletlistfirststyle"/>
      </w:pPr>
      <w:r>
        <w:t>United Energy incorrectly reported movements in provisions for 2013</w:t>
      </w:r>
      <w:r w:rsidR="00E4449D">
        <w:t>.</w:t>
      </w:r>
    </w:p>
    <w:p w:rsidR="00E4449D" w:rsidRDefault="00E4449D" w:rsidP="008E618D">
      <w:pPr>
        <w:pStyle w:val="HeadingBoldBlue"/>
      </w:pPr>
      <w:r>
        <w:t>Carryover amount for 2011</w:t>
      </w:r>
    </w:p>
    <w:p w:rsidR="00D21AC4" w:rsidRDefault="00D21AC4" w:rsidP="00356A23">
      <w:r>
        <w:t xml:space="preserve">We calculated </w:t>
      </w:r>
      <w:r w:rsidR="004268D6">
        <w:t xml:space="preserve">the </w:t>
      </w:r>
      <w:r>
        <w:t xml:space="preserve">efficiency gains in 2011 differently to United Energy. </w:t>
      </w:r>
      <w:r w:rsidR="00F83A7E">
        <w:t xml:space="preserve">We consider the EBSS that applied to the 2011–15 regulatory control period should continue from the scheme that applied in </w:t>
      </w:r>
      <w:r w:rsidR="00272CC4">
        <w:t xml:space="preserve">the </w:t>
      </w:r>
      <w:r w:rsidR="00F83A7E">
        <w:t>2006–10</w:t>
      </w:r>
      <w:r w:rsidR="00272CC4">
        <w:t xml:space="preserve"> regulatory control period. However,</w:t>
      </w:r>
      <w:r w:rsidR="00F83A7E">
        <w:t xml:space="preserve"> </w:t>
      </w:r>
      <w:r>
        <w:t xml:space="preserve">United Energy </w:t>
      </w:r>
      <w:r w:rsidR="00272CC4">
        <w:t xml:space="preserve">disagreed and </w:t>
      </w:r>
      <w:r>
        <w:t>proposed that the EBSS should start anew in 2011.</w:t>
      </w:r>
    </w:p>
    <w:p w:rsidR="00272CC4" w:rsidRDefault="00272CC4" w:rsidP="00356A23">
      <w:pPr>
        <w:rPr>
          <w:rStyle w:val="AERbody"/>
        </w:rPr>
      </w:pPr>
      <w:r>
        <w:t xml:space="preserve">United Energy stated </w:t>
      </w:r>
      <w:r w:rsidR="004268D6">
        <w:t xml:space="preserve">that </w:t>
      </w:r>
      <w:r>
        <w:t xml:space="preserve">starting anew </w:t>
      </w:r>
      <w:r w:rsidR="00884E9D">
        <w:t>is</w:t>
      </w:r>
      <w:r>
        <w:t xml:space="preserve"> consistent with our final determination for the 2011–15 regulatory control period, where we set its Efficiency Carryover Mechanism to zero.</w:t>
      </w:r>
      <w:r>
        <w:rPr>
          <w:rStyle w:val="FootnoteReference"/>
        </w:rPr>
        <w:footnoteReference w:id="16"/>
      </w:r>
      <w:r>
        <w:t xml:space="preserve"> However, this is incorrect</w:t>
      </w:r>
      <w:r w:rsidR="00884E9D">
        <w:t>.</w:t>
      </w:r>
      <w:r w:rsidR="004268D6">
        <w:rPr>
          <w:rStyle w:val="FootnoteReference"/>
        </w:rPr>
        <w:footnoteReference w:id="17"/>
      </w:r>
      <w:r w:rsidR="00884E9D">
        <w:t xml:space="preserve"> </w:t>
      </w:r>
      <w:r>
        <w:t xml:space="preserve"> </w:t>
      </w:r>
      <w:r w:rsidR="00884E9D">
        <w:t>In our final decision, we stated that the year six formula should be used to measure efficiency gains made in 2011.</w:t>
      </w:r>
      <w:r w:rsidR="004268D6">
        <w:rPr>
          <w:rStyle w:val="FootnoteReference"/>
        </w:rPr>
        <w:footnoteReference w:id="18"/>
      </w:r>
      <w:r w:rsidR="00884E9D">
        <w:t xml:space="preserve"> We considered that this ensured the efficiency gains or losses made in the 2006–10 regulatory control period would not be included in the EBSS for the 2011–15 regulatory control period. </w:t>
      </w:r>
      <w:r w:rsidR="00884E9D">
        <w:rPr>
          <w:rStyle w:val="AERbody"/>
        </w:rPr>
        <w:t>Using the year six formula instead of the first year formula reduces United Energy’s carryover amount.</w:t>
      </w:r>
    </w:p>
    <w:p w:rsidR="00E4449D" w:rsidRPr="008E618D" w:rsidRDefault="00BB301B" w:rsidP="008E618D">
      <w:pPr>
        <w:pStyle w:val="HeadingBoldBlue"/>
        <w:rPr>
          <w:rStyle w:val="AERbody"/>
          <w:bCs w:val="0"/>
          <w:color w:val="70635A" w:themeColor="text2"/>
          <w:sz w:val="28"/>
        </w:rPr>
      </w:pPr>
      <w:r w:rsidRPr="008E618D">
        <w:rPr>
          <w:rStyle w:val="AERbody"/>
          <w:color w:val="70635A" w:themeColor="text2"/>
          <w:sz w:val="28"/>
        </w:rPr>
        <w:t>Adjustment for the difference between forecast and a</w:t>
      </w:r>
      <w:r w:rsidR="00E4449D" w:rsidRPr="008E618D">
        <w:rPr>
          <w:rStyle w:val="AERbody"/>
          <w:color w:val="70635A" w:themeColor="text2"/>
          <w:sz w:val="28"/>
        </w:rPr>
        <w:t xml:space="preserve">ctual network growth </w:t>
      </w:r>
    </w:p>
    <w:p w:rsidR="00E4449D" w:rsidRDefault="00A73365" w:rsidP="00A73365">
      <w:pPr>
        <w:numPr>
          <w:ilvl w:val="0"/>
          <w:numId w:val="24"/>
        </w:numPr>
        <w:rPr>
          <w:rStyle w:val="AERbody"/>
        </w:rPr>
      </w:pPr>
      <w:r>
        <w:rPr>
          <w:rStyle w:val="AERbody"/>
        </w:rPr>
        <w:t>Our Victorian distribution</w:t>
      </w:r>
      <w:r w:rsidRPr="00A73365">
        <w:rPr>
          <w:rStyle w:val="AERbody"/>
        </w:rPr>
        <w:t xml:space="preserve"> determination </w:t>
      </w:r>
      <w:r>
        <w:rPr>
          <w:rStyle w:val="AERbody"/>
        </w:rPr>
        <w:t>2011–15 stated</w:t>
      </w:r>
      <w:r w:rsidRPr="00A73365">
        <w:rPr>
          <w:rStyle w:val="AERbody"/>
        </w:rPr>
        <w:t xml:space="preserve"> that</w:t>
      </w:r>
      <w:r>
        <w:rPr>
          <w:rStyle w:val="AERbody"/>
        </w:rPr>
        <w:t xml:space="preserve"> </w:t>
      </w:r>
      <w:r w:rsidR="00E4449D">
        <w:rPr>
          <w:rStyle w:val="AERbody"/>
        </w:rPr>
        <w:t xml:space="preserve">to calculate the carryover amounts, </w:t>
      </w:r>
      <w:r>
        <w:rPr>
          <w:rStyle w:val="AERbody"/>
        </w:rPr>
        <w:t xml:space="preserve">forecast opex should be adjusted </w:t>
      </w:r>
      <w:r w:rsidR="00E4449D">
        <w:rPr>
          <w:rStyle w:val="AERbody"/>
        </w:rPr>
        <w:t xml:space="preserve">to account </w:t>
      </w:r>
      <w:r>
        <w:rPr>
          <w:rStyle w:val="AERbody"/>
        </w:rPr>
        <w:t>for the difference between forecast and actual growth. In other words,</w:t>
      </w:r>
      <w:r w:rsidRPr="00A73365">
        <w:rPr>
          <w:rStyle w:val="AERbody"/>
        </w:rPr>
        <w:t xml:space="preserve"> </w:t>
      </w:r>
      <w:r w:rsidR="00E4449D">
        <w:rPr>
          <w:rStyle w:val="AERbody"/>
        </w:rPr>
        <w:t xml:space="preserve">for </w:t>
      </w:r>
      <w:r w:rsidR="00E4449D" w:rsidRPr="00A73365">
        <w:rPr>
          <w:rStyle w:val="AERbody"/>
        </w:rPr>
        <w:t>the forecasts used in</w:t>
      </w:r>
      <w:r w:rsidR="00E4449D">
        <w:rPr>
          <w:rStyle w:val="AERbody"/>
        </w:rPr>
        <w:t xml:space="preserve"> </w:t>
      </w:r>
      <w:r w:rsidR="00E4449D" w:rsidRPr="00A73365">
        <w:rPr>
          <w:rStyle w:val="AERbody"/>
        </w:rPr>
        <w:t>the scale escalation method described in appendix J of the final determination</w:t>
      </w:r>
      <w:r w:rsidR="00E4449D">
        <w:rPr>
          <w:rStyle w:val="AERbody"/>
        </w:rPr>
        <w:t xml:space="preserve"> </w:t>
      </w:r>
      <w:r>
        <w:rPr>
          <w:rStyle w:val="AERbody"/>
        </w:rPr>
        <w:t>we</w:t>
      </w:r>
      <w:r w:rsidRPr="00A73365">
        <w:rPr>
          <w:rStyle w:val="AERbody"/>
        </w:rPr>
        <w:t xml:space="preserve"> </w:t>
      </w:r>
      <w:r w:rsidR="00E4449D">
        <w:rPr>
          <w:rStyle w:val="AERbody"/>
        </w:rPr>
        <w:t>should</w:t>
      </w:r>
      <w:r w:rsidRPr="00A73365">
        <w:rPr>
          <w:rStyle w:val="AERbody"/>
        </w:rPr>
        <w:t xml:space="preserve"> substitute</w:t>
      </w:r>
      <w:r w:rsidR="00E4449D">
        <w:rPr>
          <w:rStyle w:val="AERbody"/>
        </w:rPr>
        <w:t>:</w:t>
      </w:r>
    </w:p>
    <w:p w:rsidR="00A73365" w:rsidRDefault="00A73365" w:rsidP="00E4449D">
      <w:pPr>
        <w:pStyle w:val="AERbulletlistfirststyle"/>
        <w:rPr>
          <w:rStyle w:val="AERbody"/>
        </w:rPr>
      </w:pPr>
      <w:r w:rsidRPr="00A73365">
        <w:rPr>
          <w:rStyle w:val="AERbody"/>
        </w:rPr>
        <w:t>actual values for the years 2011–2014 for</w:t>
      </w:r>
      <w:r>
        <w:rPr>
          <w:rStyle w:val="AERbody"/>
        </w:rPr>
        <w:t>:</w:t>
      </w:r>
    </w:p>
    <w:p w:rsidR="00A73365" w:rsidRDefault="00E4449D" w:rsidP="00E4449D">
      <w:pPr>
        <w:pStyle w:val="AERbulletlistsecondstyle"/>
        <w:rPr>
          <w:rStyle w:val="AERbody"/>
        </w:rPr>
      </w:pPr>
      <w:r>
        <w:rPr>
          <w:rStyle w:val="AERbody"/>
        </w:rPr>
        <w:t>customer numbers</w:t>
      </w:r>
      <w:r w:rsidR="00A73365" w:rsidRPr="00A73365">
        <w:rPr>
          <w:rStyle w:val="AERbody"/>
        </w:rPr>
        <w:t xml:space="preserve"> </w:t>
      </w:r>
    </w:p>
    <w:p w:rsidR="00A73365" w:rsidRDefault="00A73365" w:rsidP="00E4449D">
      <w:pPr>
        <w:pStyle w:val="AERbulletlistsecondstyle"/>
        <w:rPr>
          <w:rStyle w:val="AERbody"/>
        </w:rPr>
      </w:pPr>
      <w:r w:rsidRPr="00A73365">
        <w:rPr>
          <w:rStyle w:val="AERbody"/>
        </w:rPr>
        <w:t xml:space="preserve">the number of distribution transformers </w:t>
      </w:r>
    </w:p>
    <w:p w:rsidR="00A73365" w:rsidRDefault="00A73365" w:rsidP="00E4449D">
      <w:pPr>
        <w:pStyle w:val="AERbulletlistsecondstyle"/>
        <w:rPr>
          <w:rStyle w:val="AERbody"/>
        </w:rPr>
      </w:pPr>
      <w:r w:rsidRPr="00A73365">
        <w:rPr>
          <w:rStyle w:val="AERbody"/>
        </w:rPr>
        <w:t>zone substation capacity MVA</w:t>
      </w:r>
      <w:r>
        <w:rPr>
          <w:rStyle w:val="AERbody"/>
        </w:rPr>
        <w:t xml:space="preserve"> </w:t>
      </w:r>
    </w:p>
    <w:p w:rsidR="00A73365" w:rsidRDefault="00A73365" w:rsidP="00E4449D">
      <w:pPr>
        <w:pStyle w:val="AERbulletlistsecondstyle"/>
        <w:rPr>
          <w:rStyle w:val="AERbody"/>
        </w:rPr>
      </w:pPr>
      <w:r w:rsidRPr="00A73365">
        <w:rPr>
          <w:rStyle w:val="AERbody"/>
        </w:rPr>
        <w:t xml:space="preserve">line length </w:t>
      </w:r>
    </w:p>
    <w:p w:rsidR="00A73365" w:rsidRDefault="00A73365" w:rsidP="00E4449D">
      <w:pPr>
        <w:pStyle w:val="AERbulletlistfirststyle"/>
        <w:rPr>
          <w:rStyle w:val="AERbody"/>
        </w:rPr>
      </w:pPr>
      <w:r w:rsidRPr="00A73365">
        <w:rPr>
          <w:rStyle w:val="AERbody"/>
        </w:rPr>
        <w:t>revised forecast</w:t>
      </w:r>
      <w:r w:rsidR="00E4449D">
        <w:rPr>
          <w:rStyle w:val="AERbody"/>
        </w:rPr>
        <w:t>s</w:t>
      </w:r>
      <w:r w:rsidRPr="00A73365">
        <w:rPr>
          <w:rStyle w:val="AERbody"/>
        </w:rPr>
        <w:t xml:space="preserve"> for 2015.</w:t>
      </w:r>
    </w:p>
    <w:p w:rsidR="002C7417" w:rsidRDefault="00E4449D" w:rsidP="002C7417">
      <w:pPr>
        <w:pStyle w:val="ListParagraph"/>
        <w:numPr>
          <w:ilvl w:val="0"/>
          <w:numId w:val="24"/>
        </w:numPr>
      </w:pPr>
      <w:r>
        <w:t>United Energy</w:t>
      </w:r>
      <w:r w:rsidR="002C7417">
        <w:t xml:space="preserve"> </w:t>
      </w:r>
      <w:r w:rsidR="00CA419B">
        <w:t xml:space="preserve">did not </w:t>
      </w:r>
      <w:r>
        <w:t xml:space="preserve">adjust forecast opex to account for actual </w:t>
      </w:r>
      <w:r w:rsidR="002C7417">
        <w:t>growth</w:t>
      </w:r>
      <w:r w:rsidR="00D31AB9">
        <w:t xml:space="preserve">. We have </w:t>
      </w:r>
      <w:r>
        <w:t>corrected this in our calculations</w:t>
      </w:r>
      <w:r w:rsidR="001F68E3">
        <w:t xml:space="preserve"> which slightly increased United Energy’s carryover amount.</w:t>
      </w:r>
      <w:r w:rsidR="00412DD7">
        <w:rPr>
          <w:rStyle w:val="FootnoteReference"/>
        </w:rPr>
        <w:footnoteReference w:id="19"/>
      </w:r>
    </w:p>
    <w:p w:rsidR="001F68E3" w:rsidRDefault="001F68E3" w:rsidP="002C7417">
      <w:pPr>
        <w:pStyle w:val="ListParagraph"/>
        <w:numPr>
          <w:ilvl w:val="0"/>
          <w:numId w:val="24"/>
        </w:numPr>
      </w:pPr>
      <w:r>
        <w:t>We also corrected an error United Energy made in reporting movements in provisions for 2013</w:t>
      </w:r>
      <w:r w:rsidR="00BE2FB5">
        <w:t xml:space="preserve"> which increased its carryover amount</w:t>
      </w:r>
      <w:r>
        <w:t>.</w:t>
      </w:r>
      <w:r w:rsidR="00BE2FB5">
        <w:t xml:space="preserve"> The net effect of these three adjustments is small.</w:t>
      </w:r>
    </w:p>
    <w:p w:rsidR="009C7CC7" w:rsidRPr="006E608B" w:rsidRDefault="009C7CC7" w:rsidP="009C7CC7">
      <w:pPr>
        <w:pStyle w:val="Heading3"/>
      </w:pPr>
      <w:bookmarkStart w:id="43" w:name="_Ref398823659"/>
      <w:bookmarkStart w:id="44" w:name="_Toc404160291"/>
      <w:bookmarkStart w:id="45" w:name="_Toc417636193"/>
      <w:bookmarkStart w:id="46" w:name="_Toc424130420"/>
      <w:bookmarkStart w:id="47" w:name="_Toc432755024"/>
      <w:bookmarkStart w:id="48" w:name="_Toc433521788"/>
      <w:r w:rsidRPr="00C061ED">
        <w:t>How th</w:t>
      </w:r>
      <w:r w:rsidR="00565BF4">
        <w:t>e EBSS will apply in the 2016</w:t>
      </w:r>
      <w:r w:rsidRPr="006E608B">
        <w:t>–</w:t>
      </w:r>
      <w:r>
        <w:t>20</w:t>
      </w:r>
      <w:r w:rsidRPr="006E608B">
        <w:t xml:space="preserve"> </w:t>
      </w:r>
      <w:r>
        <w:t xml:space="preserve">regulatory control </w:t>
      </w:r>
      <w:r w:rsidRPr="006E608B">
        <w:t>period</w:t>
      </w:r>
      <w:bookmarkEnd w:id="43"/>
      <w:bookmarkEnd w:id="44"/>
      <w:bookmarkEnd w:id="45"/>
      <w:bookmarkEnd w:id="46"/>
      <w:bookmarkEnd w:id="47"/>
      <w:bookmarkEnd w:id="48"/>
    </w:p>
    <w:p w:rsidR="009C7CC7" w:rsidRDefault="009C7CC7" w:rsidP="009C7CC7">
      <w:pPr>
        <w:rPr>
          <w:rStyle w:val="AERbody"/>
        </w:rPr>
      </w:pPr>
      <w:r w:rsidRPr="00A95046">
        <w:rPr>
          <w:rStyle w:val="AERbody"/>
        </w:rPr>
        <w:t>We will apply version two of the EBSS</w:t>
      </w:r>
      <w:r>
        <w:rPr>
          <w:rStyle w:val="AERbody"/>
        </w:rPr>
        <w:t xml:space="preserve"> </w:t>
      </w:r>
      <w:r w:rsidRPr="00A95046">
        <w:rPr>
          <w:rStyle w:val="AERbody"/>
        </w:rPr>
        <w:t xml:space="preserve">to </w:t>
      </w:r>
      <w:r>
        <w:rPr>
          <w:rStyle w:val="AERbody"/>
        </w:rPr>
        <w:t>United Energy.</w:t>
      </w:r>
      <w:r w:rsidR="007E4414">
        <w:rPr>
          <w:rStyle w:val="FootnoteReference"/>
        </w:rPr>
        <w:footnoteReference w:id="20"/>
      </w:r>
      <w:r w:rsidRPr="00A95046">
        <w:t xml:space="preserve"> We consider the EBSS is needed to provide </w:t>
      </w:r>
      <w:r>
        <w:t>United Energy</w:t>
      </w:r>
      <w:r w:rsidRPr="00A95046">
        <w:t xml:space="preserve"> with a continuous incentive to pursue efficiency gains </w:t>
      </w:r>
      <w:r w:rsidRPr="00A95046">
        <w:rPr>
          <w:rStyle w:val="AERbody"/>
        </w:rPr>
        <w:t>during the</w:t>
      </w:r>
      <w:r>
        <w:rPr>
          <w:rStyle w:val="AERbody"/>
        </w:rPr>
        <w:t xml:space="preserve"> </w:t>
      </w:r>
      <w:r w:rsidRPr="00A95046">
        <w:rPr>
          <w:rStyle w:val="AERbody"/>
        </w:rPr>
        <w:t>201</w:t>
      </w:r>
      <w:r w:rsidR="00565BF4">
        <w:rPr>
          <w:rStyle w:val="AERbody"/>
        </w:rPr>
        <w:t>6</w:t>
      </w:r>
      <w:r w:rsidRPr="00A95046">
        <w:rPr>
          <w:rStyle w:val="AERbody"/>
        </w:rPr>
        <w:t>–</w:t>
      </w:r>
      <w:r>
        <w:rPr>
          <w:rStyle w:val="AERbody"/>
        </w:rPr>
        <w:t>20 regulatory control</w:t>
      </w:r>
      <w:r w:rsidRPr="00A95046">
        <w:rPr>
          <w:rStyle w:val="AERbody"/>
        </w:rPr>
        <w:t xml:space="preserve"> period. As we typically rely on a</w:t>
      </w:r>
      <w:r>
        <w:rPr>
          <w:rStyle w:val="AERbody"/>
        </w:rPr>
        <w:t xml:space="preserve"> single year</w:t>
      </w:r>
      <w:r w:rsidRPr="00A95046">
        <w:rPr>
          <w:rStyle w:val="AERbody"/>
        </w:rPr>
        <w:t xml:space="preserve"> revealed cost approach to forecasting opex, we consider the EBSS is also needed to provide </w:t>
      </w:r>
      <w:r>
        <w:rPr>
          <w:rStyle w:val="AERbody"/>
        </w:rPr>
        <w:t>United Energy</w:t>
      </w:r>
      <w:r w:rsidRPr="00A95046">
        <w:rPr>
          <w:rStyle w:val="AERbody"/>
        </w:rPr>
        <w:t xml:space="preserve"> with an incentive not to increase its opex in the expected base year.</w:t>
      </w:r>
    </w:p>
    <w:p w:rsidR="009C7CC7" w:rsidRPr="00A95046" w:rsidRDefault="009C7CC7" w:rsidP="009C7CC7">
      <w:pPr>
        <w:rPr>
          <w:rStyle w:val="AERbody"/>
        </w:rPr>
      </w:pPr>
      <w:r w:rsidRPr="00A95046">
        <w:t xml:space="preserve">Version </w:t>
      </w:r>
      <w:r>
        <w:t>two</w:t>
      </w:r>
      <w:r w:rsidRPr="00A95046">
        <w:t xml:space="preserve"> of the EBSS specifies our approach to determining the length of the carryover period, calculating the incremental efficiency gains and adjusting forecast or actual opex when calculating carryover amounts. </w:t>
      </w:r>
      <w:r>
        <w:t>These are detailed below.</w:t>
      </w:r>
    </w:p>
    <w:p w:rsidR="009C7CC7" w:rsidRDefault="009C7CC7" w:rsidP="008E618D">
      <w:pPr>
        <w:pStyle w:val="HeadingBoldBlue"/>
      </w:pPr>
      <w:bookmarkStart w:id="49" w:name="_Toc417636194"/>
      <w:r>
        <w:t>Length of carryover period</w:t>
      </w:r>
      <w:bookmarkEnd w:id="49"/>
    </w:p>
    <w:p w:rsidR="009C7CC7" w:rsidRDefault="009C7CC7" w:rsidP="009C7CC7">
      <w:pPr>
        <w:numPr>
          <w:ilvl w:val="0"/>
          <w:numId w:val="24"/>
        </w:numPr>
      </w:pPr>
      <w:r>
        <w:t>The length of t</w:t>
      </w:r>
      <w:r w:rsidR="00565BF4">
        <w:t>he carryover period for the 2016</w:t>
      </w:r>
      <w:r>
        <w:t xml:space="preserve">–20 regulatory control period will be five years. This aligns the EBSS carryover period with the total length of United Energy’s regulatory control period. </w:t>
      </w:r>
    </w:p>
    <w:p w:rsidR="008E618D" w:rsidRDefault="008E618D" w:rsidP="008E618D">
      <w:pPr>
        <w:pStyle w:val="HeadingBoldBlue"/>
      </w:pPr>
      <w:bookmarkStart w:id="50" w:name="_Toc417636195"/>
    </w:p>
    <w:p w:rsidR="008E618D" w:rsidRDefault="008E618D" w:rsidP="008E618D">
      <w:pPr>
        <w:pStyle w:val="HeadingBoldBlue"/>
      </w:pPr>
    </w:p>
    <w:p w:rsidR="009C7CC7" w:rsidRDefault="009C7CC7" w:rsidP="008E618D">
      <w:pPr>
        <w:pStyle w:val="HeadingBoldBlue"/>
      </w:pPr>
      <w:r>
        <w:t>Incremental efficiency gains</w:t>
      </w:r>
      <w:bookmarkEnd w:id="50"/>
    </w:p>
    <w:p w:rsidR="009C7CC7" w:rsidRDefault="009C7CC7" w:rsidP="009C7CC7">
      <w:pPr>
        <w:numPr>
          <w:ilvl w:val="0"/>
          <w:numId w:val="24"/>
        </w:numPr>
      </w:pPr>
      <w:r>
        <w:t>We will calculate incremental efficiency gains differently depending on whether they are in:</w:t>
      </w:r>
    </w:p>
    <w:p w:rsidR="009C7CC7" w:rsidRPr="006E608B" w:rsidRDefault="009C7CC7" w:rsidP="009C7CC7">
      <w:pPr>
        <w:pStyle w:val="AERbulletlistfirststyle"/>
      </w:pPr>
      <w:r>
        <w:t>the first regulatory year</w:t>
      </w:r>
    </w:p>
    <w:p w:rsidR="009C7CC7" w:rsidRPr="006E608B" w:rsidRDefault="009C7CC7" w:rsidP="009C7CC7">
      <w:pPr>
        <w:pStyle w:val="AERbulletlistfirststyle"/>
      </w:pPr>
      <w:r>
        <w:t>the second regulatory year to the penultimate regulatory year</w:t>
      </w:r>
    </w:p>
    <w:p w:rsidR="009C7CC7" w:rsidRPr="006E608B" w:rsidRDefault="009C7CC7" w:rsidP="009C7CC7">
      <w:pPr>
        <w:pStyle w:val="AERbulletlistfirststyle"/>
      </w:pPr>
      <w:r>
        <w:t>the final regulatory year.</w:t>
      </w:r>
    </w:p>
    <w:p w:rsidR="009C7CC7" w:rsidRDefault="009C7CC7" w:rsidP="009C7CC7">
      <w:pPr>
        <w:numPr>
          <w:ilvl w:val="0"/>
          <w:numId w:val="24"/>
        </w:numPr>
      </w:pPr>
      <w:r>
        <w:t>We will do this according to the formulas set out in version two of the EBSS.</w:t>
      </w:r>
      <w:r>
        <w:rPr>
          <w:rStyle w:val="FootnoteReference"/>
        </w:rPr>
        <w:footnoteReference w:id="21"/>
      </w:r>
      <w:r>
        <w:t xml:space="preserve"> </w:t>
      </w:r>
    </w:p>
    <w:p w:rsidR="009C7CC7" w:rsidRDefault="009C7CC7" w:rsidP="009C7CC7">
      <w:pPr>
        <w:numPr>
          <w:ilvl w:val="0"/>
          <w:numId w:val="24"/>
        </w:numPr>
      </w:pPr>
      <w:r>
        <w:t xml:space="preserve">When calculating actual opex under the EBSS we will </w:t>
      </w:r>
      <w:r w:rsidRPr="006F6CCB">
        <w:t xml:space="preserve">adjust </w:t>
      </w:r>
      <w:r>
        <w:t xml:space="preserve">reported </w:t>
      </w:r>
      <w:r w:rsidRPr="006F6CCB">
        <w:t xml:space="preserve">actual opex for the </w:t>
      </w:r>
      <w:r w:rsidR="00565BF4">
        <w:t>2016</w:t>
      </w:r>
      <w:r>
        <w:t>–20 regulatory control period</w:t>
      </w:r>
      <w:r w:rsidRPr="006F6CCB">
        <w:t xml:space="preserve"> to rever</w:t>
      </w:r>
      <w:r>
        <w:t xml:space="preserve">se any movements in provisions. </w:t>
      </w:r>
      <w:r w:rsidR="005A7231">
        <w:t>Consistent with the approach we applied in implementing the EBSS for the 2011–15 regulatory control period, f</w:t>
      </w:r>
      <w:r>
        <w:t>or regulatory purposes we consider actual opex net of movement in provisions best reflects the actual opex incurred by the service provider.</w:t>
      </w:r>
    </w:p>
    <w:p w:rsidR="009C7CC7" w:rsidRDefault="009C7CC7" w:rsidP="008E618D">
      <w:pPr>
        <w:pStyle w:val="HeadingBoldBlue"/>
      </w:pPr>
      <w:bookmarkStart w:id="51" w:name="_Toc417636196"/>
      <w:r>
        <w:t>Adjustments to forecast or actual opex when calculating carryover amounts</w:t>
      </w:r>
      <w:bookmarkEnd w:id="51"/>
    </w:p>
    <w:p w:rsidR="009C7CC7" w:rsidRDefault="009C7CC7" w:rsidP="009C7CC7">
      <w:pPr>
        <w:numPr>
          <w:ilvl w:val="0"/>
          <w:numId w:val="24"/>
        </w:numPr>
      </w:pPr>
      <w:r w:rsidRPr="00E43204">
        <w:t xml:space="preserve">The EBSS also allows for exclusions of categories of costs from the EBSS where we do not </w:t>
      </w:r>
      <w:r>
        <w:t>forecast them using</w:t>
      </w:r>
      <w:r w:rsidRPr="00E43204">
        <w:t xml:space="preserve"> a single year revealed cost forecasting approach. This is designed to fair</w:t>
      </w:r>
      <w:r>
        <w:t>ly</w:t>
      </w:r>
      <w:r w:rsidRPr="00E43204">
        <w:t xml:space="preserve"> shar</w:t>
      </w:r>
      <w:r>
        <w:t>e</w:t>
      </w:r>
      <w:r w:rsidRPr="00E43204">
        <w:t xml:space="preserve"> efficiency gains and losses. For instance</w:t>
      </w:r>
      <w:r>
        <w:t>,</w:t>
      </w:r>
      <w:r w:rsidRPr="00E43204">
        <w:t xml:space="preserve"> where a </w:t>
      </w:r>
      <w:r>
        <w:t>service provider</w:t>
      </w:r>
      <w:r w:rsidRPr="00E43204">
        <w:t xml:space="preserve"> achieves efficiency improvements, </w:t>
      </w:r>
      <w:r>
        <w:t>it</w:t>
      </w:r>
      <w:r w:rsidRPr="00E43204">
        <w:t xml:space="preserve"> receive</w:t>
      </w:r>
      <w:r>
        <w:t>s</w:t>
      </w:r>
      <w:r w:rsidRPr="00E43204">
        <w:t xml:space="preserve"> a benefit through the EBSS</w:t>
      </w:r>
      <w:r>
        <w:t xml:space="preserve"> and c</w:t>
      </w:r>
      <w:r w:rsidRPr="00E43204">
        <w:t>onsumers receive a benefit through lower forecast opex in the next period. This is the way consumer</w:t>
      </w:r>
      <w:r>
        <w:t>s</w:t>
      </w:r>
      <w:r w:rsidRPr="00E43204">
        <w:t xml:space="preserve"> and </w:t>
      </w:r>
      <w:r>
        <w:t>the service provider</w:t>
      </w:r>
      <w:r w:rsidRPr="00E43204">
        <w:t xml:space="preserve"> share in the benefits of an efficiency improvement.</w:t>
      </w:r>
    </w:p>
    <w:p w:rsidR="009C7CC7" w:rsidRPr="001A52DA" w:rsidRDefault="009C7CC7" w:rsidP="009C7CC7">
      <w:pPr>
        <w:numPr>
          <w:ilvl w:val="0"/>
          <w:numId w:val="24"/>
        </w:numPr>
      </w:pPr>
      <w:r w:rsidRPr="001A52DA">
        <w:t>If we do not use a single year revealed cost forecasting approach, lower actual opex will not necessarily be passed through to consumers. Consumer</w:t>
      </w:r>
      <w:r>
        <w:t>s</w:t>
      </w:r>
      <w:r w:rsidRPr="001A52DA">
        <w:t xml:space="preserve"> should not pay for EBSS benefits where </w:t>
      </w:r>
      <w:r>
        <w:t>they</w:t>
      </w:r>
      <w:r w:rsidRPr="001A52DA">
        <w:t xml:space="preserve"> do not receive the benefits of a lower </w:t>
      </w:r>
      <w:r>
        <w:t xml:space="preserve">opex </w:t>
      </w:r>
      <w:r w:rsidRPr="001A52DA">
        <w:t>forecast.</w:t>
      </w:r>
    </w:p>
    <w:p w:rsidR="009C7CC7" w:rsidRDefault="009C7CC7" w:rsidP="009C7CC7">
      <w:pPr>
        <w:numPr>
          <w:ilvl w:val="0"/>
          <w:numId w:val="24"/>
        </w:numPr>
      </w:pPr>
      <w:r>
        <w:t xml:space="preserve">We </w:t>
      </w:r>
      <w:r w:rsidR="004F22DC">
        <w:t>will</w:t>
      </w:r>
      <w:r>
        <w:t xml:space="preserve"> exclude the following categories of costs from the EBSS:</w:t>
      </w:r>
    </w:p>
    <w:p w:rsidR="009C7CC7" w:rsidRDefault="009C7CC7" w:rsidP="009C7CC7">
      <w:pPr>
        <w:pStyle w:val="AERbulletlistfirststyle"/>
      </w:pPr>
      <w:r>
        <w:t>debt raising costs</w:t>
      </w:r>
    </w:p>
    <w:p w:rsidR="00F95C05" w:rsidRDefault="00F95C05" w:rsidP="009C7CC7">
      <w:pPr>
        <w:pStyle w:val="AERbulletlistfirststyle"/>
      </w:pPr>
      <w:r>
        <w:t>GSL payments</w:t>
      </w:r>
    </w:p>
    <w:p w:rsidR="009C7CC7" w:rsidRDefault="009C7CC7" w:rsidP="009C7CC7">
      <w:pPr>
        <w:pStyle w:val="AERbulletlistfirststyle"/>
      </w:pPr>
      <w:r>
        <w:t>demand management innovation allowance (DMIA)</w:t>
      </w:r>
    </w:p>
    <w:p w:rsidR="00AA47FB" w:rsidRPr="006E608B" w:rsidRDefault="00AA47FB" w:rsidP="009C7CC7">
      <w:pPr>
        <w:pStyle w:val="AERbulletlistfirststyle"/>
      </w:pPr>
      <w:r>
        <w:t>losses on the scrapping of assets.</w:t>
      </w:r>
    </w:p>
    <w:p w:rsidR="00750041" w:rsidRPr="00750041" w:rsidRDefault="00750041" w:rsidP="00DE2FA9">
      <w:pPr>
        <w:rPr>
          <w:rStyle w:val="AERbody"/>
        </w:rPr>
      </w:pPr>
      <w:r w:rsidRPr="00750041">
        <w:rPr>
          <w:rStyle w:val="AERbody"/>
        </w:rPr>
        <w:t xml:space="preserve">As </w:t>
      </w:r>
      <w:r w:rsidRPr="00AA321A">
        <w:rPr>
          <w:rStyle w:val="AERbody"/>
        </w:rPr>
        <w:t xml:space="preserve">debt raising costs, </w:t>
      </w:r>
      <w:r w:rsidRPr="00780E16">
        <w:rPr>
          <w:rStyle w:val="AERbody"/>
        </w:rPr>
        <w:t xml:space="preserve">GSL payments </w:t>
      </w:r>
      <w:r w:rsidRPr="00AA321A">
        <w:rPr>
          <w:rStyle w:val="AERbody"/>
        </w:rPr>
        <w:t xml:space="preserve">and </w:t>
      </w:r>
      <w:r w:rsidRPr="00945AC4">
        <w:rPr>
          <w:rStyle w:val="AERbody"/>
        </w:rPr>
        <w:t xml:space="preserve">DMIA </w:t>
      </w:r>
      <w:r w:rsidRPr="00AA321A">
        <w:rPr>
          <w:rStyle w:val="AERbody"/>
        </w:rPr>
        <w:t>are not forecast based on revealed expenditure they should be excluded from the EBSS.</w:t>
      </w:r>
    </w:p>
    <w:p w:rsidR="00AA47FB" w:rsidRDefault="00AA47FB" w:rsidP="00AA47FB">
      <w:r>
        <w:t xml:space="preserve">We </w:t>
      </w:r>
      <w:r w:rsidR="004F22DC">
        <w:t xml:space="preserve">will </w:t>
      </w:r>
      <w:r>
        <w:t>also exclude</w:t>
      </w:r>
      <w:r w:rsidRPr="00FD7665">
        <w:t xml:space="preserve"> </w:t>
      </w:r>
      <w:r>
        <w:t>losses on the scrapping of assets from the EBSS. This was proposed by Jemena in its regulatory proposal.</w:t>
      </w:r>
      <w:r w:rsidRPr="00B05F2F">
        <w:rPr>
          <w:rStyle w:val="FootnoteReference"/>
        </w:rPr>
        <w:t xml:space="preserve"> </w:t>
      </w:r>
      <w:r>
        <w:rPr>
          <w:rStyle w:val="FootnoteReference"/>
        </w:rPr>
        <w:footnoteReference w:id="22"/>
      </w:r>
      <w:r>
        <w:t xml:space="preserve"> </w:t>
      </w:r>
      <w:r w:rsidRPr="00FD7665">
        <w:t xml:space="preserve"> </w:t>
      </w:r>
      <w:r>
        <w:t>Losses on the scrapping of assets are accounting records of the shortfalls between the proceeds from selling assets and their accounting written down values. Jemena stated that consistent with accounting standards, and subject to audit, these losses are reported as opex in its statutory accounts.</w:t>
      </w:r>
      <w:r>
        <w:rPr>
          <w:rStyle w:val="FootnoteReference"/>
        </w:rPr>
        <w:footnoteReference w:id="23"/>
      </w:r>
      <w:r>
        <w:t xml:space="preserve"> </w:t>
      </w:r>
      <w:r w:rsidRPr="009821C7">
        <w:t xml:space="preserve">The EBSS is designed to reward businesses for becoming more efficient over time and penalise them for becoming less efficient. It is the actual </w:t>
      </w:r>
      <w:r>
        <w:t>opex</w:t>
      </w:r>
      <w:r w:rsidRPr="009821C7">
        <w:t xml:space="preserve"> a service provider incurs that we are concerned about when measuring efficiency improvements</w:t>
      </w:r>
      <w:r>
        <w:t xml:space="preserve">. As a loss on the scrapping of an asset is an accounting adjustment to expenditure, rather than an actual outlay made by </w:t>
      </w:r>
      <w:r w:rsidR="00A77188">
        <w:t>a service provider</w:t>
      </w:r>
      <w:r>
        <w:t xml:space="preserve"> in providing network services, including it in the EBSS would mean United Energy would be rewarded or penalised for accounting adjustments. We do not consider this would be consistent with the aims of the EBSS. </w:t>
      </w:r>
    </w:p>
    <w:p w:rsidR="009C7CC7" w:rsidRDefault="009C7CC7" w:rsidP="009C7CC7">
      <w:r>
        <w:t xml:space="preserve">In addition to the excluded cost categories we will also: </w:t>
      </w:r>
    </w:p>
    <w:p w:rsidR="009C7CC7" w:rsidRPr="006E608B" w:rsidRDefault="009C7CC7" w:rsidP="009C7CC7">
      <w:pPr>
        <w:pStyle w:val="AERbulletlistfirststyle"/>
      </w:pPr>
      <w:r w:rsidRPr="00A95046">
        <w:t xml:space="preserve">adjust forecast opex to add (subtract) any approved revenue increments (decrements) made after the initial regulatory determination. This may include approved pass through amounts. </w:t>
      </w:r>
    </w:p>
    <w:p w:rsidR="009C7CC7" w:rsidRPr="006E608B" w:rsidRDefault="009C7CC7" w:rsidP="009C7CC7">
      <w:pPr>
        <w:pStyle w:val="AERbulletlistfirststyle"/>
      </w:pPr>
      <w:r w:rsidRPr="00A95046">
        <w:t>adjust actual opex to add capitalised opex that has been excluded</w:t>
      </w:r>
      <w:r w:rsidRPr="006E608B">
        <w:t xml:space="preserve"> from the RAB </w:t>
      </w:r>
    </w:p>
    <w:p w:rsidR="009C7CC7" w:rsidRPr="006E608B" w:rsidRDefault="009C7CC7" w:rsidP="009C7CC7">
      <w:pPr>
        <w:pStyle w:val="AERbulletlistfirststyle"/>
      </w:pPr>
      <w:r w:rsidRPr="00A95046">
        <w:t>exclude categories of opex not forecast using a single year revealed cost approach for the regulatory control period beginning in 20</w:t>
      </w:r>
      <w:r w:rsidR="00C70D18">
        <w:t>21</w:t>
      </w:r>
      <w:r w:rsidRPr="006E608B">
        <w:t xml:space="preserve"> where doing so better achieves the requirements of clause </w:t>
      </w:r>
      <w:r>
        <w:t>6.5.8</w:t>
      </w:r>
      <w:r w:rsidRPr="006E608B">
        <w:t xml:space="preserve"> of the NER.</w:t>
      </w:r>
    </w:p>
    <w:p w:rsidR="009C7CC7" w:rsidRPr="00290C63" w:rsidRDefault="009C7CC7" w:rsidP="009C7CC7"/>
    <w:p w:rsidR="009A5113" w:rsidRPr="0074565D" w:rsidRDefault="009A5113" w:rsidP="002866D0">
      <w:pPr>
        <w:pStyle w:val="Heading2"/>
        <w:numPr>
          <w:ilvl w:val="0"/>
          <w:numId w:val="0"/>
        </w:numPr>
        <w:ind w:left="576"/>
      </w:pPr>
    </w:p>
    <w:p w:rsidR="00474EC7" w:rsidRPr="00474EC7" w:rsidRDefault="00474EC7" w:rsidP="00474EC7"/>
    <w:sectPr w:rsidR="00474EC7"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C7" w:rsidRPr="00290C63" w:rsidRDefault="009C7CC7" w:rsidP="00290C63">
      <w:r>
        <w:separator/>
      </w:r>
    </w:p>
    <w:p w:rsidR="009C7CC7" w:rsidRDefault="009C7CC7"/>
  </w:endnote>
  <w:endnote w:type="continuationSeparator" w:id="0">
    <w:p w:rsidR="009C7CC7" w:rsidRPr="00290C63" w:rsidRDefault="009C7CC7" w:rsidP="00290C63">
      <w:r>
        <w:continuationSeparator/>
      </w:r>
    </w:p>
    <w:p w:rsidR="009C7CC7" w:rsidRDefault="009C7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C7" w:rsidRDefault="009C7CC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9C7CC7" w:rsidRDefault="009C7CC7">
    <w:pPr>
      <w:pStyle w:val="Footer"/>
    </w:pPr>
  </w:p>
  <w:p w:rsidR="009C7CC7" w:rsidRDefault="009C7CC7">
    <w:pPr>
      <w:pStyle w:val="Footer"/>
    </w:pPr>
    <w:r>
      <w:fldChar w:fldCharType="begin"/>
    </w:r>
    <w:r>
      <w:instrText xml:space="preserve"> DOCPROPERTY DocumentID \* MERGEFORMAT </w:instrText>
    </w:r>
    <w:r>
      <w:fldChar w:fldCharType="separate"/>
    </w:r>
    <w:r w:rsidR="00572390">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9C7CC7" w:rsidRPr="00CA52A2" w:rsidRDefault="009C7CC7" w:rsidP="00CA52A2">
        <w:pPr>
          <w:pStyle w:val="Footer"/>
        </w:pPr>
        <w:r w:rsidRPr="00CA52A2">
          <w:fldChar w:fldCharType="begin"/>
        </w:r>
        <w:r>
          <w:instrText xml:space="preserve"> PAGE   \* MERGEFORMAT </w:instrText>
        </w:r>
        <w:r w:rsidRPr="00CA52A2">
          <w:fldChar w:fldCharType="separate"/>
        </w:r>
        <w:r w:rsidR="001A6301">
          <w:rPr>
            <w:noProof/>
          </w:rPr>
          <w:t>9-7</w:t>
        </w:r>
        <w:r w:rsidRPr="00CA52A2">
          <w:fldChar w:fldCharType="end"/>
        </w:r>
        <w:r w:rsidRPr="00CA52A2">
          <w:t xml:space="preserve">          Attachment </w:t>
        </w:r>
        <w:r>
          <w:t>9</w:t>
        </w:r>
        <w:r w:rsidRPr="00CA52A2">
          <w:t xml:space="preserve"> – </w:t>
        </w:r>
        <w:r>
          <w:t xml:space="preserve">Efficiency benefit sharing scheme </w:t>
        </w:r>
        <w:r w:rsidRPr="00CA52A2">
          <w:t xml:space="preserve">| </w:t>
        </w:r>
        <w:r>
          <w:t>United Energy</w:t>
        </w:r>
        <w:r w:rsidRPr="00CA52A2">
          <w:t xml:space="preserve"> </w:t>
        </w:r>
        <w:r>
          <w:t>Preliminary decision 2016</w:t>
        </w:r>
        <w:r w:rsidRPr="00CA52A2">
          <w:t>–</w:t>
        </w:r>
        <w:r>
          <w:t>20</w:t>
        </w:r>
      </w:p>
    </w:sdtContent>
  </w:sdt>
  <w:p w:rsidR="009C7CC7" w:rsidRDefault="009C7CC7">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C7" w:rsidRPr="00290C63" w:rsidRDefault="009C7CC7" w:rsidP="00290C63">
      <w:r>
        <w:separator/>
      </w:r>
    </w:p>
    <w:p w:rsidR="009C7CC7" w:rsidRDefault="009C7CC7"/>
  </w:footnote>
  <w:footnote w:type="continuationSeparator" w:id="0">
    <w:p w:rsidR="009C7CC7" w:rsidRPr="00290C63" w:rsidRDefault="009C7CC7" w:rsidP="00290C63">
      <w:r>
        <w:continuationSeparator/>
      </w:r>
    </w:p>
    <w:p w:rsidR="009C7CC7" w:rsidRDefault="009C7CC7"/>
  </w:footnote>
  <w:footnote w:id="1">
    <w:p w:rsidR="009C7CC7" w:rsidRDefault="009C7CC7" w:rsidP="009C7CC7">
      <w:pPr>
        <w:pStyle w:val="FootnoteText"/>
      </w:pPr>
      <w:r>
        <w:rPr>
          <w:rStyle w:val="FootnoteReference"/>
        </w:rPr>
        <w:footnoteRef/>
      </w:r>
      <w:r>
        <w:t xml:space="preserve"> </w:t>
      </w:r>
      <w:r>
        <w:tab/>
        <w:t xml:space="preserve">AER, </w:t>
      </w:r>
      <w:r w:rsidRPr="00F20F95">
        <w:rPr>
          <w:rStyle w:val="AERtextitalic"/>
        </w:rPr>
        <w:t>Electricity distribution network service providers</w:t>
      </w:r>
      <w:r w:rsidR="001513EA">
        <w:rPr>
          <w:rStyle w:val="AERtextitalic"/>
        </w:rPr>
        <w:t xml:space="preserve"> </w:t>
      </w:r>
      <w:proofErr w:type="gramStart"/>
      <w:r w:rsidR="001513EA">
        <w:rPr>
          <w:rStyle w:val="AERtextitalic"/>
        </w:rPr>
        <w:t xml:space="preserve">- </w:t>
      </w:r>
      <w:r w:rsidRPr="00F20F95">
        <w:rPr>
          <w:rStyle w:val="AERtextitalic"/>
        </w:rPr>
        <w:t xml:space="preserve"> </w:t>
      </w:r>
      <w:r w:rsidR="001513EA">
        <w:rPr>
          <w:rStyle w:val="AERtextitalic"/>
        </w:rPr>
        <w:t>Efficiency</w:t>
      </w:r>
      <w:proofErr w:type="gramEnd"/>
      <w:r w:rsidR="001513EA">
        <w:rPr>
          <w:rStyle w:val="AERtextitalic"/>
        </w:rPr>
        <w:t xml:space="preserve"> benefit sharing scheme</w:t>
      </w:r>
      <w:r w:rsidR="001513EA" w:rsidRPr="00F20F95" w:rsidDel="001513EA">
        <w:rPr>
          <w:rStyle w:val="AERtextitalic"/>
        </w:rPr>
        <w:t xml:space="preserve"> </w:t>
      </w:r>
      <w:r>
        <w:t>, June 2008.</w:t>
      </w:r>
    </w:p>
  </w:footnote>
  <w:footnote w:id="2">
    <w:p w:rsidR="00E822CF" w:rsidRDefault="00E822CF" w:rsidP="00E822CF">
      <w:pPr>
        <w:pStyle w:val="FootnoteText"/>
      </w:pPr>
      <w:r>
        <w:rPr>
          <w:rStyle w:val="FootnoteReference"/>
        </w:rPr>
        <w:footnoteRef/>
      </w:r>
      <w:r>
        <w:t xml:space="preserve"> </w:t>
      </w:r>
      <w:r>
        <w:tab/>
      </w:r>
      <w:proofErr w:type="gramStart"/>
      <w:r>
        <w:t xml:space="preserve">AER, </w:t>
      </w:r>
      <w:r w:rsidRPr="00F20F95">
        <w:rPr>
          <w:rStyle w:val="AERtextitalic"/>
        </w:rPr>
        <w:t>Electricity distribution network service providers</w:t>
      </w:r>
      <w:r w:rsidR="001513EA">
        <w:rPr>
          <w:rStyle w:val="AERtextitalic"/>
        </w:rPr>
        <w:t xml:space="preserve"> -</w:t>
      </w:r>
      <w:r w:rsidR="001513EA" w:rsidRPr="001513EA">
        <w:rPr>
          <w:rStyle w:val="AERtextitalic"/>
        </w:rPr>
        <w:t xml:space="preserve"> </w:t>
      </w:r>
      <w:r w:rsidR="001513EA">
        <w:rPr>
          <w:rStyle w:val="AERtextitalic"/>
        </w:rPr>
        <w:t>Efficiency benefit sharing scheme</w:t>
      </w:r>
      <w:r>
        <w:t>, June 2008.</w:t>
      </w:r>
      <w:proofErr w:type="gramEnd"/>
    </w:p>
  </w:footnote>
  <w:footnote w:id="3">
    <w:p w:rsidR="009C7CC7" w:rsidRDefault="009C7CC7" w:rsidP="009C7CC7">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4">
    <w:p w:rsidR="004C6EBB" w:rsidRDefault="004C6EBB">
      <w:pPr>
        <w:pStyle w:val="FootnoteText"/>
      </w:pPr>
      <w:r>
        <w:rPr>
          <w:rStyle w:val="FootnoteReference"/>
        </w:rPr>
        <w:footnoteRef/>
      </w:r>
      <w:r>
        <w:t xml:space="preserve"> </w:t>
      </w:r>
      <w:r>
        <w:tab/>
        <w:t>De</w:t>
      </w:r>
      <w:r w:rsidR="00E57C5D">
        <w:t xml:space="preserve">bt raising costs, </w:t>
      </w:r>
      <w:r w:rsidR="00A73365">
        <w:t xml:space="preserve">DMIA </w:t>
      </w:r>
      <w:r w:rsidR="00E57C5D">
        <w:t>and</w:t>
      </w:r>
      <w:r w:rsidR="00A73365" w:rsidRPr="00A73365">
        <w:t xml:space="preserve"> </w:t>
      </w:r>
      <w:r w:rsidR="00A73365">
        <w:t>GSL payments</w:t>
      </w:r>
      <w:r>
        <w:t>.</w:t>
      </w:r>
    </w:p>
  </w:footnote>
  <w:footnote w:id="5">
    <w:p w:rsidR="0094471E" w:rsidRDefault="00354723">
      <w:pPr>
        <w:pStyle w:val="FootnoteText"/>
      </w:pPr>
      <w:r>
        <w:rPr>
          <w:rStyle w:val="FootnoteReference"/>
        </w:rPr>
        <w:footnoteRef/>
      </w:r>
      <w:r>
        <w:t xml:space="preserve"> </w:t>
      </w:r>
      <w:r>
        <w:tab/>
      </w:r>
      <w:proofErr w:type="gramStart"/>
      <w:r w:rsidR="0094471E">
        <w:t xml:space="preserve">United Energy, </w:t>
      </w:r>
      <w:r w:rsidR="0094471E" w:rsidRPr="00FE6880">
        <w:rPr>
          <w:rStyle w:val="AERtextitalic"/>
        </w:rPr>
        <w:t>Re</w:t>
      </w:r>
      <w:r w:rsidR="0094471E">
        <w:rPr>
          <w:rStyle w:val="AERtextitalic"/>
        </w:rPr>
        <w:t>gulatory</w:t>
      </w:r>
      <w:r w:rsidR="0094471E" w:rsidRPr="00FE6880">
        <w:rPr>
          <w:rStyle w:val="AERtextitalic"/>
        </w:rPr>
        <w:t xml:space="preserve"> proposal</w:t>
      </w:r>
      <w:r w:rsidR="0094471E">
        <w:t>, April 2015, Reset RIN, table 7.5.1</w:t>
      </w:r>
      <w:r w:rsidR="008E618D">
        <w:t>.</w:t>
      </w:r>
      <w:proofErr w:type="gramEnd"/>
      <w:r w:rsidR="0094471E">
        <w:t xml:space="preserve">   </w:t>
      </w:r>
    </w:p>
    <w:p w:rsidR="00354723" w:rsidRDefault="0094471E">
      <w:pPr>
        <w:pStyle w:val="FootnoteText"/>
      </w:pPr>
      <w:r>
        <w:tab/>
      </w:r>
      <w:r w:rsidR="00354723">
        <w:t>United Energy did not make adjustments for network growth or capitalisation policy changes.</w:t>
      </w:r>
    </w:p>
  </w:footnote>
  <w:footnote w:id="6">
    <w:p w:rsidR="00C71DE3" w:rsidRDefault="00C71DE3">
      <w:pPr>
        <w:pStyle w:val="FootnoteText"/>
      </w:pPr>
      <w:r>
        <w:rPr>
          <w:rStyle w:val="FootnoteReference"/>
        </w:rPr>
        <w:footnoteRef/>
      </w:r>
      <w:r>
        <w:t xml:space="preserve"> </w:t>
      </w:r>
      <w:r>
        <w:tab/>
        <w:t xml:space="preserve">United Energy, </w:t>
      </w:r>
      <w:r w:rsidRPr="00FE6880">
        <w:rPr>
          <w:rStyle w:val="AERtextitalic"/>
        </w:rPr>
        <w:t>Re</w:t>
      </w:r>
      <w:r>
        <w:rPr>
          <w:rStyle w:val="AERtextitalic"/>
        </w:rPr>
        <w:t>gulatory</w:t>
      </w:r>
      <w:r w:rsidRPr="00FE6880">
        <w:rPr>
          <w:rStyle w:val="AERtextitalic"/>
        </w:rPr>
        <w:t xml:space="preserve"> proposal</w:t>
      </w:r>
      <w:r>
        <w:t>, April 2015, p. 135.</w:t>
      </w:r>
    </w:p>
  </w:footnote>
  <w:footnote w:id="7">
    <w:p w:rsidR="00187275" w:rsidRDefault="00187275">
      <w:pPr>
        <w:pStyle w:val="FootnoteText"/>
      </w:pPr>
      <w:r>
        <w:rPr>
          <w:rStyle w:val="FootnoteReference"/>
        </w:rPr>
        <w:footnoteRef/>
      </w:r>
      <w:r>
        <w:t xml:space="preserve"> </w:t>
      </w:r>
      <w:r>
        <w:tab/>
      </w:r>
      <w:proofErr w:type="gramStart"/>
      <w:r>
        <w:t xml:space="preserve">United Energy, </w:t>
      </w:r>
      <w:r w:rsidRPr="00FE6880">
        <w:rPr>
          <w:rStyle w:val="AERtextitalic"/>
        </w:rPr>
        <w:t>Re</w:t>
      </w:r>
      <w:r>
        <w:rPr>
          <w:rStyle w:val="AERtextitalic"/>
        </w:rPr>
        <w:t>gulatory</w:t>
      </w:r>
      <w:r w:rsidRPr="00FE6880">
        <w:rPr>
          <w:rStyle w:val="AERtextitalic"/>
        </w:rPr>
        <w:t xml:space="preserve"> proposal</w:t>
      </w:r>
      <w:r>
        <w:t>, April 2015, Reset RIN, table 7.5.1.</w:t>
      </w:r>
      <w:proofErr w:type="gramEnd"/>
    </w:p>
  </w:footnote>
  <w:footnote w:id="8">
    <w:p w:rsidR="0020369A" w:rsidRDefault="0020369A" w:rsidP="0020369A">
      <w:pPr>
        <w:pStyle w:val="FootnoteText"/>
      </w:pPr>
      <w:r>
        <w:rPr>
          <w:rStyle w:val="FootnoteReference"/>
        </w:rPr>
        <w:footnoteRef/>
      </w:r>
      <w:r>
        <w:t xml:space="preserve"> </w:t>
      </w:r>
      <w:r>
        <w:tab/>
        <w:t xml:space="preserve">United Energy, </w:t>
      </w:r>
      <w:r w:rsidRPr="00FE6880">
        <w:rPr>
          <w:rStyle w:val="AERtextitalic"/>
        </w:rPr>
        <w:t>Re</w:t>
      </w:r>
      <w:r>
        <w:rPr>
          <w:rStyle w:val="AERtextitalic"/>
        </w:rPr>
        <w:t>gulatory</w:t>
      </w:r>
      <w:r w:rsidRPr="00FE6880">
        <w:rPr>
          <w:rStyle w:val="AERtextitalic"/>
        </w:rPr>
        <w:t xml:space="preserve"> proposal</w:t>
      </w:r>
      <w:r>
        <w:t xml:space="preserve">, April 2015, </w:t>
      </w:r>
      <w:r w:rsidR="00BC42EB">
        <w:t xml:space="preserve">p. 135; </w:t>
      </w:r>
      <w:r>
        <w:t>Reset RIN, table 7.5.2.</w:t>
      </w:r>
    </w:p>
  </w:footnote>
  <w:footnote w:id="9">
    <w:p w:rsidR="009C7CC7" w:rsidRDefault="009C7CC7" w:rsidP="009C7CC7">
      <w:pPr>
        <w:pStyle w:val="FootnoteText"/>
      </w:pPr>
      <w:r>
        <w:rPr>
          <w:rStyle w:val="FootnoteReference"/>
        </w:rPr>
        <w:footnoteRef/>
      </w:r>
      <w:r>
        <w:t xml:space="preserve"> </w:t>
      </w:r>
      <w:r>
        <w:tab/>
        <w:t>NER, cl. 6.4.3(a)(5).</w:t>
      </w:r>
    </w:p>
  </w:footnote>
  <w:footnote w:id="10">
    <w:p w:rsidR="009C7CC7" w:rsidRDefault="009C7CC7" w:rsidP="009C7CC7">
      <w:pPr>
        <w:pStyle w:val="FootnoteText"/>
      </w:pPr>
      <w:r>
        <w:rPr>
          <w:rStyle w:val="FootnoteReference"/>
        </w:rPr>
        <w:footnoteRef/>
      </w:r>
      <w:r>
        <w:t xml:space="preserve"> </w:t>
      </w:r>
      <w:r>
        <w:tab/>
        <w:t>NER, cl. 6.3.2(a)(3); cl. 6.12.1(9).</w:t>
      </w:r>
    </w:p>
  </w:footnote>
  <w:footnote w:id="11">
    <w:p w:rsidR="009C7CC7" w:rsidRDefault="009C7CC7" w:rsidP="009C7CC7">
      <w:pPr>
        <w:pStyle w:val="FootnoteText"/>
      </w:pPr>
      <w:r>
        <w:rPr>
          <w:rStyle w:val="FootnoteReference"/>
        </w:rPr>
        <w:footnoteRef/>
      </w:r>
      <w:r>
        <w:t xml:space="preserve"> </w:t>
      </w:r>
      <w:r>
        <w:tab/>
        <w:t>NER, cl. 6.5.8(a).</w:t>
      </w:r>
    </w:p>
  </w:footnote>
  <w:footnote w:id="12">
    <w:p w:rsidR="009C7CC7" w:rsidRDefault="009C7CC7" w:rsidP="009C7CC7">
      <w:pPr>
        <w:pStyle w:val="FootnoteText"/>
      </w:pPr>
      <w:r>
        <w:rPr>
          <w:rStyle w:val="FootnoteReference"/>
        </w:rPr>
        <w:footnoteRef/>
      </w:r>
      <w:r>
        <w:t xml:space="preserve"> </w:t>
      </w:r>
      <w:r>
        <w:tab/>
        <w:t>NER, cl. 6.5.8(c).</w:t>
      </w:r>
    </w:p>
  </w:footnote>
  <w:footnote w:id="13">
    <w:p w:rsidR="009C7CC7" w:rsidRDefault="009C7CC7" w:rsidP="009C7CC7">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 pp. 4</w:t>
      </w:r>
      <w:r>
        <w:rPr>
          <w:rFonts w:cs="Arial"/>
        </w:rPr>
        <w:t>−</w:t>
      </w:r>
      <w:r>
        <w:t>6.</w:t>
      </w:r>
    </w:p>
  </w:footnote>
  <w:footnote w:id="14">
    <w:p w:rsidR="009C7CC7" w:rsidRDefault="009C7CC7" w:rsidP="009C7CC7">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w:t>
      </w:r>
    </w:p>
  </w:footnote>
  <w:footnote w:id="15">
    <w:p w:rsidR="0006280E" w:rsidRDefault="0006280E" w:rsidP="0006280E">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 pp. 5</w:t>
      </w:r>
      <w:r>
        <w:rPr>
          <w:rFonts w:cs="Arial"/>
        </w:rPr>
        <w:t>−</w:t>
      </w:r>
      <w:r>
        <w:t>6.</w:t>
      </w:r>
    </w:p>
  </w:footnote>
  <w:footnote w:id="16">
    <w:p w:rsidR="00272CC4" w:rsidRDefault="00272CC4" w:rsidP="00272CC4">
      <w:pPr>
        <w:pStyle w:val="FootnoteText"/>
      </w:pPr>
      <w:r>
        <w:rPr>
          <w:rStyle w:val="FootnoteReference"/>
        </w:rPr>
        <w:footnoteRef/>
      </w:r>
      <w:r>
        <w:t xml:space="preserve"> </w:t>
      </w:r>
      <w:r>
        <w:tab/>
        <w:t xml:space="preserve">United Energy, </w:t>
      </w:r>
      <w:r w:rsidRPr="00FE6880">
        <w:rPr>
          <w:rStyle w:val="AERtextitalic"/>
        </w:rPr>
        <w:t>Re</w:t>
      </w:r>
      <w:r>
        <w:rPr>
          <w:rStyle w:val="AERtextitalic"/>
        </w:rPr>
        <w:t>gulatory</w:t>
      </w:r>
      <w:r w:rsidRPr="00FE6880">
        <w:rPr>
          <w:rStyle w:val="AERtextitalic"/>
        </w:rPr>
        <w:t xml:space="preserve"> proposal</w:t>
      </w:r>
      <w:r>
        <w:t>, April 2015, p. 135.</w:t>
      </w:r>
    </w:p>
  </w:footnote>
  <w:footnote w:id="17">
    <w:p w:rsidR="004268D6" w:rsidRDefault="004268D6" w:rsidP="007E4414">
      <w:pPr>
        <w:pStyle w:val="FootnoteText"/>
      </w:pPr>
      <w:r>
        <w:rPr>
          <w:rStyle w:val="FootnoteReference"/>
        </w:rPr>
        <w:footnoteRef/>
      </w:r>
      <w:r>
        <w:t xml:space="preserve"> </w:t>
      </w:r>
      <w:r>
        <w:tab/>
      </w:r>
      <w:r w:rsidR="007E4414">
        <w:t xml:space="preserve">United Energy, </w:t>
      </w:r>
      <w:r w:rsidR="007E4414" w:rsidRPr="007E4414">
        <w:rPr>
          <w:rStyle w:val="AERtextitalic"/>
        </w:rPr>
        <w:t>Revised regulatory proposal for distribution prices and services 2011 – 15</w:t>
      </w:r>
      <w:r w:rsidR="007E4414">
        <w:t xml:space="preserve">, 23 July 2010, pp. 297 and 302. </w:t>
      </w:r>
      <w:r w:rsidR="008734A2" w:rsidRPr="008734A2">
        <w:t>In its revised proposal for that determination, United Energy stated the EBSS should start anew in 2011, with the first year formula. That is, that the year six formula should not be applied in 2011</w:t>
      </w:r>
      <w:r w:rsidR="008734A2">
        <w:t>.</w:t>
      </w:r>
    </w:p>
  </w:footnote>
  <w:footnote w:id="18">
    <w:p w:rsidR="004268D6" w:rsidRDefault="004268D6" w:rsidP="004268D6">
      <w:pPr>
        <w:pStyle w:val="FootnoteText"/>
      </w:pPr>
      <w:r>
        <w:rPr>
          <w:rStyle w:val="FootnoteReference"/>
        </w:rPr>
        <w:footnoteRef/>
      </w:r>
      <w:r>
        <w:t xml:space="preserve"> </w:t>
      </w:r>
      <w:r>
        <w:tab/>
        <w:t xml:space="preserve">AER, </w:t>
      </w:r>
      <w:r w:rsidRPr="00B93A6E">
        <w:rPr>
          <w:rStyle w:val="AERtextitalic"/>
        </w:rPr>
        <w:t>Victorian distribution determinations 2011–16, Final decision</w:t>
      </w:r>
      <w:r>
        <w:t xml:space="preserve">, pp, 643-644, 653-654. </w:t>
      </w:r>
    </w:p>
  </w:footnote>
  <w:footnote w:id="19">
    <w:p w:rsidR="00412DD7" w:rsidRDefault="00412DD7">
      <w:pPr>
        <w:pStyle w:val="FootnoteText"/>
      </w:pPr>
      <w:r>
        <w:rPr>
          <w:rStyle w:val="FootnoteReference"/>
        </w:rPr>
        <w:footnoteRef/>
      </w:r>
      <w:r>
        <w:t xml:space="preserve"> </w:t>
      </w:r>
      <w:r>
        <w:tab/>
        <w:t xml:space="preserve">United Energy, </w:t>
      </w:r>
      <w:r w:rsidRPr="007E4414">
        <w:rPr>
          <w:rStyle w:val="AERtextitalic"/>
        </w:rPr>
        <w:t>Response to information request IR#015</w:t>
      </w:r>
      <w:r>
        <w:t>, 31 July 2015 and 3 August 2015.</w:t>
      </w:r>
    </w:p>
  </w:footnote>
  <w:footnote w:id="20">
    <w:p w:rsidR="007E4414" w:rsidRDefault="007E4414">
      <w:pPr>
        <w:pStyle w:val="FootnoteText"/>
      </w:pPr>
      <w:r>
        <w:rPr>
          <w:rStyle w:val="FootnoteReference"/>
        </w:rPr>
        <w:footnoteRef/>
      </w:r>
      <w:r>
        <w:t xml:space="preserve"> </w:t>
      </w:r>
      <w:r>
        <w:tab/>
        <w:t xml:space="preserve">AER, </w:t>
      </w:r>
      <w:r w:rsidRPr="007E4414">
        <w:rPr>
          <w:rStyle w:val="AERtextitalic"/>
        </w:rPr>
        <w:t>Efficiency benefit sharing scheme for electricity network service providers</w:t>
      </w:r>
      <w:r>
        <w:t>, November 2013.</w:t>
      </w:r>
    </w:p>
  </w:footnote>
  <w:footnote w:id="21">
    <w:p w:rsidR="009C7CC7" w:rsidRDefault="009C7CC7" w:rsidP="009C7CC7">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xml:space="preserve">, November 2013, pp. </w:t>
      </w:r>
      <w:r w:rsidR="005A7231">
        <w:t>7</w:t>
      </w:r>
      <w:r>
        <w:t>–</w:t>
      </w:r>
      <w:r w:rsidR="005A7231">
        <w:t>9</w:t>
      </w:r>
      <w:r>
        <w:t>.</w:t>
      </w:r>
    </w:p>
  </w:footnote>
  <w:footnote w:id="22">
    <w:p w:rsidR="00AA47FB" w:rsidRDefault="00AA47FB" w:rsidP="00AA47FB">
      <w:pPr>
        <w:pStyle w:val="FootnoteText"/>
      </w:pPr>
      <w:r>
        <w:rPr>
          <w:rStyle w:val="FootnoteReference"/>
        </w:rPr>
        <w:footnoteRef/>
      </w:r>
      <w:r>
        <w:t xml:space="preserve"> </w:t>
      </w:r>
      <w:r>
        <w:tab/>
      </w:r>
      <w:r w:rsidR="005A7231">
        <w:t xml:space="preserve">Jemena, </w:t>
      </w:r>
      <w:r w:rsidR="005A7231" w:rsidRPr="00A143AA">
        <w:rPr>
          <w:rStyle w:val="AERtextitalic"/>
        </w:rPr>
        <w:t>Re</w:t>
      </w:r>
      <w:r w:rsidR="005A7231">
        <w:rPr>
          <w:rStyle w:val="AERtextitalic"/>
        </w:rPr>
        <w:t xml:space="preserve">gulatory proposal, </w:t>
      </w:r>
      <w:r w:rsidR="005A7231" w:rsidRPr="00DE2FA9">
        <w:rPr>
          <w:rStyle w:val="AERtextsize8"/>
        </w:rPr>
        <w:t>p. 41.</w:t>
      </w:r>
    </w:p>
  </w:footnote>
  <w:footnote w:id="23">
    <w:p w:rsidR="00AA47FB" w:rsidRDefault="00AA47FB" w:rsidP="00AA47FB">
      <w:pPr>
        <w:pStyle w:val="FootnoteText"/>
      </w:pPr>
      <w:r>
        <w:rPr>
          <w:rStyle w:val="FootnoteReference"/>
        </w:rPr>
        <w:footnoteRef/>
      </w:r>
      <w:r>
        <w:t xml:space="preserve"> </w:t>
      </w:r>
      <w:r>
        <w:tab/>
        <w:t xml:space="preserve">Jemena, </w:t>
      </w:r>
      <w:r w:rsidRPr="00A143AA">
        <w:rPr>
          <w:rStyle w:val="AERtextitalic"/>
        </w:rPr>
        <w:t>Response to IR#011</w:t>
      </w:r>
      <w:r>
        <w:t>, 14 July 2015,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C7" w:rsidRDefault="001A6301">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9C7CC7">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C7" w:rsidRDefault="001A630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3DE8425E"/>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kZcyAFjlaY2ESVZ2mUzPjChEO7llY9p9p0z+XfnpYvY=" w:saltValue="2STBqDgyQK7Nhw+EpnaJk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0.docx"/>
  </w:docVars>
  <w:rsids>
    <w:rsidRoot w:val="00961A4A"/>
    <w:rsid w:val="000002AB"/>
    <w:rsid w:val="00010286"/>
    <w:rsid w:val="00021202"/>
    <w:rsid w:val="00021C2B"/>
    <w:rsid w:val="0002517F"/>
    <w:rsid w:val="00026495"/>
    <w:rsid w:val="00027EA1"/>
    <w:rsid w:val="0003578C"/>
    <w:rsid w:val="00036587"/>
    <w:rsid w:val="000401AF"/>
    <w:rsid w:val="0006280E"/>
    <w:rsid w:val="00063247"/>
    <w:rsid w:val="00070F9F"/>
    <w:rsid w:val="0007137B"/>
    <w:rsid w:val="00085663"/>
    <w:rsid w:val="00085EBF"/>
    <w:rsid w:val="00091B15"/>
    <w:rsid w:val="000A2F40"/>
    <w:rsid w:val="000A3020"/>
    <w:rsid w:val="000A6C7B"/>
    <w:rsid w:val="000C2B40"/>
    <w:rsid w:val="000C4F00"/>
    <w:rsid w:val="000C5F09"/>
    <w:rsid w:val="000C7411"/>
    <w:rsid w:val="000D06C1"/>
    <w:rsid w:val="000D122C"/>
    <w:rsid w:val="000D3016"/>
    <w:rsid w:val="000E1819"/>
    <w:rsid w:val="000E4821"/>
    <w:rsid w:val="000E6C72"/>
    <w:rsid w:val="000F0B2B"/>
    <w:rsid w:val="000F3E72"/>
    <w:rsid w:val="000F48B1"/>
    <w:rsid w:val="00116EB2"/>
    <w:rsid w:val="00124609"/>
    <w:rsid w:val="00126A4C"/>
    <w:rsid w:val="00142AB6"/>
    <w:rsid w:val="0014573B"/>
    <w:rsid w:val="001513EA"/>
    <w:rsid w:val="001573E4"/>
    <w:rsid w:val="00160756"/>
    <w:rsid w:val="0017232E"/>
    <w:rsid w:val="00174102"/>
    <w:rsid w:val="001754EE"/>
    <w:rsid w:val="00180157"/>
    <w:rsid w:val="00185CB9"/>
    <w:rsid w:val="00186F77"/>
    <w:rsid w:val="00187275"/>
    <w:rsid w:val="001926A4"/>
    <w:rsid w:val="00192AD5"/>
    <w:rsid w:val="001A16CD"/>
    <w:rsid w:val="001A6301"/>
    <w:rsid w:val="001B2392"/>
    <w:rsid w:val="001B45A0"/>
    <w:rsid w:val="001B7D00"/>
    <w:rsid w:val="001D055E"/>
    <w:rsid w:val="001F05A4"/>
    <w:rsid w:val="001F10A1"/>
    <w:rsid w:val="001F492E"/>
    <w:rsid w:val="001F68E3"/>
    <w:rsid w:val="001F6DA3"/>
    <w:rsid w:val="002010BC"/>
    <w:rsid w:val="002016E7"/>
    <w:rsid w:val="00201F98"/>
    <w:rsid w:val="00202E03"/>
    <w:rsid w:val="0020369A"/>
    <w:rsid w:val="0020478D"/>
    <w:rsid w:val="0020492C"/>
    <w:rsid w:val="002124AB"/>
    <w:rsid w:val="00224DB9"/>
    <w:rsid w:val="00227DCE"/>
    <w:rsid w:val="0023276C"/>
    <w:rsid w:val="00233775"/>
    <w:rsid w:val="00240716"/>
    <w:rsid w:val="00251745"/>
    <w:rsid w:val="00263AC0"/>
    <w:rsid w:val="00264264"/>
    <w:rsid w:val="0026772D"/>
    <w:rsid w:val="00272CC4"/>
    <w:rsid w:val="002866D0"/>
    <w:rsid w:val="00286874"/>
    <w:rsid w:val="00290C63"/>
    <w:rsid w:val="00296B65"/>
    <w:rsid w:val="002A3CAD"/>
    <w:rsid w:val="002A7DEF"/>
    <w:rsid w:val="002B1003"/>
    <w:rsid w:val="002C233C"/>
    <w:rsid w:val="002C7417"/>
    <w:rsid w:val="002D72C2"/>
    <w:rsid w:val="002D72E8"/>
    <w:rsid w:val="002E7B22"/>
    <w:rsid w:val="002F7986"/>
    <w:rsid w:val="00301B40"/>
    <w:rsid w:val="003029EE"/>
    <w:rsid w:val="0030370B"/>
    <w:rsid w:val="00305CC8"/>
    <w:rsid w:val="00307F6D"/>
    <w:rsid w:val="003177A2"/>
    <w:rsid w:val="003271B5"/>
    <w:rsid w:val="00327A1E"/>
    <w:rsid w:val="00331264"/>
    <w:rsid w:val="00334C8D"/>
    <w:rsid w:val="00343A18"/>
    <w:rsid w:val="00344473"/>
    <w:rsid w:val="003518B3"/>
    <w:rsid w:val="00354723"/>
    <w:rsid w:val="00356A23"/>
    <w:rsid w:val="003846F1"/>
    <w:rsid w:val="003931A7"/>
    <w:rsid w:val="003B484F"/>
    <w:rsid w:val="003B7FBA"/>
    <w:rsid w:val="003C19ED"/>
    <w:rsid w:val="003E556F"/>
    <w:rsid w:val="003F174D"/>
    <w:rsid w:val="003F7442"/>
    <w:rsid w:val="00412DD7"/>
    <w:rsid w:val="00415F31"/>
    <w:rsid w:val="0042313B"/>
    <w:rsid w:val="00423A77"/>
    <w:rsid w:val="004268D6"/>
    <w:rsid w:val="00441204"/>
    <w:rsid w:val="0045777E"/>
    <w:rsid w:val="00474EC7"/>
    <w:rsid w:val="00480B4B"/>
    <w:rsid w:val="00485DC4"/>
    <w:rsid w:val="004A43D1"/>
    <w:rsid w:val="004A7BD0"/>
    <w:rsid w:val="004B308B"/>
    <w:rsid w:val="004B4412"/>
    <w:rsid w:val="004C348C"/>
    <w:rsid w:val="004C6EBB"/>
    <w:rsid w:val="004D55BA"/>
    <w:rsid w:val="004E22EC"/>
    <w:rsid w:val="004F0951"/>
    <w:rsid w:val="004F22DC"/>
    <w:rsid w:val="004F6A0E"/>
    <w:rsid w:val="00516041"/>
    <w:rsid w:val="00530128"/>
    <w:rsid w:val="00532467"/>
    <w:rsid w:val="00537FD6"/>
    <w:rsid w:val="005628CD"/>
    <w:rsid w:val="00564A4D"/>
    <w:rsid w:val="0056588A"/>
    <w:rsid w:val="00565BF4"/>
    <w:rsid w:val="00567BA5"/>
    <w:rsid w:val="00567E48"/>
    <w:rsid w:val="00571B35"/>
    <w:rsid w:val="00571D57"/>
    <w:rsid w:val="00572390"/>
    <w:rsid w:val="00577A09"/>
    <w:rsid w:val="005829C2"/>
    <w:rsid w:val="00584D8F"/>
    <w:rsid w:val="00586442"/>
    <w:rsid w:val="00586819"/>
    <w:rsid w:val="0059704C"/>
    <w:rsid w:val="005A404D"/>
    <w:rsid w:val="005A7231"/>
    <w:rsid w:val="005B1E3C"/>
    <w:rsid w:val="005B3FB7"/>
    <w:rsid w:val="005B704A"/>
    <w:rsid w:val="005C0A7F"/>
    <w:rsid w:val="005C26CC"/>
    <w:rsid w:val="005C4C9C"/>
    <w:rsid w:val="005D7BA2"/>
    <w:rsid w:val="005E36C2"/>
    <w:rsid w:val="006007DE"/>
    <w:rsid w:val="00601638"/>
    <w:rsid w:val="00610EF9"/>
    <w:rsid w:val="00612F4F"/>
    <w:rsid w:val="00615C6B"/>
    <w:rsid w:val="00621DCE"/>
    <w:rsid w:val="00632D6D"/>
    <w:rsid w:val="00642C3E"/>
    <w:rsid w:val="00651C3A"/>
    <w:rsid w:val="00651CB2"/>
    <w:rsid w:val="006560CA"/>
    <w:rsid w:val="0066104A"/>
    <w:rsid w:val="00663DAD"/>
    <w:rsid w:val="00665649"/>
    <w:rsid w:val="006672AA"/>
    <w:rsid w:val="00675E20"/>
    <w:rsid w:val="00676679"/>
    <w:rsid w:val="00683C89"/>
    <w:rsid w:val="00691D9A"/>
    <w:rsid w:val="006979F7"/>
    <w:rsid w:val="006B2395"/>
    <w:rsid w:val="006B45A4"/>
    <w:rsid w:val="006B4CF9"/>
    <w:rsid w:val="006B785B"/>
    <w:rsid w:val="006B7AC8"/>
    <w:rsid w:val="006C1736"/>
    <w:rsid w:val="006C4798"/>
    <w:rsid w:val="006D456C"/>
    <w:rsid w:val="006D550F"/>
    <w:rsid w:val="006F3AD1"/>
    <w:rsid w:val="006F3FC8"/>
    <w:rsid w:val="006F4ACC"/>
    <w:rsid w:val="006F571F"/>
    <w:rsid w:val="0070011E"/>
    <w:rsid w:val="00701CAB"/>
    <w:rsid w:val="00707563"/>
    <w:rsid w:val="0072348C"/>
    <w:rsid w:val="00724A37"/>
    <w:rsid w:val="00725245"/>
    <w:rsid w:val="007253F4"/>
    <w:rsid w:val="007303C3"/>
    <w:rsid w:val="007309FA"/>
    <w:rsid w:val="00741E23"/>
    <w:rsid w:val="007422F5"/>
    <w:rsid w:val="007429BE"/>
    <w:rsid w:val="00743223"/>
    <w:rsid w:val="00746E01"/>
    <w:rsid w:val="00747EEA"/>
    <w:rsid w:val="00750041"/>
    <w:rsid w:val="00757364"/>
    <w:rsid w:val="00757BDF"/>
    <w:rsid w:val="007609D0"/>
    <w:rsid w:val="0076165E"/>
    <w:rsid w:val="00763E5D"/>
    <w:rsid w:val="00767740"/>
    <w:rsid w:val="00767A3F"/>
    <w:rsid w:val="00777EE6"/>
    <w:rsid w:val="00782EEA"/>
    <w:rsid w:val="007B186E"/>
    <w:rsid w:val="007B2C72"/>
    <w:rsid w:val="007C1C53"/>
    <w:rsid w:val="007C74BB"/>
    <w:rsid w:val="007D456E"/>
    <w:rsid w:val="007E4414"/>
    <w:rsid w:val="007E4904"/>
    <w:rsid w:val="007E4CB5"/>
    <w:rsid w:val="007F066B"/>
    <w:rsid w:val="007F213A"/>
    <w:rsid w:val="007F75C4"/>
    <w:rsid w:val="008033C4"/>
    <w:rsid w:val="00806C88"/>
    <w:rsid w:val="0081034E"/>
    <w:rsid w:val="008221F2"/>
    <w:rsid w:val="00825985"/>
    <w:rsid w:val="008344F6"/>
    <w:rsid w:val="0083510F"/>
    <w:rsid w:val="008408C5"/>
    <w:rsid w:val="00851209"/>
    <w:rsid w:val="0085722A"/>
    <w:rsid w:val="008647A2"/>
    <w:rsid w:val="008734A2"/>
    <w:rsid w:val="008837AC"/>
    <w:rsid w:val="00884E9D"/>
    <w:rsid w:val="008A587D"/>
    <w:rsid w:val="008B35CD"/>
    <w:rsid w:val="008B5FCC"/>
    <w:rsid w:val="008B7544"/>
    <w:rsid w:val="008C3374"/>
    <w:rsid w:val="008C5486"/>
    <w:rsid w:val="008C708B"/>
    <w:rsid w:val="008D1661"/>
    <w:rsid w:val="008D6800"/>
    <w:rsid w:val="008E55EA"/>
    <w:rsid w:val="008E618D"/>
    <w:rsid w:val="008E7031"/>
    <w:rsid w:val="008E77DE"/>
    <w:rsid w:val="008F07A3"/>
    <w:rsid w:val="008F34DD"/>
    <w:rsid w:val="009001B6"/>
    <w:rsid w:val="00900E1B"/>
    <w:rsid w:val="00901C3C"/>
    <w:rsid w:val="009233EE"/>
    <w:rsid w:val="009272AD"/>
    <w:rsid w:val="009277DC"/>
    <w:rsid w:val="0094471E"/>
    <w:rsid w:val="009460AA"/>
    <w:rsid w:val="00951978"/>
    <w:rsid w:val="00956C2F"/>
    <w:rsid w:val="00961A4A"/>
    <w:rsid w:val="00962CFC"/>
    <w:rsid w:val="009661DE"/>
    <w:rsid w:val="00983C25"/>
    <w:rsid w:val="009856B7"/>
    <w:rsid w:val="00985C86"/>
    <w:rsid w:val="009A5113"/>
    <w:rsid w:val="009A5488"/>
    <w:rsid w:val="009A5FC3"/>
    <w:rsid w:val="009B6F84"/>
    <w:rsid w:val="009B74B0"/>
    <w:rsid w:val="009C7980"/>
    <w:rsid w:val="009C7CC7"/>
    <w:rsid w:val="009D3906"/>
    <w:rsid w:val="009D6B46"/>
    <w:rsid w:val="009F4940"/>
    <w:rsid w:val="009F5BA1"/>
    <w:rsid w:val="00A01A89"/>
    <w:rsid w:val="00A02A88"/>
    <w:rsid w:val="00A0562E"/>
    <w:rsid w:val="00A0726D"/>
    <w:rsid w:val="00A32FBB"/>
    <w:rsid w:val="00A428EE"/>
    <w:rsid w:val="00A4478A"/>
    <w:rsid w:val="00A44852"/>
    <w:rsid w:val="00A4650A"/>
    <w:rsid w:val="00A50502"/>
    <w:rsid w:val="00A528E8"/>
    <w:rsid w:val="00A57D04"/>
    <w:rsid w:val="00A60A26"/>
    <w:rsid w:val="00A61598"/>
    <w:rsid w:val="00A631A7"/>
    <w:rsid w:val="00A666A5"/>
    <w:rsid w:val="00A73365"/>
    <w:rsid w:val="00A7624C"/>
    <w:rsid w:val="00A77188"/>
    <w:rsid w:val="00A84A99"/>
    <w:rsid w:val="00A84F46"/>
    <w:rsid w:val="00A871F4"/>
    <w:rsid w:val="00AA1070"/>
    <w:rsid w:val="00AA321A"/>
    <w:rsid w:val="00AA47FB"/>
    <w:rsid w:val="00AC1B2C"/>
    <w:rsid w:val="00AC3264"/>
    <w:rsid w:val="00AE1BF1"/>
    <w:rsid w:val="00AF0DD2"/>
    <w:rsid w:val="00B0209D"/>
    <w:rsid w:val="00B07CEA"/>
    <w:rsid w:val="00B13048"/>
    <w:rsid w:val="00B165AF"/>
    <w:rsid w:val="00B1716D"/>
    <w:rsid w:val="00B17A1D"/>
    <w:rsid w:val="00B207A0"/>
    <w:rsid w:val="00B27D73"/>
    <w:rsid w:val="00B32B87"/>
    <w:rsid w:val="00B50638"/>
    <w:rsid w:val="00B514DD"/>
    <w:rsid w:val="00B520CC"/>
    <w:rsid w:val="00B52AF0"/>
    <w:rsid w:val="00B561BD"/>
    <w:rsid w:val="00B56E03"/>
    <w:rsid w:val="00B65765"/>
    <w:rsid w:val="00B678E6"/>
    <w:rsid w:val="00B71F1B"/>
    <w:rsid w:val="00B757A6"/>
    <w:rsid w:val="00B8080B"/>
    <w:rsid w:val="00B82223"/>
    <w:rsid w:val="00B87BA5"/>
    <w:rsid w:val="00B87C39"/>
    <w:rsid w:val="00B93A6E"/>
    <w:rsid w:val="00B9562D"/>
    <w:rsid w:val="00BA4665"/>
    <w:rsid w:val="00BB2FB2"/>
    <w:rsid w:val="00BB301B"/>
    <w:rsid w:val="00BB3304"/>
    <w:rsid w:val="00BB7528"/>
    <w:rsid w:val="00BC42EB"/>
    <w:rsid w:val="00BD310B"/>
    <w:rsid w:val="00BD3446"/>
    <w:rsid w:val="00BE1F1B"/>
    <w:rsid w:val="00BE2FB5"/>
    <w:rsid w:val="00BE47B5"/>
    <w:rsid w:val="00C04223"/>
    <w:rsid w:val="00C25FA6"/>
    <w:rsid w:val="00C538A9"/>
    <w:rsid w:val="00C53B5A"/>
    <w:rsid w:val="00C54F5A"/>
    <w:rsid w:val="00C569B4"/>
    <w:rsid w:val="00C56A3E"/>
    <w:rsid w:val="00C67A92"/>
    <w:rsid w:val="00C70D18"/>
    <w:rsid w:val="00C71DE3"/>
    <w:rsid w:val="00C7497E"/>
    <w:rsid w:val="00C84560"/>
    <w:rsid w:val="00C84F52"/>
    <w:rsid w:val="00C86679"/>
    <w:rsid w:val="00CA419B"/>
    <w:rsid w:val="00CA489E"/>
    <w:rsid w:val="00CA52A2"/>
    <w:rsid w:val="00CB0279"/>
    <w:rsid w:val="00CB666B"/>
    <w:rsid w:val="00CC7F1D"/>
    <w:rsid w:val="00CE484B"/>
    <w:rsid w:val="00CF0DEE"/>
    <w:rsid w:val="00D006AE"/>
    <w:rsid w:val="00D01CF0"/>
    <w:rsid w:val="00D01EFD"/>
    <w:rsid w:val="00D0442A"/>
    <w:rsid w:val="00D17683"/>
    <w:rsid w:val="00D21AC4"/>
    <w:rsid w:val="00D31AB9"/>
    <w:rsid w:val="00D4065F"/>
    <w:rsid w:val="00D45694"/>
    <w:rsid w:val="00D61388"/>
    <w:rsid w:val="00D6185B"/>
    <w:rsid w:val="00D61A54"/>
    <w:rsid w:val="00D64DEA"/>
    <w:rsid w:val="00D7168E"/>
    <w:rsid w:val="00D71E57"/>
    <w:rsid w:val="00D76E74"/>
    <w:rsid w:val="00D77045"/>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D30FC"/>
    <w:rsid w:val="00DE1093"/>
    <w:rsid w:val="00DE2FA9"/>
    <w:rsid w:val="00DE4EFA"/>
    <w:rsid w:val="00DE5520"/>
    <w:rsid w:val="00DE563D"/>
    <w:rsid w:val="00DE5E2E"/>
    <w:rsid w:val="00DE772C"/>
    <w:rsid w:val="00DF312A"/>
    <w:rsid w:val="00E04818"/>
    <w:rsid w:val="00E06442"/>
    <w:rsid w:val="00E06BCF"/>
    <w:rsid w:val="00E1001C"/>
    <w:rsid w:val="00E140F3"/>
    <w:rsid w:val="00E23993"/>
    <w:rsid w:val="00E257D6"/>
    <w:rsid w:val="00E25B8C"/>
    <w:rsid w:val="00E4449D"/>
    <w:rsid w:val="00E51D65"/>
    <w:rsid w:val="00E57C5D"/>
    <w:rsid w:val="00E6200B"/>
    <w:rsid w:val="00E65C85"/>
    <w:rsid w:val="00E66199"/>
    <w:rsid w:val="00E711C7"/>
    <w:rsid w:val="00E755EC"/>
    <w:rsid w:val="00E7624D"/>
    <w:rsid w:val="00E822CF"/>
    <w:rsid w:val="00E95C6B"/>
    <w:rsid w:val="00EA3D42"/>
    <w:rsid w:val="00EA6B1B"/>
    <w:rsid w:val="00EB3BB9"/>
    <w:rsid w:val="00EB5BC8"/>
    <w:rsid w:val="00EB606C"/>
    <w:rsid w:val="00EC04F1"/>
    <w:rsid w:val="00ED0EC2"/>
    <w:rsid w:val="00ED7323"/>
    <w:rsid w:val="00EE28F3"/>
    <w:rsid w:val="00EE50D1"/>
    <w:rsid w:val="00EF5110"/>
    <w:rsid w:val="00F0334E"/>
    <w:rsid w:val="00F10411"/>
    <w:rsid w:val="00F15882"/>
    <w:rsid w:val="00F171E0"/>
    <w:rsid w:val="00F20BD3"/>
    <w:rsid w:val="00F2526A"/>
    <w:rsid w:val="00F373A5"/>
    <w:rsid w:val="00F47559"/>
    <w:rsid w:val="00F61176"/>
    <w:rsid w:val="00F61366"/>
    <w:rsid w:val="00F64C7B"/>
    <w:rsid w:val="00F65B25"/>
    <w:rsid w:val="00F676DD"/>
    <w:rsid w:val="00F67ACA"/>
    <w:rsid w:val="00F71667"/>
    <w:rsid w:val="00F75A26"/>
    <w:rsid w:val="00F76706"/>
    <w:rsid w:val="00F768C8"/>
    <w:rsid w:val="00F81B8D"/>
    <w:rsid w:val="00F82E55"/>
    <w:rsid w:val="00F83A7E"/>
    <w:rsid w:val="00F83FAD"/>
    <w:rsid w:val="00F8653A"/>
    <w:rsid w:val="00F92349"/>
    <w:rsid w:val="00F9420C"/>
    <w:rsid w:val="00F952A0"/>
    <w:rsid w:val="00F95C05"/>
    <w:rsid w:val="00FA0BC5"/>
    <w:rsid w:val="00FA3C7F"/>
    <w:rsid w:val="00FB06FC"/>
    <w:rsid w:val="00FB4402"/>
    <w:rsid w:val="00FB60FE"/>
    <w:rsid w:val="00FB74E2"/>
    <w:rsid w:val="00FC3192"/>
    <w:rsid w:val="00FC71DC"/>
    <w:rsid w:val="00FD2ED2"/>
    <w:rsid w:val="00FD5614"/>
    <w:rsid w:val="00FD5E78"/>
    <w:rsid w:val="00FE0BE1"/>
    <w:rsid w:val="00FE1DE9"/>
    <w:rsid w:val="00FE36AF"/>
    <w:rsid w:val="00FE39C2"/>
    <w:rsid w:val="00FE3C32"/>
    <w:rsid w:val="00FE64AE"/>
    <w:rsid w:val="00FE6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4566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86124F-DD3E-4AFB-A783-5A0B8D37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9FA3FC89</Template>
  <TotalTime>0</TotalTime>
  <Pages>14</Pages>
  <Words>2889</Words>
  <Characters>16468</Characters>
  <Application>Microsoft Office Word</Application>
  <DocSecurity>0</DocSecurity>
  <Lines>137</Lines>
  <Paragraphs>38</Paragraphs>
  <ScaleCrop>false</ScaleCrop>
  <Company/>
  <LinksUpToDate>false</LinksUpToDate>
  <CharactersWithSpaces>19319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2015-10-24T20:34:00Z</dcterms:created>
  <dcterms:modified xsi:type="dcterms:W3CDTF">2015-10-24T20:34:00Z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8429807</vt:lpwstr>
  </property>
</Properties>
</file>