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EF0E19">
        <w:rPr>
          <w:noProof/>
        </w:rPr>
        <w:drawing>
          <wp:anchor distT="0" distB="0" distL="114300" distR="114300" simplePos="0" relativeHeight="251664384" behindDoc="1" locked="0" layoutInCell="1" allowOverlap="1" wp14:anchorId="30707EBA" wp14:editId="66BA72AB">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901EE6" w:rsidP="00EF0E19">
      <w:pPr>
        <w:pStyle w:val="AERtitle1"/>
      </w:pPr>
      <w:r>
        <w:t xml:space="preserve">Preliminary </w:t>
      </w:r>
      <w:r w:rsidR="00C138E3">
        <w:t>positions</w:t>
      </w:r>
      <w:r w:rsidR="00C75580">
        <w:t xml:space="preserve"> paper</w:t>
      </w:r>
    </w:p>
    <w:p w:rsidR="00C138E3" w:rsidRDefault="00C138E3" w:rsidP="00EF0E19">
      <w:pPr>
        <w:pStyle w:val="AERtitle1"/>
      </w:pPr>
      <w:r>
        <w:t xml:space="preserve">Framework and approach </w:t>
      </w:r>
      <w:r w:rsidR="00C75580">
        <w:t xml:space="preserve">for </w:t>
      </w:r>
    </w:p>
    <w:p w:rsidR="00EF0E19" w:rsidRDefault="00E13C6D" w:rsidP="00EF0E19">
      <w:pPr>
        <w:pStyle w:val="AERtitle1"/>
      </w:pPr>
      <w:r>
        <w:t>SA Power Networks</w:t>
      </w:r>
    </w:p>
    <w:p w:rsidR="00EF0E19" w:rsidRDefault="00C138E3" w:rsidP="00EF0E19">
      <w:pPr>
        <w:pStyle w:val="AERtitle1"/>
      </w:pPr>
      <w:r>
        <w:t>Regulatory control period commencing 1 July 2015</w:t>
      </w:r>
    </w:p>
    <w:p w:rsidR="009B3DDF" w:rsidRDefault="009B3DDF" w:rsidP="00EF0E19">
      <w:pPr>
        <w:pStyle w:val="AERtitle1"/>
      </w:pPr>
    </w:p>
    <w:p w:rsidR="00EF0E19" w:rsidRDefault="00EF0E19" w:rsidP="00EF0E19"/>
    <w:p w:rsidR="00EF0E19" w:rsidRPr="00F6235D" w:rsidRDefault="00EF0E19" w:rsidP="00EF0E19"/>
    <w:p w:rsidR="00EF0E19" w:rsidRPr="00F6235D" w:rsidRDefault="009D08A9" w:rsidP="00EF0E19">
      <w:pPr>
        <w:pStyle w:val="AERtitle2"/>
      </w:pPr>
      <w:r>
        <w:t>December</w:t>
      </w:r>
      <w:r w:rsidR="00901EE6">
        <w:t xml:space="preserve"> 2013</w:t>
      </w:r>
    </w:p>
    <w:p w:rsidR="00F041CF" w:rsidRDefault="00F041CF" w:rsidP="009D08A9"/>
    <w:p w:rsidR="00F041CF" w:rsidRDefault="00F041CF" w:rsidP="009D08A9"/>
    <w:p w:rsidR="00F041CF" w:rsidRDefault="00F041CF" w:rsidP="009D08A9"/>
    <w:p w:rsidR="00F041CF" w:rsidRDefault="00F041CF" w:rsidP="009D08A9"/>
    <w:p w:rsidR="00F041CF" w:rsidRDefault="00F041CF" w:rsidP="009D08A9"/>
    <w:p w:rsidR="00F041CF" w:rsidRDefault="00F041CF" w:rsidP="009D08A9"/>
    <w:p w:rsidR="00F041CF" w:rsidRDefault="00F041CF" w:rsidP="009D08A9"/>
    <w:p w:rsidR="00EF0E19" w:rsidRPr="008F1A4A" w:rsidRDefault="00EF0E19" w:rsidP="009D08A9">
      <w:pPr>
        <w:rPr>
          <w:rStyle w:val="AERtextbold"/>
        </w:rPr>
      </w:pPr>
      <w:r w:rsidRPr="00F6235D">
        <w:lastRenderedPageBreak/>
        <w:t xml:space="preserve"> </w:t>
      </w:r>
      <w:r w:rsidR="00901EE6">
        <w:rPr>
          <w:rStyle w:val="AERtextbold"/>
        </w:rPr>
        <w:t xml:space="preserve">© Commonwealth of Australia </w:t>
      </w:r>
      <w:r w:rsidRPr="008F1A4A">
        <w:rPr>
          <w:rStyle w:val="AERtextbold"/>
        </w:rPr>
        <w:t>201</w:t>
      </w:r>
      <w:r w:rsidR="00901EE6">
        <w:rPr>
          <w:rStyle w:val="AERtextbold"/>
        </w:rPr>
        <w:t>3</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177D67">
      <w:pPr>
        <w:pStyle w:val="AERbodytextnospace"/>
      </w:pPr>
      <w:r>
        <w:t>Australian Energy Regulator</w:t>
      </w:r>
    </w:p>
    <w:p w:rsidR="00EF0E19" w:rsidRDefault="00EF0E19" w:rsidP="00177D67">
      <w:pPr>
        <w:pStyle w:val="AERbodytextnospace"/>
      </w:pPr>
      <w:r>
        <w:t>GPO Box 520</w:t>
      </w:r>
    </w:p>
    <w:p w:rsidR="00EF0E19" w:rsidRDefault="00EF0E19" w:rsidP="00177D67">
      <w:pPr>
        <w:pStyle w:val="AERbodytextnospace"/>
      </w:pPr>
      <w:r>
        <w:t>Melbourne  Vic  3001</w:t>
      </w:r>
    </w:p>
    <w:p w:rsidR="00EF0E19" w:rsidRDefault="00EF0E19" w:rsidP="00177D67">
      <w:pPr>
        <w:pStyle w:val="AERbodytextnospace"/>
      </w:pPr>
      <w:r>
        <w:t>Tel: (03) 9290 1444</w:t>
      </w:r>
    </w:p>
    <w:p w:rsidR="00EF0E19" w:rsidRDefault="00EF0E19" w:rsidP="00177D67">
      <w:pPr>
        <w:pStyle w:val="AERbodytextnospace"/>
      </w:pPr>
      <w:r>
        <w:t>Fax: (03) 9290 1457</w:t>
      </w:r>
    </w:p>
    <w:p w:rsidR="00EF0E19" w:rsidRDefault="00EF0E19" w:rsidP="00177D67">
      <w:pPr>
        <w:pStyle w:val="AERbodytextnospace"/>
      </w:pPr>
      <w:r>
        <w:t xml:space="preserve">Email: </w:t>
      </w:r>
      <w:hyperlink r:id="rId10" w:history="1">
        <w:r w:rsidRPr="003E184A">
          <w:rPr>
            <w:rStyle w:val="Hyperlink"/>
          </w:rPr>
          <w:t>AERInquiry@aer.gov.au</w:t>
        </w:r>
      </w:hyperlink>
    </w:p>
    <w:p w:rsidR="00EF0E19" w:rsidRDefault="00EF0E19"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C138E3" w:rsidRDefault="00C138E3" w:rsidP="00EF0E19"/>
    <w:p w:rsidR="00DA69C8" w:rsidRDefault="00DA69C8" w:rsidP="00045B61">
      <w:pPr>
        <w:pStyle w:val="UnnumberedHeading"/>
      </w:pPr>
      <w:bookmarkStart w:id="1" w:name="_Toc373773962"/>
      <w:r>
        <w:lastRenderedPageBreak/>
        <w:t>Request for submissions</w:t>
      </w:r>
      <w:bookmarkEnd w:id="1"/>
    </w:p>
    <w:p w:rsidR="00DA69C8" w:rsidRDefault="00DA69C8" w:rsidP="00DA69C8">
      <w:pPr>
        <w:pStyle w:val="AERbodytext"/>
      </w:pPr>
      <w:r>
        <w:t xml:space="preserve">Interested parties are invited to make written submissions to the Australian Energy Regulator (AER) regarding this paper by the close of business, </w:t>
      </w:r>
      <w:r w:rsidR="003915D0">
        <w:t>19 February 2014</w:t>
      </w:r>
      <w:r>
        <w:t xml:space="preserve">. </w:t>
      </w:r>
    </w:p>
    <w:p w:rsidR="00DA69C8" w:rsidRDefault="00DA69C8" w:rsidP="00DA69C8">
      <w:pPr>
        <w:pStyle w:val="AERbodytext"/>
        <w:numPr>
          <w:ilvl w:val="0"/>
          <w:numId w:val="0"/>
        </w:numPr>
      </w:pPr>
      <w:r>
        <w:t xml:space="preserve">Submissions should be sent electronically to: </w:t>
      </w:r>
      <w:hyperlink r:id="rId11" w:history="1">
        <w:r w:rsidR="00B84EEB" w:rsidRPr="003A1497">
          <w:rPr>
            <w:rStyle w:val="Hyperlink"/>
          </w:rPr>
          <w:t>SAelectricity2015@aer.gov.au</w:t>
        </w:r>
      </w:hyperlink>
    </w:p>
    <w:p w:rsidR="00DA69C8" w:rsidRDefault="00DA69C8" w:rsidP="00DA69C8">
      <w:pPr>
        <w:pStyle w:val="AERbodytext"/>
        <w:numPr>
          <w:ilvl w:val="0"/>
          <w:numId w:val="0"/>
        </w:numPr>
      </w:pPr>
      <w:r>
        <w:t>Alternatively, submissions can be mailed to:</w:t>
      </w:r>
    </w:p>
    <w:p w:rsidR="00DA69C8" w:rsidRPr="002514D9" w:rsidRDefault="0020533A" w:rsidP="00DA69C8">
      <w:pPr>
        <w:pStyle w:val="AERbodytextnospace"/>
        <w:rPr>
          <w:rStyle w:val="AERtexthighlight"/>
        </w:rPr>
      </w:pPr>
      <w:r>
        <w:rPr>
          <w:rStyle w:val="AERbody"/>
        </w:rPr>
        <w:t>Mr Warwick Anderson</w:t>
      </w:r>
    </w:p>
    <w:p w:rsidR="00DA69C8" w:rsidRPr="00DA69C8" w:rsidRDefault="00DA69C8" w:rsidP="00DA69C8">
      <w:pPr>
        <w:pStyle w:val="AERbodytextnospace"/>
        <w:rPr>
          <w:rStyle w:val="AERbody"/>
        </w:rPr>
      </w:pPr>
      <w:r w:rsidRPr="00DA69C8">
        <w:rPr>
          <w:rStyle w:val="AERbody"/>
        </w:rPr>
        <w:t>General Manager, Network Regulation</w:t>
      </w:r>
    </w:p>
    <w:p w:rsidR="00DA69C8" w:rsidRPr="00DA69C8" w:rsidRDefault="00DA69C8" w:rsidP="00DA69C8">
      <w:pPr>
        <w:pStyle w:val="AERbodytextnospace"/>
        <w:rPr>
          <w:rStyle w:val="AERbody"/>
        </w:rPr>
      </w:pPr>
      <w:r w:rsidRPr="00DA69C8">
        <w:rPr>
          <w:rStyle w:val="AERbody"/>
        </w:rPr>
        <w:t>Australian Energy Regulator</w:t>
      </w:r>
    </w:p>
    <w:p w:rsidR="00DA69C8" w:rsidRPr="00DA69C8" w:rsidRDefault="00DA69C8" w:rsidP="00DA69C8">
      <w:pPr>
        <w:pStyle w:val="AERbodytextnospace"/>
        <w:rPr>
          <w:rStyle w:val="AERbody"/>
        </w:rPr>
      </w:pPr>
      <w:r w:rsidRPr="00DA69C8">
        <w:rPr>
          <w:rStyle w:val="AERbody"/>
        </w:rPr>
        <w:t>GPO Box 3131</w:t>
      </w:r>
    </w:p>
    <w:p w:rsidR="00DA69C8" w:rsidRDefault="00DA69C8" w:rsidP="00DA69C8">
      <w:pPr>
        <w:pStyle w:val="AERbodytextnospace"/>
        <w:rPr>
          <w:rStyle w:val="AERbody"/>
        </w:rPr>
      </w:pPr>
      <w:r w:rsidRPr="00DA69C8">
        <w:rPr>
          <w:rStyle w:val="AERbody"/>
        </w:rPr>
        <w:t>Canberra ACT 2601</w:t>
      </w:r>
    </w:p>
    <w:p w:rsidR="00DA69C8" w:rsidRDefault="00DA69C8" w:rsidP="00DA69C8">
      <w:pPr>
        <w:pStyle w:val="AERbodytextnospace"/>
        <w:numPr>
          <w:ilvl w:val="0"/>
          <w:numId w:val="0"/>
        </w:numPr>
        <w:rPr>
          <w:rStyle w:val="AERbody"/>
        </w:rPr>
      </w:pPr>
    </w:p>
    <w:p w:rsidR="00DA69C8" w:rsidRDefault="00DA69C8" w:rsidP="00DA69C8">
      <w:pPr>
        <w:pStyle w:val="AERbodytextnospace"/>
        <w:numPr>
          <w:ilvl w:val="0"/>
          <w:numId w:val="0"/>
        </w:numPr>
        <w:rPr>
          <w:rStyle w:val="AERbody"/>
        </w:rPr>
      </w:pPr>
      <w:r>
        <w:rPr>
          <w:rStyle w:val="AERbody"/>
        </w:rPr>
        <w:t>The AER prefers that all submissions be publicly available to facilitate an informed and transparent consultative process. Submissions will be treated as public documents unless otherwise requested. Parties wishing to submit confidential information are requested to:</w:t>
      </w:r>
    </w:p>
    <w:p w:rsidR="00DA69C8" w:rsidRDefault="00DA69C8" w:rsidP="00DA69C8">
      <w:pPr>
        <w:pStyle w:val="AERbodytextnospace"/>
        <w:numPr>
          <w:ilvl w:val="0"/>
          <w:numId w:val="0"/>
        </w:numPr>
        <w:rPr>
          <w:rStyle w:val="AERbody"/>
        </w:rPr>
      </w:pPr>
    </w:p>
    <w:p w:rsidR="00DA69C8" w:rsidRDefault="00DA69C8" w:rsidP="00DA69C8">
      <w:pPr>
        <w:pStyle w:val="AERbulletlistfirststyle"/>
        <w:rPr>
          <w:rStyle w:val="AERbody"/>
        </w:rPr>
      </w:pPr>
      <w:r>
        <w:rPr>
          <w:rStyle w:val="AERbody"/>
        </w:rPr>
        <w:t>clearly identify the information that is the subject of the confidentiality claim</w:t>
      </w:r>
    </w:p>
    <w:p w:rsidR="00DA69C8" w:rsidRDefault="00DA69C8" w:rsidP="00DA69C8">
      <w:pPr>
        <w:pStyle w:val="AERbulletlistfirststyle"/>
        <w:rPr>
          <w:rStyle w:val="AERbody"/>
        </w:rPr>
      </w:pPr>
      <w:r>
        <w:rPr>
          <w:rStyle w:val="AERbody"/>
        </w:rPr>
        <w:t>provide a non-confidential version of the submission in a form suitable for publication.</w:t>
      </w:r>
    </w:p>
    <w:p w:rsidR="00DA69C8" w:rsidRDefault="00DA69C8" w:rsidP="00DA69C8">
      <w:pPr>
        <w:pStyle w:val="AERbodytext"/>
        <w:rPr>
          <w:rStyle w:val="AERbody"/>
        </w:rPr>
      </w:pPr>
      <w:r w:rsidRPr="00DA69C8">
        <w:rPr>
          <w:rStyle w:val="AERbody"/>
        </w:rPr>
        <w:t xml:space="preserve">All non-confidential submissions will be placed on the AER's website at </w:t>
      </w:r>
      <w:hyperlink r:id="rId12" w:history="1">
        <w:r w:rsidRPr="00DA69C8">
          <w:rPr>
            <w:rStyle w:val="AERbody"/>
          </w:rPr>
          <w:t>www.aer.gov.au</w:t>
        </w:r>
      </w:hyperlink>
      <w:r w:rsidRPr="00DA69C8">
        <w:rPr>
          <w:rStyle w:val="AERbody"/>
        </w:rPr>
        <w:t>. For further i</w:t>
      </w:r>
      <w:r>
        <w:rPr>
          <w:rStyle w:val="AERbody"/>
        </w:rPr>
        <w:t xml:space="preserve">nformation regarding the AER's use and disclosure of information provided to it, see the </w:t>
      </w:r>
      <w:r w:rsidRPr="00DA69C8">
        <w:rPr>
          <w:rStyle w:val="AERtextitalic"/>
        </w:rPr>
        <w:t>ACCC/AER Information Policy</w:t>
      </w:r>
      <w:r>
        <w:rPr>
          <w:rStyle w:val="AERbody"/>
        </w:rPr>
        <w:t>, October 2008 available on the AER's website.</w:t>
      </w:r>
    </w:p>
    <w:p w:rsidR="00DA69C8" w:rsidRPr="00DA69C8" w:rsidRDefault="00DA69C8" w:rsidP="00DA69C8">
      <w:pPr>
        <w:pStyle w:val="AERbodytext"/>
        <w:rPr>
          <w:rStyle w:val="AERbody"/>
        </w:rPr>
      </w:pPr>
      <w:r>
        <w:rPr>
          <w:rStyle w:val="AERbody"/>
        </w:rPr>
        <w:t>Enquiries about this paper, or about lodging submissions, should be directed to the Network Regulation branch of the AER on (02) 9230 9133.</w:t>
      </w:r>
    </w:p>
    <w:p w:rsidR="00DA69C8" w:rsidRPr="00DA69C8" w:rsidRDefault="00DA69C8" w:rsidP="00DA69C8">
      <w:pPr>
        <w:pStyle w:val="AERbulletlistfirststyle"/>
        <w:numPr>
          <w:ilvl w:val="0"/>
          <w:numId w:val="0"/>
        </w:numPr>
        <w:ind w:left="357" w:hanging="357"/>
        <w:rPr>
          <w:rStyle w:val="AERbody"/>
        </w:rPr>
      </w:pPr>
    </w:p>
    <w:p w:rsidR="00ED4DF1" w:rsidRPr="00ED4DF1" w:rsidRDefault="00045B61" w:rsidP="00ED4DF1">
      <w:pPr>
        <w:pStyle w:val="UnnumberedHeading"/>
        <w:spacing w:after="0" w:line="240" w:lineRule="auto"/>
        <w:jc w:val="left"/>
        <w:rPr>
          <w:szCs w:val="24"/>
        </w:rPr>
      </w:pPr>
      <w:bookmarkStart w:id="2" w:name="_Toc373773963"/>
      <w:r>
        <w:lastRenderedPageBreak/>
        <w:t>Contents</w:t>
      </w:r>
      <w:bookmarkEnd w:id="2"/>
    </w:p>
    <w:sdt>
      <w:sdtPr>
        <w:id w:val="-1362895910"/>
        <w:docPartObj>
          <w:docPartGallery w:val="Table of Contents"/>
          <w:docPartUnique/>
        </w:docPartObj>
      </w:sdtPr>
      <w:sdtEndPr/>
      <w:sdtContent>
        <w:p w:rsidR="00ED4DF1" w:rsidRPr="00ED4DF1" w:rsidRDefault="00ED4DF1"/>
        <w:p w:rsidR="006C7678" w:rsidRDefault="00ED4DF1">
          <w:pPr>
            <w:pStyle w:val="TOC1"/>
            <w:tabs>
              <w:tab w:val="right" w:leader="dot" w:pos="9016"/>
            </w:tabs>
            <w:rPr>
              <w:rFonts w:asciiTheme="minorHAnsi" w:eastAsiaTheme="minorEastAsia" w:hAnsiTheme="minorHAnsi" w:cstheme="minorBidi"/>
              <w:b w:val="0"/>
              <w:bCs w:val="0"/>
              <w:noProof/>
              <w:sz w:val="22"/>
              <w:szCs w:val="22"/>
              <w:lang w:eastAsia="en-AU"/>
            </w:rPr>
          </w:pPr>
          <w:r w:rsidRPr="00ED4DF1">
            <w:fldChar w:fldCharType="begin"/>
          </w:r>
          <w:r w:rsidRPr="00ED4DF1">
            <w:instrText xml:space="preserve"> TOC \o "1-3" \h \z \u </w:instrText>
          </w:r>
          <w:r w:rsidRPr="00ED4DF1">
            <w:fldChar w:fldCharType="separate"/>
          </w:r>
          <w:hyperlink w:anchor="_Toc373773962" w:history="1">
            <w:r w:rsidR="006C7678" w:rsidRPr="00E9653C">
              <w:rPr>
                <w:rStyle w:val="Hyperlink"/>
                <w:noProof/>
              </w:rPr>
              <w:t>Request for submissions</w:t>
            </w:r>
            <w:r w:rsidR="006C7678">
              <w:rPr>
                <w:noProof/>
                <w:webHidden/>
              </w:rPr>
              <w:tab/>
            </w:r>
            <w:r w:rsidR="006C7678">
              <w:rPr>
                <w:noProof/>
                <w:webHidden/>
              </w:rPr>
              <w:fldChar w:fldCharType="begin"/>
            </w:r>
            <w:r w:rsidR="006C7678">
              <w:rPr>
                <w:noProof/>
                <w:webHidden/>
              </w:rPr>
              <w:instrText xml:space="preserve"> PAGEREF _Toc373773962 \h </w:instrText>
            </w:r>
            <w:r w:rsidR="006C7678">
              <w:rPr>
                <w:noProof/>
                <w:webHidden/>
              </w:rPr>
            </w:r>
            <w:r w:rsidR="006C7678">
              <w:rPr>
                <w:noProof/>
                <w:webHidden/>
              </w:rPr>
              <w:fldChar w:fldCharType="separate"/>
            </w:r>
            <w:r w:rsidR="001A20D2">
              <w:rPr>
                <w:noProof/>
                <w:webHidden/>
              </w:rPr>
              <w:t>3</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3963" w:history="1">
            <w:r w:rsidR="006C7678" w:rsidRPr="00E9653C">
              <w:rPr>
                <w:rStyle w:val="Hyperlink"/>
                <w:noProof/>
              </w:rPr>
              <w:t>Contents</w:t>
            </w:r>
            <w:r w:rsidR="006C7678">
              <w:rPr>
                <w:noProof/>
                <w:webHidden/>
              </w:rPr>
              <w:tab/>
            </w:r>
            <w:r w:rsidR="006C7678">
              <w:rPr>
                <w:noProof/>
                <w:webHidden/>
              </w:rPr>
              <w:fldChar w:fldCharType="begin"/>
            </w:r>
            <w:r w:rsidR="006C7678">
              <w:rPr>
                <w:noProof/>
                <w:webHidden/>
              </w:rPr>
              <w:instrText xml:space="preserve"> PAGEREF _Toc373773963 \h </w:instrText>
            </w:r>
            <w:r w:rsidR="006C7678">
              <w:rPr>
                <w:noProof/>
                <w:webHidden/>
              </w:rPr>
            </w:r>
            <w:r w:rsidR="006C7678">
              <w:rPr>
                <w:noProof/>
                <w:webHidden/>
              </w:rPr>
              <w:fldChar w:fldCharType="separate"/>
            </w:r>
            <w:r w:rsidR="001A20D2">
              <w:rPr>
                <w:noProof/>
                <w:webHidden/>
              </w:rPr>
              <w:t>4</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3964" w:history="1">
            <w:r w:rsidR="006C7678" w:rsidRPr="00E9653C">
              <w:rPr>
                <w:rStyle w:val="Hyperlink"/>
                <w:noProof/>
              </w:rPr>
              <w:t>Shortened forms</w:t>
            </w:r>
            <w:r w:rsidR="006C7678">
              <w:rPr>
                <w:noProof/>
                <w:webHidden/>
              </w:rPr>
              <w:tab/>
            </w:r>
            <w:r w:rsidR="006C7678">
              <w:rPr>
                <w:noProof/>
                <w:webHidden/>
              </w:rPr>
              <w:fldChar w:fldCharType="begin"/>
            </w:r>
            <w:r w:rsidR="006C7678">
              <w:rPr>
                <w:noProof/>
                <w:webHidden/>
              </w:rPr>
              <w:instrText xml:space="preserve"> PAGEREF _Toc373773964 \h </w:instrText>
            </w:r>
            <w:r w:rsidR="006C7678">
              <w:rPr>
                <w:noProof/>
                <w:webHidden/>
              </w:rPr>
            </w:r>
            <w:r w:rsidR="006C7678">
              <w:rPr>
                <w:noProof/>
                <w:webHidden/>
              </w:rPr>
              <w:fldChar w:fldCharType="separate"/>
            </w:r>
            <w:r w:rsidR="001A20D2">
              <w:rPr>
                <w:noProof/>
                <w:webHidden/>
              </w:rPr>
              <w:t>5</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3965" w:history="1">
            <w:r w:rsidR="006C7678" w:rsidRPr="00E9653C">
              <w:rPr>
                <w:rStyle w:val="Hyperlink"/>
                <w:noProof/>
              </w:rPr>
              <w:t>About the framework and approach</w:t>
            </w:r>
            <w:r w:rsidR="006C7678">
              <w:rPr>
                <w:noProof/>
                <w:webHidden/>
              </w:rPr>
              <w:tab/>
            </w:r>
            <w:r w:rsidR="006C7678">
              <w:rPr>
                <w:noProof/>
                <w:webHidden/>
              </w:rPr>
              <w:fldChar w:fldCharType="begin"/>
            </w:r>
            <w:r w:rsidR="006C7678">
              <w:rPr>
                <w:noProof/>
                <w:webHidden/>
              </w:rPr>
              <w:instrText xml:space="preserve"> PAGEREF _Toc373773965 \h </w:instrText>
            </w:r>
            <w:r w:rsidR="006C7678">
              <w:rPr>
                <w:noProof/>
                <w:webHidden/>
              </w:rPr>
            </w:r>
            <w:r w:rsidR="006C7678">
              <w:rPr>
                <w:noProof/>
                <w:webHidden/>
              </w:rPr>
              <w:fldChar w:fldCharType="separate"/>
            </w:r>
            <w:r w:rsidR="001A20D2">
              <w:rPr>
                <w:noProof/>
                <w:webHidden/>
              </w:rPr>
              <w:t>7</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3966" w:history="1">
            <w:r w:rsidR="006C7678" w:rsidRPr="00E9653C">
              <w:rPr>
                <w:rStyle w:val="Hyperlink"/>
                <w:noProof/>
              </w:rPr>
              <w:t>Part A: Overview</w:t>
            </w:r>
            <w:r w:rsidR="006C7678">
              <w:rPr>
                <w:noProof/>
                <w:webHidden/>
              </w:rPr>
              <w:tab/>
            </w:r>
            <w:r w:rsidR="006C7678">
              <w:rPr>
                <w:noProof/>
                <w:webHidden/>
              </w:rPr>
              <w:fldChar w:fldCharType="begin"/>
            </w:r>
            <w:r w:rsidR="006C7678">
              <w:rPr>
                <w:noProof/>
                <w:webHidden/>
              </w:rPr>
              <w:instrText xml:space="preserve"> PAGEREF _Toc373773966 \h </w:instrText>
            </w:r>
            <w:r w:rsidR="006C7678">
              <w:rPr>
                <w:noProof/>
                <w:webHidden/>
              </w:rPr>
            </w:r>
            <w:r w:rsidR="006C7678">
              <w:rPr>
                <w:noProof/>
                <w:webHidden/>
              </w:rPr>
              <w:fldChar w:fldCharType="separate"/>
            </w:r>
            <w:r w:rsidR="001A20D2">
              <w:rPr>
                <w:noProof/>
                <w:webHidden/>
              </w:rPr>
              <w:t>9</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3967" w:history="1">
            <w:r w:rsidR="006C7678" w:rsidRPr="00E9653C">
              <w:rPr>
                <w:rStyle w:val="Hyperlink"/>
                <w:noProof/>
              </w:rPr>
              <w:t>Part B: Attachments</w:t>
            </w:r>
            <w:r w:rsidR="006C7678">
              <w:rPr>
                <w:noProof/>
                <w:webHidden/>
              </w:rPr>
              <w:tab/>
            </w:r>
            <w:r w:rsidR="006C7678">
              <w:rPr>
                <w:noProof/>
                <w:webHidden/>
              </w:rPr>
              <w:fldChar w:fldCharType="begin"/>
            </w:r>
            <w:r w:rsidR="006C7678">
              <w:rPr>
                <w:noProof/>
                <w:webHidden/>
              </w:rPr>
              <w:instrText xml:space="preserve"> PAGEREF _Toc373773967 \h </w:instrText>
            </w:r>
            <w:r w:rsidR="006C7678">
              <w:rPr>
                <w:noProof/>
                <w:webHidden/>
              </w:rPr>
            </w:r>
            <w:r w:rsidR="006C7678">
              <w:rPr>
                <w:noProof/>
                <w:webHidden/>
              </w:rPr>
              <w:fldChar w:fldCharType="separate"/>
            </w:r>
            <w:r w:rsidR="001A20D2">
              <w:rPr>
                <w:noProof/>
                <w:webHidden/>
              </w:rPr>
              <w:t>15</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3968" w:history="1">
            <w:r w:rsidR="006C7678" w:rsidRPr="00E9653C">
              <w:rPr>
                <w:rStyle w:val="Hyperlink"/>
                <w:noProof/>
              </w:rPr>
              <w:t>1</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Classification of distribution services</w:t>
            </w:r>
            <w:r w:rsidR="006C7678">
              <w:rPr>
                <w:noProof/>
                <w:webHidden/>
              </w:rPr>
              <w:tab/>
            </w:r>
            <w:r w:rsidR="006C7678">
              <w:rPr>
                <w:noProof/>
                <w:webHidden/>
              </w:rPr>
              <w:fldChar w:fldCharType="begin"/>
            </w:r>
            <w:r w:rsidR="006C7678">
              <w:rPr>
                <w:noProof/>
                <w:webHidden/>
              </w:rPr>
              <w:instrText xml:space="preserve"> PAGEREF _Toc373773968 \h </w:instrText>
            </w:r>
            <w:r w:rsidR="006C7678">
              <w:rPr>
                <w:noProof/>
                <w:webHidden/>
              </w:rPr>
            </w:r>
            <w:r w:rsidR="006C7678">
              <w:rPr>
                <w:noProof/>
                <w:webHidden/>
              </w:rPr>
              <w:fldChar w:fldCharType="separate"/>
            </w:r>
            <w:r w:rsidR="001A20D2">
              <w:rPr>
                <w:noProof/>
                <w:webHidden/>
              </w:rPr>
              <w:t>16</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3978" w:history="1">
            <w:r w:rsidR="006C7678" w:rsidRPr="00E9653C">
              <w:rPr>
                <w:rStyle w:val="Hyperlink"/>
                <w:noProof/>
              </w:rPr>
              <w:t>2</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Control mechanisms</w:t>
            </w:r>
            <w:r w:rsidR="006C7678">
              <w:rPr>
                <w:noProof/>
                <w:webHidden/>
              </w:rPr>
              <w:tab/>
            </w:r>
            <w:r w:rsidR="006C7678">
              <w:rPr>
                <w:noProof/>
                <w:webHidden/>
              </w:rPr>
              <w:fldChar w:fldCharType="begin"/>
            </w:r>
            <w:r w:rsidR="006C7678">
              <w:rPr>
                <w:noProof/>
                <w:webHidden/>
              </w:rPr>
              <w:instrText xml:space="preserve"> PAGEREF _Toc373773978 \h </w:instrText>
            </w:r>
            <w:r w:rsidR="006C7678">
              <w:rPr>
                <w:noProof/>
                <w:webHidden/>
              </w:rPr>
            </w:r>
            <w:r w:rsidR="006C7678">
              <w:rPr>
                <w:noProof/>
                <w:webHidden/>
              </w:rPr>
              <w:fldChar w:fldCharType="separate"/>
            </w:r>
            <w:r w:rsidR="001A20D2">
              <w:rPr>
                <w:noProof/>
                <w:webHidden/>
              </w:rPr>
              <w:t>37</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3988" w:history="1">
            <w:r w:rsidR="006C7678" w:rsidRPr="00E9653C">
              <w:rPr>
                <w:rStyle w:val="Hyperlink"/>
                <w:noProof/>
              </w:rPr>
              <w:t>3</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Incentive schemes</w:t>
            </w:r>
            <w:r w:rsidR="006C7678">
              <w:rPr>
                <w:noProof/>
                <w:webHidden/>
              </w:rPr>
              <w:tab/>
            </w:r>
            <w:r w:rsidR="006C7678">
              <w:rPr>
                <w:noProof/>
                <w:webHidden/>
              </w:rPr>
              <w:fldChar w:fldCharType="begin"/>
            </w:r>
            <w:r w:rsidR="006C7678">
              <w:rPr>
                <w:noProof/>
                <w:webHidden/>
              </w:rPr>
              <w:instrText xml:space="preserve"> PAGEREF _Toc373773988 \h </w:instrText>
            </w:r>
            <w:r w:rsidR="006C7678">
              <w:rPr>
                <w:noProof/>
                <w:webHidden/>
              </w:rPr>
            </w:r>
            <w:r w:rsidR="006C7678">
              <w:rPr>
                <w:noProof/>
                <w:webHidden/>
              </w:rPr>
              <w:fldChar w:fldCharType="separate"/>
            </w:r>
            <w:r w:rsidR="001A20D2">
              <w:rPr>
                <w:noProof/>
                <w:webHidden/>
              </w:rPr>
              <w:t>49</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4002" w:history="1">
            <w:r w:rsidR="006C7678" w:rsidRPr="00E9653C">
              <w:rPr>
                <w:rStyle w:val="Hyperlink"/>
                <w:noProof/>
              </w:rPr>
              <w:t>4</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Expenditure forecasting methodology</w:t>
            </w:r>
            <w:r w:rsidR="006C7678">
              <w:rPr>
                <w:noProof/>
                <w:webHidden/>
              </w:rPr>
              <w:tab/>
            </w:r>
            <w:r w:rsidR="006C7678">
              <w:rPr>
                <w:noProof/>
                <w:webHidden/>
              </w:rPr>
              <w:fldChar w:fldCharType="begin"/>
            </w:r>
            <w:r w:rsidR="006C7678">
              <w:rPr>
                <w:noProof/>
                <w:webHidden/>
              </w:rPr>
              <w:instrText xml:space="preserve"> PAGEREF _Toc373774002 \h </w:instrText>
            </w:r>
            <w:r w:rsidR="006C7678">
              <w:rPr>
                <w:noProof/>
                <w:webHidden/>
              </w:rPr>
            </w:r>
            <w:r w:rsidR="006C7678">
              <w:rPr>
                <w:noProof/>
                <w:webHidden/>
              </w:rPr>
              <w:fldChar w:fldCharType="separate"/>
            </w:r>
            <w:r w:rsidR="001A20D2">
              <w:rPr>
                <w:noProof/>
                <w:webHidden/>
              </w:rPr>
              <w:t>64</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4003" w:history="1">
            <w:r w:rsidR="006C7678" w:rsidRPr="00E9653C">
              <w:rPr>
                <w:rStyle w:val="Hyperlink"/>
                <w:noProof/>
              </w:rPr>
              <w:t>5</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Depreciation</w:t>
            </w:r>
            <w:r w:rsidR="006C7678">
              <w:rPr>
                <w:noProof/>
                <w:webHidden/>
              </w:rPr>
              <w:tab/>
            </w:r>
            <w:r w:rsidR="006C7678">
              <w:rPr>
                <w:noProof/>
                <w:webHidden/>
              </w:rPr>
              <w:fldChar w:fldCharType="begin"/>
            </w:r>
            <w:r w:rsidR="006C7678">
              <w:rPr>
                <w:noProof/>
                <w:webHidden/>
              </w:rPr>
              <w:instrText xml:space="preserve"> PAGEREF _Toc373774003 \h </w:instrText>
            </w:r>
            <w:r w:rsidR="006C7678">
              <w:rPr>
                <w:noProof/>
                <w:webHidden/>
              </w:rPr>
            </w:r>
            <w:r w:rsidR="006C7678">
              <w:rPr>
                <w:noProof/>
                <w:webHidden/>
              </w:rPr>
              <w:fldChar w:fldCharType="separate"/>
            </w:r>
            <w:r w:rsidR="001A20D2">
              <w:rPr>
                <w:noProof/>
                <w:webHidden/>
              </w:rPr>
              <w:t>65</w:t>
            </w:r>
            <w:r w:rsidR="006C7678">
              <w:rPr>
                <w:noProof/>
                <w:webHidden/>
              </w:rPr>
              <w:fldChar w:fldCharType="end"/>
            </w:r>
          </w:hyperlink>
        </w:p>
        <w:p w:rsidR="006C7678" w:rsidRDefault="00FC7F4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774007" w:history="1">
            <w:r w:rsidR="006C7678" w:rsidRPr="00E9653C">
              <w:rPr>
                <w:rStyle w:val="Hyperlink"/>
                <w:noProof/>
              </w:rPr>
              <w:t>6</w:t>
            </w:r>
            <w:r w:rsidR="006C7678">
              <w:rPr>
                <w:rFonts w:asciiTheme="minorHAnsi" w:eastAsiaTheme="minorEastAsia" w:hAnsiTheme="minorHAnsi" w:cstheme="minorBidi"/>
                <w:b w:val="0"/>
                <w:bCs w:val="0"/>
                <w:noProof/>
                <w:sz w:val="22"/>
                <w:szCs w:val="22"/>
                <w:lang w:eastAsia="en-AU"/>
              </w:rPr>
              <w:tab/>
            </w:r>
            <w:r w:rsidR="006C7678" w:rsidRPr="00E9653C">
              <w:rPr>
                <w:rStyle w:val="Hyperlink"/>
                <w:noProof/>
              </w:rPr>
              <w:t>Other matters</w:t>
            </w:r>
            <w:r w:rsidR="006C7678">
              <w:rPr>
                <w:noProof/>
                <w:webHidden/>
              </w:rPr>
              <w:tab/>
            </w:r>
            <w:r w:rsidR="006C7678">
              <w:rPr>
                <w:noProof/>
                <w:webHidden/>
              </w:rPr>
              <w:fldChar w:fldCharType="begin"/>
            </w:r>
            <w:r w:rsidR="006C7678">
              <w:rPr>
                <w:noProof/>
                <w:webHidden/>
              </w:rPr>
              <w:instrText xml:space="preserve"> PAGEREF _Toc373774007 \h </w:instrText>
            </w:r>
            <w:r w:rsidR="006C7678">
              <w:rPr>
                <w:noProof/>
                <w:webHidden/>
              </w:rPr>
            </w:r>
            <w:r w:rsidR="006C7678">
              <w:rPr>
                <w:noProof/>
                <w:webHidden/>
              </w:rPr>
              <w:fldChar w:fldCharType="separate"/>
            </w:r>
            <w:r w:rsidR="001A20D2">
              <w:rPr>
                <w:noProof/>
                <w:webHidden/>
              </w:rPr>
              <w:t>67</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4013" w:history="1">
            <w:r w:rsidR="006C7678" w:rsidRPr="00E9653C">
              <w:rPr>
                <w:rStyle w:val="Hyperlink"/>
                <w:noProof/>
              </w:rPr>
              <w:t>Appendix A: Rule requirements for classification</w:t>
            </w:r>
            <w:r w:rsidR="006C7678">
              <w:rPr>
                <w:noProof/>
                <w:webHidden/>
              </w:rPr>
              <w:tab/>
            </w:r>
            <w:r w:rsidR="006C7678">
              <w:rPr>
                <w:noProof/>
                <w:webHidden/>
              </w:rPr>
              <w:fldChar w:fldCharType="begin"/>
            </w:r>
            <w:r w:rsidR="006C7678">
              <w:rPr>
                <w:noProof/>
                <w:webHidden/>
              </w:rPr>
              <w:instrText xml:space="preserve"> PAGEREF _Toc373774013 \h </w:instrText>
            </w:r>
            <w:r w:rsidR="006C7678">
              <w:rPr>
                <w:noProof/>
                <w:webHidden/>
              </w:rPr>
            </w:r>
            <w:r w:rsidR="006C7678">
              <w:rPr>
                <w:noProof/>
                <w:webHidden/>
              </w:rPr>
              <w:fldChar w:fldCharType="separate"/>
            </w:r>
            <w:r w:rsidR="001A20D2">
              <w:rPr>
                <w:noProof/>
                <w:webHidden/>
              </w:rPr>
              <w:t>70</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4014" w:history="1">
            <w:r w:rsidR="006C7678" w:rsidRPr="00E9653C">
              <w:rPr>
                <w:rStyle w:val="Hyperlink"/>
                <w:noProof/>
              </w:rPr>
              <w:t>Appendix B: Classification of distribution services in 2015</w:t>
            </w:r>
            <w:r w:rsidR="006C7678" w:rsidRPr="00E9653C">
              <w:rPr>
                <w:rStyle w:val="Hyperlink"/>
                <w:rFonts w:cs="Gautami"/>
                <w:noProof/>
              </w:rPr>
              <w:t>–</w:t>
            </w:r>
            <w:r w:rsidR="006C7678" w:rsidRPr="00E9653C">
              <w:rPr>
                <w:rStyle w:val="Hyperlink"/>
                <w:noProof/>
              </w:rPr>
              <w:t>20 regulatory control period</w:t>
            </w:r>
            <w:r w:rsidR="006C7678">
              <w:rPr>
                <w:noProof/>
                <w:webHidden/>
              </w:rPr>
              <w:tab/>
            </w:r>
            <w:r w:rsidR="006C7678">
              <w:rPr>
                <w:noProof/>
                <w:webHidden/>
              </w:rPr>
              <w:fldChar w:fldCharType="begin"/>
            </w:r>
            <w:r w:rsidR="006C7678">
              <w:rPr>
                <w:noProof/>
                <w:webHidden/>
              </w:rPr>
              <w:instrText xml:space="preserve"> PAGEREF _Toc373774014 \h </w:instrText>
            </w:r>
            <w:r w:rsidR="006C7678">
              <w:rPr>
                <w:noProof/>
                <w:webHidden/>
              </w:rPr>
            </w:r>
            <w:r w:rsidR="006C7678">
              <w:rPr>
                <w:noProof/>
                <w:webHidden/>
              </w:rPr>
              <w:fldChar w:fldCharType="separate"/>
            </w:r>
            <w:r w:rsidR="001A20D2">
              <w:rPr>
                <w:noProof/>
                <w:webHidden/>
              </w:rPr>
              <w:t>72</w:t>
            </w:r>
            <w:r w:rsidR="006C7678">
              <w:rPr>
                <w:noProof/>
                <w:webHidden/>
              </w:rPr>
              <w:fldChar w:fldCharType="end"/>
            </w:r>
          </w:hyperlink>
        </w:p>
        <w:p w:rsidR="006C7678" w:rsidRDefault="00FC7F42">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774015" w:history="1">
            <w:r w:rsidR="006C7678" w:rsidRPr="00E9653C">
              <w:rPr>
                <w:rStyle w:val="Hyperlink"/>
                <w:noProof/>
              </w:rPr>
              <w:t>Appendix C: Efficient pricing</w:t>
            </w:r>
            <w:r w:rsidR="006C7678">
              <w:rPr>
                <w:noProof/>
                <w:webHidden/>
              </w:rPr>
              <w:tab/>
            </w:r>
            <w:r w:rsidR="006C7678">
              <w:rPr>
                <w:noProof/>
                <w:webHidden/>
              </w:rPr>
              <w:fldChar w:fldCharType="begin"/>
            </w:r>
            <w:r w:rsidR="006C7678">
              <w:rPr>
                <w:noProof/>
                <w:webHidden/>
              </w:rPr>
              <w:instrText xml:space="preserve"> PAGEREF _Toc373774015 \h </w:instrText>
            </w:r>
            <w:r w:rsidR="006C7678">
              <w:rPr>
                <w:noProof/>
                <w:webHidden/>
              </w:rPr>
            </w:r>
            <w:r w:rsidR="006C7678">
              <w:rPr>
                <w:noProof/>
                <w:webHidden/>
              </w:rPr>
              <w:fldChar w:fldCharType="separate"/>
            </w:r>
            <w:r w:rsidR="001A20D2">
              <w:rPr>
                <w:noProof/>
                <w:webHidden/>
              </w:rPr>
              <w:t>78</w:t>
            </w:r>
            <w:r w:rsidR="006C7678">
              <w:rPr>
                <w:noProof/>
                <w:webHidden/>
              </w:rPr>
              <w:fldChar w:fldCharType="end"/>
            </w:r>
          </w:hyperlink>
        </w:p>
        <w:p w:rsidR="00ED4DF1" w:rsidRPr="00ED4DF1" w:rsidRDefault="00ED4DF1">
          <w:r w:rsidRPr="00ED4DF1">
            <w:fldChar w:fldCharType="end"/>
          </w:r>
        </w:p>
      </w:sdtContent>
    </w:sdt>
    <w:p w:rsidR="00045B61" w:rsidRDefault="00045B61">
      <w:pPr>
        <w:spacing w:after="0" w:line="240" w:lineRule="auto"/>
        <w:jc w:val="left"/>
        <w:rPr>
          <w:rFonts w:eastAsia="Times New Roman"/>
          <w:szCs w:val="24"/>
        </w:rPr>
      </w:pPr>
    </w:p>
    <w:p w:rsidR="00045B61" w:rsidRDefault="00045B61" w:rsidP="00045B61">
      <w:pPr>
        <w:pStyle w:val="UnnumberedHeading"/>
      </w:pPr>
      <w:bookmarkStart w:id="3" w:name="_Toc373773964"/>
      <w:r>
        <w:lastRenderedPageBreak/>
        <w:t>Shortened form</w:t>
      </w:r>
      <w:r w:rsidR="009D08A9">
        <w:t>s</w:t>
      </w:r>
      <w:bookmarkEnd w:id="3"/>
    </w:p>
    <w:tbl>
      <w:tblPr>
        <w:tblStyle w:val="AERtable-numbers"/>
        <w:tblW w:w="0" w:type="auto"/>
        <w:tblLook w:val="04A0" w:firstRow="1" w:lastRow="0" w:firstColumn="1" w:lastColumn="0" w:noHBand="0" w:noVBand="1"/>
      </w:tblPr>
      <w:tblGrid>
        <w:gridCol w:w="2802"/>
        <w:gridCol w:w="5726"/>
      </w:tblGrid>
      <w:tr w:rsidR="00DD3C20" w:rsidRPr="001D1BDB" w:rsidTr="00DD3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DD3C20">
            <w:r w:rsidRPr="00DD3C20">
              <w:t>Shortened Form</w:t>
            </w:r>
          </w:p>
        </w:tc>
        <w:tc>
          <w:tcPr>
            <w:tcW w:w="5726" w:type="dxa"/>
            <w:noWrap/>
          </w:tcPr>
          <w:p w:rsidR="00DD3C20" w:rsidRPr="00DD3C20" w:rsidRDefault="00DD3C20" w:rsidP="00DD3C20">
            <w:pPr>
              <w:cnfStyle w:val="100000000000" w:firstRow="1" w:lastRow="0" w:firstColumn="0" w:lastColumn="0" w:oddVBand="0" w:evenVBand="0" w:oddHBand="0" w:evenHBand="0" w:firstRowFirstColumn="0" w:firstRowLastColumn="0" w:lastRowFirstColumn="0" w:lastRowLastColumn="0"/>
            </w:pPr>
            <w:r w:rsidRPr="00DD3C20">
              <w:t>Extended Form</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AEMC</w:t>
            </w:r>
          </w:p>
        </w:tc>
        <w:tc>
          <w:tcPr>
            <w:tcW w:w="5726" w:type="dxa"/>
            <w:noWrap/>
          </w:tcPr>
          <w:p w:rsidR="00DD3C20" w:rsidRPr="009D08A9" w:rsidRDefault="00DD3C20" w:rsidP="009D08A9">
            <w:pPr>
              <w:pStyle w:val="AERtabletextleft"/>
              <w:jc w:val="left"/>
              <w:cnfStyle w:val="000000000000" w:firstRow="0" w:lastRow="0" w:firstColumn="0" w:lastColumn="0" w:oddVBand="0" w:evenVBand="0" w:oddHBand="0" w:evenHBand="0" w:firstRowFirstColumn="0" w:firstRowLastColumn="0" w:lastRowFirstColumn="0" w:lastRowLastColumn="0"/>
            </w:pPr>
            <w:r w:rsidRPr="009D08A9">
              <w:t>Australian Energy Market Commission</w:t>
            </w:r>
          </w:p>
        </w:tc>
      </w:tr>
      <w:tr w:rsidR="00385B2E"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385B2E" w:rsidRPr="00DD3C20" w:rsidRDefault="00385B2E" w:rsidP="009D08A9">
            <w:pPr>
              <w:pStyle w:val="AERtabletextleft"/>
            </w:pPr>
            <w:r>
              <w:t>AEMO</w:t>
            </w:r>
          </w:p>
        </w:tc>
        <w:tc>
          <w:tcPr>
            <w:tcW w:w="5726" w:type="dxa"/>
            <w:noWrap/>
          </w:tcPr>
          <w:p w:rsidR="00385B2E" w:rsidRPr="009D08A9" w:rsidRDefault="00385B2E" w:rsidP="00385B2E">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AER</w:t>
            </w:r>
          </w:p>
        </w:tc>
        <w:tc>
          <w:tcPr>
            <w:tcW w:w="5726" w:type="dxa"/>
            <w:noWrap/>
          </w:tcPr>
          <w:p w:rsidR="00DD3C20" w:rsidRPr="00DD3C20" w:rsidRDefault="00DD3C20" w:rsidP="009D08A9">
            <w:pPr>
              <w:pStyle w:val="AERtabletextleft"/>
              <w:jc w:val="left"/>
              <w:cnfStyle w:val="000000000000" w:firstRow="0" w:lastRow="0" w:firstColumn="0" w:lastColumn="0" w:oddVBand="0" w:evenVBand="0" w:oddHBand="0" w:evenHBand="0" w:firstRowFirstColumn="0" w:firstRowLastColumn="0" w:lastRowFirstColumn="0" w:lastRowLastColumn="0"/>
            </w:pPr>
            <w:r w:rsidRPr="00DD3C20">
              <w:t>Australian Energy Regulator</w:t>
            </w:r>
          </w:p>
        </w:tc>
      </w:tr>
      <w:tr w:rsidR="00234B96"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34B96" w:rsidRPr="00DD3C20" w:rsidRDefault="00234B96" w:rsidP="009D08A9">
            <w:pPr>
              <w:pStyle w:val="AERtabletextleft"/>
            </w:pPr>
            <w:r>
              <w:t>capex</w:t>
            </w:r>
          </w:p>
        </w:tc>
        <w:tc>
          <w:tcPr>
            <w:tcW w:w="5726" w:type="dxa"/>
            <w:noWrap/>
          </w:tcPr>
          <w:p w:rsidR="00234B96" w:rsidRPr="00DD3C20" w:rsidRDefault="00234B96" w:rsidP="00234B96">
            <w:pPr>
              <w:pStyle w:val="AERtabletextleft"/>
              <w:jc w:val="left"/>
              <w:cnfStyle w:val="000000010000" w:firstRow="0" w:lastRow="0" w:firstColumn="0" w:lastColumn="0" w:oddVBand="0" w:evenVBand="0" w:oddHBand="0" w:evenHBand="1" w:firstRowFirstColumn="0" w:firstRowLastColumn="0" w:lastRowFirstColumn="0" w:lastRowLastColumn="0"/>
            </w:pPr>
            <w:r>
              <w:t>capital expenditure</w:t>
            </w:r>
          </w:p>
        </w:tc>
      </w:tr>
      <w:tr w:rsidR="00326283"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326283" w:rsidRPr="00DD3C20" w:rsidRDefault="00326283" w:rsidP="009D08A9">
            <w:pPr>
              <w:pStyle w:val="AERtabletextleft"/>
            </w:pPr>
            <w:r>
              <w:t>CESS</w:t>
            </w:r>
          </w:p>
        </w:tc>
        <w:tc>
          <w:tcPr>
            <w:tcW w:w="5726" w:type="dxa"/>
            <w:noWrap/>
          </w:tcPr>
          <w:p w:rsidR="00326283" w:rsidRPr="00DD3C20" w:rsidRDefault="00C75580" w:rsidP="00C75580">
            <w:pPr>
              <w:pStyle w:val="AERtabletextleft"/>
              <w:jc w:val="left"/>
              <w:cnfStyle w:val="000000000000" w:firstRow="0" w:lastRow="0" w:firstColumn="0" w:lastColumn="0" w:oddVBand="0" w:evenVBand="0" w:oddHBand="0" w:evenHBand="0" w:firstRowFirstColumn="0" w:firstRowLastColumn="0" w:lastRowFirstColumn="0" w:lastRowLastColumn="0"/>
            </w:pPr>
            <w:r>
              <w:t>c</w:t>
            </w:r>
            <w:r w:rsidR="00326283">
              <w:t xml:space="preserve">apital </w:t>
            </w:r>
            <w:r>
              <w:t>e</w:t>
            </w:r>
            <w:r w:rsidR="00326283">
              <w:t xml:space="preserve">xpenditure </w:t>
            </w:r>
            <w:r>
              <w:t>s</w:t>
            </w:r>
            <w:r w:rsidR="00326283">
              <w:t xml:space="preserve">haring </w:t>
            </w:r>
            <w:r>
              <w:t>s</w:t>
            </w:r>
            <w:r w:rsidR="00326283">
              <w:t>cheme</w:t>
            </w:r>
          </w:p>
        </w:tc>
      </w:tr>
      <w:tr w:rsidR="00DD3C20" w:rsidRPr="00912C06"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984CCC" w:rsidP="009D08A9">
            <w:pPr>
              <w:pStyle w:val="AERtabletextleft"/>
              <w:rPr>
                <w:rStyle w:val="AERbody"/>
                <w:highlight w:val="yellow"/>
              </w:rPr>
            </w:pPr>
            <w:r w:rsidRPr="00DD3C20">
              <w:t>CPI</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consumer price index</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rPr>
                <w:highlight w:val="yellow"/>
              </w:rPr>
            </w:pPr>
            <w:r w:rsidRPr="00DD3C20">
              <w:t>CPI-X</w:t>
            </w:r>
          </w:p>
        </w:tc>
        <w:tc>
          <w:tcPr>
            <w:tcW w:w="5726" w:type="dxa"/>
            <w:noWrap/>
          </w:tcPr>
          <w:p w:rsidR="00DD3C20" w:rsidRPr="00DD3C20" w:rsidRDefault="00DD3C20" w:rsidP="009D08A9">
            <w:pPr>
              <w:pStyle w:val="AERtabletextleft"/>
              <w:jc w:val="left"/>
              <w:cnfStyle w:val="000000000000" w:firstRow="0" w:lastRow="0" w:firstColumn="0" w:lastColumn="0" w:oddVBand="0" w:evenVBand="0" w:oddHBand="0" w:evenHBand="0" w:firstRowFirstColumn="0" w:firstRowLastColumn="0" w:lastRowFirstColumn="0" w:lastRowLastColumn="0"/>
            </w:pPr>
            <w:r w:rsidRPr="00DD3C20">
              <w:t>consumer price index minus X</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current regulatory control period</w:t>
            </w:r>
          </w:p>
        </w:tc>
        <w:tc>
          <w:tcPr>
            <w:tcW w:w="5726" w:type="dxa"/>
            <w:noWrap/>
          </w:tcPr>
          <w:p w:rsidR="00DD3C20" w:rsidRPr="00DD3C20" w:rsidRDefault="009D08A9" w:rsidP="009D08A9">
            <w:pPr>
              <w:pStyle w:val="AERtabletextleft"/>
              <w:jc w:val="left"/>
              <w:cnfStyle w:val="000000010000" w:firstRow="0" w:lastRow="0" w:firstColumn="0" w:lastColumn="0" w:oddVBand="0" w:evenVBand="0" w:oddHBand="0" w:evenHBand="1" w:firstRowFirstColumn="0" w:firstRowLastColumn="0" w:lastRowFirstColumn="0" w:lastRowLastColumn="0"/>
            </w:pPr>
            <w:r>
              <w:t>1 July 2010 to 3</w:t>
            </w:r>
            <w:r w:rsidR="00DD3C20">
              <w:t>0 June 2015</w:t>
            </w:r>
          </w:p>
        </w:tc>
      </w:tr>
      <w:tr w:rsidR="00366027"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366027" w:rsidRDefault="00366027" w:rsidP="009D08A9">
            <w:pPr>
              <w:pStyle w:val="AERtabletextleft"/>
            </w:pPr>
            <w:r>
              <w:t>DMIA</w:t>
            </w:r>
          </w:p>
        </w:tc>
        <w:tc>
          <w:tcPr>
            <w:tcW w:w="5726" w:type="dxa"/>
            <w:noWrap/>
          </w:tcPr>
          <w:p w:rsidR="00366027" w:rsidRDefault="00C75580" w:rsidP="00C75580">
            <w:pPr>
              <w:pStyle w:val="AERtabletextleft"/>
              <w:jc w:val="left"/>
              <w:cnfStyle w:val="000000000000" w:firstRow="0" w:lastRow="0" w:firstColumn="0" w:lastColumn="0" w:oddVBand="0" w:evenVBand="0" w:oddHBand="0" w:evenHBand="0" w:firstRowFirstColumn="0" w:firstRowLastColumn="0" w:lastRowFirstColumn="0" w:lastRowLastColumn="0"/>
            </w:pPr>
            <w:r>
              <w:t>d</w:t>
            </w:r>
            <w:r w:rsidR="00366027">
              <w:t xml:space="preserve">emand </w:t>
            </w:r>
            <w:r>
              <w:t>m</w:t>
            </w:r>
            <w:r w:rsidR="00366027">
              <w:t xml:space="preserve">anagement </w:t>
            </w:r>
            <w:r>
              <w:t>i</w:t>
            </w:r>
            <w:r w:rsidR="00366027">
              <w:t xml:space="preserve">ncentive </w:t>
            </w:r>
            <w:r>
              <w:t>a</w:t>
            </w:r>
            <w:r w:rsidR="00366027">
              <w:t>llowance</w:t>
            </w:r>
          </w:p>
        </w:tc>
      </w:tr>
      <w:tr w:rsidR="00315171"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315171" w:rsidRPr="00DD3C20" w:rsidRDefault="00315171" w:rsidP="009D08A9">
            <w:pPr>
              <w:pStyle w:val="AERtabletextleft"/>
            </w:pPr>
            <w:r>
              <w:t>DMIS</w:t>
            </w:r>
          </w:p>
        </w:tc>
        <w:tc>
          <w:tcPr>
            <w:tcW w:w="5726" w:type="dxa"/>
            <w:noWrap/>
          </w:tcPr>
          <w:p w:rsidR="00315171" w:rsidRDefault="00C75580" w:rsidP="00C75580">
            <w:pPr>
              <w:pStyle w:val="AERtabletextleft"/>
              <w:jc w:val="left"/>
              <w:cnfStyle w:val="000000010000" w:firstRow="0" w:lastRow="0" w:firstColumn="0" w:lastColumn="0" w:oddVBand="0" w:evenVBand="0" w:oddHBand="0" w:evenHBand="1" w:firstRowFirstColumn="0" w:firstRowLastColumn="0" w:lastRowFirstColumn="0" w:lastRowLastColumn="0"/>
            </w:pPr>
            <w:r>
              <w:t>d</w:t>
            </w:r>
            <w:r w:rsidR="00315171">
              <w:t xml:space="preserve">emand </w:t>
            </w:r>
            <w:r>
              <w:t>m</w:t>
            </w:r>
            <w:r w:rsidR="00315171">
              <w:t xml:space="preserve">anagement </w:t>
            </w:r>
            <w:r>
              <w:t>i</w:t>
            </w:r>
            <w:r w:rsidR="00315171">
              <w:t xml:space="preserve">ncentive </w:t>
            </w:r>
            <w:r>
              <w:t>s</w:t>
            </w:r>
            <w:r w:rsidR="00315171">
              <w:t>cheme</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DNSP or distributor</w:t>
            </w:r>
          </w:p>
        </w:tc>
        <w:tc>
          <w:tcPr>
            <w:tcW w:w="5726" w:type="dxa"/>
            <w:noWrap/>
          </w:tcPr>
          <w:p w:rsidR="00DD3C20" w:rsidRPr="00DD3C20" w:rsidRDefault="00DD3C20" w:rsidP="009D08A9">
            <w:pPr>
              <w:pStyle w:val="AERtabletextleft"/>
              <w:jc w:val="left"/>
              <w:cnfStyle w:val="000000000000" w:firstRow="0" w:lastRow="0" w:firstColumn="0" w:lastColumn="0" w:oddVBand="0" w:evenVBand="0" w:oddHBand="0" w:evenHBand="0" w:firstRowFirstColumn="0" w:firstRowLastColumn="0" w:lastRowFirstColumn="0" w:lastRowLastColumn="0"/>
            </w:pPr>
            <w:r w:rsidRPr="00DD3C20">
              <w:t>distribution network service provider</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DUOS</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distribution use of system</w:t>
            </w:r>
          </w:p>
        </w:tc>
      </w:tr>
      <w:tr w:rsidR="00315171"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315171" w:rsidRPr="00DD3C20" w:rsidRDefault="00315171" w:rsidP="009D08A9">
            <w:pPr>
              <w:pStyle w:val="AERtabletextleft"/>
            </w:pPr>
            <w:r>
              <w:t>EBSS</w:t>
            </w:r>
          </w:p>
        </w:tc>
        <w:tc>
          <w:tcPr>
            <w:tcW w:w="5726" w:type="dxa"/>
            <w:noWrap/>
          </w:tcPr>
          <w:p w:rsidR="00315171" w:rsidRPr="00DD3C20" w:rsidRDefault="00C75580" w:rsidP="00C75580">
            <w:pPr>
              <w:pStyle w:val="AERtabletextleft"/>
              <w:jc w:val="left"/>
              <w:cnfStyle w:val="000000000000" w:firstRow="0" w:lastRow="0" w:firstColumn="0" w:lastColumn="0" w:oddVBand="0" w:evenVBand="0" w:oddHBand="0" w:evenHBand="0" w:firstRowFirstColumn="0" w:firstRowLastColumn="0" w:lastRowFirstColumn="0" w:lastRowLastColumn="0"/>
            </w:pPr>
            <w:r>
              <w:t>e</w:t>
            </w:r>
            <w:r w:rsidR="00315171">
              <w:t xml:space="preserve">fficiency </w:t>
            </w:r>
            <w:r>
              <w:t>b</w:t>
            </w:r>
            <w:r w:rsidR="00315171">
              <w:t xml:space="preserve">enefit </w:t>
            </w:r>
            <w:r>
              <w:t>s</w:t>
            </w:r>
            <w:r w:rsidR="00315171">
              <w:t xml:space="preserve">haring </w:t>
            </w:r>
            <w:r>
              <w:t>s</w:t>
            </w:r>
            <w:r w:rsidR="00315171">
              <w:t>cheme</w:t>
            </w:r>
          </w:p>
        </w:tc>
      </w:tr>
      <w:tr w:rsidR="009D08A9"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9D08A9" w:rsidRPr="00DD3C20" w:rsidRDefault="009D08A9" w:rsidP="009D08A9">
            <w:pPr>
              <w:pStyle w:val="AERtabletextleft"/>
            </w:pPr>
            <w:r>
              <w:t>ESC</w:t>
            </w:r>
            <w:r w:rsidR="00DC50F8">
              <w:t>O</w:t>
            </w:r>
            <w:r>
              <w:t>SA</w:t>
            </w:r>
          </w:p>
        </w:tc>
        <w:tc>
          <w:tcPr>
            <w:tcW w:w="5726" w:type="dxa"/>
            <w:noWrap/>
          </w:tcPr>
          <w:p w:rsidR="009D08A9" w:rsidRPr="00DD3C20" w:rsidRDefault="009D08A9" w:rsidP="009D08A9">
            <w:pPr>
              <w:pStyle w:val="AERtabletextleft"/>
              <w:jc w:val="left"/>
              <w:cnfStyle w:val="000000010000" w:firstRow="0" w:lastRow="0" w:firstColumn="0" w:lastColumn="0" w:oddVBand="0" w:evenVBand="0" w:oddHBand="0" w:evenHBand="1" w:firstRowFirstColumn="0" w:firstRowLastColumn="0" w:lastRowFirstColumn="0" w:lastRowLastColumn="0"/>
            </w:pPr>
            <w:r>
              <w:t>Essential Services Commission of South Australia</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F&amp;A</w:t>
            </w:r>
          </w:p>
        </w:tc>
        <w:tc>
          <w:tcPr>
            <w:tcW w:w="5726" w:type="dxa"/>
            <w:noWrap/>
          </w:tcPr>
          <w:p w:rsidR="00DD3C20" w:rsidRPr="00DD3C20" w:rsidRDefault="009D08A9" w:rsidP="009D08A9">
            <w:pPr>
              <w:pStyle w:val="AERtabletextleft"/>
              <w:jc w:val="left"/>
              <w:cnfStyle w:val="000000000000" w:firstRow="0" w:lastRow="0" w:firstColumn="0" w:lastColumn="0" w:oddVBand="0" w:evenVBand="0" w:oddHBand="0" w:evenHBand="0" w:firstRowFirstColumn="0" w:firstRowLastColumn="0" w:lastRowFirstColumn="0" w:lastRowLastColumn="0"/>
            </w:pPr>
            <w:r>
              <w:t>Framework and a</w:t>
            </w:r>
            <w:r w:rsidR="00DD3C20" w:rsidRPr="00DD3C20">
              <w:t>pproach</w:t>
            </w:r>
          </w:p>
        </w:tc>
      </w:tr>
      <w:tr w:rsidR="00315171"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315171" w:rsidRPr="00DD3C20" w:rsidRDefault="00315171" w:rsidP="009D08A9">
            <w:pPr>
              <w:pStyle w:val="AERtabletextleft"/>
            </w:pPr>
            <w:r>
              <w:t>GSL</w:t>
            </w:r>
          </w:p>
        </w:tc>
        <w:tc>
          <w:tcPr>
            <w:tcW w:w="5726" w:type="dxa"/>
            <w:noWrap/>
          </w:tcPr>
          <w:p w:rsidR="00315171" w:rsidRDefault="006C7678" w:rsidP="006C7678">
            <w:pPr>
              <w:pStyle w:val="AERtabletextleft"/>
              <w:jc w:val="left"/>
              <w:cnfStyle w:val="000000010000" w:firstRow="0" w:lastRow="0" w:firstColumn="0" w:lastColumn="0" w:oddVBand="0" w:evenVBand="0" w:oddHBand="0" w:evenHBand="1" w:firstRowFirstColumn="0" w:firstRowLastColumn="0" w:lastRowFirstColumn="0" w:lastRowLastColumn="0"/>
            </w:pPr>
            <w:r>
              <w:t>g</w:t>
            </w:r>
            <w:r w:rsidR="00315171">
              <w:t xml:space="preserve">uaranteed </w:t>
            </w:r>
            <w:r>
              <w:t>s</w:t>
            </w:r>
            <w:r w:rsidR="00315171">
              <w:t xml:space="preserve">ervice </w:t>
            </w:r>
            <w:r>
              <w:t>l</w:t>
            </w:r>
            <w:r w:rsidR="00315171">
              <w:t>evel</w:t>
            </w:r>
          </w:p>
        </w:tc>
      </w:tr>
      <w:tr w:rsidR="00DD3C20" w:rsidRPr="001D1BDB" w:rsidTr="00DD3C20">
        <w:trPr>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kWh</w:t>
            </w:r>
          </w:p>
        </w:tc>
        <w:tc>
          <w:tcPr>
            <w:tcW w:w="5726" w:type="dxa"/>
            <w:noWrap/>
          </w:tcPr>
          <w:p w:rsidR="00DD3C20" w:rsidRPr="00DD3C20" w:rsidRDefault="009D08A9" w:rsidP="009D08A9">
            <w:pPr>
              <w:pStyle w:val="AERtabletextleft"/>
              <w:jc w:val="left"/>
              <w:cnfStyle w:val="000000000000" w:firstRow="0" w:lastRow="0" w:firstColumn="0" w:lastColumn="0" w:oddVBand="0" w:evenVBand="0" w:oddHBand="0" w:evenHBand="0" w:firstRowFirstColumn="0" w:firstRowLastColumn="0" w:lastRowFirstColumn="0" w:lastRowLastColumn="0"/>
            </w:pPr>
            <w:r>
              <w:t>kilowatt hours</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MAR</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maximum allowable revenue</w:t>
            </w:r>
          </w:p>
        </w:tc>
      </w:tr>
      <w:tr w:rsidR="00A36E64"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A36E64" w:rsidRPr="00DD3C20" w:rsidRDefault="00A36E64" w:rsidP="009D08A9">
            <w:pPr>
              <w:pStyle w:val="AERtabletextleft"/>
            </w:pPr>
            <w:r>
              <w:t>MWh</w:t>
            </w:r>
          </w:p>
        </w:tc>
        <w:tc>
          <w:tcPr>
            <w:tcW w:w="5726" w:type="dxa"/>
            <w:noWrap/>
          </w:tcPr>
          <w:p w:rsidR="00A36E64" w:rsidRPr="00DD3C20" w:rsidRDefault="00A36E64" w:rsidP="009F052D">
            <w:pPr>
              <w:pStyle w:val="AERtabletextleft"/>
              <w:jc w:val="left"/>
              <w:cnfStyle w:val="000000000000" w:firstRow="0" w:lastRow="0" w:firstColumn="0" w:lastColumn="0" w:oddVBand="0" w:evenVBand="0" w:oddHBand="0" w:evenHBand="0" w:firstRowFirstColumn="0" w:firstRowLastColumn="0" w:lastRowFirstColumn="0" w:lastRowLastColumn="0"/>
            </w:pPr>
            <w:r>
              <w:t>megawatt hours</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NECF</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National Energy Customer Framework</w:t>
            </w:r>
          </w:p>
        </w:tc>
      </w:tr>
      <w:tr w:rsidR="009D08A9"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9D08A9" w:rsidRPr="00DD3C20" w:rsidRDefault="009D08A9" w:rsidP="009D08A9">
            <w:pPr>
              <w:pStyle w:val="AERtabletextleft"/>
            </w:pPr>
            <w:r>
              <w:t>NEL</w:t>
            </w:r>
            <w:r w:rsidR="007C1907">
              <w:t xml:space="preserve"> or the law</w:t>
            </w:r>
          </w:p>
        </w:tc>
        <w:tc>
          <w:tcPr>
            <w:tcW w:w="5726" w:type="dxa"/>
            <w:noWrap/>
          </w:tcPr>
          <w:p w:rsidR="009D08A9" w:rsidRPr="00DD3C20" w:rsidRDefault="009D08A9" w:rsidP="009D08A9">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34CFD"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34CFD" w:rsidRDefault="00D34CFD" w:rsidP="009D08A9">
            <w:pPr>
              <w:pStyle w:val="AERtabletextleft"/>
            </w:pPr>
            <w:r>
              <w:t>NEO</w:t>
            </w:r>
          </w:p>
        </w:tc>
        <w:tc>
          <w:tcPr>
            <w:tcW w:w="5726" w:type="dxa"/>
            <w:noWrap/>
          </w:tcPr>
          <w:p w:rsidR="00D34CFD" w:rsidRDefault="00D34CFD" w:rsidP="00D34CF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Objective</w:t>
            </w:r>
          </w:p>
        </w:tc>
      </w:tr>
      <w:tr w:rsidR="00DD3C20"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NEM</w:t>
            </w:r>
          </w:p>
        </w:tc>
        <w:tc>
          <w:tcPr>
            <w:tcW w:w="5726" w:type="dxa"/>
            <w:noWrap/>
          </w:tcPr>
          <w:p w:rsidR="00DD3C20" w:rsidRPr="00DD3C20" w:rsidRDefault="00DD3C20" w:rsidP="009D08A9">
            <w:pPr>
              <w:pStyle w:val="AERtabletextleft"/>
              <w:jc w:val="left"/>
              <w:cnfStyle w:val="000000000000" w:firstRow="0" w:lastRow="0" w:firstColumn="0" w:lastColumn="0" w:oddVBand="0" w:evenVBand="0" w:oddHBand="0" w:evenHBand="0" w:firstRowFirstColumn="0" w:firstRowLastColumn="0" w:lastRowFirstColumn="0" w:lastRowLastColumn="0"/>
            </w:pPr>
            <w:r w:rsidRPr="00DD3C20">
              <w:t>National Electricity Market</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7C1907" w:rsidP="009D08A9">
            <w:pPr>
              <w:pStyle w:val="AERtabletextleft"/>
            </w:pPr>
            <w:r>
              <w:t>NER or the r</w:t>
            </w:r>
            <w:r w:rsidR="00DD3C20" w:rsidRPr="00DD3C20">
              <w:t>ules</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National Electricity Rules</w:t>
            </w:r>
          </w:p>
        </w:tc>
      </w:tr>
      <w:tr w:rsidR="00234B96"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234B96" w:rsidRDefault="00234B96" w:rsidP="009D08A9">
            <w:pPr>
              <w:pStyle w:val="AERtabletextleft"/>
            </w:pPr>
            <w:r>
              <w:t>opex</w:t>
            </w:r>
          </w:p>
        </w:tc>
        <w:tc>
          <w:tcPr>
            <w:tcW w:w="5726" w:type="dxa"/>
            <w:noWrap/>
          </w:tcPr>
          <w:p w:rsidR="00234B96" w:rsidRPr="00DD3C20" w:rsidRDefault="00234B96" w:rsidP="00234B96">
            <w:pPr>
              <w:pStyle w:val="AERtabletextleft"/>
              <w:jc w:val="left"/>
              <w:cnfStyle w:val="000000000000" w:firstRow="0" w:lastRow="0" w:firstColumn="0" w:lastColumn="0" w:oddVBand="0" w:evenVBand="0" w:oddHBand="0" w:evenHBand="0" w:firstRowFirstColumn="0" w:firstRowLastColumn="0" w:lastRowFirstColumn="0" w:lastRowLastColumn="0"/>
            </w:pPr>
            <w:r>
              <w:t>operating expenditure</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RAB</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regulatory asset base</w:t>
            </w:r>
          </w:p>
        </w:tc>
      </w:tr>
      <w:tr w:rsidR="00B84EEB"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B84EEB" w:rsidRPr="00DD3C20" w:rsidRDefault="00B84EEB" w:rsidP="009D08A9">
            <w:pPr>
              <w:pStyle w:val="AERtabletextleft"/>
            </w:pPr>
            <w:r>
              <w:t>SA</w:t>
            </w:r>
          </w:p>
        </w:tc>
        <w:tc>
          <w:tcPr>
            <w:tcW w:w="5726" w:type="dxa"/>
            <w:noWrap/>
          </w:tcPr>
          <w:p w:rsidR="00B84EEB" w:rsidRPr="00DD3C20" w:rsidRDefault="00B84EEB" w:rsidP="009D08A9">
            <w:pPr>
              <w:pStyle w:val="AERtabletextleft"/>
              <w:jc w:val="left"/>
              <w:cnfStyle w:val="000000000000" w:firstRow="0" w:lastRow="0" w:firstColumn="0" w:lastColumn="0" w:oddVBand="0" w:evenVBand="0" w:oddHBand="0" w:evenHBand="0" w:firstRowFirstColumn="0" w:firstRowLastColumn="0" w:lastRowFirstColumn="0" w:lastRowLastColumn="0"/>
            </w:pPr>
            <w:r>
              <w:t>South Australia</w:t>
            </w:r>
          </w:p>
        </w:tc>
      </w:tr>
      <w:tr w:rsidR="00504819"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504819" w:rsidRDefault="00504819" w:rsidP="009D08A9">
            <w:pPr>
              <w:pStyle w:val="AERtabletextleft"/>
            </w:pPr>
            <w:r>
              <w:t>SAIDI</w:t>
            </w:r>
          </w:p>
        </w:tc>
        <w:tc>
          <w:tcPr>
            <w:tcW w:w="5726" w:type="dxa"/>
            <w:noWrap/>
          </w:tcPr>
          <w:p w:rsidR="00504819" w:rsidRDefault="00504819" w:rsidP="0050481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504819"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504819" w:rsidRDefault="00504819" w:rsidP="009D08A9">
            <w:pPr>
              <w:pStyle w:val="AERtabletextleft"/>
            </w:pPr>
            <w:r>
              <w:t>SAIFI</w:t>
            </w:r>
          </w:p>
        </w:tc>
        <w:tc>
          <w:tcPr>
            <w:tcW w:w="5726" w:type="dxa"/>
            <w:noWrap/>
          </w:tcPr>
          <w:p w:rsidR="00504819" w:rsidRDefault="00504819" w:rsidP="00504819">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B84EEB"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B84EEB" w:rsidRDefault="00B84EEB" w:rsidP="009D08A9">
            <w:pPr>
              <w:pStyle w:val="AERtabletextleft"/>
            </w:pPr>
            <w:r>
              <w:lastRenderedPageBreak/>
              <w:t>SAPN</w:t>
            </w:r>
          </w:p>
        </w:tc>
        <w:tc>
          <w:tcPr>
            <w:tcW w:w="5726" w:type="dxa"/>
            <w:noWrap/>
          </w:tcPr>
          <w:p w:rsidR="00B84EEB" w:rsidRDefault="00B84EEB" w:rsidP="009D08A9">
            <w:pPr>
              <w:pStyle w:val="AERtabletextleft"/>
              <w:jc w:val="left"/>
              <w:cnfStyle w:val="000000010000" w:firstRow="0" w:lastRow="0" w:firstColumn="0" w:lastColumn="0" w:oddVBand="0" w:evenVBand="0" w:oddHBand="0" w:evenHBand="1" w:firstRowFirstColumn="0" w:firstRowLastColumn="0" w:lastRowFirstColumn="0" w:lastRowLastColumn="0"/>
            </w:pPr>
            <w:r>
              <w:t>SA Power Networks</w:t>
            </w:r>
          </w:p>
        </w:tc>
      </w:tr>
      <w:tr w:rsidR="00114BA3"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114BA3" w:rsidRDefault="00114BA3" w:rsidP="009D08A9">
            <w:pPr>
              <w:pStyle w:val="AERtabletextleft"/>
            </w:pPr>
            <w:r>
              <w:t>SCER</w:t>
            </w:r>
          </w:p>
        </w:tc>
        <w:tc>
          <w:tcPr>
            <w:tcW w:w="5726" w:type="dxa"/>
            <w:noWrap/>
          </w:tcPr>
          <w:p w:rsidR="00114BA3" w:rsidRPr="00114BA3" w:rsidRDefault="00114BA3" w:rsidP="00114BA3">
            <w:pPr>
              <w:pStyle w:val="AERtabletextleft"/>
              <w:jc w:val="left"/>
              <w:cnfStyle w:val="000000000000" w:firstRow="0" w:lastRow="0" w:firstColumn="0" w:lastColumn="0" w:oddVBand="0" w:evenVBand="0" w:oddHBand="0" w:evenHBand="0" w:firstRowFirstColumn="0" w:firstRowLastColumn="0" w:lastRowFirstColumn="0" w:lastRowLastColumn="0"/>
            </w:pPr>
            <w:r>
              <w:t>Standing Council</w:t>
            </w:r>
            <w:r w:rsidRPr="00114BA3">
              <w:t xml:space="preserve"> on Energy </w:t>
            </w:r>
            <w:r>
              <w:t xml:space="preserve">and </w:t>
            </w:r>
            <w:r w:rsidRPr="00114BA3">
              <w:t>Re</w:t>
            </w:r>
            <w:r>
              <w:t>sources</w:t>
            </w:r>
          </w:p>
        </w:tc>
      </w:tr>
      <w:tr w:rsidR="00E00A95"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E00A95" w:rsidRDefault="00E00A95" w:rsidP="009D08A9">
            <w:pPr>
              <w:pStyle w:val="AERtabletextleft"/>
            </w:pPr>
            <w:r>
              <w:t>SCONRRR</w:t>
            </w:r>
          </w:p>
        </w:tc>
        <w:tc>
          <w:tcPr>
            <w:tcW w:w="5726" w:type="dxa"/>
            <w:noWrap/>
          </w:tcPr>
          <w:p w:rsidR="00E00A95" w:rsidRDefault="00E00A95" w:rsidP="00D67E46">
            <w:pPr>
              <w:pStyle w:val="AERtabletextleft"/>
              <w:jc w:val="left"/>
              <w:cnfStyle w:val="000000010000" w:firstRow="0" w:lastRow="0" w:firstColumn="0" w:lastColumn="0" w:oddVBand="0" w:evenVBand="0" w:oddHBand="0" w:evenHBand="1" w:firstRowFirstColumn="0" w:firstRowLastColumn="0" w:lastRowFirstColumn="0" w:lastRowLastColumn="0"/>
            </w:pPr>
            <w:r>
              <w:t>Standing Committee on National Regulatory Reporting Requirements</w:t>
            </w:r>
          </w:p>
        </w:tc>
      </w:tr>
      <w:tr w:rsidR="00315171" w:rsidRPr="001D1BDB" w:rsidTr="00DD3C20">
        <w:tc>
          <w:tcPr>
            <w:cnfStyle w:val="001000000000" w:firstRow="0" w:lastRow="0" w:firstColumn="1" w:lastColumn="0" w:oddVBand="0" w:evenVBand="0" w:oddHBand="0" w:evenHBand="0" w:firstRowFirstColumn="0" w:firstRowLastColumn="0" w:lastRowFirstColumn="0" w:lastRowLastColumn="0"/>
            <w:tcW w:w="2802" w:type="dxa"/>
            <w:noWrap/>
          </w:tcPr>
          <w:p w:rsidR="00315171" w:rsidRDefault="00315171" w:rsidP="009D08A9">
            <w:pPr>
              <w:pStyle w:val="AERtabletextleft"/>
            </w:pPr>
            <w:r>
              <w:t>STPIS</w:t>
            </w:r>
          </w:p>
        </w:tc>
        <w:tc>
          <w:tcPr>
            <w:tcW w:w="5726" w:type="dxa"/>
            <w:noWrap/>
          </w:tcPr>
          <w:p w:rsidR="00315171" w:rsidRDefault="00315171" w:rsidP="00D67E46">
            <w:pPr>
              <w:pStyle w:val="AERtabletextleft"/>
              <w:jc w:val="lef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D3C20" w:rsidRPr="001D1BDB" w:rsidTr="00DD3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D3C20" w:rsidRPr="00DD3C20" w:rsidRDefault="00DD3C20" w:rsidP="009D08A9">
            <w:pPr>
              <w:pStyle w:val="AERtabletextleft"/>
            </w:pPr>
            <w:r w:rsidRPr="00DD3C20">
              <w:t>WAPC</w:t>
            </w:r>
          </w:p>
        </w:tc>
        <w:tc>
          <w:tcPr>
            <w:tcW w:w="5726" w:type="dxa"/>
            <w:noWrap/>
          </w:tcPr>
          <w:p w:rsidR="00DD3C20" w:rsidRPr="00DD3C20" w:rsidRDefault="00DD3C20" w:rsidP="009D08A9">
            <w:pPr>
              <w:pStyle w:val="AERtabletextleft"/>
              <w:jc w:val="left"/>
              <w:cnfStyle w:val="000000010000" w:firstRow="0" w:lastRow="0" w:firstColumn="0" w:lastColumn="0" w:oddVBand="0" w:evenVBand="0" w:oddHBand="0" w:evenHBand="1" w:firstRowFirstColumn="0" w:firstRowLastColumn="0" w:lastRowFirstColumn="0" w:lastRowLastColumn="0"/>
            </w:pPr>
            <w:r w:rsidRPr="00DD3C20">
              <w:t>weighted average price cap</w:t>
            </w:r>
          </w:p>
        </w:tc>
      </w:tr>
    </w:tbl>
    <w:p w:rsidR="00045B61" w:rsidRDefault="009D08A9" w:rsidP="00045B61">
      <w:pPr>
        <w:pStyle w:val="UnnumberedHeading"/>
      </w:pPr>
      <w:bookmarkStart w:id="4" w:name="_Toc373773965"/>
      <w:r>
        <w:lastRenderedPageBreak/>
        <w:t>About the framework and approach</w:t>
      </w:r>
      <w:bookmarkEnd w:id="4"/>
    </w:p>
    <w:p w:rsidR="00DD3C20" w:rsidRDefault="00DD3C20" w:rsidP="00177D67">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1"/>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w:t>
      </w:r>
      <w:r w:rsidR="00F81B1C">
        <w:t xml:space="preserve">the law or </w:t>
      </w:r>
      <w:r w:rsidRPr="00772502">
        <w:t>NEL) and</w:t>
      </w:r>
      <w:r>
        <w:t xml:space="preserve"> N</w:t>
      </w:r>
      <w:r w:rsidR="00121E04">
        <w:t>ational Electricity Rules (the r</w:t>
      </w:r>
      <w:r>
        <w:t xml:space="preserve">ules or NER). </w:t>
      </w:r>
    </w:p>
    <w:p w:rsidR="00DD3C20" w:rsidRDefault="00DC4633" w:rsidP="00177D67">
      <w:pPr>
        <w:pStyle w:val="AERbodytext"/>
      </w:pPr>
      <w:r>
        <w:t xml:space="preserve">The </w:t>
      </w:r>
      <w:r w:rsidR="00DD3C20">
        <w:t>framework and approach (F&amp;A) is the first step in a process to determine efficient prices for electricity</w:t>
      </w:r>
      <w:r w:rsidR="00DD3C20" w:rsidDel="007106BB">
        <w:t xml:space="preserve"> </w:t>
      </w:r>
      <w:r w:rsidR="00DD3C20">
        <w:t>distrib</w:t>
      </w:r>
      <w:r>
        <w:t xml:space="preserve">ution services. The F&amp;A sets out our </w:t>
      </w:r>
      <w:r w:rsidR="00DD3C20">
        <w:t xml:space="preserve">positions on which services we will regulate and the broad nature of any regulatory arrangements. It also </w:t>
      </w:r>
      <w:r w:rsidR="00DD3C20" w:rsidRPr="005F21F3">
        <w:t xml:space="preserve">facilitates </w:t>
      </w:r>
      <w:r w:rsidR="00DD3C20">
        <w:t xml:space="preserve">early </w:t>
      </w:r>
      <w:r w:rsidR="00DD3C20" w:rsidRPr="005F21F3">
        <w:t xml:space="preserve">public consultation and assists </w:t>
      </w:r>
      <w:r w:rsidR="00DD3C20">
        <w:t xml:space="preserve">network service providers </w:t>
      </w:r>
      <w:r w:rsidR="00DD3C20" w:rsidRPr="005F21F3">
        <w:t>prepare regulatory proposals</w:t>
      </w:r>
      <w:r w:rsidR="00DD3C20">
        <w:t xml:space="preserve">. </w:t>
      </w:r>
    </w:p>
    <w:p w:rsidR="00DD3C20" w:rsidRDefault="00B84EEB" w:rsidP="00177D67">
      <w:pPr>
        <w:pStyle w:val="AERbodytext"/>
      </w:pPr>
      <w:r>
        <w:t>SA Power Networks</w:t>
      </w:r>
      <w:r w:rsidR="00E87FD1">
        <w:t xml:space="preserve"> (SAPN)</w:t>
      </w:r>
      <w:r w:rsidR="00DD3C20" w:rsidRPr="00AB3AC8">
        <w:t xml:space="preserve"> </w:t>
      </w:r>
      <w:r>
        <w:t>is the</w:t>
      </w:r>
      <w:r w:rsidR="00DD3C20" w:rsidRPr="00AB3AC8">
        <w:t xml:space="preserve"> </w:t>
      </w:r>
      <w:r>
        <w:rPr>
          <w:rStyle w:val="AERbody"/>
        </w:rPr>
        <w:t>licensed, regulated operator</w:t>
      </w:r>
      <w:r w:rsidR="00DD3C20" w:rsidRPr="00AB3AC8">
        <w:rPr>
          <w:rStyle w:val="AERbody"/>
        </w:rPr>
        <w:t xml:space="preserve"> of </w:t>
      </w:r>
      <w:r>
        <w:rPr>
          <w:rStyle w:val="AERbody"/>
        </w:rPr>
        <w:t xml:space="preserve">South Australia's </w:t>
      </w:r>
      <w:r w:rsidR="00DD3C20">
        <w:rPr>
          <w:rStyle w:val="AERbody"/>
        </w:rPr>
        <w:t xml:space="preserve">monopoly </w:t>
      </w:r>
      <w:r w:rsidR="00DD3C20" w:rsidRPr="00AB3AC8">
        <w:rPr>
          <w:rStyle w:val="AERbody"/>
        </w:rPr>
        <w:t>electricity distribution network</w:t>
      </w:r>
      <w:r w:rsidR="00DD3C20" w:rsidRPr="00AB3AC8">
        <w:t xml:space="preserve">. </w:t>
      </w:r>
      <w:r>
        <w:t>The network</w:t>
      </w:r>
      <w:r w:rsidR="00DD3C20">
        <w:t xml:space="preserve"> comprise</w:t>
      </w:r>
      <w:r>
        <w:t>s</w:t>
      </w:r>
      <w:r w:rsidR="00DD3C20">
        <w:t xml:space="preserve"> the poles, wires and transformers used for transporting electricity across urban and rural population centres to homes and businesses. </w:t>
      </w:r>
      <w:r w:rsidR="00E87FD1">
        <w:t>SA</w:t>
      </w:r>
      <w:r w:rsidR="00121E04">
        <w:t xml:space="preserve"> </w:t>
      </w:r>
      <w:r w:rsidR="00E87FD1">
        <w:t>P</w:t>
      </w:r>
      <w:r w:rsidR="00121E04">
        <w:t xml:space="preserve">ower </w:t>
      </w:r>
      <w:r w:rsidR="00E87FD1">
        <w:t>N</w:t>
      </w:r>
      <w:r w:rsidR="00121E04">
        <w:t>etworks</w:t>
      </w:r>
      <w:r w:rsidR="00E87FD1">
        <w:t xml:space="preserve"> </w:t>
      </w:r>
      <w:r w:rsidR="00DD3C20" w:rsidRPr="00AB3AC8">
        <w:t>design</w:t>
      </w:r>
      <w:r w:rsidR="00E87FD1">
        <w:t>s</w:t>
      </w:r>
      <w:r w:rsidR="00DD3C20" w:rsidRPr="00AB3AC8">
        <w:t>, construct</w:t>
      </w:r>
      <w:r w:rsidR="00E87FD1">
        <w:t>s</w:t>
      </w:r>
      <w:r w:rsidR="00DD3C20" w:rsidRPr="00AB3AC8">
        <w:t>, operate</w:t>
      </w:r>
      <w:r w:rsidR="00E87FD1">
        <w:t>s</w:t>
      </w:r>
      <w:r w:rsidR="00DD3C20" w:rsidRPr="00AB3AC8">
        <w:t xml:space="preserve"> and maintain</w:t>
      </w:r>
      <w:r w:rsidR="00E87FD1">
        <w:t>s its distribution network</w:t>
      </w:r>
      <w:r w:rsidR="00DD3C20" w:rsidRPr="00AB3AC8">
        <w:t xml:space="preserve"> for </w:t>
      </w:r>
      <w:r>
        <w:t>SA</w:t>
      </w:r>
      <w:r w:rsidR="00DD3C20" w:rsidRPr="00AB3AC8">
        <w:t xml:space="preserve"> electricity consumers. </w:t>
      </w:r>
    </w:p>
    <w:p w:rsidR="00DD3C20" w:rsidRDefault="00121E04" w:rsidP="00DD3C20">
      <w:r>
        <w:rPr>
          <w:rStyle w:val="AERbody"/>
        </w:rPr>
        <w:t>We regulate</w:t>
      </w:r>
      <w:r w:rsidR="00DD3C20">
        <w:rPr>
          <w:rStyle w:val="AERbody"/>
        </w:rPr>
        <w:t xml:space="preserve"> a vari</w:t>
      </w:r>
      <w:r w:rsidR="00B84EEB">
        <w:rPr>
          <w:rStyle w:val="AERbody"/>
        </w:rPr>
        <w:t xml:space="preserve">ety of services provided by NEM </w:t>
      </w:r>
      <w:r w:rsidR="00DD3C20">
        <w:rPr>
          <w:rStyle w:val="AERbody"/>
        </w:rPr>
        <w:t>distributors</w:t>
      </w:r>
      <w:r w:rsidR="00DD3C20" w:rsidRPr="00A619E3">
        <w:rPr>
          <w:rStyle w:val="AERbody"/>
        </w:rPr>
        <w:t xml:space="preserve">. </w:t>
      </w:r>
      <w:r w:rsidR="00DD3C20" w:rsidRPr="00772502">
        <w:t xml:space="preserve">Where there is considerable scope to take advantage of market power, </w:t>
      </w:r>
      <w:r w:rsidR="00DD3C20">
        <w:t xml:space="preserve">our </w:t>
      </w:r>
      <w:r w:rsidR="00DD3C20" w:rsidRPr="00772502">
        <w:t xml:space="preserve">regulation </w:t>
      </w:r>
      <w:r w:rsidR="00DD3C20">
        <w:t xml:space="preserve">is more prescriptive. Less prescriptive regulation is required </w:t>
      </w:r>
      <w:r w:rsidR="00DD3C20" w:rsidRPr="00772502">
        <w:t xml:space="preserve">where </w:t>
      </w:r>
      <w:r w:rsidR="00DC4633">
        <w:t xml:space="preserve">the </w:t>
      </w:r>
      <w:r w:rsidR="00DD3C20" w:rsidRPr="00772502">
        <w:t xml:space="preserve">prospect of effective competition </w:t>
      </w:r>
      <w:r w:rsidR="00DD3C20">
        <w:t>exists. In some situations we may remove r</w:t>
      </w:r>
      <w:r w:rsidR="00DD3C20" w:rsidRPr="00772502">
        <w:t xml:space="preserve">egulation </w:t>
      </w:r>
      <w:r w:rsidR="00DD3C20">
        <w:t>altogether</w:t>
      </w:r>
      <w:r w:rsidR="00DD3C20" w:rsidRPr="00772502">
        <w:t>.</w:t>
      </w:r>
    </w:p>
    <w:p w:rsidR="003B1862" w:rsidRDefault="003B1862" w:rsidP="003B1862">
      <w:r w:rsidRPr="003B1862">
        <w:t>In anticipation of every dis</w:t>
      </w:r>
      <w:r w:rsidR="00121E04">
        <w:t>tribution determination, we are</w:t>
      </w:r>
      <w:r w:rsidRPr="003B1862">
        <w:t xml:space="preserve"> </w:t>
      </w:r>
      <w:r>
        <w:t xml:space="preserve">required to prepare and publish </w:t>
      </w:r>
      <w:r w:rsidRPr="003B1862">
        <w:t>a f</w:t>
      </w:r>
      <w:r w:rsidR="00121E04">
        <w:t>ramework and approach</w:t>
      </w:r>
      <w:r w:rsidRPr="003B1862">
        <w:t>.</w:t>
      </w:r>
      <w:r>
        <w:rPr>
          <w:rStyle w:val="FootnoteReference"/>
        </w:rPr>
        <w:footnoteReference w:id="2"/>
      </w:r>
      <w:r w:rsidR="00121E04">
        <w:t xml:space="preserve"> The F&amp;A</w:t>
      </w:r>
      <w:r w:rsidRPr="003B1862">
        <w:t xml:space="preserve"> </w:t>
      </w:r>
      <w:r w:rsidR="00121E04">
        <w:t>assists a distributor</w:t>
      </w:r>
      <w:r>
        <w:t xml:space="preserve"> in preparing its </w:t>
      </w:r>
      <w:r w:rsidR="00121E04">
        <w:t>regulatory proposal to us</w:t>
      </w:r>
      <w:r w:rsidRPr="003B1862">
        <w:t xml:space="preserve"> by</w:t>
      </w:r>
      <w:r w:rsidR="009027AA">
        <w:t xml:space="preserve"> setting out</w:t>
      </w:r>
      <w:r w:rsidRPr="003B1862">
        <w:t>:</w:t>
      </w:r>
    </w:p>
    <w:p w:rsidR="003B1862" w:rsidRPr="003B1862" w:rsidRDefault="009027AA" w:rsidP="003B1862">
      <w:pPr>
        <w:pStyle w:val="AERbulletlistfirststyle"/>
      </w:pPr>
      <w:r>
        <w:t>the proposed approach to distribution service classification</w:t>
      </w:r>
      <w:r w:rsidR="00DC4633">
        <w:t xml:space="preserve"> (which services are to be regulated)</w:t>
      </w:r>
    </w:p>
    <w:p w:rsidR="003B1862" w:rsidRPr="003B1862" w:rsidRDefault="003B1862" w:rsidP="00DC4633">
      <w:pPr>
        <w:pStyle w:val="AERbulletlistfirststyle"/>
      </w:pPr>
      <w:r w:rsidRPr="003B1862">
        <w:t>the form (or forms) of the control mechanisms to</w:t>
      </w:r>
      <w:r w:rsidR="00DC4633">
        <w:t xml:space="preserve"> be applied by the distribution </w:t>
      </w:r>
      <w:r w:rsidRPr="003B1862">
        <w:t xml:space="preserve">determination </w:t>
      </w:r>
      <w:r w:rsidR="009027AA">
        <w:t>(how prices will be determined)</w:t>
      </w:r>
      <w:r w:rsidR="00E45F5A">
        <w:t xml:space="preserve"> and the proposed formulae that give effect to the control mechanisms</w:t>
      </w:r>
    </w:p>
    <w:p w:rsidR="00E45F5A" w:rsidRDefault="00E45F5A" w:rsidP="003B1862">
      <w:pPr>
        <w:pStyle w:val="AERbulletlistfirststyle"/>
      </w:pPr>
      <w:r>
        <w:t xml:space="preserve">the proposed approach to the application of a </w:t>
      </w:r>
      <w:r w:rsidRPr="00475B0A">
        <w:t>range of incentive schemes that encourage things like service quality, improvements in network reliability, and efficient capital and operating expenditure</w:t>
      </w:r>
      <w:r w:rsidR="00C811AC">
        <w:t xml:space="preserve"> (capex and opex)</w:t>
      </w:r>
      <w:r>
        <w:t xml:space="preserve">. </w:t>
      </w:r>
    </w:p>
    <w:p w:rsidR="005E7750" w:rsidRDefault="005E7750" w:rsidP="005E7750">
      <w:pPr>
        <w:pStyle w:val="AERbodytext"/>
      </w:pPr>
      <w:r>
        <w:rPr>
          <w:rStyle w:val="AERbody"/>
        </w:rPr>
        <w:t>We will use the F&amp;A process to commence discussions with SA Power Networks about the treatment of confidential information as set out in our confidentiality guideline.</w:t>
      </w:r>
      <w:r>
        <w:rPr>
          <w:rStyle w:val="FootnoteReference"/>
        </w:rPr>
        <w:footnoteReference w:id="3"/>
      </w:r>
      <w:r>
        <w:rPr>
          <w:rStyle w:val="AERbody"/>
        </w:rPr>
        <w:t xml:space="preserve"> W</w:t>
      </w:r>
      <w:r w:rsidR="00B716DF">
        <w:rPr>
          <w:rStyle w:val="AERbody"/>
        </w:rPr>
        <w:t>e encourage SA Power Networks</w:t>
      </w:r>
      <w:r>
        <w:rPr>
          <w:rStyle w:val="AERbody"/>
        </w:rPr>
        <w:t xml:space="preserve"> to also consult consumers, as part of their consumer engagement, to gain a better understanding of the type of information consumers are interested in accessing.</w:t>
      </w:r>
      <w:r>
        <w:rPr>
          <w:rStyle w:val="FootnoteReference"/>
        </w:rPr>
        <w:footnoteReference w:id="4"/>
      </w:r>
      <w:r>
        <w:rPr>
          <w:rStyle w:val="AERbody"/>
        </w:rPr>
        <w:t xml:space="preserve"> </w:t>
      </w:r>
    </w:p>
    <w:p w:rsidR="00E45F5A" w:rsidRDefault="00E45F5A" w:rsidP="00177D67">
      <w:pPr>
        <w:pStyle w:val="AERbodytext"/>
      </w:pPr>
      <w:r>
        <w:t xml:space="preserve">Part A of this paper sets out an overview of our preliminary positions </w:t>
      </w:r>
      <w:r w:rsidR="00C52E15">
        <w:t>and reasons for each of the above matters. Part B sets out our substantive reasoning on each matter</w:t>
      </w:r>
      <w:r>
        <w:t>.</w:t>
      </w:r>
    </w:p>
    <w:p w:rsidR="00E00A95" w:rsidRPr="00204164" w:rsidRDefault="003B1862" w:rsidP="00204164">
      <w:pPr>
        <w:pStyle w:val="AERbodytext"/>
      </w:pPr>
      <w:r w:rsidRPr="003B1862">
        <w:t>Followin</w:t>
      </w:r>
      <w:r w:rsidR="00121E04">
        <w:t>g release of this paper, we</w:t>
      </w:r>
      <w:r w:rsidRPr="003B1862">
        <w:t xml:space="preserve"> will consult with inter</w:t>
      </w:r>
      <w:r w:rsidR="00B716DF">
        <w:t>ested parties before issuing the</w:t>
      </w:r>
      <w:r w:rsidRPr="003B1862">
        <w:t xml:space="preserve"> final F&amp;A. Table 1 summarises the SA distribution determination process.</w:t>
      </w:r>
    </w:p>
    <w:p w:rsidR="00DD3C20" w:rsidRPr="00F041CF" w:rsidRDefault="00DD3C20" w:rsidP="00F041CF">
      <w:pPr>
        <w:pStyle w:val="Caption"/>
        <w:rPr>
          <w:rStyle w:val="AERbody"/>
        </w:rPr>
      </w:pPr>
      <w:r w:rsidRPr="00F041CF">
        <w:rPr>
          <w:rStyle w:val="AERbody"/>
        </w:rPr>
        <w:lastRenderedPageBreak/>
        <w:t xml:space="preserve">Table 1: </w:t>
      </w:r>
      <w:r w:rsidR="00B84EEB" w:rsidRPr="00F041CF">
        <w:rPr>
          <w:rStyle w:val="AERbody"/>
        </w:rPr>
        <w:t>SA</w:t>
      </w:r>
      <w:r w:rsidRPr="00F041CF">
        <w:rPr>
          <w:rStyle w:val="AERbody"/>
        </w:rPr>
        <w:t xml:space="preserve"> 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DD3C20" w:rsidRPr="003476AD" w:rsidTr="00DA69C8">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DD3C20" w:rsidRDefault="00DD3C20" w:rsidP="00DD3C20">
            <w:pPr>
              <w:rPr>
                <w:rStyle w:val="AERtextbold"/>
              </w:rPr>
            </w:pPr>
            <w:r w:rsidRPr="00DD3C20">
              <w:rPr>
                <w:rStyle w:val="AERtextbold"/>
              </w:rPr>
              <w:t>Step</w:t>
            </w:r>
          </w:p>
        </w:tc>
        <w:tc>
          <w:tcPr>
            <w:tcW w:w="1081" w:type="pct"/>
            <w:noWrap/>
          </w:tcPr>
          <w:p w:rsidR="00DD3C20" w:rsidRPr="00DD3C20" w:rsidRDefault="00DD3C20" w:rsidP="00DD3C20">
            <w:pPr>
              <w:cnfStyle w:val="100000000000" w:firstRow="1" w:lastRow="0" w:firstColumn="0" w:lastColumn="0" w:oddVBand="0" w:evenVBand="0" w:oddHBand="0" w:evenHBand="0" w:firstRowFirstColumn="0" w:firstRowLastColumn="0" w:lastRowFirstColumn="0" w:lastRowLastColumn="0"/>
              <w:rPr>
                <w:rStyle w:val="AERtextbold"/>
              </w:rPr>
            </w:pPr>
            <w:r w:rsidRPr="00DD3C20">
              <w:rPr>
                <w:rStyle w:val="AERtextbold"/>
              </w:rPr>
              <w:t>Date</w:t>
            </w:r>
          </w:p>
        </w:tc>
      </w:tr>
      <w:tr w:rsidR="00DD3C20" w:rsidRPr="003476AD" w:rsidTr="00DA69C8">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DD3C20" w:rsidP="00C75580">
            <w:pPr>
              <w:pStyle w:val="AERtabletextleft"/>
            </w:pPr>
            <w:r w:rsidRPr="009F407C">
              <w:t xml:space="preserve">AER </w:t>
            </w:r>
            <w:r>
              <w:t>published</w:t>
            </w:r>
            <w:r w:rsidRPr="009F407C">
              <w:t xml:space="preserve"> preliminary positions F&amp;A </w:t>
            </w:r>
          </w:p>
        </w:tc>
        <w:tc>
          <w:tcPr>
            <w:tcW w:w="1081" w:type="pct"/>
            <w:noWrap/>
          </w:tcPr>
          <w:p w:rsidR="00DD3C20" w:rsidRPr="00F021D7" w:rsidRDefault="00A26574" w:rsidP="00F021D7">
            <w:pPr>
              <w:pStyle w:val="AERtabletextlef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t>18</w:t>
            </w:r>
            <w:r w:rsidR="00F021D7">
              <w:t xml:space="preserve"> December 2013</w:t>
            </w:r>
          </w:p>
        </w:tc>
      </w:tr>
      <w:tr w:rsidR="00DD3C20" w:rsidRPr="003476AD" w:rsidTr="00DA69C8">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DD3C20" w:rsidP="00C75580">
            <w:pPr>
              <w:pStyle w:val="AERtabletextleft"/>
            </w:pPr>
            <w:r w:rsidRPr="009F407C">
              <w:t xml:space="preserve">AER to publish </w:t>
            </w:r>
            <w:r w:rsidR="00DA69C8">
              <w:t xml:space="preserve">final F&amp;A </w:t>
            </w:r>
          </w:p>
        </w:tc>
        <w:tc>
          <w:tcPr>
            <w:tcW w:w="1081" w:type="pct"/>
            <w:noWrap/>
          </w:tcPr>
          <w:p w:rsidR="00DD3C20" w:rsidRPr="009F407C" w:rsidRDefault="007A2FD1" w:rsidP="00DD3C20">
            <w:pPr>
              <w:pStyle w:val="AERtabletextleft"/>
              <w:cnfStyle w:val="000000010000" w:firstRow="0" w:lastRow="0" w:firstColumn="0" w:lastColumn="0" w:oddVBand="0" w:evenVBand="0" w:oddHBand="0" w:evenHBand="1" w:firstRowFirstColumn="0" w:firstRowLastColumn="0" w:lastRowFirstColumn="0" w:lastRowLastColumn="0"/>
            </w:pPr>
            <w:r>
              <w:t>30 April 2014</w:t>
            </w:r>
          </w:p>
        </w:tc>
      </w:tr>
      <w:tr w:rsidR="00DD3C20" w:rsidRPr="001A3B90" w:rsidTr="00DA69C8">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E87FD1" w:rsidP="00C75580">
            <w:pPr>
              <w:pStyle w:val="AERtabletextleft"/>
            </w:pPr>
            <w:r>
              <w:t>SAPN</w:t>
            </w:r>
            <w:r w:rsidR="00DD3C20">
              <w:t xml:space="preserve"> submit</w:t>
            </w:r>
            <w:r w:rsidR="00B84EEB">
              <w:t>s</w:t>
            </w:r>
            <w:r w:rsidR="00DD3C20">
              <w:t xml:space="preserve"> </w:t>
            </w:r>
            <w:r w:rsidR="00C75580">
              <w:t>r</w:t>
            </w:r>
            <w:r w:rsidR="00DD3C20">
              <w:t xml:space="preserve">egulatory </w:t>
            </w:r>
            <w:r w:rsidR="00C75580">
              <w:t>p</w:t>
            </w:r>
            <w:r w:rsidR="00DD3C20">
              <w:t>roposal to AER</w:t>
            </w:r>
          </w:p>
        </w:tc>
        <w:tc>
          <w:tcPr>
            <w:tcW w:w="1081" w:type="pct"/>
            <w:noWrap/>
          </w:tcPr>
          <w:p w:rsidR="00DD3C20" w:rsidRPr="009F407C" w:rsidRDefault="007A2FD1" w:rsidP="00DD3C20">
            <w:pPr>
              <w:pStyle w:val="AERtabletextleft"/>
              <w:cnfStyle w:val="000000000000" w:firstRow="0" w:lastRow="0" w:firstColumn="0" w:lastColumn="0" w:oddVBand="0" w:evenVBand="0" w:oddHBand="0" w:evenHBand="0" w:firstRowFirstColumn="0" w:firstRowLastColumn="0" w:lastRowFirstColumn="0" w:lastRowLastColumn="0"/>
            </w:pPr>
            <w:r>
              <w:t>31 October 2014</w:t>
            </w:r>
          </w:p>
        </w:tc>
      </w:tr>
      <w:tr w:rsidR="00DD3C20" w:rsidRPr="001A3B90" w:rsidTr="00DA69C8">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Default="00C52E15" w:rsidP="00C75580">
            <w:pPr>
              <w:pStyle w:val="AERtabletextleft"/>
            </w:pPr>
            <w:r>
              <w:t>Submissions on</w:t>
            </w:r>
            <w:r w:rsidR="00DD3C20">
              <w:t xml:space="preserve"> </w:t>
            </w:r>
            <w:r w:rsidR="00C75580">
              <w:t>r</w:t>
            </w:r>
            <w:r w:rsidR="00DD3C20">
              <w:t xml:space="preserve">egulatory </w:t>
            </w:r>
            <w:r w:rsidR="00C75580">
              <w:t>p</w:t>
            </w:r>
            <w:r w:rsidR="00DD3C20">
              <w:t>roposal close</w:t>
            </w:r>
          </w:p>
        </w:tc>
        <w:tc>
          <w:tcPr>
            <w:tcW w:w="1081" w:type="pct"/>
            <w:noWrap/>
          </w:tcPr>
          <w:p w:rsidR="00DD3C20" w:rsidRPr="009F407C" w:rsidRDefault="007A2FD1" w:rsidP="00DD3C20">
            <w:pPr>
              <w:pStyle w:val="AERtabletextleft"/>
              <w:cnfStyle w:val="000000010000" w:firstRow="0" w:lastRow="0" w:firstColumn="0" w:lastColumn="0" w:oddVBand="0" w:evenVBand="0" w:oddHBand="0" w:evenHBand="1" w:firstRowFirstColumn="0" w:firstRowLastColumn="0" w:lastRowFirstColumn="0" w:lastRowLastColumn="0"/>
            </w:pPr>
            <w:r>
              <w:t>January 2015**</w:t>
            </w:r>
          </w:p>
        </w:tc>
      </w:tr>
      <w:tr w:rsidR="00DD3C20" w:rsidRPr="001A3B90" w:rsidTr="00DA69C8">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DD3C20" w:rsidP="00C75580">
            <w:pPr>
              <w:pStyle w:val="AERtabletextleft"/>
            </w:pPr>
            <w:r>
              <w:t xml:space="preserve">AER to publish </w:t>
            </w:r>
            <w:r w:rsidR="00C75580">
              <w:t>d</w:t>
            </w:r>
            <w:r>
              <w:t xml:space="preserve">raft </w:t>
            </w:r>
            <w:r w:rsidR="00C75580">
              <w:t>d</w:t>
            </w:r>
            <w:r>
              <w:t xml:space="preserve">istribution </w:t>
            </w:r>
            <w:r w:rsidR="00C75580">
              <w:t>d</w:t>
            </w:r>
            <w:r>
              <w:t xml:space="preserve">etermination </w:t>
            </w:r>
          </w:p>
        </w:tc>
        <w:tc>
          <w:tcPr>
            <w:tcW w:w="1081" w:type="pct"/>
            <w:noWrap/>
          </w:tcPr>
          <w:p w:rsidR="00DD3C20" w:rsidRPr="009F407C" w:rsidRDefault="007A2FD1" w:rsidP="00DD3C20">
            <w:pPr>
              <w:pStyle w:val="AERtabletextleft"/>
              <w:cnfStyle w:val="000000000000" w:firstRow="0" w:lastRow="0" w:firstColumn="0" w:lastColumn="0" w:oddVBand="0" w:evenVBand="0" w:oddHBand="0" w:evenHBand="0" w:firstRowFirstColumn="0" w:firstRowLastColumn="0" w:lastRowFirstColumn="0" w:lastRowLastColumn="0"/>
            </w:pPr>
            <w:r>
              <w:t>30 April 2015*</w:t>
            </w:r>
          </w:p>
        </w:tc>
      </w:tr>
      <w:tr w:rsidR="00DD3C20" w:rsidRPr="001A3B90" w:rsidTr="00DA69C8">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Default="00DD3C20" w:rsidP="00C75580">
            <w:pPr>
              <w:pStyle w:val="AERtabletextleft"/>
            </w:pPr>
            <w:r>
              <w:t xml:space="preserve">AER hold public forum on </w:t>
            </w:r>
            <w:r w:rsidR="00C75580">
              <w:t>d</w:t>
            </w:r>
            <w:r>
              <w:t xml:space="preserve">raft </w:t>
            </w:r>
            <w:r w:rsidR="00C75580">
              <w:t>d</w:t>
            </w:r>
            <w:r>
              <w:t xml:space="preserve">istribution </w:t>
            </w:r>
            <w:r w:rsidR="00C75580">
              <w:t>d</w:t>
            </w:r>
            <w:r>
              <w:t>etermination</w:t>
            </w:r>
          </w:p>
        </w:tc>
        <w:tc>
          <w:tcPr>
            <w:tcW w:w="1081" w:type="pct"/>
            <w:noWrap/>
          </w:tcPr>
          <w:p w:rsidR="00DD3C20" w:rsidRDefault="007A2FD1" w:rsidP="00DD3C20">
            <w:pPr>
              <w:pStyle w:val="AERtabletextleft"/>
              <w:cnfStyle w:val="000000010000" w:firstRow="0" w:lastRow="0" w:firstColumn="0" w:lastColumn="0" w:oddVBand="0" w:evenVBand="0" w:oddHBand="0" w:evenHBand="1" w:firstRowFirstColumn="0" w:firstRowLastColumn="0" w:lastRowFirstColumn="0" w:lastRowLastColumn="0"/>
            </w:pPr>
            <w:r>
              <w:t>May 2015**</w:t>
            </w:r>
          </w:p>
        </w:tc>
      </w:tr>
      <w:tr w:rsidR="00DD3C20" w:rsidRPr="003476AD" w:rsidTr="00DA69C8">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E87FD1" w:rsidP="00C75580">
            <w:pPr>
              <w:pStyle w:val="AERtabletextleft"/>
            </w:pPr>
            <w:r>
              <w:t>SAPN</w:t>
            </w:r>
            <w:r w:rsidR="00DD3C20">
              <w:t xml:space="preserve"> to submit revised </w:t>
            </w:r>
            <w:r w:rsidR="00C75580">
              <w:t>r</w:t>
            </w:r>
            <w:r w:rsidR="00DD3C20">
              <w:t xml:space="preserve">egulatory </w:t>
            </w:r>
            <w:r w:rsidR="00C75580">
              <w:t>p</w:t>
            </w:r>
            <w:r w:rsidR="00DD3C20">
              <w:t>roposal to AER</w:t>
            </w:r>
          </w:p>
        </w:tc>
        <w:tc>
          <w:tcPr>
            <w:tcW w:w="1081" w:type="pct"/>
            <w:noWrap/>
          </w:tcPr>
          <w:p w:rsidR="00DD3C20" w:rsidRPr="009F407C" w:rsidRDefault="007A2FD1" w:rsidP="00DD3C20">
            <w:pPr>
              <w:pStyle w:val="AERtabletextleft"/>
              <w:cnfStyle w:val="000000000000" w:firstRow="0" w:lastRow="0" w:firstColumn="0" w:lastColumn="0" w:oddVBand="0" w:evenVBand="0" w:oddHBand="0" w:evenHBand="0" w:firstRowFirstColumn="0" w:firstRowLastColumn="0" w:lastRowFirstColumn="0" w:lastRowLastColumn="0"/>
            </w:pPr>
            <w:r>
              <w:t>June 2015</w:t>
            </w:r>
          </w:p>
        </w:tc>
      </w:tr>
      <w:tr w:rsidR="00DD3C20" w:rsidRPr="003476AD" w:rsidTr="00DA69C8">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Default="00DD3C20" w:rsidP="00C75580">
            <w:pPr>
              <w:pStyle w:val="AERtabletextleft"/>
            </w:pPr>
            <w:r>
              <w:t xml:space="preserve">Submissions on revised </w:t>
            </w:r>
            <w:r w:rsidR="00C75580">
              <w:t>r</w:t>
            </w:r>
            <w:r>
              <w:t xml:space="preserve">egulatory </w:t>
            </w:r>
            <w:r w:rsidR="00C75580">
              <w:t>p</w:t>
            </w:r>
            <w:r>
              <w:t xml:space="preserve">roposal and </w:t>
            </w:r>
            <w:r w:rsidR="00C75580">
              <w:t>d</w:t>
            </w:r>
            <w:r>
              <w:t xml:space="preserve">raft </w:t>
            </w:r>
            <w:r w:rsidR="00C75580">
              <w:t>d</w:t>
            </w:r>
            <w:r>
              <w:t>etermination close</w:t>
            </w:r>
          </w:p>
        </w:tc>
        <w:tc>
          <w:tcPr>
            <w:tcW w:w="1081" w:type="pct"/>
            <w:noWrap/>
          </w:tcPr>
          <w:p w:rsidR="00DD3C20" w:rsidRDefault="007A2FD1" w:rsidP="00DD3C20">
            <w:pPr>
              <w:pStyle w:val="AERtabletextleft"/>
              <w:cnfStyle w:val="000000010000" w:firstRow="0" w:lastRow="0" w:firstColumn="0" w:lastColumn="0" w:oddVBand="0" w:evenVBand="0" w:oddHBand="0" w:evenHBand="1" w:firstRowFirstColumn="0" w:firstRowLastColumn="0" w:lastRowFirstColumn="0" w:lastRowLastColumn="0"/>
            </w:pPr>
            <w:r>
              <w:t>July 2015**</w:t>
            </w:r>
          </w:p>
        </w:tc>
      </w:tr>
      <w:tr w:rsidR="00DD3C20" w:rsidRPr="003476AD" w:rsidTr="00DA69C8">
        <w:trPr>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DD3C20" w:rsidRPr="009F407C" w:rsidRDefault="00DD3C20" w:rsidP="00C75580">
            <w:pPr>
              <w:pStyle w:val="AERtabletextleft"/>
            </w:pPr>
            <w:r>
              <w:t xml:space="preserve">AER to publish distribution determination for </w:t>
            </w:r>
            <w:r w:rsidR="00C75580">
              <w:t>r</w:t>
            </w:r>
            <w:r>
              <w:t xml:space="preserve">egulatory </w:t>
            </w:r>
            <w:r w:rsidR="00C75580">
              <w:t>c</w:t>
            </w:r>
            <w:r>
              <w:t>ontrol period</w:t>
            </w:r>
          </w:p>
        </w:tc>
        <w:tc>
          <w:tcPr>
            <w:tcW w:w="1081" w:type="pct"/>
            <w:noWrap/>
          </w:tcPr>
          <w:p w:rsidR="00DD3C20" w:rsidRPr="009F407C" w:rsidRDefault="007A2FD1" w:rsidP="00DD3C20">
            <w:pPr>
              <w:pStyle w:val="AERtabletextleft"/>
              <w:cnfStyle w:val="000000000000" w:firstRow="0" w:lastRow="0" w:firstColumn="0" w:lastColumn="0" w:oddVBand="0" w:evenVBand="0" w:oddHBand="0" w:evenHBand="0" w:firstRowFirstColumn="0" w:firstRowLastColumn="0" w:lastRowFirstColumn="0" w:lastRowLastColumn="0"/>
            </w:pPr>
            <w:r>
              <w:t>31 October 2015</w:t>
            </w:r>
          </w:p>
        </w:tc>
      </w:tr>
    </w:tbl>
    <w:p w:rsidR="00DD3C20" w:rsidRDefault="00DD3C20" w:rsidP="00DD3C20">
      <w:pPr>
        <w:pStyle w:val="AERtabletextleft"/>
      </w:pPr>
      <w:r w:rsidRPr="00BB0B33">
        <w:t xml:space="preserve">* The </w:t>
      </w:r>
      <w:r w:rsidR="00C75580">
        <w:t>rules do</w:t>
      </w:r>
      <w:r w:rsidRPr="00BB0B33">
        <w:t xml:space="preserve"> not provide specific timeframe</w:t>
      </w:r>
      <w:r>
        <w:t xml:space="preserve">s in relation to publishing </w:t>
      </w:r>
      <w:r w:rsidRPr="00BB0B33">
        <w:t>draft decision</w:t>
      </w:r>
      <w:r>
        <w:t>s</w:t>
      </w:r>
      <w:r w:rsidRPr="00BB0B33">
        <w:t>. Accordingly, this date is indicative only.</w:t>
      </w:r>
    </w:p>
    <w:p w:rsidR="00DD3C20" w:rsidRPr="00BB0B33" w:rsidRDefault="00DD3C20" w:rsidP="00DD3C20">
      <w:pPr>
        <w:pStyle w:val="AERtabletextleft"/>
      </w:pPr>
      <w:r>
        <w:t xml:space="preserve">** The dates provided for submissions and the public forum are based on </w:t>
      </w:r>
      <w:r w:rsidR="00C75580">
        <w:t>us</w:t>
      </w:r>
      <w:r>
        <w:t xml:space="preserve"> receiving compliant proposals. These dates may alter if </w:t>
      </w:r>
      <w:r w:rsidR="00C75580">
        <w:t>we</w:t>
      </w:r>
      <w:r>
        <w:t xml:space="preserve"> receive non-compliant proposals. </w:t>
      </w:r>
    </w:p>
    <w:p w:rsidR="00A01BAA" w:rsidRDefault="00DD3C20" w:rsidP="00A01BAA">
      <w:pPr>
        <w:pStyle w:val="AERtablesource"/>
      </w:pPr>
      <w:r w:rsidRPr="00BB0B33">
        <w:t>Source: NER, chapter 6, Part E.</w:t>
      </w:r>
    </w:p>
    <w:p w:rsidR="00A01BAA" w:rsidRDefault="00A01BAA" w:rsidP="00A01BAA">
      <w:pPr>
        <w:pStyle w:val="AERtablesource"/>
      </w:pPr>
    </w:p>
    <w:p w:rsidR="00DA69C8" w:rsidRDefault="00DA69C8" w:rsidP="00A01BAA">
      <w:pPr>
        <w:spacing w:after="0" w:line="240" w:lineRule="auto"/>
        <w:jc w:val="left"/>
        <w:rPr>
          <w:rFonts w:eastAsia="Times New Roman"/>
          <w:szCs w:val="24"/>
        </w:rPr>
      </w:pPr>
      <w:r>
        <w:br w:type="page"/>
      </w:r>
    </w:p>
    <w:p w:rsidR="00045B61" w:rsidRDefault="00DA69C8" w:rsidP="00DA69C8">
      <w:pPr>
        <w:pStyle w:val="UnnumberedHeading"/>
      </w:pPr>
      <w:bookmarkStart w:id="5" w:name="_Toc373773966"/>
      <w:r>
        <w:lastRenderedPageBreak/>
        <w:t>Part A: Overview</w:t>
      </w:r>
      <w:bookmarkEnd w:id="5"/>
    </w:p>
    <w:p w:rsidR="00DA69C8" w:rsidRDefault="00DA69C8" w:rsidP="00DA69C8">
      <w:pPr>
        <w:pStyle w:val="AERbodytext"/>
      </w:pPr>
      <w:r>
        <w:t xml:space="preserve">This preliminary F&amp;A </w:t>
      </w:r>
      <w:r w:rsidR="00A35C76">
        <w:t xml:space="preserve">positions paper </w:t>
      </w:r>
      <w:r>
        <w:t>covers the following issues.</w:t>
      </w:r>
    </w:p>
    <w:p w:rsidR="00DA69C8" w:rsidRDefault="00DA69C8" w:rsidP="00782A4A">
      <w:pPr>
        <w:pStyle w:val="HeadingBoldBlue"/>
      </w:pPr>
      <w:r>
        <w:t>Classification of distribution services</w:t>
      </w:r>
    </w:p>
    <w:p w:rsidR="000E0034" w:rsidRPr="000E0034" w:rsidRDefault="000E0034" w:rsidP="00177D67">
      <w:pPr>
        <w:pStyle w:val="AERbodytext"/>
      </w:pPr>
      <w:r w:rsidRPr="000E0034">
        <w:t xml:space="preserve">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Classification determines how the prices of these services will be set. This has a direct impact on electricity customers. </w:t>
      </w:r>
    </w:p>
    <w:p w:rsidR="000E0034" w:rsidRDefault="000E0034" w:rsidP="00177D67">
      <w:pPr>
        <w:pStyle w:val="AERbodytext"/>
      </w:pPr>
      <w:r w:rsidRPr="000E0034">
        <w:t>When we classify distribution services we determine the nature of the economic regulation that we wil</w:t>
      </w:r>
      <w:r w:rsidR="00121E04">
        <w:t>l apply to those services. The r</w:t>
      </w:r>
      <w:r w:rsidRPr="000E0034">
        <w:t xml:space="preserve">ules establish a limited range of service classification categories, to which varying levels of economic regulation apply. When we classify services we therefore determine whether we directly control prices, become involved only to arbitrate disputes, or do not regulate at all. The classification that we apply to a distribution service also determines whether the </w:t>
      </w:r>
      <w:r w:rsidR="009C1037">
        <w:t>relevant distributor</w:t>
      </w:r>
      <w:r w:rsidRPr="000E0034">
        <w:t xml:space="preserve"> recover</w:t>
      </w:r>
      <w:r w:rsidR="009C1037">
        <w:t>s</w:t>
      </w:r>
      <w:r w:rsidRPr="000E0034">
        <w:t xml:space="preserve"> service costs by averaging across all customers or only charging those benefiting directly from specific services.</w:t>
      </w:r>
    </w:p>
    <w:p w:rsidR="008C40D7" w:rsidRDefault="00F041CF" w:rsidP="00177D67">
      <w:pPr>
        <w:pStyle w:val="AERbodytext"/>
      </w:pPr>
      <w:r>
        <w:t>Table 2</w:t>
      </w:r>
      <w:r w:rsidR="008C40D7">
        <w:t xml:space="preserve"> provides an overview of the different classes of distribution services for the purposes of</w:t>
      </w:r>
      <w:r w:rsidR="00121E04">
        <w:t xml:space="preserve"> economic regulation under the r</w:t>
      </w:r>
      <w:r w:rsidR="008C40D7">
        <w:t>ules.</w:t>
      </w:r>
    </w:p>
    <w:p w:rsidR="008C40D7" w:rsidRPr="00F041CF" w:rsidRDefault="008C40D7" w:rsidP="00F041CF">
      <w:pPr>
        <w:pStyle w:val="Caption"/>
        <w:rPr>
          <w:rStyle w:val="AERtextbold"/>
          <w:b/>
        </w:rPr>
      </w:pPr>
      <w:r w:rsidRPr="00F041CF">
        <w:rPr>
          <w:rStyle w:val="AERtextbold"/>
          <w:b/>
        </w:rPr>
        <w:t>T</w:t>
      </w:r>
      <w:r w:rsidR="00F041CF" w:rsidRPr="00F041CF">
        <w:rPr>
          <w:rStyle w:val="AERtextbold"/>
          <w:b/>
        </w:rPr>
        <w:t xml:space="preserve">able 2: </w:t>
      </w:r>
      <w:r w:rsidR="006B3052" w:rsidRPr="00F041CF">
        <w:rPr>
          <w:rStyle w:val="AERtextbold"/>
          <w:b/>
        </w:rPr>
        <w:t>Classifications of distribution services</w:t>
      </w:r>
    </w:p>
    <w:tbl>
      <w:tblPr>
        <w:tblStyle w:val="TableGrid"/>
        <w:tblW w:w="0" w:type="auto"/>
        <w:tblLook w:val="04A0" w:firstRow="1" w:lastRow="0" w:firstColumn="1" w:lastColumn="0" w:noHBand="0" w:noVBand="1"/>
      </w:tblPr>
      <w:tblGrid>
        <w:gridCol w:w="955"/>
        <w:gridCol w:w="1226"/>
        <w:gridCol w:w="3732"/>
        <w:gridCol w:w="3329"/>
      </w:tblGrid>
      <w:tr w:rsidR="004317EA" w:rsidRPr="006B3052" w:rsidTr="00F343D6">
        <w:tc>
          <w:tcPr>
            <w:tcW w:w="0" w:type="auto"/>
            <w:gridSpan w:val="2"/>
          </w:tcPr>
          <w:p w:rsidR="004317EA" w:rsidRPr="006B3052" w:rsidRDefault="004317EA" w:rsidP="006B3052">
            <w:pPr>
              <w:pStyle w:val="AERtabletextleft"/>
              <w:rPr>
                <w:rStyle w:val="AERtextbold"/>
              </w:rPr>
            </w:pPr>
            <w:r w:rsidRPr="006B3052">
              <w:rPr>
                <w:rStyle w:val="AERtextbold"/>
              </w:rPr>
              <w:t>Classification</w:t>
            </w:r>
          </w:p>
        </w:tc>
        <w:tc>
          <w:tcPr>
            <w:tcW w:w="0" w:type="auto"/>
          </w:tcPr>
          <w:p w:rsidR="004317EA" w:rsidRPr="006B3052" w:rsidRDefault="004317EA" w:rsidP="006B3052">
            <w:pPr>
              <w:pStyle w:val="AERtabletextleft"/>
              <w:rPr>
                <w:rStyle w:val="AERtextbold"/>
              </w:rPr>
            </w:pPr>
            <w:r w:rsidRPr="006B3052">
              <w:rPr>
                <w:rStyle w:val="AERtextbold"/>
              </w:rPr>
              <w:t>Description</w:t>
            </w:r>
          </w:p>
        </w:tc>
        <w:tc>
          <w:tcPr>
            <w:tcW w:w="0" w:type="auto"/>
          </w:tcPr>
          <w:p w:rsidR="004317EA" w:rsidRPr="006B3052" w:rsidRDefault="004317EA" w:rsidP="006B3052">
            <w:pPr>
              <w:pStyle w:val="AERtabletextleft"/>
              <w:rPr>
                <w:rStyle w:val="AERtextbold"/>
              </w:rPr>
            </w:pPr>
            <w:r>
              <w:rPr>
                <w:rStyle w:val="AERtextbold"/>
              </w:rPr>
              <w:t>Regulatory treatment</w:t>
            </w:r>
          </w:p>
        </w:tc>
      </w:tr>
      <w:tr w:rsidR="004317EA" w:rsidTr="00F343D6">
        <w:tc>
          <w:tcPr>
            <w:tcW w:w="0" w:type="auto"/>
            <w:vMerge w:val="restart"/>
          </w:tcPr>
          <w:p w:rsidR="004317EA" w:rsidRDefault="004317EA" w:rsidP="006B3052">
            <w:pPr>
              <w:pStyle w:val="AERtabletextleft"/>
            </w:pPr>
            <w:r>
              <w:t>Direct control service</w:t>
            </w:r>
          </w:p>
        </w:tc>
        <w:tc>
          <w:tcPr>
            <w:tcW w:w="0" w:type="auto"/>
          </w:tcPr>
          <w:p w:rsidR="004317EA" w:rsidRDefault="004317EA" w:rsidP="006B3052">
            <w:pPr>
              <w:pStyle w:val="AERtabletextleft"/>
            </w:pPr>
            <w:r>
              <w:t>Standard control service</w:t>
            </w:r>
          </w:p>
        </w:tc>
        <w:tc>
          <w:tcPr>
            <w:tcW w:w="0" w:type="auto"/>
          </w:tcPr>
          <w:p w:rsidR="004317EA" w:rsidRDefault="004317EA" w:rsidP="004317EA">
            <w:pPr>
              <w:pStyle w:val="AERtabletextleft"/>
            </w:pPr>
            <w:r>
              <w:t>S</w:t>
            </w:r>
            <w:r w:rsidRPr="006B3052">
              <w:t>ervices that are central to electricity supply and therefore relied on by most (if not all) customers</w:t>
            </w:r>
            <w:r>
              <w:t xml:space="preserve"> such as building and maintaining the shared distribution network. </w:t>
            </w:r>
          </w:p>
          <w:p w:rsidR="004317EA" w:rsidRDefault="004317EA" w:rsidP="004317EA">
            <w:pPr>
              <w:pStyle w:val="AERtabletextleft"/>
            </w:pPr>
            <w:r w:rsidRPr="006B3052">
              <w:t>Most distribution services are classified as standard control</w:t>
            </w:r>
            <w:r>
              <w:t>.</w:t>
            </w:r>
          </w:p>
        </w:tc>
        <w:tc>
          <w:tcPr>
            <w:tcW w:w="0" w:type="auto"/>
          </w:tcPr>
          <w:p w:rsidR="004317EA" w:rsidRDefault="004317EA" w:rsidP="006B3052">
            <w:pPr>
              <w:pStyle w:val="AERtabletextleft"/>
            </w:pPr>
            <w:r>
              <w:t xml:space="preserve">We regulate these services </w:t>
            </w:r>
            <w:r w:rsidRPr="004317EA">
              <w:t>by determining prices or an overall cap on the amount of revenue that may be earned for all standard control services.</w:t>
            </w:r>
          </w:p>
          <w:p w:rsidR="004317EA" w:rsidRDefault="004317EA" w:rsidP="004317EA">
            <w:pPr>
              <w:pStyle w:val="AERtabletextleft"/>
            </w:pPr>
            <w:r>
              <w:t>The costs associated with these services are shared by all customers via their regular electricity bill.</w:t>
            </w:r>
          </w:p>
        </w:tc>
      </w:tr>
      <w:tr w:rsidR="004317EA" w:rsidTr="00F343D6">
        <w:tc>
          <w:tcPr>
            <w:tcW w:w="0" w:type="auto"/>
            <w:vMerge/>
          </w:tcPr>
          <w:p w:rsidR="004317EA" w:rsidRDefault="004317EA" w:rsidP="006B3052">
            <w:pPr>
              <w:pStyle w:val="AERtabletextleft"/>
            </w:pPr>
          </w:p>
        </w:tc>
        <w:tc>
          <w:tcPr>
            <w:tcW w:w="0" w:type="auto"/>
          </w:tcPr>
          <w:p w:rsidR="004317EA" w:rsidRDefault="004317EA" w:rsidP="006B3052">
            <w:pPr>
              <w:pStyle w:val="AERtabletextleft"/>
            </w:pPr>
            <w:r>
              <w:t>Alternative control service</w:t>
            </w:r>
          </w:p>
        </w:tc>
        <w:tc>
          <w:tcPr>
            <w:tcW w:w="0" w:type="auto"/>
          </w:tcPr>
          <w:p w:rsidR="004317EA" w:rsidRDefault="004317EA" w:rsidP="00F343D6">
            <w:pPr>
              <w:pStyle w:val="AERtabletextleft"/>
            </w:pPr>
            <w:r>
              <w:t>C</w:t>
            </w:r>
            <w:r w:rsidRPr="006B3052">
              <w:t xml:space="preserve">ustomer specific or customer requested services. These services may also have potential for provision on a competitive basis rather than by </w:t>
            </w:r>
            <w:r w:rsidR="00F343D6">
              <w:t>the local</w:t>
            </w:r>
            <w:r w:rsidRPr="006B3052">
              <w:t xml:space="preserve"> distributor.</w:t>
            </w:r>
          </w:p>
        </w:tc>
        <w:tc>
          <w:tcPr>
            <w:tcW w:w="0" w:type="auto"/>
          </w:tcPr>
          <w:p w:rsidR="004317EA" w:rsidRPr="006B3052" w:rsidRDefault="004317EA" w:rsidP="004745DF">
            <w:pPr>
              <w:pStyle w:val="AERtabletextleft"/>
            </w:pPr>
            <w:r>
              <w:t xml:space="preserve">We </w:t>
            </w:r>
            <w:r w:rsidR="004745DF">
              <w:t>set</w:t>
            </w:r>
            <w:r w:rsidRPr="004317EA">
              <w:t xml:space="preserve"> service specific prices to enable the distributor to recover the full cost of each service from customers using that service.</w:t>
            </w:r>
          </w:p>
        </w:tc>
      </w:tr>
      <w:tr w:rsidR="00F343D6" w:rsidTr="00F343D6">
        <w:tc>
          <w:tcPr>
            <w:tcW w:w="0" w:type="auto"/>
            <w:gridSpan w:val="2"/>
          </w:tcPr>
          <w:p w:rsidR="00F343D6" w:rsidRDefault="00F343D6" w:rsidP="006B3052">
            <w:pPr>
              <w:pStyle w:val="AERtabletextleft"/>
            </w:pPr>
            <w:r>
              <w:t>Negotiated service</w:t>
            </w:r>
          </w:p>
        </w:tc>
        <w:tc>
          <w:tcPr>
            <w:tcW w:w="0" w:type="auto"/>
          </w:tcPr>
          <w:p w:rsidR="00F343D6" w:rsidRDefault="00F343D6" w:rsidP="004317EA">
            <w:pPr>
              <w:pStyle w:val="AERtabletextleft"/>
            </w:pPr>
            <w:r>
              <w:t>Services</w:t>
            </w:r>
            <w:r w:rsidRPr="004317EA">
              <w:t xml:space="preserve"> we consider require a less prescriptive regulatory approach because all relevant parties have sufficient market power to negotiate the provision of those services.</w:t>
            </w:r>
          </w:p>
        </w:tc>
        <w:tc>
          <w:tcPr>
            <w:tcW w:w="0" w:type="auto"/>
          </w:tcPr>
          <w:p w:rsidR="00F343D6" w:rsidRPr="004317EA" w:rsidRDefault="00F343D6" w:rsidP="004317EA">
            <w:pPr>
              <w:pStyle w:val="AERtabletextleft"/>
            </w:pPr>
            <w:r w:rsidRPr="004317EA">
              <w:t xml:space="preserve">Distributors and customers are able to negotiate prices according to </w:t>
            </w:r>
            <w:r w:rsidR="00530CB0">
              <w:t>a framework established by the r</w:t>
            </w:r>
            <w:r w:rsidRPr="004317EA">
              <w:t xml:space="preserve">ules. </w:t>
            </w:r>
            <w:r>
              <w:t>W</w:t>
            </w:r>
            <w:r w:rsidRPr="004317EA">
              <w:t>e are available to arbitrate if necessary.</w:t>
            </w:r>
          </w:p>
        </w:tc>
      </w:tr>
      <w:tr w:rsidR="00F343D6" w:rsidTr="00F343D6">
        <w:tc>
          <w:tcPr>
            <w:tcW w:w="0" w:type="auto"/>
            <w:gridSpan w:val="2"/>
          </w:tcPr>
          <w:p w:rsidR="00F343D6" w:rsidRDefault="00F343D6" w:rsidP="006B3052">
            <w:pPr>
              <w:pStyle w:val="AERtabletextleft"/>
            </w:pPr>
            <w:r>
              <w:t>Unclassified service</w:t>
            </w:r>
          </w:p>
        </w:tc>
        <w:tc>
          <w:tcPr>
            <w:tcW w:w="0" w:type="auto"/>
          </w:tcPr>
          <w:p w:rsidR="00F343D6" w:rsidRDefault="00F343D6" w:rsidP="00F343D6">
            <w:pPr>
              <w:pStyle w:val="AERtabletextleft"/>
            </w:pPr>
            <w:r>
              <w:t>Services that are not distribution services</w:t>
            </w:r>
            <w:r>
              <w:rPr>
                <w:rStyle w:val="FootnoteReference"/>
              </w:rPr>
              <w:footnoteReference w:id="5"/>
            </w:r>
            <w:r>
              <w:t xml:space="preserve"> or services that are contestable.</w:t>
            </w:r>
          </w:p>
        </w:tc>
        <w:tc>
          <w:tcPr>
            <w:tcW w:w="0" w:type="auto"/>
          </w:tcPr>
          <w:p w:rsidR="00F343D6" w:rsidRDefault="00F343D6" w:rsidP="006B3052">
            <w:pPr>
              <w:pStyle w:val="AERtabletextleft"/>
            </w:pPr>
            <w:r>
              <w:t>We have no role in regulating these services.</w:t>
            </w:r>
          </w:p>
        </w:tc>
      </w:tr>
    </w:tbl>
    <w:p w:rsidR="00F343D6" w:rsidRDefault="00C75580" w:rsidP="00C75580">
      <w:pPr>
        <w:pStyle w:val="AERtablesource"/>
        <w:ind w:left="0" w:firstLine="0"/>
      </w:pPr>
      <w:r>
        <w:t>Source: AER</w:t>
      </w:r>
    </w:p>
    <w:p w:rsidR="00704FD1" w:rsidRDefault="00E87FD1" w:rsidP="00177D67">
      <w:pPr>
        <w:pStyle w:val="AERbodytext"/>
      </w:pPr>
      <w:r>
        <w:t xml:space="preserve">The </w:t>
      </w:r>
      <w:r w:rsidR="00D57527">
        <w:t xml:space="preserve">current </w:t>
      </w:r>
      <w:r>
        <w:t>classification of SA</w:t>
      </w:r>
      <w:r w:rsidR="00121E04">
        <w:t xml:space="preserve"> </w:t>
      </w:r>
      <w:r>
        <w:t>P</w:t>
      </w:r>
      <w:r w:rsidR="00121E04">
        <w:t xml:space="preserve">ower </w:t>
      </w:r>
      <w:r>
        <w:t>N</w:t>
      </w:r>
      <w:r w:rsidR="00121E04">
        <w:t>etwork</w:t>
      </w:r>
      <w:r>
        <w:t>s</w:t>
      </w:r>
      <w:r w:rsidR="00121E04">
        <w:t>'</w:t>
      </w:r>
      <w:r>
        <w:t xml:space="preserve"> services </w:t>
      </w:r>
      <w:r w:rsidR="00F041CF">
        <w:t xml:space="preserve">largely </w:t>
      </w:r>
      <w:r>
        <w:t>reflects the arrangements that applied in SA under th</w:t>
      </w:r>
      <w:r w:rsidR="00F81B1C">
        <w:t xml:space="preserve">e previous state-based regime. </w:t>
      </w:r>
      <w:r>
        <w:t>The SA arrangements differ from the arrangements that apply in other NEM jurisdictions</w:t>
      </w:r>
      <w:r w:rsidR="008F1153">
        <w:t>. In particular,</w:t>
      </w:r>
      <w:r>
        <w:t xml:space="preserve"> a large number of </w:t>
      </w:r>
      <w:r w:rsidR="008F1153">
        <w:t>SA</w:t>
      </w:r>
      <w:r w:rsidR="00121E04">
        <w:t xml:space="preserve"> </w:t>
      </w:r>
      <w:r w:rsidR="008F1153">
        <w:t>P</w:t>
      </w:r>
      <w:r w:rsidR="00121E04">
        <w:t xml:space="preserve">ower </w:t>
      </w:r>
      <w:r w:rsidR="008F1153">
        <w:lastRenderedPageBreak/>
        <w:t>N</w:t>
      </w:r>
      <w:r w:rsidR="00121E04">
        <w:t>etwork</w:t>
      </w:r>
      <w:r w:rsidR="008F1153">
        <w:t xml:space="preserve">s' </w:t>
      </w:r>
      <w:r>
        <w:t>services are negotiated services</w:t>
      </w:r>
      <w:r w:rsidR="00F041CF">
        <w:t xml:space="preserve">. </w:t>
      </w:r>
      <w:r w:rsidR="008F1153">
        <w:t xml:space="preserve">This means that customers </w:t>
      </w:r>
      <w:r>
        <w:t>m</w:t>
      </w:r>
      <w:r w:rsidR="004D6735">
        <w:t>ay</w:t>
      </w:r>
      <w:r>
        <w:t xml:space="preserve"> negotiate directly with SA</w:t>
      </w:r>
      <w:r w:rsidR="00121E04">
        <w:t xml:space="preserve"> </w:t>
      </w:r>
      <w:r>
        <w:t>P</w:t>
      </w:r>
      <w:r w:rsidR="00121E04">
        <w:t xml:space="preserve">ower </w:t>
      </w:r>
      <w:r>
        <w:t>N</w:t>
      </w:r>
      <w:r w:rsidR="00121E04">
        <w:t>etworks</w:t>
      </w:r>
      <w:r>
        <w:t xml:space="preserve"> for the provision of the service</w:t>
      </w:r>
      <w:r w:rsidR="00F343D6">
        <w:t>.</w:t>
      </w:r>
      <w:r w:rsidR="00F343D6">
        <w:rPr>
          <w:rStyle w:val="FootnoteReference"/>
        </w:rPr>
        <w:footnoteReference w:id="6"/>
      </w:r>
      <w:r w:rsidR="008F1153">
        <w:t xml:space="preserve"> </w:t>
      </w:r>
      <w:r w:rsidR="00F041CF">
        <w:t xml:space="preserve">Typically, these services </w:t>
      </w:r>
      <w:r w:rsidR="00F041CF" w:rsidRPr="00F041CF">
        <w:t>share the common characteristic of being non-routine services provided to individual customers on an 'as needs' basis.</w:t>
      </w:r>
      <w:r w:rsidR="00F041CF">
        <w:t xml:space="preserve"> In many cases, some or all of the service is contestable</w:t>
      </w:r>
      <w:r w:rsidR="00782A4A">
        <w:t xml:space="preserve"> and may be provided by an alternative service provider, such as the construction of extension and connection assets. Our preliminary position is that the existing classification of t</w:t>
      </w:r>
      <w:r w:rsidR="00AC76B2">
        <w:t>h</w:t>
      </w:r>
      <w:r w:rsidR="00782A4A">
        <w:t>ese services remains appropriate.</w:t>
      </w:r>
    </w:p>
    <w:p w:rsidR="00CF2FC6" w:rsidRDefault="00B65129" w:rsidP="009257F8">
      <w:pPr>
        <w:pStyle w:val="AERbodytext"/>
      </w:pPr>
      <w:r>
        <w:t>The</w:t>
      </w:r>
      <w:r w:rsidR="00421B01">
        <w:t xml:space="preserve"> only </w:t>
      </w:r>
      <w:r w:rsidR="000D3D32">
        <w:t xml:space="preserve">proposed </w:t>
      </w:r>
      <w:r w:rsidR="00421B01">
        <w:t xml:space="preserve">change to the classification of services is that all </w:t>
      </w:r>
      <w:r w:rsidR="00AE1242">
        <w:t xml:space="preserve">standard </w:t>
      </w:r>
      <w:r w:rsidR="00421B01">
        <w:t>type 6 metering related services will now be alternati</w:t>
      </w:r>
      <w:r>
        <w:t>ve control services. Our preliminary position is</w:t>
      </w:r>
      <w:r w:rsidR="00421B01">
        <w:t xml:space="preserve"> that type 6 energy data services</w:t>
      </w:r>
      <w:r w:rsidR="000D3D32">
        <w:t>, unscheduled meter</w:t>
      </w:r>
      <w:r w:rsidR="00CF7482">
        <w:t xml:space="preserve"> reading and metering investigation be reclassified as alternative control services. </w:t>
      </w:r>
      <w:r w:rsidR="000D3D32" w:rsidRPr="000D3D32">
        <w:t xml:space="preserve">This </w:t>
      </w:r>
      <w:r w:rsidR="000D3D32">
        <w:t>will provide</w:t>
      </w:r>
      <w:r w:rsidR="000D3D32" w:rsidRPr="000D3D32">
        <w:t xml:space="preserve"> customers with more transparent costing information for these services</w:t>
      </w:r>
      <w:r w:rsidR="000D3D32">
        <w:t>.</w:t>
      </w:r>
    </w:p>
    <w:p w:rsidR="00B83529" w:rsidRDefault="00B83529" w:rsidP="009257F8">
      <w:pPr>
        <w:pStyle w:val="AERbodytext"/>
      </w:pPr>
      <w:r>
        <w:t xml:space="preserve">Figure 1 sets out our </w:t>
      </w:r>
      <w:r w:rsidR="00D57527">
        <w:t>preliminary position</w:t>
      </w:r>
      <w:r w:rsidR="00782A4A">
        <w:t xml:space="preserve"> on the classification of SA</w:t>
      </w:r>
      <w:r w:rsidR="00121E04">
        <w:t xml:space="preserve"> </w:t>
      </w:r>
      <w:r w:rsidR="00DC50F8">
        <w:t>P</w:t>
      </w:r>
      <w:r w:rsidR="00121E04">
        <w:t xml:space="preserve">ower </w:t>
      </w:r>
      <w:r w:rsidR="00DC50F8">
        <w:t>N</w:t>
      </w:r>
      <w:r w:rsidR="00121E04">
        <w:t>etwork</w:t>
      </w:r>
      <w:r w:rsidR="00DC50F8">
        <w:t>s</w:t>
      </w:r>
      <w:r w:rsidR="00121E04">
        <w:t>'</w:t>
      </w:r>
      <w:r w:rsidR="00782A4A">
        <w:t xml:space="preserve"> distribution services, which is </w:t>
      </w:r>
      <w:r w:rsidR="00D172B9">
        <w:t xml:space="preserve">largely </w:t>
      </w:r>
      <w:r w:rsidR="00782A4A">
        <w:t>unchanged from the classifications applying</w:t>
      </w:r>
      <w:r w:rsidR="00DC50F8">
        <w:t xml:space="preserve"> in</w:t>
      </w:r>
      <w:r w:rsidR="00782A4A">
        <w:t xml:space="preserve"> the current regulatory control period</w:t>
      </w:r>
      <w:r w:rsidR="00D172B9">
        <w:t xml:space="preserve">, except </w:t>
      </w:r>
      <w:r w:rsidR="00421B01">
        <w:t>for</w:t>
      </w:r>
      <w:r w:rsidR="00D172B9">
        <w:t xml:space="preserve"> a number of type 6 metering services </w:t>
      </w:r>
      <w:r w:rsidR="00421B01">
        <w:t xml:space="preserve">which </w:t>
      </w:r>
      <w:r w:rsidR="00D172B9">
        <w:t>ha</w:t>
      </w:r>
      <w:r w:rsidR="00421B01">
        <w:t>ve</w:t>
      </w:r>
      <w:r w:rsidR="00D172B9">
        <w:t xml:space="preserve"> been reclassified from standard control to alternative control service</w:t>
      </w:r>
      <w:r w:rsidR="00121E04">
        <w:t>.</w:t>
      </w:r>
      <w:r w:rsidR="00194D38">
        <w:t xml:space="preserve"> </w:t>
      </w:r>
      <w:r w:rsidR="00782A4A">
        <w:t>Attachment 1</w:t>
      </w:r>
      <w:r w:rsidR="00194D38">
        <w:t xml:space="preserve"> provides more information about the different types of services and the reasoning behind our preliminary position.</w:t>
      </w:r>
    </w:p>
    <w:p w:rsidR="00B83529" w:rsidRPr="00DF69CE" w:rsidRDefault="003765E1" w:rsidP="00DA69C8">
      <w:pPr>
        <w:pStyle w:val="AERbodytext"/>
        <w:numPr>
          <w:ilvl w:val="0"/>
          <w:numId w:val="0"/>
        </w:numPr>
        <w:rPr>
          <w:rStyle w:val="AERtextbold"/>
        </w:rPr>
      </w:pPr>
      <w:r>
        <w:rPr>
          <w:rStyle w:val="AERtextbold"/>
        </w:rPr>
        <w:t>Figure</w:t>
      </w:r>
      <w:r w:rsidR="00194D38">
        <w:rPr>
          <w:rStyle w:val="AERtextbold"/>
        </w:rPr>
        <w:t xml:space="preserve"> 1</w:t>
      </w:r>
      <w:r w:rsidR="00AC76B2">
        <w:rPr>
          <w:rStyle w:val="AERtextbold"/>
        </w:rPr>
        <w:t>:</w:t>
      </w:r>
      <w:r w:rsidR="00194D38">
        <w:rPr>
          <w:rStyle w:val="AERtextbold"/>
        </w:rPr>
        <w:t xml:space="preserve"> </w:t>
      </w:r>
      <w:r w:rsidR="00DF69CE" w:rsidRPr="00DF69CE">
        <w:rPr>
          <w:rStyle w:val="AERtextbold"/>
        </w:rPr>
        <w:t xml:space="preserve"> AER preliminary position for classification of </w:t>
      </w:r>
      <w:r w:rsidR="00EC055C">
        <w:rPr>
          <w:rStyle w:val="AERtextbold"/>
        </w:rPr>
        <w:t>SAPN</w:t>
      </w:r>
      <w:r w:rsidR="00A36E64">
        <w:rPr>
          <w:rStyle w:val="AERtextbold"/>
        </w:rPr>
        <w:t>'s</w:t>
      </w:r>
      <w:r w:rsidR="00DF69CE" w:rsidRPr="00DF69CE">
        <w:rPr>
          <w:rStyle w:val="AERtextbold"/>
        </w:rPr>
        <w:t xml:space="preserve"> distribution services</w:t>
      </w:r>
    </w:p>
    <w:p w:rsidR="000E0034" w:rsidRDefault="00CC2BB9" w:rsidP="00DA69C8">
      <w:pPr>
        <w:pStyle w:val="AERbodytext"/>
        <w:numPr>
          <w:ilvl w:val="0"/>
          <w:numId w:val="0"/>
        </w:numPr>
      </w:pPr>
      <w:r>
        <w:rPr>
          <w:noProof/>
          <w:lang w:eastAsia="en-AU"/>
        </w:rPr>
        <w:drawing>
          <wp:inline distT="0" distB="0" distL="0" distR="0" wp14:anchorId="5483C945" wp14:editId="5ECD4CE8">
            <wp:extent cx="5731510" cy="408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2-2013 2-25-11 PM.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083050"/>
                    </a:xfrm>
                    <a:prstGeom prst="rect">
                      <a:avLst/>
                    </a:prstGeom>
                  </pic:spPr>
                </pic:pic>
              </a:graphicData>
            </a:graphic>
          </wp:inline>
        </w:drawing>
      </w:r>
    </w:p>
    <w:p w:rsidR="00FF49DA" w:rsidRPr="00FF49DA" w:rsidRDefault="00FF49DA" w:rsidP="00FF49DA">
      <w:pPr>
        <w:pStyle w:val="AERtablesource"/>
      </w:pPr>
      <w:r w:rsidRPr="00FF49DA">
        <w:t>Source: AER</w:t>
      </w:r>
    </w:p>
    <w:p w:rsidR="00194D38" w:rsidRDefault="00D57527" w:rsidP="00DA69C8">
      <w:pPr>
        <w:pStyle w:val="AERbodytext"/>
        <w:numPr>
          <w:ilvl w:val="0"/>
          <w:numId w:val="0"/>
        </w:numPr>
      </w:pPr>
      <w:r w:rsidRPr="00D57527">
        <w:lastRenderedPageBreak/>
        <w:t>In developing our preliminary view, we have had regard</w:t>
      </w:r>
      <w:r w:rsidR="00F81B1C">
        <w:t xml:space="preserve"> to the factors set out in the law and r</w:t>
      </w:r>
      <w:r w:rsidRPr="00D57527">
        <w:t>ules.</w:t>
      </w:r>
      <w:r w:rsidRPr="00D57527">
        <w:rPr>
          <w:rStyle w:val="FootnoteReference"/>
        </w:rPr>
        <w:footnoteReference w:id="7"/>
      </w:r>
      <w:r w:rsidRPr="00D57527">
        <w:t xml:space="preserve">  If stakeholders disagree with our classification, they should provide reasons why an alternative classification better m</w:t>
      </w:r>
      <w:r w:rsidR="00F81B1C">
        <w:t>eets the requirements of the law and r</w:t>
      </w:r>
      <w:r w:rsidRPr="00D57527">
        <w:t>ules.</w:t>
      </w:r>
    </w:p>
    <w:p w:rsidR="000E0034" w:rsidRDefault="000E0034" w:rsidP="000E0034">
      <w:pPr>
        <w:pStyle w:val="HeadingBoldBlue"/>
        <w:rPr>
          <w:rStyle w:val="AERtextbold"/>
        </w:rPr>
      </w:pPr>
      <w:r w:rsidRPr="000E0034">
        <w:rPr>
          <w:rStyle w:val="AERtextbold"/>
          <w:b/>
        </w:rPr>
        <w:t>Control mechanisms</w:t>
      </w:r>
    </w:p>
    <w:p w:rsidR="00DF69CE" w:rsidRPr="00DF69CE" w:rsidRDefault="00DF69CE" w:rsidP="00DF69CE">
      <w:pPr>
        <w:pStyle w:val="AERbodytext"/>
      </w:pPr>
      <w:r w:rsidRPr="00DF69CE">
        <w:rPr>
          <w:rFonts w:eastAsia="Calibri"/>
        </w:rPr>
        <w:t>Following on from service classifications, our determinations must impose controls on direct control service prices and/or their revenues.</w:t>
      </w:r>
      <w:r w:rsidRPr="00DF69CE">
        <w:rPr>
          <w:rStyle w:val="FootnoteReference"/>
          <w:rFonts w:eastAsia="Calibri"/>
        </w:rPr>
        <w:footnoteReference w:id="8"/>
      </w:r>
      <w:r w:rsidRPr="00DF69CE">
        <w:rPr>
          <w:rFonts w:eastAsia="Calibri"/>
        </w:rPr>
        <w:t xml:space="preserve"> We may only accept or approve control mechanisms in a distributor's regulatory proposal if the</w:t>
      </w:r>
      <w:r w:rsidR="00227816">
        <w:rPr>
          <w:rFonts w:eastAsia="Calibri"/>
        </w:rPr>
        <w:t>y are consistent with the framework and approach</w:t>
      </w:r>
      <w:r w:rsidRPr="00DF69CE">
        <w:rPr>
          <w:rFonts w:eastAsia="Calibri"/>
        </w:rPr>
        <w:t>.</w:t>
      </w:r>
      <w:r w:rsidRPr="00DF69CE">
        <w:rPr>
          <w:rStyle w:val="FootnoteReference"/>
          <w:rFonts w:eastAsia="Calibri"/>
        </w:rPr>
        <w:footnoteReference w:id="9"/>
      </w:r>
      <w:r w:rsidRPr="00DF69CE">
        <w:rPr>
          <w:rFonts w:eastAsia="Calibri"/>
        </w:rPr>
        <w:t xml:space="preserve"> </w:t>
      </w:r>
    </w:p>
    <w:p w:rsidR="00DF69CE" w:rsidRPr="00DF69CE" w:rsidRDefault="00F81B1C" w:rsidP="00DF69CE">
      <w:pPr>
        <w:pStyle w:val="AERbodytext"/>
      </w:pPr>
      <w:r>
        <w:t>The r</w:t>
      </w:r>
      <w:r w:rsidR="00DF69CE">
        <w:t>ules require us to</w:t>
      </w:r>
      <w:r w:rsidR="00DF69CE" w:rsidRPr="00DF69CE">
        <w:rPr>
          <w:rFonts w:eastAsia="Calibri"/>
        </w:rPr>
        <w:t xml:space="preserve"> decide the control mechanism </w:t>
      </w:r>
      <w:r w:rsidR="00DF69CE" w:rsidRPr="00DF69CE">
        <w:rPr>
          <w:rStyle w:val="AERbody"/>
          <w:rFonts w:eastAsia="Calibri"/>
        </w:rPr>
        <w:t>forms</w:t>
      </w:r>
      <w:r w:rsidR="00DF69CE" w:rsidRPr="00DF69CE">
        <w:rPr>
          <w:rStyle w:val="FootnoteReference"/>
          <w:rFonts w:eastAsia="Calibri"/>
        </w:rPr>
        <w:footnoteReference w:id="10"/>
      </w:r>
      <w:r w:rsidR="00DF69CE" w:rsidRPr="00DF69CE">
        <w:rPr>
          <w:rFonts w:eastAsia="Calibri"/>
        </w:rPr>
        <w:t xml:space="preserve"> and the formulae to give effect to the control mechanism, but not the basis of the form of control mechanism</w:t>
      </w:r>
      <w:r w:rsidR="00DF69CE" w:rsidRPr="00DF69CE">
        <w:rPr>
          <w:rStyle w:val="AERtextitalic"/>
          <w:rFonts w:eastAsia="Calibri"/>
        </w:rPr>
        <w:t>.</w:t>
      </w:r>
      <w:r w:rsidR="00DF69CE" w:rsidRPr="00DF69CE">
        <w:rPr>
          <w:rFonts w:eastAsia="Calibri"/>
        </w:rPr>
        <w:t xml:space="preserve"> In deciding control mechanism </w:t>
      </w:r>
      <w:r w:rsidR="00DF69CE" w:rsidRPr="00DF69CE">
        <w:rPr>
          <w:rStyle w:val="AERbody"/>
          <w:rFonts w:eastAsia="Calibri"/>
        </w:rPr>
        <w:t>forms</w:t>
      </w:r>
      <w:r w:rsidR="00DF69CE" w:rsidRPr="00DF69CE">
        <w:rPr>
          <w:rFonts w:eastAsia="Calibri"/>
        </w:rPr>
        <w:t>, we must select one or</w:t>
      </w:r>
      <w:r>
        <w:rPr>
          <w:rFonts w:eastAsia="Calibri"/>
        </w:rPr>
        <w:t xml:space="preserve"> more from those listed in the r</w:t>
      </w:r>
      <w:r w:rsidR="00DF69CE" w:rsidRPr="00DF69CE">
        <w:rPr>
          <w:rFonts w:eastAsia="Calibri"/>
        </w:rPr>
        <w:t>ules.</w:t>
      </w:r>
      <w:r w:rsidR="00DF69CE" w:rsidRPr="00DF69CE">
        <w:rPr>
          <w:rStyle w:val="FootnoteReference"/>
        </w:rPr>
        <w:footnoteReference w:id="11"/>
      </w:r>
      <w:r w:rsidR="00DF69CE" w:rsidRPr="00DF69CE">
        <w:t xml:space="preserve"> These include price schedules, caps on the prices of individual services, weighted average price caps, revenue caps, average revenue caps and hybrid control mechanisms. </w:t>
      </w:r>
    </w:p>
    <w:p w:rsidR="00DF69CE" w:rsidRPr="00DF69CE" w:rsidRDefault="00DF69CE" w:rsidP="00DF69CE">
      <w:pPr>
        <w:pStyle w:val="AERbodytext"/>
        <w:rPr>
          <w:rFonts w:eastAsia="Calibri"/>
        </w:rPr>
      </w:pPr>
      <w:r>
        <w:t xml:space="preserve">In deciding on the </w:t>
      </w:r>
      <w:r w:rsidR="00F81B1C">
        <w:t>form of control mechanism, the r</w:t>
      </w:r>
      <w:r>
        <w:t>ules require us to have regard to specified factors.</w:t>
      </w:r>
      <w:r w:rsidRPr="00DF69CE">
        <w:rPr>
          <w:rStyle w:val="FootnoteReference"/>
        </w:rPr>
        <w:footnoteReference w:id="12"/>
      </w:r>
      <w:r w:rsidRPr="00DF69CE">
        <w:t xml:space="preserve"> These include the need for efficient tariffs, administrative costs, previous regulatory arrangements and consistency. </w:t>
      </w:r>
      <w:r w:rsidRPr="00DF69CE">
        <w:rPr>
          <w:rFonts w:eastAsia="Calibri"/>
        </w:rPr>
        <w:t xml:space="preserve">In light of the above alternatives and considerations, our </w:t>
      </w:r>
      <w:r>
        <w:rPr>
          <w:rFonts w:eastAsia="Calibri"/>
        </w:rPr>
        <w:t>preliminary position</w:t>
      </w:r>
      <w:r w:rsidRPr="00DF69CE">
        <w:rPr>
          <w:rFonts w:eastAsia="Calibri"/>
        </w:rPr>
        <w:t xml:space="preserve"> on the form of control mechanisms for </w:t>
      </w:r>
      <w:r w:rsidR="00782A4A">
        <w:rPr>
          <w:rFonts w:eastAsia="Calibri"/>
        </w:rPr>
        <w:t xml:space="preserve">SA Power Networks </w:t>
      </w:r>
      <w:r w:rsidRPr="00DF69CE">
        <w:rPr>
          <w:rFonts w:eastAsia="Calibri"/>
        </w:rPr>
        <w:t>are:</w:t>
      </w:r>
    </w:p>
    <w:p w:rsidR="00DF69CE" w:rsidRDefault="00DF69CE" w:rsidP="00DF69CE">
      <w:pPr>
        <w:pStyle w:val="AERbulletlistfirststyle"/>
      </w:pPr>
      <w:r>
        <w:t>standard control services</w:t>
      </w:r>
      <w:r w:rsidRPr="00DF69CE">
        <w:t>—</w:t>
      </w:r>
      <w:r>
        <w:t xml:space="preserve"> </w:t>
      </w:r>
      <w:r w:rsidRPr="0039351A">
        <w:t>revenue cap</w:t>
      </w:r>
      <w:r w:rsidRPr="00CA2024">
        <w:t xml:space="preserve"> </w:t>
      </w:r>
    </w:p>
    <w:p w:rsidR="00DF69CE" w:rsidRDefault="00DF69CE" w:rsidP="00DF69CE">
      <w:pPr>
        <w:pStyle w:val="AERbulletlistfirststyle"/>
      </w:pPr>
      <w:r>
        <w:t>alternative control services</w:t>
      </w:r>
      <w:r w:rsidRPr="00DF69CE">
        <w:t>—</w:t>
      </w:r>
      <w:r>
        <w:t xml:space="preserve"> caps on the prices of individual services.</w:t>
      </w:r>
    </w:p>
    <w:p w:rsidR="00DF69CE" w:rsidRPr="00DF69CE" w:rsidRDefault="00DF69CE" w:rsidP="00177D67">
      <w:pPr>
        <w:pStyle w:val="AERbodytext"/>
        <w:rPr>
          <w:rFonts w:eastAsia="Calibri"/>
        </w:rPr>
      </w:pPr>
      <w:r w:rsidRPr="00DF69CE">
        <w:rPr>
          <w:rFonts w:eastAsia="Calibri"/>
        </w:rPr>
        <w:t xml:space="preserve">For </w:t>
      </w:r>
      <w:r w:rsidR="00F8014E">
        <w:rPr>
          <w:rFonts w:eastAsia="Calibri"/>
        </w:rPr>
        <w:t>standard control services, the r</w:t>
      </w:r>
      <w:r w:rsidRPr="00DF69CE">
        <w:rPr>
          <w:rFonts w:eastAsia="Calibri"/>
        </w:rPr>
        <w:t xml:space="preserve">ules mandate the </w:t>
      </w:r>
      <w:r w:rsidRPr="00DF69CE">
        <w:rPr>
          <w:rStyle w:val="AERbody"/>
          <w:rFonts w:eastAsia="Calibri"/>
        </w:rPr>
        <w:t>basis</w:t>
      </w:r>
      <w:r w:rsidRPr="00DF69CE">
        <w:rPr>
          <w:rStyle w:val="AERtextitalic"/>
          <w:rFonts w:eastAsia="Calibri"/>
        </w:rPr>
        <w:t xml:space="preserve"> </w:t>
      </w:r>
      <w:r w:rsidRPr="00DF69CE">
        <w:rPr>
          <w:rFonts w:eastAsia="Calibri"/>
        </w:rPr>
        <w:t>of the control mechanism must be the prospective CPI–X form, or some incentive-based variant.</w:t>
      </w:r>
      <w:r w:rsidRPr="00DF69CE">
        <w:rPr>
          <w:rStyle w:val="FootnoteReference"/>
          <w:rFonts w:eastAsia="Calibri"/>
        </w:rPr>
        <w:footnoteReference w:id="13"/>
      </w:r>
      <w:r w:rsidRPr="00DF69CE">
        <w:rPr>
          <w:rFonts w:eastAsia="Calibri"/>
        </w:rPr>
        <w:t xml:space="preserve"> For alternative control services, </w:t>
      </w:r>
      <w:r>
        <w:t>we</w:t>
      </w:r>
      <w:r w:rsidRPr="00BD7B24">
        <w:t xml:space="preserve"> will confirm a control mechanism </w:t>
      </w:r>
      <w:r>
        <w:t xml:space="preserve">basis through the distribution determination process.  </w:t>
      </w:r>
    </w:p>
    <w:p w:rsidR="000E0034" w:rsidRPr="00782A4A" w:rsidRDefault="000E0034" w:rsidP="00782A4A">
      <w:pPr>
        <w:pStyle w:val="HeadingBoldItalic"/>
        <w:rPr>
          <w:rStyle w:val="AERtextbold"/>
          <w:b/>
        </w:rPr>
      </w:pPr>
      <w:r w:rsidRPr="00782A4A">
        <w:rPr>
          <w:rStyle w:val="AERtextbold"/>
          <w:b/>
        </w:rPr>
        <w:t>Standard control services</w:t>
      </w:r>
    </w:p>
    <w:p w:rsidR="00D36F57" w:rsidRPr="00D36F57" w:rsidRDefault="00D36F57" w:rsidP="00D36F57">
      <w:pPr>
        <w:pStyle w:val="AERbodytext"/>
      </w:pPr>
      <w:r>
        <w:t xml:space="preserve">Our preliminary position is to apply a revenue cap form of control for the standard control services. </w:t>
      </w:r>
      <w:r w:rsidRPr="00D57527">
        <w:t>In developing our preliminary view, we have had regard t</w:t>
      </w:r>
      <w:r w:rsidR="00292EDF">
        <w:t xml:space="preserve">o the factors set out in the </w:t>
      </w:r>
      <w:r w:rsidR="00F81B1C">
        <w:t>law</w:t>
      </w:r>
      <w:r w:rsidR="00292EDF">
        <w:t xml:space="preserve"> and r</w:t>
      </w:r>
      <w:r w:rsidRPr="00D57527">
        <w:t>ules.</w:t>
      </w:r>
      <w:r>
        <w:rPr>
          <w:rStyle w:val="FootnoteReference"/>
        </w:rPr>
        <w:footnoteReference w:id="14"/>
      </w:r>
      <w:r w:rsidR="00D67E46">
        <w:t xml:space="preserve"> </w:t>
      </w:r>
      <w:r w:rsidRPr="00D36F57">
        <w:t>If stakeholders disagree with our classification, they should provide reasons why an alternative classification better m</w:t>
      </w:r>
      <w:r w:rsidR="00292EDF">
        <w:t xml:space="preserve">eets the requirements of the </w:t>
      </w:r>
      <w:r w:rsidR="00F81B1C">
        <w:t>law</w:t>
      </w:r>
      <w:r w:rsidR="00292EDF">
        <w:t xml:space="preserve"> and r</w:t>
      </w:r>
      <w:r w:rsidRPr="00D36F57">
        <w:t>ules.</w:t>
      </w:r>
    </w:p>
    <w:p w:rsidR="000E0034" w:rsidRPr="00782A4A" w:rsidRDefault="000E0034" w:rsidP="00782A4A">
      <w:pPr>
        <w:pStyle w:val="HeadingBoldItalic"/>
        <w:rPr>
          <w:rStyle w:val="AERtextbold"/>
          <w:b/>
        </w:rPr>
      </w:pPr>
      <w:r w:rsidRPr="00782A4A">
        <w:rPr>
          <w:rStyle w:val="AERtextbold"/>
          <w:b/>
        </w:rPr>
        <w:t>Alternative control services</w:t>
      </w:r>
    </w:p>
    <w:p w:rsidR="00D36F57" w:rsidRDefault="00D36F57" w:rsidP="00D36F57">
      <w:pPr>
        <w:pStyle w:val="AERbodytext"/>
      </w:pPr>
      <w:r w:rsidRPr="00D36F57">
        <w:t xml:space="preserve">Our preliminary position is to apply a </w:t>
      </w:r>
      <w:r>
        <w:t xml:space="preserve">price </w:t>
      </w:r>
      <w:r w:rsidRPr="00D36F57">
        <w:t xml:space="preserve">cap form of control for the </w:t>
      </w:r>
      <w:r>
        <w:t>alternative</w:t>
      </w:r>
      <w:r w:rsidRPr="00D36F57">
        <w:t xml:space="preserve"> control services. In developing our preliminary view, we have had regard t</w:t>
      </w:r>
      <w:r w:rsidR="00292EDF">
        <w:t xml:space="preserve">o the factors set out in the </w:t>
      </w:r>
      <w:r w:rsidR="00F81B1C">
        <w:t>law</w:t>
      </w:r>
      <w:r w:rsidR="00292EDF">
        <w:t xml:space="preserve"> and r</w:t>
      </w:r>
      <w:r w:rsidRPr="00D36F57">
        <w:t>ules.</w:t>
      </w:r>
      <w:r w:rsidRPr="00D36F57">
        <w:rPr>
          <w:rStyle w:val="FootnoteReference"/>
        </w:rPr>
        <w:footnoteReference w:id="15"/>
      </w:r>
      <w:r w:rsidR="00D67E46">
        <w:t xml:space="preserve"> </w:t>
      </w:r>
      <w:r w:rsidRPr="00D36F57">
        <w:t>If stakeholders disagree with our classification, they should provide reasons why an alternative classification better m</w:t>
      </w:r>
      <w:r w:rsidR="00292EDF">
        <w:t xml:space="preserve">eets the requirements of the </w:t>
      </w:r>
      <w:r w:rsidR="00F81B1C">
        <w:t>law</w:t>
      </w:r>
      <w:r w:rsidR="00292EDF">
        <w:t xml:space="preserve"> and r</w:t>
      </w:r>
      <w:r w:rsidRPr="00D36F57">
        <w:t>ules.</w:t>
      </w:r>
    </w:p>
    <w:p w:rsidR="00842C8E" w:rsidRPr="00842C8E" w:rsidRDefault="00842C8E" w:rsidP="00842C8E">
      <w:pPr>
        <w:pStyle w:val="HeadingBoldBlue"/>
      </w:pPr>
      <w:r w:rsidRPr="00842C8E">
        <w:lastRenderedPageBreak/>
        <w:t>Incentive schemes</w:t>
      </w:r>
    </w:p>
    <w:p w:rsidR="00842C8E" w:rsidRPr="00842C8E" w:rsidRDefault="00842C8E" w:rsidP="00842C8E">
      <w:pPr>
        <w:pStyle w:val="AERbodytext"/>
      </w:pPr>
      <w:r w:rsidRPr="00842C8E">
        <w:t>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The overall objectives of the schemes are to:</w:t>
      </w:r>
      <w:r w:rsidRPr="009F052D">
        <w:rPr>
          <w:rStyle w:val="AERsuperscript"/>
        </w:rPr>
        <w:footnoteReference w:id="16"/>
      </w:r>
    </w:p>
    <w:p w:rsidR="00842C8E" w:rsidRPr="00842C8E" w:rsidRDefault="00842C8E" w:rsidP="009F052D">
      <w:pPr>
        <w:pStyle w:val="AERbulletlistfirststyle"/>
      </w:pPr>
      <w:r w:rsidRPr="00842C8E">
        <w:t xml:space="preserve">incentivise distributors to spend more efficiently on capital </w:t>
      </w:r>
      <w:r w:rsidR="00B716DF">
        <w:t>and operating expenditure</w:t>
      </w:r>
    </w:p>
    <w:p w:rsidR="00842C8E" w:rsidRPr="00842C8E" w:rsidRDefault="00842C8E" w:rsidP="009F052D">
      <w:pPr>
        <w:pStyle w:val="AERbulletlistfirststyle"/>
      </w:pPr>
      <w:r w:rsidRPr="00842C8E">
        <w:t>reduce the risk of consumers paying for unneces</w:t>
      </w:r>
      <w:r w:rsidR="00B716DF">
        <w:t>sary capital expenditure</w:t>
      </w:r>
    </w:p>
    <w:p w:rsidR="00842C8E" w:rsidRPr="00842C8E" w:rsidRDefault="00842C8E" w:rsidP="009F052D">
      <w:pPr>
        <w:pStyle w:val="AERbulletlistfirststyle"/>
      </w:pPr>
      <w:r w:rsidRPr="00842C8E">
        <w:t>share efficient improvements and losses between distributors and consumers</w:t>
      </w:r>
    </w:p>
    <w:p w:rsidR="00842C8E" w:rsidRPr="00842C8E" w:rsidRDefault="00842C8E" w:rsidP="009F052D">
      <w:pPr>
        <w:pStyle w:val="AERbulletlistfirststyle"/>
      </w:pPr>
      <w:r w:rsidRPr="00842C8E">
        <w:t>encourage appropriate levels of service quality</w:t>
      </w:r>
    </w:p>
    <w:p w:rsidR="00842C8E" w:rsidRPr="00842C8E" w:rsidRDefault="00842C8E" w:rsidP="009F052D">
      <w:pPr>
        <w:pStyle w:val="AERbulletlistfirststyle"/>
      </w:pPr>
      <w:r w:rsidRPr="00842C8E">
        <w:t xml:space="preserve">maintain network reliability as appropriate. </w:t>
      </w:r>
    </w:p>
    <w:p w:rsidR="00842C8E" w:rsidRPr="00D36F57" w:rsidRDefault="00842C8E" w:rsidP="00842C8E">
      <w:pPr>
        <w:pStyle w:val="AERbodytext"/>
      </w:pPr>
      <w:r w:rsidRPr="00842C8E">
        <w:t xml:space="preserve">We outline below our preliminary position on the application of each scheme to </w:t>
      </w:r>
      <w:r w:rsidR="002B5CB9">
        <w:t>SA Power Networks</w:t>
      </w:r>
      <w:r w:rsidRPr="00842C8E">
        <w:t xml:space="preserve">. </w:t>
      </w:r>
    </w:p>
    <w:p w:rsidR="00782A4A" w:rsidRPr="00842C8E" w:rsidRDefault="00FF6D4F" w:rsidP="00842C8E">
      <w:pPr>
        <w:pStyle w:val="HeadingBoldItalic"/>
        <w:rPr>
          <w:rStyle w:val="AERtextblue"/>
        </w:rPr>
      </w:pPr>
      <w:r w:rsidRPr="00842C8E">
        <w:rPr>
          <w:rStyle w:val="AERtextblue"/>
        </w:rPr>
        <w:t>S</w:t>
      </w:r>
      <w:r w:rsidR="00782A4A" w:rsidRPr="00842C8E">
        <w:rPr>
          <w:rStyle w:val="AERtextblue"/>
        </w:rPr>
        <w:t>ervice target performance incentive scheme</w:t>
      </w:r>
    </w:p>
    <w:p w:rsidR="00211FCA" w:rsidRPr="00211FCA" w:rsidRDefault="00211FCA" w:rsidP="00211FCA">
      <w:pPr>
        <w:pStyle w:val="AERbodytext"/>
      </w:pPr>
      <w:r w:rsidRPr="00211FCA">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CF21C1" w:rsidRPr="00CF21C1" w:rsidRDefault="00A01D23" w:rsidP="00211FCA">
      <w:r w:rsidRPr="00A01D23">
        <w:t xml:space="preserve">Our preliminary position is to continue to apply the national STPIS to SA Power Networks in the next regulatory control period. We will not apply the </w:t>
      </w:r>
      <w:r w:rsidR="00FF49DA">
        <w:t>guaranteed service level (</w:t>
      </w:r>
      <w:r w:rsidRPr="00A01D23">
        <w:t>GSL</w:t>
      </w:r>
      <w:r w:rsidR="00FF49DA">
        <w:t>)</w:t>
      </w:r>
      <w:r w:rsidRPr="00A01D23">
        <w:t xml:space="preserve"> component as SA Power Networks is subject to a jurisdictional GSL scheme.</w:t>
      </w:r>
      <w:r w:rsidRPr="00E0718B">
        <w:rPr>
          <w:rStyle w:val="AERsuperscript"/>
        </w:rPr>
        <w:footnoteReference w:id="17"/>
      </w:r>
      <w:r>
        <w:t xml:space="preserve"> </w:t>
      </w:r>
    </w:p>
    <w:p w:rsidR="00CF21C1" w:rsidRDefault="0092334F" w:rsidP="0092334F">
      <w:pPr>
        <w:pStyle w:val="HeadingBoldItalic"/>
        <w:rPr>
          <w:rStyle w:val="AERtextblue"/>
        </w:rPr>
      </w:pPr>
      <w:r w:rsidRPr="0092334F">
        <w:rPr>
          <w:rStyle w:val="AERtextblue"/>
        </w:rPr>
        <w:t>Efficiency benefit sharing scheme</w:t>
      </w:r>
    </w:p>
    <w:p w:rsidR="00211FCA" w:rsidRDefault="00211FCA" w:rsidP="00211FCA">
      <w:pPr>
        <w:pStyle w:val="AERbodytext"/>
      </w:pPr>
      <w:r w:rsidRPr="007E637D">
        <w:t xml:space="preserve">The </w:t>
      </w:r>
      <w:r w:rsidRPr="003739D1">
        <w:t xml:space="preserve">efficiency benefit sharing scheme (EBSS) </w:t>
      </w:r>
      <w:r>
        <w:t>aims</w:t>
      </w:r>
      <w:r w:rsidRPr="007E637D">
        <w:t xml:space="preserve"> to provide a continuous incentive for </w:t>
      </w:r>
      <w:r>
        <w:t xml:space="preserve">distributors </w:t>
      </w:r>
      <w:r w:rsidRPr="007E637D">
        <w:t xml:space="preserve">to pursue efficiency improvements in </w:t>
      </w:r>
      <w:r>
        <w:t>opex</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9F052D" w:rsidRPr="009F052D" w:rsidRDefault="00211FCA" w:rsidP="00211FCA">
      <w:pPr>
        <w:pStyle w:val="AERbodytext"/>
      </w:pPr>
      <w:r w:rsidRPr="00541F86">
        <w:t xml:space="preserve">As part of </w:t>
      </w:r>
      <w:r>
        <w:t xml:space="preserve">our </w:t>
      </w:r>
      <w:r w:rsidRPr="00541F86">
        <w:t xml:space="preserve">Better Regulation program we </w:t>
      </w:r>
      <w:r>
        <w:t xml:space="preserve">consulted on and published version 2 of the EBSS. </w:t>
      </w:r>
      <w:r w:rsidR="009F052D" w:rsidRPr="009F052D">
        <w:t xml:space="preserve">Our preliminary position is to apply the </w:t>
      </w:r>
      <w:r w:rsidR="009F052D">
        <w:t>new EBSS to SA Power Networks</w:t>
      </w:r>
      <w:r w:rsidR="009F052D" w:rsidRPr="009F052D">
        <w:t xml:space="preserve"> in the next regulatory control period. </w:t>
      </w:r>
    </w:p>
    <w:p w:rsidR="0092334F" w:rsidRDefault="0092334F" w:rsidP="0092334F">
      <w:pPr>
        <w:pStyle w:val="HeadingBoldItalic"/>
        <w:rPr>
          <w:rStyle w:val="AERtextblue"/>
        </w:rPr>
      </w:pPr>
      <w:r w:rsidRPr="0092334F">
        <w:rPr>
          <w:rStyle w:val="AERtextblue"/>
        </w:rPr>
        <w:t>Capital expenditure sharing scheme</w:t>
      </w:r>
    </w:p>
    <w:p w:rsidR="00211FCA" w:rsidRPr="00211FCA" w:rsidRDefault="00211FCA" w:rsidP="00211FCA">
      <w:pPr>
        <w:pStyle w:val="AERbodytext"/>
        <w:rPr>
          <w:rStyle w:val="AERbody"/>
        </w:rPr>
      </w:pPr>
      <w:r w:rsidRPr="00211FCA">
        <w:rPr>
          <w:rStyle w:val="AERbody"/>
        </w:rPr>
        <w:t xml:space="preserve">The capital expenditure sharing scheme (CESS) provides financial rewards for distributors whose capex becomes more efficient and financial penalties for those that become less efficient. Consumers benefit from improved efficiency through lower regulated prices. </w:t>
      </w:r>
    </w:p>
    <w:p w:rsidR="00DD12C5" w:rsidRPr="00CF21C1" w:rsidRDefault="00211FCA" w:rsidP="00CF21C1">
      <w:pPr>
        <w:pStyle w:val="AERbodytext"/>
      </w:pPr>
      <w:r w:rsidRPr="00211FCA">
        <w:lastRenderedPageBreak/>
        <w:t xml:space="preserve">As part of our Better Regulation program we consulted on and published version 1 of the capital expenditure incentive guideline for electricity network service providers (capex incentive guideline) which sets out the CESS. </w:t>
      </w:r>
      <w:r w:rsidR="00DD12C5" w:rsidRPr="00FD68DD">
        <w:t xml:space="preserve">We propose to apply </w:t>
      </w:r>
      <w:r w:rsidR="00DD12C5">
        <w:t xml:space="preserve">the CESS </w:t>
      </w:r>
      <w:r w:rsidR="00DD12C5" w:rsidRPr="00FD68DD">
        <w:t>as</w:t>
      </w:r>
      <w:r>
        <w:t xml:space="preserve"> set out in our capex incentive</w:t>
      </w:r>
      <w:r w:rsidR="00DD12C5" w:rsidRPr="00FD68DD">
        <w:t xml:space="preserve"> guideline in the </w:t>
      </w:r>
      <w:r w:rsidR="00DD12C5">
        <w:t>next</w:t>
      </w:r>
      <w:r w:rsidR="00DD12C5" w:rsidRPr="00FD68DD">
        <w:t xml:space="preserve"> regulatory control period</w:t>
      </w:r>
      <w:r w:rsidR="00DD12C5">
        <w:t xml:space="preserve"> to SA Power Networks</w:t>
      </w:r>
      <w:r w:rsidR="00DD12C5" w:rsidRPr="00FD68DD">
        <w:t>.</w:t>
      </w:r>
    </w:p>
    <w:p w:rsidR="00460AE0" w:rsidRPr="00460AE0" w:rsidRDefault="00460AE0" w:rsidP="00460AE0">
      <w:pPr>
        <w:pStyle w:val="HeadingBoldItalic"/>
        <w:rPr>
          <w:rStyle w:val="AERtextblue"/>
        </w:rPr>
      </w:pPr>
      <w:r w:rsidRPr="00460AE0">
        <w:rPr>
          <w:rStyle w:val="AERtextblue"/>
        </w:rPr>
        <w:t>Demand management incentive scheme</w:t>
      </w:r>
    </w:p>
    <w:p w:rsidR="00CF21C1" w:rsidRDefault="00D04D9A" w:rsidP="00CF21C1">
      <w:pPr>
        <w:pStyle w:val="AERbodytext"/>
      </w:pPr>
      <w:r>
        <w:t xml:space="preserve">Our preliminary position is to continue </w:t>
      </w:r>
      <w:r w:rsidRPr="009D5199">
        <w:t>apply</w:t>
      </w:r>
      <w:r>
        <w:t xml:space="preserve">ing the </w:t>
      </w:r>
      <w:r w:rsidRPr="009D5199">
        <w:t>DMIA</w:t>
      </w:r>
      <w:r>
        <w:t xml:space="preserve"> to SA Power Networks in the next regulatory control </w:t>
      </w:r>
      <w:r w:rsidRPr="009D5199">
        <w:t>period.</w:t>
      </w:r>
    </w:p>
    <w:p w:rsidR="00E0718B" w:rsidRDefault="00E0718B" w:rsidP="00E0718B">
      <w:pPr>
        <w:pStyle w:val="AERbodytext"/>
      </w:pPr>
      <w:r w:rsidRPr="00E0718B">
        <w:t>The Standing Council on Energy and Resources (SCER) is currently considering a series of rule changes</w:t>
      </w:r>
      <w:r w:rsidRPr="00E0718B">
        <w:rPr>
          <w:rStyle w:val="AERsuperscript"/>
        </w:rPr>
        <w:footnoteReference w:id="18"/>
      </w:r>
      <w:r w:rsidRPr="00E0718B">
        <w:t xml:space="preserve"> proposed by the </w:t>
      </w:r>
      <w:r w:rsidR="00A36E64">
        <w:t>Australian Energy Market Commission (</w:t>
      </w:r>
      <w:r w:rsidRPr="00E0718B">
        <w:t>AEMC</w:t>
      </w:r>
      <w:r w:rsidR="00A36E64">
        <w:t>)</w:t>
      </w:r>
      <w:r w:rsidRPr="00E0718B">
        <w:t xml:space="preserve"> in its Power of Choice review</w:t>
      </w:r>
      <w:r w:rsidRPr="00E0718B">
        <w:rPr>
          <w:rStyle w:val="AERsuperscript"/>
        </w:rPr>
        <w:footnoteReference w:id="19"/>
      </w:r>
      <w:r w:rsidRPr="00E0718B">
        <w:t xml:space="preserve"> examining distributor incentives to pursue efficient alternatives to network augmentation. This will include new rules and principles guiding the design of a new DMIS. We intend to develop and implement a new DMIS during the next regulatory control period, depending on the progress of the rule change process. </w:t>
      </w:r>
    </w:p>
    <w:p w:rsidR="006C30A5" w:rsidRPr="006C30A5" w:rsidRDefault="006C30A5" w:rsidP="006C30A5">
      <w:pPr>
        <w:pStyle w:val="HeadingBoldItalic"/>
        <w:rPr>
          <w:color w:val="365F91"/>
        </w:rPr>
      </w:pPr>
      <w:r>
        <w:rPr>
          <w:rStyle w:val="AERtextblue"/>
        </w:rPr>
        <w:t>Small-scale incentive</w:t>
      </w:r>
      <w:r w:rsidRPr="00460AE0">
        <w:rPr>
          <w:rStyle w:val="AERtextblue"/>
        </w:rPr>
        <w:t xml:space="preserve"> scheme</w:t>
      </w:r>
    </w:p>
    <w:p w:rsidR="006C30A5" w:rsidRPr="00E0718B" w:rsidRDefault="006C30A5" w:rsidP="006C30A5">
      <w:pPr>
        <w:numPr>
          <w:ilvl w:val="0"/>
          <w:numId w:val="1"/>
        </w:numPr>
      </w:pPr>
      <w:r w:rsidRPr="006C30A5">
        <w:t>The rules state that we may develop a small-scale incentive scheme.</w:t>
      </w:r>
      <w:r w:rsidRPr="006C30A5">
        <w:rPr>
          <w:rStyle w:val="AERsuperscript"/>
        </w:rPr>
        <w:footnoteReference w:id="20"/>
      </w:r>
      <w:r w:rsidRPr="006C30A5">
        <w:t xml:space="preserve"> We have not developed this scheme. Therefore, we will not be stating our preliminary position on the application of this scheme to</w:t>
      </w:r>
      <w:r>
        <w:t xml:space="preserve"> SA Power Networks</w:t>
      </w:r>
      <w:r w:rsidRPr="006C30A5">
        <w:t xml:space="preserve">. </w:t>
      </w:r>
    </w:p>
    <w:p w:rsidR="00FF6D4F" w:rsidRDefault="00225CB6" w:rsidP="00FF6D4F">
      <w:pPr>
        <w:pStyle w:val="HeadingBoldBlue"/>
      </w:pPr>
      <w:r>
        <w:t>Application of the e</w:t>
      </w:r>
      <w:r w:rsidR="00FF6D4F">
        <w:t>xpenditure forecast assessment guidelines</w:t>
      </w:r>
    </w:p>
    <w:p w:rsidR="00460AE0" w:rsidRPr="00460AE0" w:rsidRDefault="00460AE0" w:rsidP="00460AE0">
      <w:pPr>
        <w:pStyle w:val="AERbodytext"/>
      </w:pPr>
      <w:r w:rsidRPr="00460AE0">
        <w:t xml:space="preserve">We recently published our expenditure forecast </w:t>
      </w:r>
      <w:r>
        <w:t>assessment guideline. This</w:t>
      </w:r>
      <w:r w:rsidRPr="00460AE0">
        <w:t xml:space="preserve"> guideline is based on a nationally consistent reporting framework allowing us to compare the relative efficiencies of distributors and decide on efficient expenditure allowances. Our preliminary position is to apply the guideline, including the i</w:t>
      </w:r>
      <w:r>
        <w:t>nformation requirements to SA Power Networks</w:t>
      </w:r>
      <w:r w:rsidRPr="00460AE0">
        <w:t xml:space="preserve"> in the next regulatory control period. </w:t>
      </w:r>
    </w:p>
    <w:p w:rsidR="00460AE0" w:rsidRDefault="00460AE0" w:rsidP="00460AE0">
      <w:pPr>
        <w:pStyle w:val="AERbodytext"/>
      </w:pPr>
      <w:r w:rsidRPr="00460AE0">
        <w:t>The guideline outlines a suite of assessment/analytical tools and techn</w:t>
      </w:r>
      <w:r>
        <w:t>iques to assist our review of SA Power Networks' regulatory proposal</w:t>
      </w:r>
      <w:r w:rsidRPr="00460AE0">
        <w:t xml:space="preserve">. We intend to apply all the assessment tools set out in the guideline. </w:t>
      </w:r>
    </w:p>
    <w:p w:rsidR="00FF6D4F" w:rsidRDefault="00225CB6" w:rsidP="00FF6D4F">
      <w:pPr>
        <w:pStyle w:val="HeadingBoldBlue"/>
      </w:pPr>
      <w:r>
        <w:t>Approach to calculating d</w:t>
      </w:r>
      <w:r w:rsidR="00FF6D4F">
        <w:t>epreciation</w:t>
      </w:r>
    </w:p>
    <w:p w:rsidR="00DD2C15" w:rsidRPr="00DD2C15" w:rsidRDefault="00DD2C15" w:rsidP="00DD2C15">
      <w:pPr>
        <w:pStyle w:val="AERbodytext"/>
      </w:pPr>
      <w:r w:rsidRPr="00DD2C15">
        <w:t>Changes to the rules require us to state our approach to calculating depreci</w:t>
      </w:r>
      <w:r>
        <w:t>ation when we roll forward SA Power Network</w:t>
      </w:r>
      <w:r w:rsidRPr="00DD2C15">
        <w:t>s' regulatory asset base (RAB) for the 2020–2025 regulatory control period</w:t>
      </w:r>
      <w:r w:rsidR="00B716DF">
        <w:t>.</w:t>
      </w:r>
      <w:r w:rsidRPr="00DD2C15">
        <w:t xml:space="preserve"> Our preliminary position is to use forecast depreciation to establish the RAB as at 1 July 2020. </w:t>
      </w:r>
    </w:p>
    <w:p w:rsidR="00DD2C15" w:rsidRPr="00DD2C15" w:rsidRDefault="00DD2C15" w:rsidP="00DD2C15">
      <w:pPr>
        <w:pStyle w:val="AERbodytext"/>
      </w:pPr>
      <w:r w:rsidRPr="00DD2C15">
        <w:t>The depreciation we use to roll forward</w:t>
      </w:r>
      <w:r>
        <w:t xml:space="preserve"> the RAB can be based on </w:t>
      </w:r>
      <w:r w:rsidRPr="00DD2C15">
        <w:t>actual capex incurred during</w:t>
      </w:r>
      <w:r>
        <w:t xml:space="preserve"> the regulatory control period or a</w:t>
      </w:r>
      <w:r w:rsidRPr="00DD2C15">
        <w:t xml:space="preserve">lternatively, we may use the capex allowance forecast as at the start of the regulatory control period. </w:t>
      </w:r>
    </w:p>
    <w:p w:rsidR="00654D8E" w:rsidRPr="00654D8E" w:rsidRDefault="00DD2C15" w:rsidP="00DD2C15">
      <w:pPr>
        <w:pStyle w:val="AERbodytext"/>
      </w:pPr>
      <w:r w:rsidRPr="00DD2C15">
        <w:lastRenderedPageBreak/>
        <w:t>Our preliminary position to use forecast depreciation, in combination with our proposed application of the CESS</w:t>
      </w:r>
      <w:r>
        <w:t>,</w:t>
      </w:r>
      <w:r w:rsidRPr="00DD2C15">
        <w:t xml:space="preserve"> will maintain incentives for distributors to pursue capex efficiencies. These improved efficiencies benefit consumers through lower regulated prices.</w:t>
      </w:r>
    </w:p>
    <w:p w:rsidR="00F8014E" w:rsidRDefault="00654D8E" w:rsidP="00654D8E">
      <w:pPr>
        <w:pStyle w:val="HeadingBoldBlue"/>
      </w:pPr>
      <w:r>
        <w:t>Jurisdictional derogation – side constraint to the fixed supply charge for small customers</w:t>
      </w:r>
    </w:p>
    <w:p w:rsidR="007C1803" w:rsidRPr="007C1803" w:rsidRDefault="007C1803" w:rsidP="007C1803">
      <w:pPr>
        <w:pStyle w:val="AERbodytext"/>
      </w:pPr>
      <w:r w:rsidRPr="007C1803">
        <w:t xml:space="preserve">Under </w:t>
      </w:r>
      <w:r w:rsidR="00C255DC">
        <w:t xml:space="preserve">clause </w:t>
      </w:r>
      <w:r w:rsidRPr="007C1803">
        <w:t>9.29.5 (d) of the rules, we applied the following side constraint to distribution tariffs for small customers for the 2010–15 regulatory control period:</w:t>
      </w:r>
    </w:p>
    <w:p w:rsidR="007C1803" w:rsidRPr="00556F59" w:rsidRDefault="007C1803" w:rsidP="007C1803">
      <w:pPr>
        <w:pStyle w:val="AERquote"/>
      </w:pPr>
      <w:r w:rsidRPr="00556F59">
        <w:t>The fixed supply charge component of the tari</w:t>
      </w:r>
      <w:r>
        <w:t>ff must not increase by more tha</w:t>
      </w:r>
      <w:r w:rsidRPr="00556F59">
        <w:t>n $10 from one regulatory year to the next.</w:t>
      </w:r>
    </w:p>
    <w:p w:rsidR="007C1803" w:rsidRDefault="007C1803" w:rsidP="007C1803">
      <w:pPr>
        <w:pStyle w:val="AERbodytext"/>
      </w:pPr>
      <w:r>
        <w:t xml:space="preserve">However, </w:t>
      </w:r>
      <w:r w:rsidR="00C255DC">
        <w:t>clause</w:t>
      </w:r>
      <w:r>
        <w:t xml:space="preserve"> 9.29.5 </w:t>
      </w:r>
      <w:r w:rsidRPr="007C1803">
        <w:t xml:space="preserve">(e) allows us to reconsider whether the above side constraint should continue with or without modification in preparing the </w:t>
      </w:r>
      <w:r w:rsidR="00C255DC">
        <w:t>F&amp;A</w:t>
      </w:r>
      <w:r w:rsidRPr="007C1803">
        <w:t xml:space="preserve"> for the 2015–2020 distribution determination. </w:t>
      </w:r>
    </w:p>
    <w:p w:rsidR="007C1803" w:rsidRPr="007C1803" w:rsidRDefault="007C1803" w:rsidP="007C1803">
      <w:pPr>
        <w:pStyle w:val="AERbodytext"/>
      </w:pPr>
      <w:r w:rsidRPr="007C1803">
        <w:t>We consider that a national approach to pricing structures should be adopted. This does not mean that price stability through constraints on tariff movements or other consumer protection measures should not be adopted. Rather, they should be considered and applied consistently. On this basis we seek stakeholder comments on whether the $10 cap on fixed supply charge price increases should continue, with or without modification.</w:t>
      </w:r>
    </w:p>
    <w:p w:rsidR="00F209E3" w:rsidRPr="00F209E3" w:rsidRDefault="00F209E3" w:rsidP="00F209E3">
      <w:pPr>
        <w:pStyle w:val="HeadingBoldBlue"/>
      </w:pPr>
      <w:r w:rsidRPr="00F209E3">
        <w:t>Dual function assets</w:t>
      </w:r>
    </w:p>
    <w:p w:rsidR="00F46BD4" w:rsidRDefault="00F46BD4" w:rsidP="00F46BD4">
      <w:pPr>
        <w:pStyle w:val="AERbodytext"/>
      </w:pPr>
      <w:r>
        <w:t>T</w:t>
      </w:r>
      <w:r w:rsidRPr="00F46BD4">
        <w:t>he F&amp;A must include our determination under clause 6.25(b) as to whether or not Part J of chapter 6A is to be applied to determine the pricing of any transmission standard control services provided by any dual function assets owned, control</w:t>
      </w:r>
      <w:r>
        <w:t xml:space="preserve">led or operated by a distributor. </w:t>
      </w:r>
      <w:r w:rsidRPr="00F46BD4">
        <w:t>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w:t>
      </w:r>
    </w:p>
    <w:p w:rsidR="007C1803" w:rsidRPr="007C1803" w:rsidRDefault="00F209E3" w:rsidP="00F209E3">
      <w:pPr>
        <w:pStyle w:val="AERbodytext"/>
      </w:pPr>
      <w:r w:rsidRPr="00F209E3">
        <w:t xml:space="preserve">SA Power Networks has advised us that it does not have any dual function assets. We will therefore not make any determination under clause 6.25(b) of the rules for the purposes of this F&amp;A. </w:t>
      </w:r>
    </w:p>
    <w:p w:rsidR="00140C59" w:rsidRDefault="00140C59" w:rsidP="00140C59">
      <w:pPr>
        <w:pStyle w:val="UnnumberedHeading"/>
      </w:pPr>
      <w:bookmarkStart w:id="6" w:name="_Toc373773967"/>
      <w:r>
        <w:lastRenderedPageBreak/>
        <w:t>Part B: Attachments</w:t>
      </w:r>
      <w:bookmarkEnd w:id="6"/>
    </w:p>
    <w:p w:rsidR="000E0034" w:rsidRDefault="00A519F2" w:rsidP="00A519F2">
      <w:pPr>
        <w:pStyle w:val="Heading1"/>
      </w:pPr>
      <w:bookmarkStart w:id="7" w:name="_Toc373773968"/>
      <w:r>
        <w:lastRenderedPageBreak/>
        <w:t xml:space="preserve">Classification of </w:t>
      </w:r>
      <w:r w:rsidR="00350180">
        <w:t xml:space="preserve">distribution </w:t>
      </w:r>
      <w:r>
        <w:t>services</w:t>
      </w:r>
      <w:bookmarkEnd w:id="7"/>
    </w:p>
    <w:p w:rsidR="00AA45D3" w:rsidRDefault="00AA45D3" w:rsidP="00AA45D3">
      <w:pPr>
        <w:pStyle w:val="AERbodytext"/>
      </w:pPr>
      <w:r>
        <w:t xml:space="preserve">This attachment sets out our </w:t>
      </w:r>
      <w:r w:rsidRPr="00775F84">
        <w:t xml:space="preserve">preliminary position on </w:t>
      </w:r>
      <w:r w:rsidR="00D32F5A">
        <w:t>our</w:t>
      </w:r>
      <w:r w:rsidR="00D32F5A" w:rsidRPr="00775F84">
        <w:t xml:space="preserve"> </w:t>
      </w:r>
      <w:r w:rsidRPr="00775F84">
        <w:t xml:space="preserve">likely approach to </w:t>
      </w:r>
      <w:r>
        <w:t>the classification of distribution services provided by SA Power Networks. Classification determines the nature of economic regulation, if any, applicable to specific distribution services. Classification therefore determines whether we directly control prices, allow parties to negotiate services and prices and only arbitrate disputes if necessary, or do not regulate at all.</w:t>
      </w:r>
      <w:r w:rsidRPr="00361871">
        <w:rPr>
          <w:rStyle w:val="FootnoteReference"/>
        </w:rPr>
        <w:footnoteReference w:id="21"/>
      </w:r>
      <w:r>
        <w:t xml:space="preserve"> If we intend to control prices directly, classification further determines whether distributors will recover service costs from all customers or only </w:t>
      </w:r>
      <w:r w:rsidR="00D32F5A">
        <w:t>a specified subset of customers</w:t>
      </w:r>
      <w:r>
        <w:t>.</w:t>
      </w:r>
      <w:r w:rsidRPr="00361871">
        <w:rPr>
          <w:rStyle w:val="AERsuperscript"/>
        </w:rPr>
        <w:footnoteReference w:id="22"/>
      </w:r>
      <w:r>
        <w:t xml:space="preserve"> </w:t>
      </w:r>
    </w:p>
    <w:p w:rsidR="00AA45D3" w:rsidRDefault="00AA45D3" w:rsidP="00AA45D3">
      <w:pPr>
        <w:pStyle w:val="AERbodytext"/>
      </w:pPr>
      <w:r>
        <w:t xml:space="preserve">Classification is important to customers as it determines which network services </w:t>
      </w:r>
      <w:r w:rsidR="00D32F5A">
        <w:t xml:space="preserve">are included </w:t>
      </w:r>
      <w:r>
        <w:t xml:space="preserve">in basic electricity charges, which services will be sold as additional services and which services we will not regulate. </w:t>
      </w:r>
      <w:r w:rsidR="00D32F5A">
        <w:t>Largely, o</w:t>
      </w:r>
      <w:r>
        <w:t xml:space="preserve">ur decisions reflect our assessment of competition or the potential for competition of distribution services. Where there is limited competition for the provision of services, we classify services to achieve a more prescriptive form of regulation. If there is competition or the potential for competition, we provide a less prescriptive form of regulation or do not regulate the service at all. If only identifiable customers use a service, we may consider classifying these services to encourage a user pays approach to pricing. </w:t>
      </w:r>
    </w:p>
    <w:p w:rsidR="00AA45D3" w:rsidRPr="00775F84" w:rsidRDefault="00AA45D3" w:rsidP="00AA45D3">
      <w:pPr>
        <w:pStyle w:val="AERbodytext"/>
      </w:pPr>
      <w:r>
        <w:t>Our</w:t>
      </w:r>
      <w:r w:rsidRPr="00775F84">
        <w:t xml:space="preserve"> role in service classification only determines the manner in wh</w:t>
      </w:r>
      <w:r>
        <w:t>ich a distributor</w:t>
      </w:r>
      <w:r w:rsidRPr="00775F84">
        <w:t xml:space="preserve"> recovers the costs associated with the distribution services it provides. It does not determine the con</w:t>
      </w:r>
      <w:r>
        <w:t>testability of these services. For example, our</w:t>
      </w:r>
      <w:r w:rsidRPr="00775F84">
        <w:t xml:space="preserve"> classification of a distribution service as a direct control service does not make SA</w:t>
      </w:r>
      <w:r>
        <w:t xml:space="preserve"> </w:t>
      </w:r>
      <w:r w:rsidRPr="00775F84">
        <w:t>P</w:t>
      </w:r>
      <w:r>
        <w:t xml:space="preserve">ower </w:t>
      </w:r>
      <w:r w:rsidRPr="00775F84">
        <w:t>N</w:t>
      </w:r>
      <w:r>
        <w:t>etworks</w:t>
      </w:r>
      <w:r w:rsidRPr="00775F84">
        <w:t xml:space="preserve"> the exclusive monopoly provider of t</w:t>
      </w:r>
      <w:r>
        <w:t>hat service. Likewise, our</w:t>
      </w:r>
      <w:r w:rsidRPr="00775F84">
        <w:t xml:space="preserve"> classification of a distribution service as a negotiated distribution service does not, of itself, make the service contestable and open to supply by providers other than SA</w:t>
      </w:r>
      <w:r>
        <w:t xml:space="preserve"> </w:t>
      </w:r>
      <w:r w:rsidRPr="00775F84">
        <w:t>P</w:t>
      </w:r>
      <w:r>
        <w:t xml:space="preserve">ower </w:t>
      </w:r>
      <w:r w:rsidRPr="00775F84">
        <w:t>N</w:t>
      </w:r>
      <w:r>
        <w:t>etworks</w:t>
      </w:r>
      <w:r w:rsidRPr="00775F84">
        <w:t>. Contestability is</w:t>
      </w:r>
      <w:r w:rsidR="00377281">
        <w:t xml:space="preserve"> </w:t>
      </w:r>
      <w:r w:rsidRPr="00775F84">
        <w:t xml:space="preserve">determined by legislation, or other regulatory instruments, and </w:t>
      </w:r>
      <w:r>
        <w:t>is beyond our control</w:t>
      </w:r>
      <w:r w:rsidRPr="00775F84">
        <w:t>.</w:t>
      </w:r>
    </w:p>
    <w:p w:rsidR="00AA45D3" w:rsidRDefault="00AA45D3" w:rsidP="00AA45D3">
      <w:pPr>
        <w:pStyle w:val="AERbodytext"/>
      </w:pPr>
      <w:r>
        <w:t>Our proposed approach to the classification of distribution services in South Australia is for the 1 July 2015 to 30 June 2020 regulatory control period. Our classifications set out in this F&amp;A must be adopted in a distribution determination, unless we consider that unforeseen circumstances justify a different approach.</w:t>
      </w:r>
      <w:r>
        <w:rPr>
          <w:rStyle w:val="FootnoteReference"/>
        </w:rPr>
        <w:footnoteReference w:id="23"/>
      </w:r>
      <w:r>
        <w:t xml:space="preserve"> </w:t>
      </w:r>
    </w:p>
    <w:p w:rsidR="00AA45D3" w:rsidRDefault="00AA45D3" w:rsidP="00AA45D3">
      <w:pPr>
        <w:pStyle w:val="AERbodytext"/>
        <w:rPr>
          <w:rStyle w:val="AERbody"/>
        </w:rPr>
      </w:pPr>
      <w:r>
        <w:t xml:space="preserve">The rules set out a three stage classification process we must follow. We must consider a number of specified factors at each stage. </w:t>
      </w:r>
      <w:r w:rsidRPr="00F54869">
        <w:rPr>
          <w:rStyle w:val="AERbody"/>
        </w:rPr>
        <w:t xml:space="preserve">Figure </w:t>
      </w:r>
      <w:r>
        <w:rPr>
          <w:rStyle w:val="AERbody"/>
        </w:rPr>
        <w:t>2</w:t>
      </w:r>
      <w:r w:rsidRPr="00F54869">
        <w:rPr>
          <w:rStyle w:val="AERbody"/>
        </w:rPr>
        <w:t xml:space="preserve"> outlines the classification </w:t>
      </w:r>
      <w:r>
        <w:rPr>
          <w:rStyle w:val="AERbody"/>
        </w:rPr>
        <w:t>process under the rules</w:t>
      </w:r>
      <w:r w:rsidRPr="00F54869">
        <w:rPr>
          <w:rStyle w:val="AERbody"/>
        </w:rPr>
        <w:t>.</w:t>
      </w:r>
    </w:p>
    <w:p w:rsidR="00AA45D3" w:rsidRDefault="00AA45D3" w:rsidP="00AA45D3">
      <w:pPr>
        <w:pStyle w:val="Caption"/>
      </w:pPr>
      <w:r>
        <w:lastRenderedPageBreak/>
        <w:t>Figure 2: Distribution service classificat</w:t>
      </w:r>
      <w:r w:rsidRPr="0073096D">
        <w:t>i</w:t>
      </w:r>
      <w:r>
        <w:t>on process</w:t>
      </w:r>
    </w:p>
    <w:p w:rsidR="00AA45D3" w:rsidRPr="00E279A1" w:rsidRDefault="00AA45D3" w:rsidP="00AA45D3">
      <w:pPr>
        <w:pStyle w:val="AERbodytext"/>
      </w:pPr>
      <w:r w:rsidRPr="00AA45D3">
        <w:rPr>
          <w:noProof/>
          <w:lang w:eastAsia="en-AU"/>
        </w:rPr>
        <w:drawing>
          <wp:inline distT="0" distB="0" distL="0" distR="0" wp14:anchorId="4A397E2E" wp14:editId="1AAA8DB2">
            <wp:extent cx="5725160" cy="2941955"/>
            <wp:effectExtent l="1905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25160" cy="2941955"/>
                    </a:xfrm>
                    <a:prstGeom prst="rect">
                      <a:avLst/>
                    </a:prstGeom>
                    <a:noFill/>
                    <a:ln w="9525">
                      <a:noFill/>
                      <a:miter lim="800000"/>
                      <a:headEnd/>
                      <a:tailEnd/>
                    </a:ln>
                  </pic:spPr>
                </pic:pic>
              </a:graphicData>
            </a:graphic>
          </wp:inline>
        </w:drawing>
      </w:r>
    </w:p>
    <w:p w:rsidR="00AA45D3" w:rsidRDefault="00AA45D3" w:rsidP="00AA45D3">
      <w:pPr>
        <w:pStyle w:val="AERtablesource"/>
      </w:pPr>
      <w:r w:rsidRPr="004715C0">
        <w:t>Source: NER, chapter 6, part B.</w:t>
      </w:r>
    </w:p>
    <w:p w:rsidR="00AA45D3" w:rsidRDefault="00AA45D3" w:rsidP="00AA45D3">
      <w:pPr>
        <w:pStyle w:val="AERbodytext"/>
      </w:pPr>
      <w:r>
        <w:t>First, we must determine whether a service is a 'distribution service'. At a high level, distribution services are services provided by means of, or in connection with, a distribution electricity network.</w:t>
      </w:r>
      <w:r>
        <w:rPr>
          <w:rStyle w:val="FootnoteReference"/>
        </w:rPr>
        <w:footnoteReference w:id="24"/>
      </w:r>
    </w:p>
    <w:p w:rsidR="00AA45D3" w:rsidRDefault="00AA45D3" w:rsidP="00AA45D3">
      <w:pPr>
        <w:pStyle w:val="AERbodytext"/>
      </w:pPr>
      <w:r>
        <w:t>Second, we classify the distribution services. We may:</w:t>
      </w:r>
    </w:p>
    <w:p w:rsidR="00AA45D3" w:rsidRPr="004B3EC0" w:rsidRDefault="00AA45D3" w:rsidP="00AA45D3">
      <w:pPr>
        <w:pStyle w:val="AERbulletlistfirststyle"/>
      </w:pPr>
      <w:r>
        <w:t>classify a service that benefits all customers so that the distributor may attribute costs</w:t>
      </w:r>
      <w:r w:rsidRPr="004B3EC0">
        <w:t xml:space="preserve"> to all customers (direct control and standard control)</w:t>
      </w:r>
    </w:p>
    <w:p w:rsidR="00AA45D3" w:rsidRPr="004B3EC0" w:rsidRDefault="00AA45D3" w:rsidP="00AA45D3">
      <w:pPr>
        <w:pStyle w:val="AERbulletlistfirststyle"/>
      </w:pPr>
      <w:r w:rsidRPr="00E422BD">
        <w:t>classify a service so that the user benefiting from the service pays</w:t>
      </w:r>
      <w:r w:rsidRPr="004B3EC0">
        <w:t xml:space="preserve"> (direct control and alternative control)</w:t>
      </w:r>
    </w:p>
    <w:p w:rsidR="00AA45D3" w:rsidRPr="004B3EC0" w:rsidRDefault="00AA45D3" w:rsidP="00AA45D3">
      <w:pPr>
        <w:pStyle w:val="AERbulletlistfirststyle"/>
      </w:pPr>
      <w:r>
        <w:t>allow customers and distributors to negotiate t</w:t>
      </w:r>
      <w:r w:rsidRPr="004B3EC0">
        <w:t>he provision and pr</w:t>
      </w:r>
      <w:r>
        <w:t xml:space="preserve">ice of some services. Our </w:t>
      </w:r>
      <w:r w:rsidRPr="004B3EC0">
        <w:t xml:space="preserve">only role will be to arbitrate should negotiations stall (negotiated distribution service) </w:t>
      </w:r>
    </w:p>
    <w:p w:rsidR="00874469" w:rsidRPr="004B3EC0" w:rsidRDefault="00AA45D3" w:rsidP="00B36C96">
      <w:pPr>
        <w:pStyle w:val="AERbulletlistfirststyle"/>
      </w:pPr>
      <w:r w:rsidRPr="00E422BD">
        <w:t>not classify a se</w:t>
      </w:r>
      <w:r>
        <w:t>rvice. In this instance, we have</w:t>
      </w:r>
      <w:r w:rsidRPr="00E422BD">
        <w:t xml:space="preserve"> no regulatory control over this service</w:t>
      </w:r>
      <w:r w:rsidRPr="004B3EC0">
        <w:t xml:space="preserve"> or the prices charged by the distributor for the service (unclassified service).</w:t>
      </w:r>
      <w:r w:rsidR="00C83285">
        <w:rPr>
          <w:rStyle w:val="FootnoteReference"/>
        </w:rPr>
        <w:footnoteReference w:id="25"/>
      </w:r>
      <w:r w:rsidRPr="004B3EC0">
        <w:t xml:space="preserve"> </w:t>
      </w:r>
    </w:p>
    <w:p w:rsidR="00AA45D3" w:rsidRPr="00AA45D3" w:rsidRDefault="00AA45D3" w:rsidP="00AA45D3">
      <w:pPr>
        <w:pStyle w:val="Heading2"/>
        <w:rPr>
          <w:rStyle w:val="AERbody"/>
          <w:color w:val="E36C0A"/>
          <w:sz w:val="28"/>
        </w:rPr>
      </w:pPr>
      <w:bookmarkStart w:id="8" w:name="_Toc351732920"/>
      <w:bookmarkStart w:id="9" w:name="_Toc351731448"/>
      <w:bookmarkStart w:id="10" w:name="_Toc373499984"/>
      <w:bookmarkStart w:id="11" w:name="_Toc373773969"/>
      <w:r w:rsidRPr="00AA45D3">
        <w:rPr>
          <w:rStyle w:val="AERbody"/>
          <w:color w:val="E36C0A"/>
          <w:sz w:val="28"/>
        </w:rPr>
        <w:t xml:space="preserve">AER’s preliminary approach </w:t>
      </w:r>
      <w:bookmarkEnd w:id="8"/>
      <w:bookmarkEnd w:id="9"/>
      <w:bookmarkEnd w:id="10"/>
      <w:bookmarkEnd w:id="11"/>
    </w:p>
    <w:p w:rsidR="00AA45D3" w:rsidRDefault="00AA45D3" w:rsidP="00AA45D3">
      <w:pPr>
        <w:pStyle w:val="AERbodytext"/>
        <w:rPr>
          <w:rStyle w:val="AERbody"/>
        </w:rPr>
      </w:pPr>
      <w:r>
        <w:t>Our proposed classification of SA Power Networks’ distribution services is set out in figure</w:t>
      </w:r>
      <w:r w:rsidRPr="008B0809">
        <w:rPr>
          <w:rStyle w:val="AERbody"/>
        </w:rPr>
        <w:t xml:space="preserve"> </w:t>
      </w:r>
      <w:r>
        <w:rPr>
          <w:rStyle w:val="AERbody"/>
        </w:rPr>
        <w:t xml:space="preserve">3. </w:t>
      </w:r>
    </w:p>
    <w:p w:rsidR="00AA45D3" w:rsidRDefault="00AA45D3" w:rsidP="00515214">
      <w:pPr>
        <w:pStyle w:val="AERbodytext"/>
        <w:numPr>
          <w:ilvl w:val="0"/>
          <w:numId w:val="0"/>
        </w:numPr>
        <w:rPr>
          <w:rStyle w:val="AERbody"/>
        </w:rPr>
      </w:pPr>
    </w:p>
    <w:p w:rsidR="00515214" w:rsidRDefault="00515214" w:rsidP="00515214">
      <w:pPr>
        <w:pStyle w:val="AERbodytext"/>
        <w:numPr>
          <w:ilvl w:val="0"/>
          <w:numId w:val="0"/>
        </w:numPr>
        <w:rPr>
          <w:rStyle w:val="AERbody"/>
        </w:rPr>
      </w:pPr>
    </w:p>
    <w:p w:rsidR="00515214" w:rsidRDefault="00515214" w:rsidP="00515214">
      <w:pPr>
        <w:pStyle w:val="AERbodytext"/>
        <w:numPr>
          <w:ilvl w:val="0"/>
          <w:numId w:val="0"/>
        </w:numPr>
        <w:rPr>
          <w:rStyle w:val="AERbody"/>
        </w:rPr>
      </w:pPr>
    </w:p>
    <w:p w:rsidR="00515214" w:rsidRDefault="00515214" w:rsidP="00515214">
      <w:pPr>
        <w:pStyle w:val="AERbodytext"/>
        <w:numPr>
          <w:ilvl w:val="0"/>
          <w:numId w:val="0"/>
        </w:numPr>
        <w:rPr>
          <w:rStyle w:val="AERbody"/>
        </w:rPr>
      </w:pPr>
    </w:p>
    <w:p w:rsidR="00AA45D3" w:rsidRPr="0013296F" w:rsidRDefault="00AA45D3" w:rsidP="00AA45D3">
      <w:pPr>
        <w:pStyle w:val="AERbodytext"/>
        <w:rPr>
          <w:rStyle w:val="AERtextbold"/>
        </w:rPr>
      </w:pPr>
      <w:r>
        <w:rPr>
          <w:rStyle w:val="AERtextbold"/>
        </w:rPr>
        <w:lastRenderedPageBreak/>
        <w:t>Figure</w:t>
      </w:r>
      <w:r w:rsidRPr="0013296F">
        <w:rPr>
          <w:rStyle w:val="AERtextbold"/>
        </w:rPr>
        <w:t xml:space="preserve"> </w:t>
      </w:r>
      <w:r>
        <w:rPr>
          <w:rStyle w:val="AERtextbold"/>
        </w:rPr>
        <w:t>3</w:t>
      </w:r>
      <w:r w:rsidRPr="0013296F">
        <w:rPr>
          <w:rStyle w:val="AERtextbold"/>
        </w:rPr>
        <w:t xml:space="preserve">: </w:t>
      </w:r>
      <w:r>
        <w:rPr>
          <w:rStyle w:val="AERtextbold"/>
        </w:rPr>
        <w:t>Our</w:t>
      </w:r>
      <w:r w:rsidRPr="0013296F">
        <w:rPr>
          <w:rStyle w:val="AERtextbold"/>
        </w:rPr>
        <w:t xml:space="preserve"> </w:t>
      </w:r>
      <w:r>
        <w:rPr>
          <w:rStyle w:val="AERtextbold"/>
        </w:rPr>
        <w:t>proposed</w:t>
      </w:r>
      <w:r w:rsidRPr="0013296F">
        <w:rPr>
          <w:rStyle w:val="AERtextbold"/>
        </w:rPr>
        <w:t xml:space="preserve"> classification of </w:t>
      </w:r>
      <w:r>
        <w:rPr>
          <w:rStyle w:val="AERtextbold"/>
        </w:rPr>
        <w:t>SAPN's</w:t>
      </w:r>
      <w:r w:rsidRPr="0013296F">
        <w:rPr>
          <w:rStyle w:val="AERtextbold"/>
        </w:rPr>
        <w:t xml:space="preserve"> distribution services </w:t>
      </w:r>
    </w:p>
    <w:p w:rsidR="00AA45D3" w:rsidRPr="008B0809" w:rsidRDefault="00CC2BB9" w:rsidP="00AA45D3">
      <w:pPr>
        <w:pStyle w:val="AERbodytext"/>
      </w:pPr>
      <w:r>
        <w:rPr>
          <w:noProof/>
          <w:lang w:eastAsia="en-AU"/>
        </w:rPr>
        <w:drawing>
          <wp:inline distT="0" distB="0" distL="0" distR="0" wp14:anchorId="67D6B663" wp14:editId="331FF49E">
            <wp:extent cx="5731510" cy="408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2-2013 2-25-11 PM.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083050"/>
                    </a:xfrm>
                    <a:prstGeom prst="rect">
                      <a:avLst/>
                    </a:prstGeom>
                  </pic:spPr>
                </pic:pic>
              </a:graphicData>
            </a:graphic>
          </wp:inline>
        </w:drawing>
      </w:r>
    </w:p>
    <w:p w:rsidR="00AA45D3" w:rsidRDefault="00AA45D3" w:rsidP="00AA45D3">
      <w:pPr>
        <w:pStyle w:val="AERtablesource"/>
      </w:pPr>
      <w:r w:rsidRPr="008B0809">
        <w:t>Source: AER</w:t>
      </w:r>
    </w:p>
    <w:p w:rsidR="00AA45D3" w:rsidRDefault="00AA45D3" w:rsidP="00AA45D3">
      <w:pPr>
        <w:pStyle w:val="AERbodytext"/>
      </w:pPr>
      <w:r>
        <w:t>Standard network services typically form a majority of distribution services. This group of services forms the core of what an electricity distributor does and includes activities like constructing and maintaining the network.</w:t>
      </w:r>
      <w:r w:rsidRPr="002E542C">
        <w:t xml:space="preserve"> </w:t>
      </w:r>
      <w:r>
        <w:t xml:space="preserve">SA Power Networks provides standard network services under a restrictive licence issued by the Essential Service Commission of South Australia (ESCOSA), which precludes other service providers. As it would be inefficient to have multiple providers of network services, competition for these services would not be in the interests of consumers. When competition is absent, we apply the most prescriptive form of regulation— direct control. </w:t>
      </w:r>
    </w:p>
    <w:p w:rsidR="00AA45D3" w:rsidRDefault="00AA45D3" w:rsidP="00AA45D3">
      <w:pPr>
        <w:pStyle w:val="AERbodytext"/>
      </w:pPr>
      <w:r>
        <w:t xml:space="preserve">Because SA Power Networks’ standard network services are used by most (if not all) of its customers, it is appropriate for SA Power Networks to recover these costs from all customers. We therefore classify network services as standard control. </w:t>
      </w:r>
    </w:p>
    <w:p w:rsidR="00AA45D3" w:rsidRDefault="00AA45D3" w:rsidP="00AA45D3">
      <w:pPr>
        <w:pStyle w:val="AERbodytext"/>
      </w:pPr>
      <w:r w:rsidRPr="00AA45D3">
        <w:rPr>
          <w:rFonts w:eastAsiaTheme="minorHAnsi"/>
        </w:rPr>
        <w:t xml:space="preserve">Similar to network services, basic connection services are provided on a routine basis and are currently classified as standard control. </w:t>
      </w:r>
      <w:r>
        <w:t xml:space="preserve">SA Power Networks is the only provider of basic connection services. </w:t>
      </w:r>
      <w:r w:rsidRPr="002A10DB">
        <w:rPr>
          <w:rStyle w:val="AERbody"/>
        </w:rPr>
        <w:t xml:space="preserve">A </w:t>
      </w:r>
      <w:r>
        <w:rPr>
          <w:rStyle w:val="AERbody"/>
        </w:rPr>
        <w:t>b</w:t>
      </w:r>
      <w:r w:rsidRPr="002A10DB">
        <w:rPr>
          <w:rStyle w:val="AERbody"/>
        </w:rPr>
        <w:t xml:space="preserve">asic </w:t>
      </w:r>
      <w:r>
        <w:rPr>
          <w:rStyle w:val="AERbody"/>
        </w:rPr>
        <w:t xml:space="preserve">(or standard) </w:t>
      </w:r>
      <w:r w:rsidRPr="002A10DB">
        <w:rPr>
          <w:rStyle w:val="AERbody"/>
        </w:rPr>
        <w:t>connection is a connection or an alteration which involves minimal or no augmentation (no extension or upgrade) of SA</w:t>
      </w:r>
      <w:r>
        <w:rPr>
          <w:rStyle w:val="AERbody"/>
        </w:rPr>
        <w:t xml:space="preserve"> </w:t>
      </w:r>
      <w:r w:rsidRPr="002A10DB">
        <w:rPr>
          <w:rStyle w:val="AERbody"/>
        </w:rPr>
        <w:t>P</w:t>
      </w:r>
      <w:r>
        <w:rPr>
          <w:rStyle w:val="AERbody"/>
        </w:rPr>
        <w:t xml:space="preserve">ower </w:t>
      </w:r>
      <w:r w:rsidRPr="002A10DB">
        <w:rPr>
          <w:rStyle w:val="AERbody"/>
        </w:rPr>
        <w:t>N</w:t>
      </w:r>
      <w:r>
        <w:rPr>
          <w:rStyle w:val="AERbody"/>
        </w:rPr>
        <w:t>etwork</w:t>
      </w:r>
      <w:r w:rsidRPr="002A10DB">
        <w:rPr>
          <w:rStyle w:val="AERbody"/>
        </w:rPr>
        <w:t>s</w:t>
      </w:r>
      <w:r>
        <w:rPr>
          <w:rStyle w:val="AERbody"/>
        </w:rPr>
        <w:t>’</w:t>
      </w:r>
      <w:r w:rsidR="002B5CB9">
        <w:rPr>
          <w:rStyle w:val="AERbody"/>
        </w:rPr>
        <w:t xml:space="preserve"> </w:t>
      </w:r>
      <w:r w:rsidRPr="002A10DB">
        <w:rPr>
          <w:rStyle w:val="AERbody"/>
        </w:rPr>
        <w:t xml:space="preserve">distribution network. This is different </w:t>
      </w:r>
      <w:r>
        <w:rPr>
          <w:rStyle w:val="AERbody"/>
        </w:rPr>
        <w:t>to</w:t>
      </w:r>
      <w:r w:rsidRPr="002A10DB">
        <w:rPr>
          <w:rStyle w:val="AERbody"/>
        </w:rPr>
        <w:t xml:space="preserve"> </w:t>
      </w:r>
      <w:r>
        <w:rPr>
          <w:rStyle w:val="AERbody"/>
        </w:rPr>
        <w:t xml:space="preserve">non-basic </w:t>
      </w:r>
      <w:r w:rsidRPr="002A10DB">
        <w:rPr>
          <w:rStyle w:val="AERbody"/>
        </w:rPr>
        <w:t xml:space="preserve">connection services </w:t>
      </w:r>
      <w:r>
        <w:rPr>
          <w:rStyle w:val="AERbody"/>
        </w:rPr>
        <w:t xml:space="preserve">which require an augmentation. It is </w:t>
      </w:r>
      <w:r w:rsidRPr="00AA45D3">
        <w:rPr>
          <w:rFonts w:eastAsiaTheme="minorHAnsi"/>
        </w:rPr>
        <w:t xml:space="preserve">provided on a 'standard' or routine basis. Because basic connection services </w:t>
      </w:r>
      <w:r>
        <w:t xml:space="preserve">are not contestable in South Australia, we consider that these services should be classified as standard control. </w:t>
      </w:r>
    </w:p>
    <w:p w:rsidR="00AA45D3" w:rsidRDefault="00AA45D3" w:rsidP="00AA45D3">
      <w:pPr>
        <w:pStyle w:val="AERbodytext"/>
        <w:rPr>
          <w:rStyle w:val="AERbody"/>
        </w:rPr>
      </w:pPr>
      <w:r>
        <w:t xml:space="preserve">Sitting between direct control and unregulated services, is the negotiated service classification. This is a light handed approach to regulation. Negotiated service prices are set by negotiation between the parties according to a framework set out in the rules. We are available to arbitrate if negotiations stall. </w:t>
      </w:r>
      <w:r>
        <w:lastRenderedPageBreak/>
        <w:t xml:space="preserve">This classification typically relies on both parties possessing sufficient market power for effective negotiations. We consider a number of SA Power Networks’ distribution services would benefit from this classification. For example, </w:t>
      </w:r>
      <w:r>
        <w:rPr>
          <w:rStyle w:val="AERbody"/>
        </w:rPr>
        <w:t xml:space="preserve">metering services for type 1 to 4 meters (for large electricity consumers and those with remotely read meters) are fully contestable. That is, SA Power Networks does not have an exclusive right to provide these metering services. We consider consumers have sufficient market power, within contestable markets, to negotiate efficient prices for these services. Likewise, we consider other distribution services where customers possess similar countervailing market power such as </w:t>
      </w:r>
      <w:r>
        <w:t>public lighting, non-standard network and connection services, should be classified as negotiated services.</w:t>
      </w:r>
    </w:p>
    <w:p w:rsidR="00AA45D3" w:rsidRDefault="00AA45D3" w:rsidP="00AA45D3">
      <w:pPr>
        <w:pStyle w:val="AERbodytext"/>
        <w:rPr>
          <w:rStyle w:val="AERbody"/>
        </w:rPr>
      </w:pPr>
      <w:r>
        <w:rPr>
          <w:rStyle w:val="AERbody"/>
        </w:rPr>
        <w:t xml:space="preserve">In summary, </w:t>
      </w:r>
      <w:r w:rsidR="00110B9E">
        <w:rPr>
          <w:rStyle w:val="AERbody"/>
        </w:rPr>
        <w:t xml:space="preserve">with the exception of a number of standard type 6 metering related services, </w:t>
      </w:r>
      <w:r>
        <w:rPr>
          <w:rStyle w:val="AERbody"/>
        </w:rPr>
        <w:t>our</w:t>
      </w:r>
      <w:r w:rsidRPr="008B0809">
        <w:rPr>
          <w:rStyle w:val="AERbody"/>
        </w:rPr>
        <w:t xml:space="preserve"> </w:t>
      </w:r>
      <w:r>
        <w:rPr>
          <w:rStyle w:val="AERbody"/>
        </w:rPr>
        <w:t>proposed</w:t>
      </w:r>
      <w:r w:rsidRPr="008B0809">
        <w:rPr>
          <w:rStyle w:val="AERbody"/>
        </w:rPr>
        <w:t xml:space="preserve"> approach to service</w:t>
      </w:r>
      <w:r>
        <w:rPr>
          <w:rStyle w:val="AERbody"/>
        </w:rPr>
        <w:t xml:space="preserve"> classification</w:t>
      </w:r>
      <w:r w:rsidRPr="008B0809">
        <w:rPr>
          <w:rStyle w:val="AERbody"/>
        </w:rPr>
        <w:t xml:space="preserve"> </w:t>
      </w:r>
      <w:r w:rsidR="00515214">
        <w:rPr>
          <w:rStyle w:val="AERbody"/>
        </w:rPr>
        <w:t xml:space="preserve">is to </w:t>
      </w:r>
      <w:r>
        <w:rPr>
          <w:rStyle w:val="AERbody"/>
        </w:rPr>
        <w:t xml:space="preserve">maintain the existing classifications for distribution services applied in the 2010–15 regulatory control period. This is because we consider there is insufficient evidence to suggest that a change in classification is clearly more appropriate. </w:t>
      </w:r>
    </w:p>
    <w:p w:rsidR="00AA45D3" w:rsidRPr="00AA45D3" w:rsidRDefault="00AA45D3" w:rsidP="00AA45D3">
      <w:pPr>
        <w:pStyle w:val="Heading2"/>
      </w:pPr>
      <w:bookmarkStart w:id="12" w:name="_Toc351732921"/>
      <w:bookmarkStart w:id="13" w:name="_Toc351731449"/>
      <w:bookmarkStart w:id="14" w:name="_Toc373499985"/>
      <w:bookmarkStart w:id="15" w:name="_Toc373773970"/>
      <w:r w:rsidRPr="00AA45D3">
        <w:t>AER’s assessment approach</w:t>
      </w:r>
      <w:bookmarkEnd w:id="12"/>
      <w:bookmarkEnd w:id="13"/>
      <w:bookmarkEnd w:id="14"/>
      <w:bookmarkEnd w:id="15"/>
    </w:p>
    <w:p w:rsidR="00AA45D3" w:rsidRDefault="00AA45D3" w:rsidP="00AA45D3">
      <w:pPr>
        <w:pStyle w:val="AERbodytext"/>
      </w:pPr>
      <w:r>
        <w:t xml:space="preserve">We follow a three stage assessment process when classifying distribution services. Figure 2 </w:t>
      </w:r>
      <w:r w:rsidR="00F021D7">
        <w:t xml:space="preserve">above </w:t>
      </w:r>
      <w:r>
        <w:t xml:space="preserve">outlines this process: </w:t>
      </w:r>
    </w:p>
    <w:p w:rsidR="00AA45D3" w:rsidRDefault="00AA45D3" w:rsidP="00AA45D3">
      <w:pPr>
        <w:pStyle w:val="AERnumberedlistfirststyle"/>
      </w:pPr>
      <w:r>
        <w:t xml:space="preserve">We must </w:t>
      </w:r>
      <w:r w:rsidRPr="00804B33">
        <w:t>first satisf</w:t>
      </w:r>
      <w:r>
        <w:t>y</w:t>
      </w:r>
      <w:r w:rsidRPr="00804B33">
        <w:t xml:space="preserve"> </w:t>
      </w:r>
      <w:r>
        <w:t>our</w:t>
      </w:r>
      <w:r w:rsidRPr="00804B33">
        <w:t>sel</w:t>
      </w:r>
      <w:r>
        <w:t>ves</w:t>
      </w:r>
      <w:r w:rsidRPr="00804B33">
        <w:t xml:space="preserve"> that </w:t>
      </w:r>
      <w:r>
        <w:t>a</w:t>
      </w:r>
      <w:r w:rsidRPr="00804B33">
        <w:t xml:space="preserve"> service is a 'distribution service'</w:t>
      </w:r>
      <w:r>
        <w:t xml:space="preserve"> (step 1 in figure 2)</w:t>
      </w:r>
      <w:r w:rsidRPr="00804B33">
        <w:t xml:space="preserve">. The </w:t>
      </w:r>
      <w:r>
        <w:t>rules</w:t>
      </w:r>
      <w:r w:rsidRPr="00804B33">
        <w:t xml:space="preserve"> define a distribution service</w:t>
      </w:r>
      <w:r w:rsidR="00444B24">
        <w:t xml:space="preserve"> as</w:t>
      </w:r>
      <w:r>
        <w:t xml:space="preserve"> </w:t>
      </w:r>
      <w:r w:rsidRPr="00804B33">
        <w:t>a service provided by means of, or in connection with, a distribution system.</w:t>
      </w:r>
      <w:r w:rsidRPr="00804B33">
        <w:rPr>
          <w:rStyle w:val="FootnoteReference"/>
        </w:rPr>
        <w:footnoteReference w:id="26"/>
      </w:r>
      <w:r w:rsidRPr="00804B33">
        <w:t xml:space="preserve"> </w:t>
      </w:r>
      <w:r>
        <w:t>A distribution system i</w:t>
      </w:r>
      <w:r w:rsidRPr="00804B33">
        <w:t>s a 'distribution network, together with the connection assets associated with the distribution network, which is connected to another transmission or distribution system</w:t>
      </w:r>
      <w:r>
        <w:t>'</w:t>
      </w:r>
      <w:r w:rsidRPr="00804B33">
        <w:t>.</w:t>
      </w:r>
      <w:r>
        <w:rPr>
          <w:rStyle w:val="FootnoteReference"/>
        </w:rPr>
        <w:footnoteReference w:id="27"/>
      </w:r>
      <w:r w:rsidRPr="00804B33">
        <w:t xml:space="preserve"> </w:t>
      </w:r>
    </w:p>
    <w:p w:rsidR="00AA45D3" w:rsidRDefault="00AA45D3" w:rsidP="00AA45D3">
      <w:pPr>
        <w:pStyle w:val="AERnumberedlistfirststyle"/>
      </w:pPr>
      <w:r>
        <w:t xml:space="preserve">We then </w:t>
      </w:r>
      <w:r w:rsidRPr="00804B33">
        <w:t xml:space="preserve">consider whether </w:t>
      </w:r>
      <w:r>
        <w:t xml:space="preserve">economic </w:t>
      </w:r>
      <w:r w:rsidRPr="00804B33">
        <w:t>regulation</w:t>
      </w:r>
      <w:r>
        <w:t xml:space="preserve"> of the service</w:t>
      </w:r>
      <w:r w:rsidRPr="00804B33">
        <w:t xml:space="preserve"> </w:t>
      </w:r>
      <w:r>
        <w:t>is</w:t>
      </w:r>
      <w:r w:rsidRPr="00804B33">
        <w:t xml:space="preserve"> appropriate</w:t>
      </w:r>
      <w:r>
        <w:t xml:space="preserve"> for the distribution service </w:t>
      </w:r>
      <w:r w:rsidRPr="0065603D">
        <w:t xml:space="preserve">(step 2 in figure </w:t>
      </w:r>
      <w:r>
        <w:t>2</w:t>
      </w:r>
      <w:r w:rsidRPr="0065603D">
        <w:t>)</w:t>
      </w:r>
      <w:r w:rsidRPr="00804B33">
        <w:t xml:space="preserve">. </w:t>
      </w:r>
      <w:r>
        <w:t>Where we do not think economic regulation is appropriate, because of the presence of competition, we will not classify the service.</w:t>
      </w:r>
      <w:r w:rsidRPr="00804B33">
        <w:t xml:space="preserve"> </w:t>
      </w:r>
      <w:r>
        <w:t>If there is little or no competition in relation to a service</w:t>
      </w:r>
      <w:r w:rsidRPr="00804B33">
        <w:t xml:space="preserve">, </w:t>
      </w:r>
      <w:r>
        <w:t>we consider whether to classify the service</w:t>
      </w:r>
      <w:r w:rsidRPr="00804B33">
        <w:t xml:space="preserve"> as either a direct control or negotiated distribution service.</w:t>
      </w:r>
      <w:r w:rsidRPr="00804B33">
        <w:rPr>
          <w:rStyle w:val="FootnoteReference"/>
        </w:rPr>
        <w:footnoteReference w:id="28"/>
      </w:r>
      <w:r w:rsidRPr="00804B33">
        <w:t xml:space="preserve"> </w:t>
      </w:r>
    </w:p>
    <w:p w:rsidR="00AA45D3" w:rsidRPr="00804B33" w:rsidRDefault="00AA45D3" w:rsidP="00AA45D3">
      <w:pPr>
        <w:pStyle w:val="AERnumberedlistfirststyle"/>
      </w:pPr>
      <w:r>
        <w:t>W</w:t>
      </w:r>
      <w:r w:rsidRPr="00804B33">
        <w:t xml:space="preserve">here </w:t>
      </w:r>
      <w:r>
        <w:t>we</w:t>
      </w:r>
      <w:r w:rsidRPr="00804B33">
        <w:t xml:space="preserve"> consider a service should be </w:t>
      </w:r>
      <w:r>
        <w:t>a</w:t>
      </w:r>
      <w:r w:rsidRPr="00804B33">
        <w:t xml:space="preserve"> </w:t>
      </w:r>
      <w:r>
        <w:t xml:space="preserve">classified as </w:t>
      </w:r>
      <w:r w:rsidRPr="00804B33">
        <w:t>direct control</w:t>
      </w:r>
      <w:r>
        <w:t xml:space="preserve"> service</w:t>
      </w:r>
      <w:r w:rsidRPr="00804B33">
        <w:t xml:space="preserve">, </w:t>
      </w:r>
      <w:r>
        <w:t>we</w:t>
      </w:r>
      <w:r w:rsidRPr="00804B33">
        <w:t xml:space="preserve"> </w:t>
      </w:r>
      <w:r>
        <w:t>further classify it</w:t>
      </w:r>
      <w:r w:rsidRPr="00804B33">
        <w:t xml:space="preserve"> as </w:t>
      </w:r>
      <w:r>
        <w:t xml:space="preserve">either </w:t>
      </w:r>
      <w:r w:rsidRPr="00804B33">
        <w:t xml:space="preserve">a standard control or alternative control service (step </w:t>
      </w:r>
      <w:r>
        <w:t>3 in figure 2)</w:t>
      </w:r>
      <w:r w:rsidRPr="00804B33">
        <w:t>.</w:t>
      </w:r>
      <w:r w:rsidRPr="00804B33">
        <w:rPr>
          <w:rStyle w:val="FootnoteReference"/>
        </w:rPr>
        <w:footnoteReference w:id="29"/>
      </w:r>
      <w:r w:rsidRPr="00804B33">
        <w:t xml:space="preserve"> </w:t>
      </w:r>
    </w:p>
    <w:p w:rsidR="00AA45D3" w:rsidRPr="00502CB4" w:rsidRDefault="005A4E40" w:rsidP="00AA45D3">
      <w:pPr>
        <w:pStyle w:val="AERbodytext"/>
      </w:pPr>
      <w:r>
        <w:t xml:space="preserve">When classifying distribution services, we must do so in accordance with the rules. </w:t>
      </w:r>
      <w:r w:rsidR="002C40CB">
        <w:t xml:space="preserve">We must also have regard to the 'form of regulation factors'. </w:t>
      </w:r>
      <w:r>
        <w:t>The rules</w:t>
      </w:r>
      <w:r w:rsidRPr="00502CB4">
        <w:t xml:space="preserve"> </w:t>
      </w:r>
      <w:r w:rsidR="002C40CB">
        <w:t xml:space="preserve">applicable to classification, and the form of regulation factors, </w:t>
      </w:r>
      <w:r w:rsidR="00AA45D3" w:rsidRPr="00502CB4">
        <w:t xml:space="preserve">are set out </w:t>
      </w:r>
      <w:r w:rsidR="00AA45D3">
        <w:t>in</w:t>
      </w:r>
      <w:r w:rsidR="00AA45D3" w:rsidRPr="00502CB4">
        <w:t xml:space="preserve"> appendix A. </w:t>
      </w:r>
    </w:p>
    <w:p w:rsidR="00AA45D3" w:rsidRPr="00E279A1" w:rsidRDefault="00AA45D3" w:rsidP="00AA45D3">
      <w:pPr>
        <w:pStyle w:val="AERbodytext"/>
      </w:pPr>
      <w:r>
        <w:t>The rules also specify that for services regulated previously, we must act on the basis that unless a different classification is clearly more appropriate:</w:t>
      </w:r>
    </w:p>
    <w:p w:rsidR="00AA45D3" w:rsidRPr="004B3EC0" w:rsidRDefault="00AA45D3" w:rsidP="00AA45D3">
      <w:pPr>
        <w:pStyle w:val="AERbulletlistfirststyle"/>
      </w:pPr>
      <w:r>
        <w:t>there should be no departure from a previous classification (if the services have been previously classified); and</w:t>
      </w:r>
    </w:p>
    <w:p w:rsidR="00AA45D3" w:rsidRPr="004B3EC0" w:rsidRDefault="00AA45D3" w:rsidP="00AA45D3">
      <w:pPr>
        <w:pStyle w:val="AERbulletlistfirststyle"/>
      </w:pPr>
      <w:r>
        <w:t>if there has been no previous classification, our classification should be consistent with the previous regulatory approach.</w:t>
      </w:r>
      <w:r w:rsidRPr="004B3EC0">
        <w:rPr>
          <w:rStyle w:val="FootnoteReference"/>
        </w:rPr>
        <w:footnoteReference w:id="30"/>
      </w:r>
    </w:p>
    <w:p w:rsidR="00AA45D3" w:rsidRDefault="00AA45D3" w:rsidP="00AA45D3">
      <w:pPr>
        <w:pStyle w:val="AERbodytext"/>
      </w:pPr>
      <w:r>
        <w:lastRenderedPageBreak/>
        <w:t>The rules also allow us to group distribution services. We may</w:t>
      </w:r>
      <w:r w:rsidRPr="002102A5">
        <w:t xml:space="preserve"> classify a class of activities rather than the specific activities </w:t>
      </w:r>
      <w:r>
        <w:t xml:space="preserve">that form part </w:t>
      </w:r>
      <w:r w:rsidRPr="002102A5">
        <w:t xml:space="preserve">of the service. This provides </w:t>
      </w:r>
      <w:r>
        <w:t>SA Power Networks</w:t>
      </w:r>
      <w:r w:rsidRPr="002102A5">
        <w:t xml:space="preserve"> with flexibility to alter the exact specification (but not the nature) of a service during the regulatory control period. Where </w:t>
      </w:r>
      <w:r>
        <w:t xml:space="preserve">we make </w:t>
      </w:r>
      <w:r w:rsidRPr="002102A5">
        <w:t>a single classification for the group</w:t>
      </w:r>
      <w:r>
        <w:t xml:space="preserve"> of services,</w:t>
      </w:r>
      <w:r w:rsidRPr="002102A5">
        <w:t xml:space="preserve"> it applies to each service in the group</w:t>
      </w:r>
      <w:r>
        <w:t>.</w:t>
      </w:r>
    </w:p>
    <w:p w:rsidR="00AA45D3" w:rsidRPr="002102A5" w:rsidRDefault="00AA45D3" w:rsidP="00AA45D3">
      <w:pPr>
        <w:pStyle w:val="AERbodytext"/>
      </w:pPr>
      <w:r>
        <w:t>We intend</w:t>
      </w:r>
      <w:r w:rsidRPr="002102A5">
        <w:t xml:space="preserve"> to group distribution services provided by </w:t>
      </w:r>
      <w:r>
        <w:t>SA Power Networks</w:t>
      </w:r>
      <w:r w:rsidRPr="002102A5">
        <w:t xml:space="preserve"> as:</w:t>
      </w:r>
    </w:p>
    <w:p w:rsidR="00AA45D3" w:rsidRPr="002102A5" w:rsidRDefault="00AA45D3" w:rsidP="00AA45D3">
      <w:pPr>
        <w:pStyle w:val="AERbulletlistfirststyle"/>
      </w:pPr>
      <w:r w:rsidRPr="002102A5">
        <w:t>network services</w:t>
      </w:r>
    </w:p>
    <w:p w:rsidR="00AA45D3" w:rsidRDefault="00AA45D3" w:rsidP="00AA45D3">
      <w:pPr>
        <w:pStyle w:val="AERbulletlistfirststyle"/>
      </w:pPr>
      <w:r>
        <w:t>connection services</w:t>
      </w:r>
    </w:p>
    <w:p w:rsidR="00AA45D3" w:rsidRDefault="00AA45D3" w:rsidP="00AA45D3">
      <w:pPr>
        <w:pStyle w:val="AERbulletlistfirststyle"/>
      </w:pPr>
      <w:r w:rsidRPr="002102A5">
        <w:t>metering services</w:t>
      </w:r>
    </w:p>
    <w:p w:rsidR="00AA45D3" w:rsidRPr="002102A5" w:rsidRDefault="00AA45D3" w:rsidP="00AA45D3">
      <w:pPr>
        <w:pStyle w:val="AERbulletlistfirststyle"/>
      </w:pPr>
      <w:r>
        <w:t>public lighting services</w:t>
      </w:r>
    </w:p>
    <w:p w:rsidR="00AA45D3" w:rsidRPr="004B3EC0" w:rsidRDefault="00AA45D3" w:rsidP="00AA45D3">
      <w:pPr>
        <w:pStyle w:val="AERbulletlistfirststyle"/>
      </w:pPr>
      <w:r>
        <w:t xml:space="preserve">non-standard </w:t>
      </w:r>
      <w:r w:rsidRPr="004B3EC0">
        <w:t>network services.</w:t>
      </w:r>
    </w:p>
    <w:p w:rsidR="00AA45D3" w:rsidRPr="005D6C30" w:rsidRDefault="00AA45D3" w:rsidP="00AA45D3">
      <w:pPr>
        <w:pStyle w:val="AERbodytext"/>
        <w:rPr>
          <w:rStyle w:val="AERsuperscript"/>
        </w:rPr>
      </w:pPr>
      <w:r>
        <w:rPr>
          <w:rStyle w:val="AERbody"/>
        </w:rPr>
        <w:t>We consider</w:t>
      </w:r>
      <w:r w:rsidRPr="00B56728">
        <w:rPr>
          <w:rStyle w:val="AERbody"/>
        </w:rPr>
        <w:t xml:space="preserve"> that the groups of services above are distribution services. They each provide services by means of, or in connection</w:t>
      </w:r>
      <w:r>
        <w:rPr>
          <w:rStyle w:val="AERbody"/>
        </w:rPr>
        <w:t xml:space="preserve"> </w:t>
      </w:r>
      <w:r w:rsidRPr="00B56728">
        <w:rPr>
          <w:rStyle w:val="AERbody"/>
        </w:rPr>
        <w:t>with, a distribution service.</w:t>
      </w:r>
      <w:r w:rsidRPr="00B56728">
        <w:rPr>
          <w:rStyle w:val="AERsuperscript"/>
        </w:rPr>
        <w:footnoteReference w:id="31"/>
      </w:r>
      <w:r>
        <w:rPr>
          <w:rStyle w:val="AERbody"/>
        </w:rPr>
        <w:t xml:space="preserve"> Appendix B sets out our classification of SA Power Networks’ distribution services for the 2015</w:t>
      </w:r>
      <w:r w:rsidR="006110E9">
        <w:rPr>
          <w:rStyle w:val="AERbody"/>
          <w:rFonts w:cs="Gautami"/>
        </w:rPr>
        <w:t>–</w:t>
      </w:r>
      <w:r>
        <w:rPr>
          <w:rStyle w:val="AERbody"/>
        </w:rPr>
        <w:t>2020 regulatory control period.</w:t>
      </w:r>
    </w:p>
    <w:p w:rsidR="00AA45D3" w:rsidRPr="00AA45D3" w:rsidRDefault="00AA45D3" w:rsidP="00AA45D3">
      <w:pPr>
        <w:pStyle w:val="Heading2"/>
      </w:pPr>
      <w:bookmarkStart w:id="16" w:name="_Toc373499986"/>
      <w:bookmarkStart w:id="17" w:name="_Toc373773971"/>
      <w:r w:rsidRPr="00AA45D3">
        <w:t xml:space="preserve">Reasons for AER’s preliminary </w:t>
      </w:r>
      <w:bookmarkEnd w:id="16"/>
      <w:r w:rsidR="006110E9">
        <w:t>position</w:t>
      </w:r>
      <w:bookmarkEnd w:id="17"/>
    </w:p>
    <w:p w:rsidR="00AA45D3" w:rsidRDefault="00AA45D3" w:rsidP="00AA45D3">
      <w:pPr>
        <w:pStyle w:val="AERbodytext"/>
      </w:pPr>
      <w:r>
        <w:t>Generally, classification is an assessment of the extent to which distributors provide services in a competitive market. We also consider whether all customers benefit from the service or whether customers request specific services for their direct benefit.</w:t>
      </w:r>
    </w:p>
    <w:p w:rsidR="00AA45D3" w:rsidRDefault="00AA45D3" w:rsidP="00AA45D3">
      <w:pPr>
        <w:pStyle w:val="AERbodytext"/>
      </w:pPr>
      <w:r>
        <w:t>The majority of distributors' services are</w:t>
      </w:r>
      <w:r w:rsidRPr="00002817">
        <w:t xml:space="preserve"> provide</w:t>
      </w:r>
      <w:r>
        <w:t>d</w:t>
      </w:r>
      <w:r w:rsidRPr="00002817">
        <w:t xml:space="preserve"> in a monopoly environment. Often this is because of strict legislative licensing provisions </w:t>
      </w:r>
      <w:r>
        <w:t xml:space="preserve">permitting only the </w:t>
      </w:r>
      <w:r w:rsidR="00B36C96">
        <w:t xml:space="preserve">licensed </w:t>
      </w:r>
      <w:r>
        <w:t>distributor</w:t>
      </w:r>
      <w:r w:rsidRPr="00002817">
        <w:t xml:space="preserve"> to perform the service. Most of these services benefit all customers</w:t>
      </w:r>
      <w:r>
        <w:t>. Therefore, distributors share the costs of these services across the customer base as general network charges. Such services include standard network services and basic connection services.</w:t>
      </w:r>
      <w:r>
        <w:rPr>
          <w:rStyle w:val="FootnoteReference"/>
        </w:rPr>
        <w:footnoteReference w:id="32"/>
      </w:r>
      <w:r>
        <w:t xml:space="preserve"> </w:t>
      </w:r>
    </w:p>
    <w:p w:rsidR="00AA45D3" w:rsidRDefault="00AA45D3" w:rsidP="00AA45D3">
      <w:pPr>
        <w:pStyle w:val="AERbodytext"/>
      </w:pPr>
      <w:r>
        <w:t>We intend to classify services for maintaining, reading and repairing type 6 meters</w:t>
      </w:r>
      <w:r w:rsidR="002C7481">
        <w:rPr>
          <w:rStyle w:val="FootnoteReference"/>
        </w:rPr>
        <w:footnoteReference w:id="33"/>
      </w:r>
      <w:r>
        <w:t xml:space="preserve"> as alternative control services.</w:t>
      </w:r>
      <w:r>
        <w:rPr>
          <w:rStyle w:val="FootnoteReference"/>
        </w:rPr>
        <w:footnoteReference w:id="34"/>
      </w:r>
      <w:r>
        <w:t xml:space="preserve"> A distributor generally provides these services for the benefit of an identifiable customer and there is potential to further develop competition for these services. In these instances, we consider it appropriate that the distributor levy service specific charges to the customer receiving these services.</w:t>
      </w:r>
      <w:r>
        <w:rPr>
          <w:rStyle w:val="FootnoteReference"/>
        </w:rPr>
        <w:footnoteReference w:id="35"/>
      </w:r>
      <w:r>
        <w:t xml:space="preserve"> This provides transparency in the real cost of the service and allows for a 'user pays' system where appropriate. This approach is consistent with the current classification of these services and is supported by stakeholder submissions on the notice for the initiation of the F&amp;A process</w:t>
      </w:r>
      <w:r w:rsidR="00F021D7">
        <w:rPr>
          <w:rStyle w:val="FootnoteReference"/>
        </w:rPr>
        <w:footnoteReference w:id="36"/>
      </w:r>
      <w:r>
        <w:t xml:space="preserve">. </w:t>
      </w:r>
    </w:p>
    <w:p w:rsidR="00AA45D3" w:rsidRPr="00CC134E" w:rsidRDefault="00AA45D3" w:rsidP="00AA45D3">
      <w:pPr>
        <w:pStyle w:val="AERbodytext"/>
      </w:pPr>
      <w:r>
        <w:lastRenderedPageBreak/>
        <w:t>We intend</w:t>
      </w:r>
      <w:r w:rsidRPr="00CC134E">
        <w:rPr>
          <w:rStyle w:val="AERbody"/>
        </w:rPr>
        <w:t xml:space="preserve"> to classify public lighting services as negotiated services. Public lighting services include the provision, construction and maintenance of street lighting (or street lighting use of system service), lighting equipment rate services and energy only services. Public light</w:t>
      </w:r>
      <w:r>
        <w:rPr>
          <w:rStyle w:val="AERbody"/>
        </w:rPr>
        <w:t>ing</w:t>
      </w:r>
      <w:r w:rsidRPr="00CC134E">
        <w:rPr>
          <w:rStyle w:val="AERbody"/>
        </w:rPr>
        <w:t xml:space="preserve"> services are contestable in South Australia as customers do not have to use SA</w:t>
      </w:r>
      <w:r>
        <w:rPr>
          <w:rStyle w:val="AERbody"/>
        </w:rPr>
        <w:t xml:space="preserve"> </w:t>
      </w:r>
      <w:r w:rsidRPr="00CC134E">
        <w:rPr>
          <w:rStyle w:val="AERbody"/>
        </w:rPr>
        <w:t>P</w:t>
      </w:r>
      <w:r>
        <w:rPr>
          <w:rStyle w:val="AERbody"/>
        </w:rPr>
        <w:t xml:space="preserve">ower </w:t>
      </w:r>
      <w:r w:rsidRPr="00CC134E">
        <w:rPr>
          <w:rStyle w:val="AERbody"/>
        </w:rPr>
        <w:t>N</w:t>
      </w:r>
      <w:r>
        <w:rPr>
          <w:rStyle w:val="AERbody"/>
        </w:rPr>
        <w:t>etworks</w:t>
      </w:r>
      <w:r w:rsidRPr="00CC134E">
        <w:rPr>
          <w:rStyle w:val="AERbody"/>
        </w:rPr>
        <w:t xml:space="preserve"> to provide, operate and maintain their street lighting assets.</w:t>
      </w:r>
      <w:r>
        <w:rPr>
          <w:rStyle w:val="FootnoteReference"/>
        </w:rPr>
        <w:footnoteReference w:id="37"/>
      </w:r>
      <w:r>
        <w:rPr>
          <w:rStyle w:val="AERbody"/>
        </w:rPr>
        <w:t xml:space="preserve"> We consider</w:t>
      </w:r>
      <w:r w:rsidRPr="00CC134E">
        <w:rPr>
          <w:rStyle w:val="AERbody"/>
        </w:rPr>
        <w:t xml:space="preserve"> this provides some countervailing power to customers in negotiating the provision of these services. </w:t>
      </w:r>
      <w:r w:rsidRPr="00CC134E">
        <w:t xml:space="preserve">This approach is supported by two </w:t>
      </w:r>
      <w:r w:rsidRPr="00CC134E">
        <w:rPr>
          <w:rStyle w:val="AERbody"/>
        </w:rPr>
        <w:t>major customers of public</w:t>
      </w:r>
      <w:r>
        <w:rPr>
          <w:rStyle w:val="AERbody"/>
        </w:rPr>
        <w:t xml:space="preserve"> lighting services (local councils</w:t>
      </w:r>
      <w:r w:rsidRPr="00CC134E">
        <w:rPr>
          <w:rStyle w:val="AERbody"/>
        </w:rPr>
        <w:t xml:space="preserve"> and </w:t>
      </w:r>
      <w:r>
        <w:rPr>
          <w:rStyle w:val="AERbody"/>
        </w:rPr>
        <w:t>the Transport Services Division</w:t>
      </w:r>
      <w:r w:rsidRPr="00CC134E">
        <w:rPr>
          <w:rStyle w:val="AERbody"/>
        </w:rPr>
        <w:t xml:space="preserve">).  </w:t>
      </w:r>
    </w:p>
    <w:p w:rsidR="00AA45D3" w:rsidRDefault="00AA45D3" w:rsidP="00AA45D3">
      <w:pPr>
        <w:pStyle w:val="AERbodytext"/>
      </w:pPr>
      <w:r>
        <w:t xml:space="preserve">We intend to classify a range of non-standard network </w:t>
      </w:r>
      <w:r w:rsidRPr="00E979F6">
        <w:t xml:space="preserve">services </w:t>
      </w:r>
      <w:r>
        <w:t>as negotiated services</w:t>
      </w:r>
      <w:r w:rsidRPr="0060246C">
        <w:t xml:space="preserve">. </w:t>
      </w:r>
      <w:r>
        <w:t xml:space="preserve">Some of these services are </w:t>
      </w:r>
      <w:r w:rsidRPr="00E979F6">
        <w:t>competitively available</w:t>
      </w:r>
      <w:r>
        <w:t xml:space="preserve">, such as:  </w:t>
      </w:r>
    </w:p>
    <w:p w:rsidR="00AA45D3" w:rsidRPr="0060246C" w:rsidRDefault="006110E9" w:rsidP="00AA45D3">
      <w:pPr>
        <w:pStyle w:val="AERbulletlistfirststyle"/>
      </w:pPr>
      <w:r>
        <w:t>n</w:t>
      </w:r>
      <w:r w:rsidR="00AA45D3" w:rsidRPr="0060246C">
        <w:t>on-standard metering services – small and large customers, type 1 to 7</w:t>
      </w:r>
    </w:p>
    <w:p w:rsidR="00AA45D3" w:rsidRPr="0060246C" w:rsidRDefault="006110E9" w:rsidP="00AA45D3">
      <w:pPr>
        <w:pStyle w:val="AERbulletlistfirststyle"/>
      </w:pPr>
      <w:r>
        <w:t>s</w:t>
      </w:r>
      <w:r w:rsidR="00AA45D3" w:rsidRPr="0060246C">
        <w:t>tand-by and temporary supply services</w:t>
      </w:r>
    </w:p>
    <w:p w:rsidR="00AA45D3" w:rsidRDefault="006110E9" w:rsidP="00AA45D3">
      <w:pPr>
        <w:pStyle w:val="AERbulletlistfirststyle"/>
      </w:pPr>
      <w:r>
        <w:t>e</w:t>
      </w:r>
      <w:r w:rsidR="00AA45D3" w:rsidRPr="0060246C">
        <w:t>mbedded generation services</w:t>
      </w:r>
    </w:p>
    <w:p w:rsidR="00AA45D3" w:rsidRPr="0060246C" w:rsidRDefault="006110E9" w:rsidP="00AA45D3">
      <w:pPr>
        <w:pStyle w:val="AERbulletlistfirststyle"/>
      </w:pPr>
      <w:r>
        <w:t>p</w:t>
      </w:r>
      <w:r w:rsidR="00AA45D3" w:rsidRPr="0060246C">
        <w:t>rovision of a copy of various codes</w:t>
      </w:r>
    </w:p>
    <w:p w:rsidR="00AA45D3" w:rsidRPr="0060246C" w:rsidRDefault="006110E9" w:rsidP="00AA45D3">
      <w:pPr>
        <w:pStyle w:val="AERbulletlistfirststyle"/>
      </w:pPr>
      <w:r>
        <w:t>p</w:t>
      </w:r>
      <w:r w:rsidR="00AA45D3" w:rsidRPr="0060246C">
        <w:t>rovision of reactive power</w:t>
      </w:r>
    </w:p>
    <w:p w:rsidR="00AA45D3" w:rsidRPr="0060246C" w:rsidRDefault="006110E9" w:rsidP="00AA45D3">
      <w:pPr>
        <w:pStyle w:val="AERbulletlistfirststyle"/>
      </w:pPr>
      <w:r>
        <w:t>i</w:t>
      </w:r>
      <w:r w:rsidR="00AA45D3" w:rsidRPr="0060246C">
        <w:t>nvestigation and testing services</w:t>
      </w:r>
    </w:p>
    <w:p w:rsidR="00AA45D3" w:rsidRPr="0060246C" w:rsidRDefault="006110E9" w:rsidP="00AA45D3">
      <w:pPr>
        <w:pStyle w:val="AERbulletlistfirststyle"/>
      </w:pPr>
      <w:r>
        <w:t>t</w:t>
      </w:r>
      <w:r w:rsidR="00AA45D3" w:rsidRPr="0060246C">
        <w:t>ransportation of electricity not consumed in the distribution system</w:t>
      </w:r>
    </w:p>
    <w:p w:rsidR="00AA45D3" w:rsidRPr="0060246C" w:rsidRDefault="006110E9" w:rsidP="00AA45D3">
      <w:pPr>
        <w:pStyle w:val="AERbulletlistfirststyle"/>
      </w:pPr>
      <w:r>
        <w:t>p</w:t>
      </w:r>
      <w:r w:rsidR="00AA45D3" w:rsidRPr="0060246C">
        <w:t>rovision of high load escorts</w:t>
      </w:r>
    </w:p>
    <w:p w:rsidR="00AA45D3" w:rsidRPr="0060246C" w:rsidRDefault="006110E9" w:rsidP="00AA45D3">
      <w:pPr>
        <w:pStyle w:val="AERbulletlistfirststyle"/>
      </w:pPr>
      <w:r>
        <w:t>p</w:t>
      </w:r>
      <w:r w:rsidR="00AA45D3" w:rsidRPr="0060246C">
        <w:t>rovision of measuring devices</w:t>
      </w:r>
    </w:p>
    <w:p w:rsidR="00AA45D3" w:rsidRPr="0060246C" w:rsidRDefault="006110E9" w:rsidP="00AA45D3">
      <w:pPr>
        <w:pStyle w:val="AERbulletlistfirststyle"/>
      </w:pPr>
      <w:r>
        <w:t>p</w:t>
      </w:r>
      <w:r w:rsidR="00AA45D3" w:rsidRPr="0060246C">
        <w:t>rovision of protection systems</w:t>
      </w:r>
    </w:p>
    <w:p w:rsidR="00AA45D3" w:rsidRPr="0060246C" w:rsidRDefault="006110E9" w:rsidP="00AA45D3">
      <w:pPr>
        <w:pStyle w:val="AERbulletlistfirststyle"/>
      </w:pPr>
      <w:r>
        <w:t>p</w:t>
      </w:r>
      <w:r w:rsidR="00AA45D3" w:rsidRPr="0060246C">
        <w:t xml:space="preserve">rovision of television or radio interference investigations where </w:t>
      </w:r>
      <w:r w:rsidR="001A1F79">
        <w:t xml:space="preserve">the interference is </w:t>
      </w:r>
      <w:r w:rsidR="00AA45D3" w:rsidRPr="0060246C">
        <w:t>not caused by the distribution system</w:t>
      </w:r>
    </w:p>
    <w:p w:rsidR="00AA45D3" w:rsidRDefault="006110E9" w:rsidP="00AA45D3">
      <w:pPr>
        <w:pStyle w:val="AERbulletlistfirststyle"/>
      </w:pPr>
      <w:r>
        <w:t>p</w:t>
      </w:r>
      <w:r w:rsidR="00AA45D3" w:rsidRPr="0060246C">
        <w:t>rovision of information to parties not related to connection enquires</w:t>
      </w:r>
      <w:r>
        <w:t>.</w:t>
      </w:r>
    </w:p>
    <w:p w:rsidR="00AA45D3" w:rsidRDefault="00AA45D3" w:rsidP="00AA45D3">
      <w:pPr>
        <w:pStyle w:val="AERbodytext"/>
      </w:pPr>
      <w:r>
        <w:t xml:space="preserve">Other services </w:t>
      </w:r>
      <w:r w:rsidRPr="0060246C">
        <w:t>are generally provided at the request of, or for the benefit of, specific customers</w:t>
      </w:r>
      <w:r>
        <w:t xml:space="preserve">, such as: </w:t>
      </w:r>
    </w:p>
    <w:p w:rsidR="00AA45D3" w:rsidRPr="0060246C" w:rsidRDefault="006110E9" w:rsidP="00AA45D3">
      <w:pPr>
        <w:pStyle w:val="AERbulletlistfirststyle"/>
      </w:pPr>
      <w:r>
        <w:t>c</w:t>
      </w:r>
      <w:r w:rsidR="00AA45D3" w:rsidRPr="0060246C">
        <w:t>onnection services with higher quality and reliability standards or in excess of SA</w:t>
      </w:r>
      <w:r w:rsidR="00AA45D3">
        <w:t xml:space="preserve"> </w:t>
      </w:r>
      <w:r w:rsidR="00AA45D3" w:rsidRPr="0060246C">
        <w:t>P</w:t>
      </w:r>
      <w:r w:rsidR="00AA45D3">
        <w:t xml:space="preserve">ower </w:t>
      </w:r>
      <w:r w:rsidR="00AA45D3" w:rsidRPr="0060246C">
        <w:t>N</w:t>
      </w:r>
      <w:r w:rsidR="00AA45D3">
        <w:t>etworks</w:t>
      </w:r>
      <w:r w:rsidR="00FB364B">
        <w:t>'</w:t>
      </w:r>
      <w:r w:rsidR="00AA45D3" w:rsidRPr="0060246C">
        <w:t xml:space="preserve"> service or plant rates</w:t>
      </w:r>
    </w:p>
    <w:p w:rsidR="00AA45D3" w:rsidRPr="0060246C" w:rsidRDefault="006110E9" w:rsidP="00AA45D3">
      <w:pPr>
        <w:pStyle w:val="AERbulletlistfirststyle"/>
      </w:pPr>
      <w:r>
        <w:t>n</w:t>
      </w:r>
      <w:r w:rsidR="00AA45D3">
        <w:t>on-basic connections, ne</w:t>
      </w:r>
      <w:r w:rsidR="00AA45D3" w:rsidRPr="0060246C">
        <w:t>w and upgraded connection points – where financial contribution to an extension or augmentation is required</w:t>
      </w:r>
    </w:p>
    <w:p w:rsidR="00AA45D3" w:rsidRPr="0060246C" w:rsidRDefault="006110E9" w:rsidP="00AA45D3">
      <w:pPr>
        <w:pStyle w:val="AERbulletlistfirststyle"/>
      </w:pPr>
      <w:r>
        <w:t>a</w:t>
      </w:r>
      <w:r w:rsidR="00AA45D3" w:rsidRPr="0060246C">
        <w:t>sset relocation, temporary disconnection and temporary line insulation services</w:t>
      </w:r>
    </w:p>
    <w:p w:rsidR="00AA45D3" w:rsidRPr="0060246C" w:rsidRDefault="006110E9" w:rsidP="00AA45D3">
      <w:pPr>
        <w:pStyle w:val="AERbulletlistfirststyle"/>
      </w:pPr>
      <w:r>
        <w:t>a</w:t>
      </w:r>
      <w:r w:rsidR="00AA45D3" w:rsidRPr="0060246C">
        <w:t>pplication for an account or new supply</w:t>
      </w:r>
    </w:p>
    <w:p w:rsidR="00AA45D3" w:rsidRPr="0060246C" w:rsidRDefault="006110E9" w:rsidP="00AA45D3">
      <w:pPr>
        <w:pStyle w:val="AERbulletlistfirststyle"/>
      </w:pPr>
      <w:r>
        <w:t>p</w:t>
      </w:r>
      <w:r w:rsidR="00AA45D3" w:rsidRPr="0060246C">
        <w:t>rovision of old billing data</w:t>
      </w:r>
    </w:p>
    <w:p w:rsidR="00AA45D3" w:rsidRPr="0060246C" w:rsidRDefault="006110E9" w:rsidP="00AA45D3">
      <w:pPr>
        <w:pStyle w:val="AERbulletlistfirststyle"/>
      </w:pPr>
      <w:r>
        <w:t>a</w:t>
      </w:r>
      <w:r w:rsidR="00AA45D3" w:rsidRPr="0060246C">
        <w:t>fter hours reconnection</w:t>
      </w:r>
    </w:p>
    <w:p w:rsidR="00AA45D3" w:rsidRPr="0060246C" w:rsidRDefault="006110E9" w:rsidP="00AA45D3">
      <w:pPr>
        <w:pStyle w:val="AERbulletlistfirststyle"/>
      </w:pPr>
      <w:r>
        <w:lastRenderedPageBreak/>
        <w:t>r</w:t>
      </w:r>
      <w:r w:rsidR="00AA45D3" w:rsidRPr="0060246C">
        <w:t>econnection due to users fault</w:t>
      </w:r>
    </w:p>
    <w:p w:rsidR="00AA45D3" w:rsidRPr="0060246C" w:rsidRDefault="006110E9" w:rsidP="00AA45D3">
      <w:pPr>
        <w:pStyle w:val="AERbulletlistfirststyle"/>
      </w:pPr>
      <w:r>
        <w:t>d</w:t>
      </w:r>
      <w:r w:rsidR="00AA45D3" w:rsidRPr="0060246C">
        <w:t>isconnection services provided to the retailer or user</w:t>
      </w:r>
    </w:p>
    <w:p w:rsidR="00AA45D3" w:rsidRPr="0060246C" w:rsidRDefault="006110E9" w:rsidP="00AA45D3">
      <w:pPr>
        <w:pStyle w:val="AERbulletlistfirststyle"/>
      </w:pPr>
      <w:r>
        <w:t>a</w:t>
      </w:r>
      <w:r w:rsidR="00AA45D3" w:rsidRPr="0060246C">
        <w:t>sset allocation and identification services</w:t>
      </w:r>
    </w:p>
    <w:p w:rsidR="00AA45D3" w:rsidRPr="0060246C" w:rsidRDefault="006110E9" w:rsidP="00AA45D3">
      <w:pPr>
        <w:pStyle w:val="AERbulletlistfirststyle"/>
      </w:pPr>
      <w:r>
        <w:t>t</w:t>
      </w:r>
      <w:r w:rsidR="00AA45D3" w:rsidRPr="0060246C">
        <w:t>ransportation of electricity to users connected to the distribution system adjacent to the transmission system</w:t>
      </w:r>
    </w:p>
    <w:p w:rsidR="00AA45D3" w:rsidRPr="0060246C" w:rsidRDefault="006110E9" w:rsidP="00AA45D3">
      <w:pPr>
        <w:pStyle w:val="AERbulletlistfirststyle"/>
      </w:pPr>
      <w:r>
        <w:t>r</w:t>
      </w:r>
      <w:r w:rsidR="00AA45D3" w:rsidRPr="0060246C">
        <w:t>epair of equipment damaged by user or third party</w:t>
      </w:r>
    </w:p>
    <w:p w:rsidR="00AA45D3" w:rsidRPr="0060246C" w:rsidRDefault="006110E9" w:rsidP="00AA45D3">
      <w:pPr>
        <w:pStyle w:val="AERbulletlistfirststyle"/>
      </w:pPr>
      <w:r>
        <w:t>p</w:t>
      </w:r>
      <w:r w:rsidR="00AA45D3" w:rsidRPr="0060246C">
        <w:t>rovision of pole attachments, ducts or conduits (excluding telecommunication services)</w:t>
      </w:r>
    </w:p>
    <w:p w:rsidR="00AA45D3" w:rsidRPr="0060246C" w:rsidRDefault="006110E9" w:rsidP="00AA45D3">
      <w:pPr>
        <w:pStyle w:val="AERbulletlistfirststyle"/>
      </w:pPr>
      <w:r>
        <w:t>c</w:t>
      </w:r>
      <w:r w:rsidR="00AA45D3" w:rsidRPr="0060246C">
        <w:t>osts incurred as a result of a customer not complying with the standard connection and supply contract or other obligation</w:t>
      </w:r>
    </w:p>
    <w:p w:rsidR="00AA45D3" w:rsidRPr="0060246C" w:rsidRDefault="006110E9" w:rsidP="00AA45D3">
      <w:pPr>
        <w:pStyle w:val="AERbulletlistfirststyle"/>
      </w:pPr>
      <w:r>
        <w:t>a</w:t>
      </w:r>
      <w:r w:rsidR="00AA45D3" w:rsidRPr="0060246C">
        <w:t>dditional costs incurred due to the actions or inaction of a customer or their agent</w:t>
      </w:r>
      <w:r>
        <w:t>.</w:t>
      </w:r>
    </w:p>
    <w:p w:rsidR="00515214" w:rsidRDefault="00AA45D3" w:rsidP="00515214">
      <w:pPr>
        <w:pStyle w:val="AERbodytext"/>
      </w:pPr>
      <w:r>
        <w:rPr>
          <w:rStyle w:val="AERbody"/>
        </w:rPr>
        <w:t>Either due to</w:t>
      </w:r>
      <w:r w:rsidRPr="00CC134E">
        <w:rPr>
          <w:rStyle w:val="AERbody"/>
        </w:rPr>
        <w:t xml:space="preserve"> the contestable nature or greater elasticity of demand for these services compared to the cor</w:t>
      </w:r>
      <w:r>
        <w:rPr>
          <w:rStyle w:val="AERbody"/>
        </w:rPr>
        <w:t xml:space="preserve">e distribution services, we </w:t>
      </w:r>
      <w:r w:rsidR="00D265FF">
        <w:rPr>
          <w:rStyle w:val="AERbody"/>
        </w:rPr>
        <w:t>consider</w:t>
      </w:r>
      <w:r w:rsidRPr="00CC134E">
        <w:rPr>
          <w:rStyle w:val="AERbody"/>
        </w:rPr>
        <w:t xml:space="preserve"> that a less intrusive regul</w:t>
      </w:r>
      <w:r w:rsidR="00515214">
        <w:rPr>
          <w:rStyle w:val="AERbody"/>
        </w:rPr>
        <w:t xml:space="preserve">atory approach is appropriate. </w:t>
      </w:r>
      <w:r w:rsidR="00C17526">
        <w:t>The above services</w:t>
      </w:r>
      <w:r w:rsidR="00515214">
        <w:t xml:space="preserve"> are consistent</w:t>
      </w:r>
      <w:r w:rsidR="008F7EB2">
        <w:t xml:space="preserve"> with SA Power Networks' </w:t>
      </w:r>
      <w:r w:rsidR="00515214">
        <w:t>negotiated services</w:t>
      </w:r>
      <w:r w:rsidR="00C17526">
        <w:t xml:space="preserve"> </w:t>
      </w:r>
      <w:r w:rsidR="00515214">
        <w:t>classification for the 2010</w:t>
      </w:r>
      <w:r w:rsidR="006110E9">
        <w:rPr>
          <w:rFonts w:cs="Gautami"/>
        </w:rPr>
        <w:t>–</w:t>
      </w:r>
      <w:r w:rsidR="00515214">
        <w:t xml:space="preserve">2015 regulatory period. </w:t>
      </w:r>
    </w:p>
    <w:p w:rsidR="00AA45D3" w:rsidRPr="002102A5" w:rsidRDefault="00AA45D3" w:rsidP="00515214">
      <w:pPr>
        <w:pStyle w:val="AERbodytext"/>
      </w:pPr>
      <w:r>
        <w:t xml:space="preserve">The classification of each of the service groups is addressed in detail below. </w:t>
      </w:r>
    </w:p>
    <w:p w:rsidR="00AA45D3" w:rsidRPr="00AA45D3" w:rsidRDefault="00AA45D3" w:rsidP="00AA45D3">
      <w:pPr>
        <w:pStyle w:val="Heading3"/>
      </w:pPr>
      <w:bookmarkStart w:id="18" w:name="_Toc373499987"/>
      <w:bookmarkStart w:id="19" w:name="_Toc373773972"/>
      <w:r w:rsidRPr="00AA45D3">
        <w:t>Network services</w:t>
      </w:r>
      <w:bookmarkEnd w:id="18"/>
      <w:bookmarkEnd w:id="19"/>
    </w:p>
    <w:p w:rsidR="00AA45D3" w:rsidRPr="001B2F65" w:rsidRDefault="00AA45D3" w:rsidP="00AA45D3">
      <w:r>
        <w:t>We consider</w:t>
      </w:r>
      <w:r w:rsidRPr="001B2F65">
        <w:t xml:space="preserve"> </w:t>
      </w:r>
      <w:r>
        <w:t xml:space="preserve">standard </w:t>
      </w:r>
      <w:r w:rsidRPr="001B2F65">
        <w:t>network services predominately relate</w:t>
      </w:r>
      <w:r>
        <w:t xml:space="preserve"> to</w:t>
      </w:r>
      <w:r w:rsidRPr="001B2F65">
        <w:t xml:space="preserve"> </w:t>
      </w:r>
      <w:r>
        <w:t xml:space="preserve">a distributor's </w:t>
      </w:r>
      <w:r w:rsidRPr="001B2F65">
        <w:t xml:space="preserve">services provided over </w:t>
      </w:r>
      <w:r>
        <w:t xml:space="preserve">its </w:t>
      </w:r>
      <w:r w:rsidRPr="001B2F65">
        <w:t xml:space="preserve">shared distribution network to service all customers connected to it. </w:t>
      </w:r>
      <w:r>
        <w:t xml:space="preserve">Network services are an important group of distribution services. </w:t>
      </w:r>
      <w:r w:rsidRPr="001B2F65">
        <w:t>These services are associated with the safe and reliable conveyance, and controlling the conveyance, of electricity through the network.</w:t>
      </w:r>
      <w:r w:rsidRPr="006D1B64">
        <w:rPr>
          <w:rStyle w:val="AERsuperscript"/>
        </w:rPr>
        <w:footnoteReference w:id="38"/>
      </w:r>
      <w:r w:rsidRPr="001B2F65">
        <w:t xml:space="preserve"> </w:t>
      </w:r>
      <w:r>
        <w:t xml:space="preserve">Consumers use or rely on these network services on a daily basis. </w:t>
      </w:r>
      <w:r w:rsidR="00DA5B88">
        <w:t>E</w:t>
      </w:r>
      <w:r w:rsidRPr="001B2F65">
        <w:t xml:space="preserve">xamples of </w:t>
      </w:r>
      <w:r>
        <w:t xml:space="preserve">standard </w:t>
      </w:r>
      <w:r w:rsidRPr="001B2F65">
        <w:t>network services include:</w:t>
      </w:r>
    </w:p>
    <w:p w:rsidR="00AA45D3" w:rsidRPr="001B2F65" w:rsidRDefault="00AA45D3" w:rsidP="00AA45D3">
      <w:pPr>
        <w:pStyle w:val="AERbulletlistfirststyle"/>
      </w:pPr>
      <w:r w:rsidRPr="001B2F65">
        <w:t>maintenance of substations, poles, lines and cables</w:t>
      </w:r>
    </w:p>
    <w:p w:rsidR="00AA45D3" w:rsidRPr="001B2F65" w:rsidRDefault="00AA45D3" w:rsidP="00AA45D3">
      <w:pPr>
        <w:pStyle w:val="AERbulletlistfirststyle"/>
      </w:pPr>
      <w:r w:rsidRPr="001B2F65">
        <w:t>pole and other asset repairs and replacements</w:t>
      </w:r>
    </w:p>
    <w:p w:rsidR="00AA45D3" w:rsidRPr="001B2F65" w:rsidRDefault="00AA45D3" w:rsidP="00AA45D3">
      <w:pPr>
        <w:pStyle w:val="AERbulletlistfirststyle"/>
      </w:pPr>
      <w:r>
        <w:t xml:space="preserve">planning, </w:t>
      </w:r>
      <w:r w:rsidRPr="001B2F65">
        <w:t xml:space="preserve">designing </w:t>
      </w:r>
      <w:r>
        <w:t>and operating the network for electricity distribution purposes.</w:t>
      </w:r>
    </w:p>
    <w:p w:rsidR="00AA45D3" w:rsidRDefault="00AA45D3" w:rsidP="00AA45D3">
      <w:pPr>
        <w:numPr>
          <w:ilvl w:val="0"/>
          <w:numId w:val="6"/>
        </w:numPr>
      </w:pPr>
      <w:r>
        <w:t>Standard network services do not include metering services and non-basic connection services.</w:t>
      </w:r>
      <w:r>
        <w:rPr>
          <w:rStyle w:val="FootnoteReference"/>
        </w:rPr>
        <w:footnoteReference w:id="39"/>
      </w:r>
      <w:r>
        <w:t xml:space="preserve"> </w:t>
      </w:r>
    </w:p>
    <w:p w:rsidR="00AA45D3" w:rsidRPr="001B2F65" w:rsidRDefault="00AA45D3" w:rsidP="00AA45D3">
      <w:pPr>
        <w:numPr>
          <w:ilvl w:val="0"/>
          <w:numId w:val="6"/>
        </w:numPr>
      </w:pPr>
      <w:r>
        <w:t>We intend</w:t>
      </w:r>
      <w:r w:rsidRPr="001B2F65">
        <w:t xml:space="preserve"> to classify </w:t>
      </w:r>
      <w:r>
        <w:t xml:space="preserve">standard </w:t>
      </w:r>
      <w:r w:rsidRPr="001B2F65">
        <w:t xml:space="preserve">network services as direct control services and further, as standard control services. </w:t>
      </w:r>
      <w:r>
        <w:t>Our proposed</w:t>
      </w:r>
      <w:r w:rsidRPr="001B2F65">
        <w:t xml:space="preserve"> approach is consistent with </w:t>
      </w:r>
      <w:r>
        <w:t>the current classification of these services.</w:t>
      </w:r>
      <w:r w:rsidRPr="001B2F65">
        <w:t xml:space="preserve"> </w:t>
      </w:r>
    </w:p>
    <w:p w:rsidR="00AA45D3" w:rsidRDefault="00AA45D3" w:rsidP="00AA45D3">
      <w:pPr>
        <w:pStyle w:val="AERbodytext"/>
      </w:pPr>
      <w:bookmarkStart w:id="20" w:name="OLE_LINK3"/>
      <w:bookmarkStart w:id="21" w:name="OLE_LINK4"/>
      <w:r>
        <w:t>SA Power Networks holds an electricity distribution licence.</w:t>
      </w:r>
      <w:r>
        <w:rPr>
          <w:rStyle w:val="FootnoteReference"/>
        </w:rPr>
        <w:footnoteReference w:id="40"/>
      </w:r>
      <w:r>
        <w:t xml:space="preserve"> This licence is the only distribution licence currently issued for South Australia. As the sole holder of the licence SA Power Networks has the obligation to operate, maintain and protect its supply network. To ensure safe, reliable and economic supply of electricity to users, only SA Power Networks can provide network services which </w:t>
      </w:r>
      <w:r>
        <w:lastRenderedPageBreak/>
        <w:t xml:space="preserve">relate to the safe and reliable conveyance, and controlling the conveyance, of electricity through the distribution network. Additionally, consumers cannot source network services from external providers. </w:t>
      </w:r>
    </w:p>
    <w:p w:rsidR="00AA45D3" w:rsidRPr="007742E1" w:rsidRDefault="00AA45D3" w:rsidP="00AA45D3">
      <w:r>
        <w:t>We consider</w:t>
      </w:r>
      <w:r w:rsidRPr="007742E1">
        <w:t xml:space="preserve"> these arrangements together effectively amount to an absolute regulatory barrier preventing third parties from providing </w:t>
      </w:r>
      <w:r>
        <w:t xml:space="preserve">these </w:t>
      </w:r>
      <w:r w:rsidRPr="007742E1">
        <w:t>network services.</w:t>
      </w:r>
      <w:r w:rsidRPr="00F87205">
        <w:rPr>
          <w:rStyle w:val="AERsuperscript"/>
        </w:rPr>
        <w:footnoteReference w:id="41"/>
      </w:r>
      <w:r w:rsidRPr="007742E1">
        <w:t xml:space="preserve"> Therefore, </w:t>
      </w:r>
      <w:r>
        <w:t>we</w:t>
      </w:r>
      <w:r w:rsidRPr="007742E1">
        <w:t xml:space="preserve"> consider that the market for network services is closed to competition from third parties. Because </w:t>
      </w:r>
      <w:r>
        <w:t xml:space="preserve">of </w:t>
      </w:r>
      <w:r w:rsidRPr="007742E1">
        <w:t xml:space="preserve">the current legislative </w:t>
      </w:r>
      <w:r>
        <w:t xml:space="preserve">and licensing </w:t>
      </w:r>
      <w:r w:rsidRPr="007742E1">
        <w:t xml:space="preserve">arrangements, </w:t>
      </w:r>
      <w:r>
        <w:t>SA Power Networks</w:t>
      </w:r>
      <w:r w:rsidRPr="007742E1">
        <w:t xml:space="preserve"> possess</w:t>
      </w:r>
      <w:r>
        <w:t>es</w:t>
      </w:r>
      <w:r w:rsidRPr="007742E1">
        <w:t xml:space="preserve"> complete market power </w:t>
      </w:r>
      <w:r>
        <w:t>for the provision of network services</w:t>
      </w:r>
      <w:r w:rsidRPr="007742E1">
        <w:t>.</w:t>
      </w:r>
      <w:r w:rsidRPr="00F87205">
        <w:rPr>
          <w:rStyle w:val="AERsuperscript"/>
        </w:rPr>
        <w:footnoteReference w:id="42"/>
      </w:r>
      <w:r w:rsidRPr="007742E1">
        <w:t xml:space="preserve"> </w:t>
      </w:r>
      <w:r>
        <w:t xml:space="preserve">We therefore intend to classify network services as direct control services. </w:t>
      </w:r>
      <w:r w:rsidRPr="007742E1">
        <w:t xml:space="preserve"> </w:t>
      </w:r>
    </w:p>
    <w:p w:rsidR="00AA45D3" w:rsidRPr="007742E1" w:rsidRDefault="00AA45D3" w:rsidP="00AA45D3">
      <w:pPr>
        <w:numPr>
          <w:ilvl w:val="0"/>
          <w:numId w:val="6"/>
        </w:numPr>
      </w:pPr>
      <w:r>
        <w:t>We must further classify direct control services as standard control or alternative control services</w:t>
      </w:r>
      <w:r w:rsidRPr="007742E1">
        <w:t>.</w:t>
      </w:r>
      <w:r w:rsidRPr="006566E1">
        <w:rPr>
          <w:rStyle w:val="AERsuperscript"/>
        </w:rPr>
        <w:footnoteReference w:id="43"/>
      </w:r>
      <w:r>
        <w:t xml:space="preserve"> We intend to </w:t>
      </w:r>
      <w:r w:rsidRPr="007742E1">
        <w:t>retain the current classification of network services as standard control services</w:t>
      </w:r>
      <w:r>
        <w:t xml:space="preserve"> as</w:t>
      </w:r>
      <w:r w:rsidRPr="007742E1">
        <w:t>:</w:t>
      </w:r>
    </w:p>
    <w:p w:rsidR="00AA45D3" w:rsidRPr="004B3EC0" w:rsidRDefault="00AA45D3" w:rsidP="00AA45D3">
      <w:pPr>
        <w:pStyle w:val="AERbulletlistfirststyle"/>
      </w:pPr>
      <w:r>
        <w:t>t</w:t>
      </w:r>
      <w:r w:rsidRPr="007742E1">
        <w:t xml:space="preserve">here is little, if any, potential </w:t>
      </w:r>
      <w:r w:rsidRPr="004B3EC0">
        <w:t xml:space="preserve">to develop competition in the market for network services. The absence of competition is due to </w:t>
      </w:r>
      <w:r>
        <w:t>SA Power Networks</w:t>
      </w:r>
      <w:r w:rsidRPr="004B3EC0">
        <w:t xml:space="preserve"> holding the only licence to provide network services in the </w:t>
      </w:r>
      <w:r>
        <w:t>SA</w:t>
      </w:r>
      <w:r w:rsidRPr="004B3EC0">
        <w:t>.</w:t>
      </w:r>
    </w:p>
    <w:p w:rsidR="00AA45D3" w:rsidRPr="004B3EC0" w:rsidRDefault="00AA45D3" w:rsidP="00AA45D3">
      <w:pPr>
        <w:pStyle w:val="AERbulletlistfirststyle"/>
      </w:pPr>
      <w:r>
        <w:t>t</w:t>
      </w:r>
      <w:r w:rsidRPr="007742E1">
        <w:t>here would be no material effect on</w:t>
      </w:r>
      <w:r>
        <w:t xml:space="preserve"> administrative costs to us</w:t>
      </w:r>
      <w:r w:rsidRPr="007742E1">
        <w:t xml:space="preserve">, </w:t>
      </w:r>
      <w:r>
        <w:t>SA Power Networks</w:t>
      </w:r>
      <w:r w:rsidRPr="004B3EC0">
        <w:t>, users or potential users. This is because classifying network services as standard control services is consistent with the current regulatory approach.</w:t>
      </w:r>
    </w:p>
    <w:p w:rsidR="00AA45D3" w:rsidRPr="004B3EC0" w:rsidRDefault="00AA45D3" w:rsidP="00AA45D3">
      <w:pPr>
        <w:pStyle w:val="AERbulletlistfirststyle"/>
      </w:pPr>
      <w:r>
        <w:t>we currently classify network services in SA and all other NEM jurisdictions as standard control services</w:t>
      </w:r>
      <w:r w:rsidRPr="004B3EC0">
        <w:t xml:space="preserve">. </w:t>
      </w:r>
    </w:p>
    <w:p w:rsidR="00AA45D3" w:rsidRPr="004B3EC0" w:rsidRDefault="00AA45D3" w:rsidP="00AA45D3">
      <w:pPr>
        <w:pStyle w:val="AERbulletlistfirststyle"/>
      </w:pPr>
      <w:r>
        <w:t>SA Power Networks provides n</w:t>
      </w:r>
      <w:r w:rsidRPr="004B3EC0">
        <w:t xml:space="preserve">etwork services through its shared network and cannot directly attribute the costs of these services to individual customers. </w:t>
      </w:r>
    </w:p>
    <w:p w:rsidR="00AA45D3" w:rsidRDefault="00AA45D3" w:rsidP="00AA45D3">
      <w:r>
        <w:t>For the above reasons, we</w:t>
      </w:r>
      <w:r w:rsidRPr="007742E1">
        <w:t xml:space="preserve"> </w:t>
      </w:r>
      <w:r>
        <w:t>consider</w:t>
      </w:r>
      <w:r w:rsidRPr="007742E1">
        <w:t xml:space="preserve"> </w:t>
      </w:r>
      <w:r>
        <w:t xml:space="preserve">it should continue to classify network services as </w:t>
      </w:r>
      <w:r w:rsidRPr="00E72F59">
        <w:t xml:space="preserve">standard control </w:t>
      </w:r>
      <w:r>
        <w:t>services.</w:t>
      </w:r>
    </w:p>
    <w:p w:rsidR="00AA45D3" w:rsidRPr="00AA45D3" w:rsidRDefault="00AA45D3" w:rsidP="00AA45D3">
      <w:pPr>
        <w:pStyle w:val="Heading3"/>
      </w:pPr>
      <w:bookmarkStart w:id="22" w:name="_Toc328123167"/>
      <w:bookmarkStart w:id="23" w:name="_Toc328143887"/>
      <w:bookmarkStart w:id="24" w:name="_Toc350444111"/>
      <w:bookmarkStart w:id="25" w:name="_Toc350444305"/>
      <w:bookmarkStart w:id="26" w:name="_Toc351732924"/>
      <w:bookmarkStart w:id="27" w:name="_Toc351731452"/>
      <w:bookmarkStart w:id="28" w:name="_Toc373499988"/>
      <w:bookmarkStart w:id="29" w:name="_Toc373773973"/>
      <w:r w:rsidRPr="00AA45D3">
        <w:t>Connection services</w:t>
      </w:r>
      <w:bookmarkEnd w:id="22"/>
      <w:bookmarkEnd w:id="23"/>
      <w:bookmarkEnd w:id="24"/>
      <w:bookmarkEnd w:id="25"/>
      <w:bookmarkEnd w:id="26"/>
      <w:bookmarkEnd w:id="27"/>
      <w:bookmarkEnd w:id="28"/>
      <w:bookmarkEnd w:id="29"/>
    </w:p>
    <w:p w:rsidR="00AA45D3" w:rsidRPr="00810908" w:rsidRDefault="00AA45D3" w:rsidP="00AA45D3">
      <w:pPr>
        <w:rPr>
          <w:rStyle w:val="AERbody"/>
        </w:rPr>
      </w:pPr>
      <w:r>
        <w:rPr>
          <w:rStyle w:val="AERbody"/>
        </w:rPr>
        <w:t>In the current 2010–2015 regulatory control period</w:t>
      </w:r>
      <w:r w:rsidRPr="00810908">
        <w:rPr>
          <w:rStyle w:val="AERbody"/>
        </w:rPr>
        <w:t xml:space="preserve">, </w:t>
      </w:r>
      <w:r>
        <w:rPr>
          <w:rStyle w:val="AERbody"/>
        </w:rPr>
        <w:t xml:space="preserve">SA Power Networks offers two types of connection services for basic and non-basic connections. </w:t>
      </w:r>
      <w:r w:rsidRPr="00810908">
        <w:rPr>
          <w:rStyle w:val="AERbody"/>
        </w:rPr>
        <w:t xml:space="preserve">A </w:t>
      </w:r>
      <w:r>
        <w:rPr>
          <w:rStyle w:val="AERbody"/>
        </w:rPr>
        <w:t>b</w:t>
      </w:r>
      <w:r w:rsidRPr="00810908">
        <w:rPr>
          <w:rStyle w:val="AERbody"/>
        </w:rPr>
        <w:t>asic connection is a connection or an alteration which involves minimal or no augmentation (no extension or upgrade) of SA</w:t>
      </w:r>
      <w:r>
        <w:rPr>
          <w:rStyle w:val="AERbody"/>
        </w:rPr>
        <w:t xml:space="preserve"> </w:t>
      </w:r>
      <w:r w:rsidRPr="00810908">
        <w:rPr>
          <w:rStyle w:val="AERbody"/>
        </w:rPr>
        <w:t>P</w:t>
      </w:r>
      <w:r>
        <w:rPr>
          <w:rStyle w:val="AERbody"/>
        </w:rPr>
        <w:t xml:space="preserve">ower </w:t>
      </w:r>
      <w:r w:rsidRPr="00810908">
        <w:rPr>
          <w:rStyle w:val="AERbody"/>
        </w:rPr>
        <w:t>N</w:t>
      </w:r>
      <w:r>
        <w:rPr>
          <w:rStyle w:val="AERbody"/>
        </w:rPr>
        <w:t>etwork</w:t>
      </w:r>
      <w:r w:rsidRPr="00810908">
        <w:rPr>
          <w:rStyle w:val="AERbody"/>
        </w:rPr>
        <w:t>s</w:t>
      </w:r>
      <w:r>
        <w:rPr>
          <w:rStyle w:val="AERbody"/>
        </w:rPr>
        <w:t>’</w:t>
      </w:r>
      <w:r w:rsidRPr="00810908">
        <w:rPr>
          <w:rStyle w:val="AERbody"/>
        </w:rPr>
        <w:t xml:space="preserve"> distribution netwo</w:t>
      </w:r>
      <w:r>
        <w:rPr>
          <w:rStyle w:val="AERbody"/>
        </w:rPr>
        <w:t>rk. This is different from non-</w:t>
      </w:r>
      <w:r w:rsidRPr="00810908">
        <w:rPr>
          <w:rStyle w:val="AERbody"/>
        </w:rPr>
        <w:t xml:space="preserve">basic connection services </w:t>
      </w:r>
      <w:r>
        <w:rPr>
          <w:rStyle w:val="AERbody"/>
        </w:rPr>
        <w:t>which require an augmentation. Basic connection services are currently classified as standard control services, while n</w:t>
      </w:r>
      <w:r w:rsidRPr="00810908">
        <w:rPr>
          <w:rStyle w:val="AERbody"/>
        </w:rPr>
        <w:t xml:space="preserve">on-basic connection services are grouped under the non-standard network services group and are classified as negotiated services.  </w:t>
      </w:r>
    </w:p>
    <w:p w:rsidR="00AA45D3" w:rsidRPr="008F7EB2" w:rsidRDefault="00AA45D3" w:rsidP="008F7EB2">
      <w:pPr>
        <w:pStyle w:val="HeadingBoldBlue"/>
        <w:rPr>
          <w:rStyle w:val="AERtextbold"/>
          <w:rFonts w:eastAsiaTheme="minorHAnsi"/>
          <w:b/>
        </w:rPr>
      </w:pPr>
      <w:r w:rsidRPr="008F7EB2">
        <w:rPr>
          <w:rStyle w:val="AERtextbold"/>
          <w:rFonts w:eastAsiaTheme="minorHAnsi"/>
          <w:b/>
        </w:rPr>
        <w:t>Basic connection services</w:t>
      </w:r>
    </w:p>
    <w:p w:rsidR="00AA45D3" w:rsidRPr="00AA45D3" w:rsidRDefault="00AA45D3" w:rsidP="00AA45D3">
      <w:pPr>
        <w:pStyle w:val="AERbodytext"/>
        <w:rPr>
          <w:rFonts w:eastAsiaTheme="minorHAnsi"/>
        </w:rPr>
      </w:pPr>
      <w:r>
        <w:t>W</w:t>
      </w:r>
      <w:r w:rsidRPr="004210CA">
        <w:t xml:space="preserve">e intend to classify </w:t>
      </w:r>
      <w:r>
        <w:t xml:space="preserve">basic connection services as standard control </w:t>
      </w:r>
      <w:r w:rsidRPr="004210CA">
        <w:t>services.</w:t>
      </w:r>
    </w:p>
    <w:p w:rsidR="00AA45D3" w:rsidRPr="00AA45D3" w:rsidRDefault="00AA45D3" w:rsidP="00AA45D3">
      <w:pPr>
        <w:pStyle w:val="AERbodytext"/>
        <w:rPr>
          <w:rFonts w:eastAsiaTheme="minorHAnsi"/>
        </w:rPr>
      </w:pPr>
      <w:r w:rsidRPr="00AA45D3">
        <w:rPr>
          <w:rFonts w:eastAsiaTheme="minorHAnsi"/>
        </w:rPr>
        <w:t>Basic connection services are currently provided to the following groups of customers:</w:t>
      </w:r>
    </w:p>
    <w:p w:rsidR="00AA45D3" w:rsidRPr="00AA45D3" w:rsidRDefault="006110E9" w:rsidP="00AA45D3">
      <w:pPr>
        <w:pStyle w:val="AERbulletlistfirststyle"/>
        <w:rPr>
          <w:rFonts w:eastAsiaTheme="minorHAnsi"/>
        </w:rPr>
      </w:pPr>
      <w:r>
        <w:rPr>
          <w:rFonts w:eastAsiaTheme="minorHAnsi"/>
        </w:rPr>
        <w:t>r</w:t>
      </w:r>
      <w:r w:rsidR="00AA45D3" w:rsidRPr="00AA45D3">
        <w:rPr>
          <w:rFonts w:eastAsiaTheme="minorHAnsi"/>
        </w:rPr>
        <w:t>esidential customers (no extension or upgrade required)</w:t>
      </w:r>
      <w:r w:rsidR="00AA45D3" w:rsidRPr="00AA45D3">
        <w:rPr>
          <w:rStyle w:val="FootnoteReference"/>
          <w:rFonts w:eastAsiaTheme="minorHAnsi"/>
        </w:rPr>
        <w:footnoteReference w:id="44"/>
      </w:r>
    </w:p>
    <w:p w:rsidR="00AA45D3" w:rsidRPr="00AA45D3" w:rsidRDefault="006110E9" w:rsidP="00AA45D3">
      <w:pPr>
        <w:pStyle w:val="AERbulletlistfirststyle"/>
        <w:rPr>
          <w:rFonts w:eastAsiaTheme="minorHAnsi"/>
        </w:rPr>
      </w:pPr>
      <w:r>
        <w:rPr>
          <w:rFonts w:eastAsiaTheme="minorHAnsi"/>
        </w:rPr>
        <w:lastRenderedPageBreak/>
        <w:t>s</w:t>
      </w:r>
      <w:r w:rsidR="00AA45D3" w:rsidRPr="00AA45D3">
        <w:rPr>
          <w:rFonts w:eastAsiaTheme="minorHAnsi"/>
        </w:rPr>
        <w:t>mall business customers up to a capacity of less than 63 amps per phase</w:t>
      </w:r>
    </w:p>
    <w:p w:rsidR="00AA45D3" w:rsidRPr="00AA45D3" w:rsidRDefault="006110E9" w:rsidP="00AA45D3">
      <w:pPr>
        <w:pStyle w:val="AERbulletlistfirststyle"/>
        <w:rPr>
          <w:rFonts w:eastAsiaTheme="minorHAnsi"/>
        </w:rPr>
      </w:pPr>
      <w:r>
        <w:rPr>
          <w:rFonts w:eastAsiaTheme="minorHAnsi"/>
        </w:rPr>
        <w:t>s</w:t>
      </w:r>
      <w:r w:rsidR="00AA45D3" w:rsidRPr="00AA45D3">
        <w:rPr>
          <w:rFonts w:eastAsiaTheme="minorHAnsi"/>
        </w:rPr>
        <w:t>mall embedded generators (</w:t>
      </w:r>
      <w:r w:rsidR="00A45E1D" w:rsidRPr="00AA45D3">
        <w:rPr>
          <w:rFonts w:eastAsiaTheme="minorHAnsi"/>
        </w:rPr>
        <w:t>e.g.</w:t>
      </w:r>
      <w:r w:rsidR="00AA45D3" w:rsidRPr="00AA45D3">
        <w:rPr>
          <w:rFonts w:eastAsiaTheme="minorHAnsi"/>
        </w:rPr>
        <w:t xml:space="preserve"> customers who wish to install solar PV panels on their premises) with a generating capacity of up to 10kVA for a single phase connection and up to 30kVA for a three phase connection</w:t>
      </w:r>
      <w:r>
        <w:rPr>
          <w:rFonts w:eastAsiaTheme="minorHAnsi"/>
        </w:rPr>
        <w:t>.</w:t>
      </w:r>
    </w:p>
    <w:p w:rsidR="00AA45D3" w:rsidRPr="00704607" w:rsidRDefault="00AA45D3" w:rsidP="00AA45D3">
      <w:pPr>
        <w:pStyle w:val="AERbodytext"/>
      </w:pPr>
      <w:r w:rsidRPr="00AA45D3">
        <w:rPr>
          <w:rFonts w:eastAsiaTheme="minorHAnsi"/>
        </w:rPr>
        <w:t xml:space="preserve">Similar to network services, </w:t>
      </w:r>
      <w:r w:rsidR="00A45E1D">
        <w:rPr>
          <w:rFonts w:eastAsiaTheme="minorHAnsi"/>
        </w:rPr>
        <w:t>S</w:t>
      </w:r>
      <w:r w:rsidR="002B5CB9">
        <w:rPr>
          <w:rFonts w:eastAsiaTheme="minorHAnsi"/>
        </w:rPr>
        <w:t>A Power Networks</w:t>
      </w:r>
      <w:r w:rsidR="00A45E1D">
        <w:rPr>
          <w:rFonts w:eastAsiaTheme="minorHAnsi"/>
        </w:rPr>
        <w:t xml:space="preserve"> currently provide</w:t>
      </w:r>
      <w:r w:rsidR="002B5CB9">
        <w:rPr>
          <w:rFonts w:eastAsiaTheme="minorHAnsi"/>
        </w:rPr>
        <w:t>s</w:t>
      </w:r>
      <w:r w:rsidR="00A45E1D">
        <w:rPr>
          <w:rFonts w:eastAsiaTheme="minorHAnsi"/>
        </w:rPr>
        <w:t xml:space="preserve"> </w:t>
      </w:r>
      <w:r w:rsidRPr="00AA45D3">
        <w:rPr>
          <w:rFonts w:eastAsiaTheme="minorHAnsi"/>
        </w:rPr>
        <w:t xml:space="preserve">basic connection services on a 'standard' or routine basis. For example, </w:t>
      </w:r>
      <w:r w:rsidRPr="00704607">
        <w:t xml:space="preserve">a new residential property owner having their house connected to the network with </w:t>
      </w:r>
      <w:r w:rsidRPr="00704607">
        <w:rPr>
          <w:rStyle w:val="AERbody"/>
        </w:rPr>
        <w:t>minimal or no augmentation</w:t>
      </w:r>
      <w:r w:rsidRPr="00704607">
        <w:t xml:space="preserve">. This type of connection request is common to anyone wanting to connect to the network to use electricity. </w:t>
      </w:r>
    </w:p>
    <w:p w:rsidR="00AA45D3" w:rsidRPr="009358C3" w:rsidRDefault="00AA45D3" w:rsidP="00AA45D3">
      <w:pPr>
        <w:numPr>
          <w:ilvl w:val="0"/>
          <w:numId w:val="6"/>
        </w:numPr>
      </w:pPr>
      <w:r w:rsidRPr="009358C3">
        <w:t xml:space="preserve">We </w:t>
      </w:r>
      <w:r>
        <w:t>consider the</w:t>
      </w:r>
      <w:r w:rsidRPr="009358C3">
        <w:t xml:space="preserve"> current classification of standard control </w:t>
      </w:r>
      <w:r>
        <w:t xml:space="preserve">for </w:t>
      </w:r>
      <w:r w:rsidRPr="00704607">
        <w:t xml:space="preserve">basic </w:t>
      </w:r>
      <w:r>
        <w:t xml:space="preserve">connection services is appropriate because: </w:t>
      </w:r>
    </w:p>
    <w:p w:rsidR="00AA45D3" w:rsidRPr="009358C3" w:rsidRDefault="00AA45D3" w:rsidP="00AA45D3">
      <w:pPr>
        <w:pStyle w:val="AERbulletlistfirststyle"/>
      </w:pPr>
      <w:r>
        <w:t>t</w:t>
      </w:r>
      <w:r w:rsidRPr="009358C3">
        <w:t xml:space="preserve">here is little, if any, prospect for competition in the market for </w:t>
      </w:r>
      <w:r>
        <w:t xml:space="preserve">basic </w:t>
      </w:r>
      <w:r w:rsidRPr="009358C3">
        <w:t xml:space="preserve">connection services. That is, we are not aware of any </w:t>
      </w:r>
      <w:r>
        <w:t>g</w:t>
      </w:r>
      <w:r w:rsidRPr="009358C3">
        <w:t xml:space="preserve">overnment initiatives </w:t>
      </w:r>
      <w:r>
        <w:t xml:space="preserve">to introduce contestability for connection services in the coming </w:t>
      </w:r>
      <w:r w:rsidRPr="009358C3">
        <w:t>regulatory control per</w:t>
      </w:r>
      <w:r>
        <w:t>iod</w:t>
      </w:r>
      <w:r w:rsidRPr="009358C3">
        <w:t xml:space="preserve">. Therefore, our classification will not influence the potential for competition. </w:t>
      </w:r>
    </w:p>
    <w:p w:rsidR="00AA45D3" w:rsidRPr="009358C3" w:rsidRDefault="00AA45D3" w:rsidP="00AA45D3">
      <w:pPr>
        <w:pStyle w:val="AERbulletlistfirststyle"/>
      </w:pPr>
      <w:r>
        <w:t>t</w:t>
      </w:r>
      <w:r w:rsidRPr="009358C3">
        <w:t>here would be no material effect on</w:t>
      </w:r>
      <w:r>
        <w:t xml:space="preserve"> administrative costs to us</w:t>
      </w:r>
      <w:r w:rsidRPr="009358C3">
        <w:t>, SA</w:t>
      </w:r>
      <w:r>
        <w:t xml:space="preserve"> </w:t>
      </w:r>
      <w:r w:rsidRPr="009358C3">
        <w:t>P</w:t>
      </w:r>
      <w:r>
        <w:t xml:space="preserve">ower </w:t>
      </w:r>
      <w:r w:rsidRPr="009358C3">
        <w:t>N</w:t>
      </w:r>
      <w:r>
        <w:t>etworks</w:t>
      </w:r>
      <w:r w:rsidRPr="009358C3">
        <w:t xml:space="preserve">, users or potential users. This is because classifying connection services as standard control services is consistent with the current regulatory approach. </w:t>
      </w:r>
    </w:p>
    <w:p w:rsidR="00AA45D3" w:rsidRDefault="00520AF2" w:rsidP="00AA45D3">
      <w:pPr>
        <w:pStyle w:val="AERbulletlistfirststyle"/>
      </w:pPr>
      <w:r>
        <w:t>w</w:t>
      </w:r>
      <w:r w:rsidR="006110E9">
        <w:t>e</w:t>
      </w:r>
      <w:r w:rsidR="00AA45D3" w:rsidRPr="009358C3">
        <w:t xml:space="preserve"> </w:t>
      </w:r>
      <w:r w:rsidR="006110E9" w:rsidRPr="009358C3">
        <w:t>classif</w:t>
      </w:r>
      <w:r w:rsidR="006110E9">
        <w:t>y</w:t>
      </w:r>
      <w:r w:rsidR="006110E9" w:rsidRPr="009358C3">
        <w:t xml:space="preserve"> </w:t>
      </w:r>
      <w:r w:rsidR="00AA45D3" w:rsidRPr="009358C3">
        <w:t>standard connection services in Queensland, South Australia and Tasmania as standard control services.</w:t>
      </w:r>
      <w:r w:rsidR="00AA45D3" w:rsidRPr="009358C3">
        <w:rPr>
          <w:rStyle w:val="FootnoteReference"/>
        </w:rPr>
        <w:footnoteReference w:id="45"/>
      </w:r>
      <w:r w:rsidR="00AA45D3" w:rsidRPr="009358C3">
        <w:t xml:space="preserve"> In Victoria, we classify standard connection services as alternative control services.</w:t>
      </w:r>
      <w:r w:rsidR="00AA45D3" w:rsidRPr="009358C3">
        <w:rPr>
          <w:rStyle w:val="FootnoteReference"/>
        </w:rPr>
        <w:footnoteReference w:id="46"/>
      </w:r>
      <w:r w:rsidR="00AA45D3" w:rsidRPr="009358C3">
        <w:t xml:space="preserve"> </w:t>
      </w:r>
    </w:p>
    <w:p w:rsidR="00AA45D3" w:rsidRPr="00CC134E" w:rsidRDefault="00520AF2" w:rsidP="00AA45D3">
      <w:pPr>
        <w:pStyle w:val="AERbulletlistfirststyle"/>
        <w:rPr>
          <w:rStyle w:val="AERbody"/>
        </w:rPr>
      </w:pPr>
      <w:r>
        <w:rPr>
          <w:rStyle w:val="AERbody"/>
        </w:rPr>
        <w:t>w</w:t>
      </w:r>
      <w:r w:rsidR="00AA45D3">
        <w:rPr>
          <w:rStyle w:val="AERbody"/>
        </w:rPr>
        <w:t>e note that t</w:t>
      </w:r>
      <w:r w:rsidR="00AA45D3" w:rsidRPr="00CC134E">
        <w:rPr>
          <w:rStyle w:val="AERbody"/>
        </w:rPr>
        <w:t>he nature of connection services is such that in most instances, the customer requesting the service will benefit from the provision of that service. As such, the costs are directly attributable to identifiable customers. To protect the broader customer base from incurring additional costs for services of no benefit to them, connections which require augmentation or significant alteration to the distribution network (as opposed to basic connection service where no such costs are required) need the requesting customer to make a capital contribution. This is discussed in the non-basic connection services section below.</w:t>
      </w:r>
    </w:p>
    <w:p w:rsidR="00AA45D3" w:rsidRPr="00CC134E" w:rsidRDefault="00AA45D3" w:rsidP="006110E9">
      <w:pPr>
        <w:pStyle w:val="AERbodytext"/>
      </w:pPr>
      <w:r>
        <w:t>For the above reasons, we consider</w:t>
      </w:r>
      <w:r w:rsidRPr="00CC134E">
        <w:t xml:space="preserve"> no change to the current classification of standard control for basic connection services is justified. </w:t>
      </w:r>
    </w:p>
    <w:p w:rsidR="00AA45D3" w:rsidRPr="008F7EB2" w:rsidRDefault="00AA45D3" w:rsidP="008F7EB2">
      <w:pPr>
        <w:pStyle w:val="HeadingBoldBlue"/>
        <w:rPr>
          <w:rStyle w:val="AERtextbold"/>
          <w:rFonts w:eastAsia="Calibri"/>
          <w:b/>
        </w:rPr>
      </w:pPr>
      <w:r w:rsidRPr="008F7EB2">
        <w:rPr>
          <w:rStyle w:val="AERtextbold"/>
          <w:b/>
        </w:rPr>
        <w:t>Non-basic connection services</w:t>
      </w:r>
    </w:p>
    <w:p w:rsidR="00AA45D3" w:rsidRPr="00AA45D3" w:rsidRDefault="00AA45D3" w:rsidP="00AA45D3">
      <w:pPr>
        <w:pStyle w:val="AERbodytext"/>
        <w:rPr>
          <w:rFonts w:eastAsiaTheme="minorHAnsi"/>
        </w:rPr>
      </w:pPr>
      <w:r w:rsidRPr="004210CA">
        <w:t xml:space="preserve">We intend to classify </w:t>
      </w:r>
      <w:r>
        <w:t>non-</w:t>
      </w:r>
      <w:r w:rsidRPr="004210CA">
        <w:t>basic connection service</w:t>
      </w:r>
      <w:r>
        <w:t>s</w:t>
      </w:r>
      <w:r w:rsidRPr="004210CA">
        <w:t xml:space="preserve"> as </w:t>
      </w:r>
      <w:r>
        <w:t xml:space="preserve">negotiated </w:t>
      </w:r>
      <w:r w:rsidRPr="004210CA">
        <w:t>services.</w:t>
      </w:r>
    </w:p>
    <w:p w:rsidR="00AA45D3" w:rsidRDefault="00AA45D3" w:rsidP="00AA45D3">
      <w:pPr>
        <w:pStyle w:val="AERbodytext"/>
        <w:rPr>
          <w:rStyle w:val="AERbody"/>
        </w:rPr>
      </w:pPr>
      <w:r w:rsidRPr="00516E3E">
        <w:t xml:space="preserve">Unlike basic connection services, non-basic connection services are connection </w:t>
      </w:r>
      <w:r w:rsidRPr="00516E3E">
        <w:rPr>
          <w:rStyle w:val="AERbody"/>
        </w:rPr>
        <w:t>service</w:t>
      </w:r>
      <w:r>
        <w:rPr>
          <w:rStyle w:val="AERbody"/>
        </w:rPr>
        <w:t>s</w:t>
      </w:r>
      <w:r w:rsidRPr="00516E3E">
        <w:rPr>
          <w:rStyle w:val="AERbody"/>
        </w:rPr>
        <w:t xml:space="preserve"> that require an augmentation to the network.</w:t>
      </w:r>
      <w:r w:rsidRPr="00AA45D3">
        <w:rPr>
          <w:rFonts w:eastAsiaTheme="minorHAnsi"/>
        </w:rPr>
        <w:t xml:space="preserve"> </w:t>
      </w:r>
      <w:r w:rsidRPr="000E7C40">
        <w:t xml:space="preserve">As noted above, in most instances, </w:t>
      </w:r>
      <w:r w:rsidRPr="000E7C40">
        <w:rPr>
          <w:rStyle w:val="AERbody"/>
        </w:rPr>
        <w:t xml:space="preserve">connection services will only benefit </w:t>
      </w:r>
      <w:r>
        <w:rPr>
          <w:rStyle w:val="AERbody"/>
        </w:rPr>
        <w:t xml:space="preserve">the </w:t>
      </w:r>
      <w:r w:rsidRPr="000E7C40">
        <w:rPr>
          <w:rStyle w:val="AERbody"/>
        </w:rPr>
        <w:t xml:space="preserve">customer requesting that service. To protect the broader customer base from incurring additional costs </w:t>
      </w:r>
      <w:r>
        <w:rPr>
          <w:rStyle w:val="AERbody"/>
        </w:rPr>
        <w:t xml:space="preserve">arising from an individual customer's request for a non-standard </w:t>
      </w:r>
      <w:r w:rsidRPr="000E7C40">
        <w:rPr>
          <w:rStyle w:val="AERbody"/>
        </w:rPr>
        <w:t xml:space="preserve">service </w:t>
      </w:r>
      <w:r>
        <w:rPr>
          <w:rStyle w:val="AERbody"/>
        </w:rPr>
        <w:t xml:space="preserve">which is </w:t>
      </w:r>
      <w:r w:rsidRPr="000E7C40">
        <w:rPr>
          <w:rStyle w:val="AERbody"/>
        </w:rPr>
        <w:t xml:space="preserve">of no benefit to them, </w:t>
      </w:r>
      <w:r>
        <w:rPr>
          <w:rStyle w:val="AERbody"/>
        </w:rPr>
        <w:t xml:space="preserve">non-standard </w:t>
      </w:r>
      <w:r w:rsidRPr="000E7C40">
        <w:rPr>
          <w:rStyle w:val="AERbody"/>
        </w:rPr>
        <w:t xml:space="preserve">connections require the requesting customer to make a capital contribution. </w:t>
      </w:r>
    </w:p>
    <w:p w:rsidR="00AA45D3" w:rsidRDefault="00AA45D3" w:rsidP="00AA45D3">
      <w:pPr>
        <w:pStyle w:val="AERbodytext"/>
      </w:pPr>
      <w:r>
        <w:rPr>
          <w:rStyle w:val="AERbody"/>
        </w:rPr>
        <w:lastRenderedPageBreak/>
        <w:t xml:space="preserve">Non-standard connection services are </w:t>
      </w:r>
      <w:r w:rsidRPr="000E7C40">
        <w:rPr>
          <w:rStyle w:val="AERbody"/>
        </w:rPr>
        <w:t>currently classified as negotiated service</w:t>
      </w:r>
      <w:r>
        <w:rPr>
          <w:rStyle w:val="AERbody"/>
        </w:rPr>
        <w:t>s.</w:t>
      </w:r>
      <w:r w:rsidRPr="000E7C40">
        <w:t xml:space="preserve"> </w:t>
      </w:r>
      <w:r>
        <w:t>The price for these services</w:t>
      </w:r>
      <w:r w:rsidRPr="000E7C40">
        <w:t xml:space="preserve"> is </w:t>
      </w:r>
      <w:r>
        <w:t xml:space="preserve">set by </w:t>
      </w:r>
      <w:r w:rsidRPr="000E7C40">
        <w:t>individual</w:t>
      </w:r>
      <w:r>
        <w:t xml:space="preserve"> negotiation between the requesting customer and SA Power Networks. We consider it is appropriate to </w:t>
      </w:r>
      <w:r w:rsidRPr="00AC6DCC">
        <w:t xml:space="preserve">continue to regulate non-standard connection </w:t>
      </w:r>
      <w:r>
        <w:t xml:space="preserve">services </w:t>
      </w:r>
      <w:r w:rsidRPr="00AC6DCC">
        <w:t>under a</w:t>
      </w:r>
      <w:r>
        <w:t xml:space="preserve"> </w:t>
      </w:r>
      <w:r w:rsidRPr="00AC6DCC">
        <w:t>negotiate-arbitrate framework</w:t>
      </w:r>
      <w:r>
        <w:t>. This is because the administrative costs for users, SA Power Networks and us to impose price regulation are significant. F</w:t>
      </w:r>
      <w:r w:rsidRPr="000E7C40">
        <w:t>orecast</w:t>
      </w:r>
      <w:r>
        <w:t>ing</w:t>
      </w:r>
      <w:r w:rsidRPr="000E7C40">
        <w:t xml:space="preserve"> the costs and magnitude of this type of connection service</w:t>
      </w:r>
      <w:r>
        <w:t xml:space="preserve"> is complex</w:t>
      </w:r>
      <w:r w:rsidRPr="000E7C40">
        <w:t>, as these aspects will depend on the circumstances of individual customers requesting these services (</w:t>
      </w:r>
      <w:r>
        <w:t>for example,</w:t>
      </w:r>
      <w:r w:rsidRPr="000E7C40">
        <w:t xml:space="preserve"> </w:t>
      </w:r>
      <w:r>
        <w:t xml:space="preserve">the </w:t>
      </w:r>
      <w:r w:rsidRPr="000E7C40">
        <w:t>location and distan</w:t>
      </w:r>
      <w:r>
        <w:t>ce</w:t>
      </w:r>
      <w:r w:rsidRPr="000E7C40">
        <w:t xml:space="preserve"> from </w:t>
      </w:r>
      <w:r>
        <w:t xml:space="preserve">the </w:t>
      </w:r>
      <w:r w:rsidRPr="000E7C40">
        <w:t xml:space="preserve">closest network infrastructure, </w:t>
      </w:r>
      <w:r>
        <w:t xml:space="preserve">and the </w:t>
      </w:r>
      <w:r w:rsidRPr="000E7C40">
        <w:t>connection characteristics desired by the customer). The ability for customers to elect an alternative provider to design and construct the connection assets and associated extension works provides customers with some countervailing power.</w:t>
      </w:r>
      <w:r w:rsidRPr="000E7C40">
        <w:rPr>
          <w:rStyle w:val="FootnoteReference"/>
        </w:rPr>
        <w:footnoteReference w:id="47"/>
      </w:r>
      <w:r w:rsidRPr="000E7C40">
        <w:t xml:space="preserve"> </w:t>
      </w:r>
    </w:p>
    <w:p w:rsidR="00AA45D3" w:rsidRPr="00AA45D3" w:rsidRDefault="00AA45D3" w:rsidP="00AA45D3">
      <w:pPr>
        <w:pStyle w:val="AERbodytext"/>
        <w:rPr>
          <w:rFonts w:eastAsiaTheme="minorHAnsi"/>
        </w:rPr>
      </w:pPr>
      <w:r w:rsidRPr="00E76879">
        <w:t>In classifying connection services, other t</w:t>
      </w:r>
      <w:r>
        <w:t>han the factors set out in the r</w:t>
      </w:r>
      <w:r w:rsidRPr="00E76879">
        <w:t>ules,</w:t>
      </w:r>
      <w:r w:rsidRPr="00E76879">
        <w:rPr>
          <w:rStyle w:val="FootnoteReference"/>
        </w:rPr>
        <w:footnoteReference w:id="48"/>
      </w:r>
      <w:r>
        <w:t xml:space="preserve"> we have</w:t>
      </w:r>
      <w:r w:rsidR="00DC077B">
        <w:t xml:space="preserve"> considered c</w:t>
      </w:r>
      <w:r w:rsidRPr="00E76879">
        <w:t xml:space="preserve">hapter 5A of the </w:t>
      </w:r>
      <w:r>
        <w:t>r</w:t>
      </w:r>
      <w:r w:rsidRPr="00E76879">
        <w:t xml:space="preserve">ules and its </w:t>
      </w:r>
      <w:r>
        <w:t>c</w:t>
      </w:r>
      <w:r w:rsidRPr="00E76879">
        <w:t>onnection charge guideline (</w:t>
      </w:r>
      <w:r w:rsidR="00DC077B">
        <w:t>c</w:t>
      </w:r>
      <w:r>
        <w:t xml:space="preserve">onnection </w:t>
      </w:r>
      <w:r w:rsidR="00DC077B">
        <w:t>g</w:t>
      </w:r>
      <w:r w:rsidRPr="00E76879">
        <w:t>uideline).</w:t>
      </w:r>
      <w:r w:rsidRPr="00E76879">
        <w:rPr>
          <w:rStyle w:val="FootnoteReference"/>
        </w:rPr>
        <w:footnoteReference w:id="49"/>
      </w:r>
      <w:r w:rsidR="00DC077B">
        <w:t xml:space="preserve"> The purpose of c</w:t>
      </w:r>
      <w:r w:rsidRPr="00E76879">
        <w:t xml:space="preserve">hapter 5A and the </w:t>
      </w:r>
      <w:r w:rsidR="00DC077B">
        <w:t>c</w:t>
      </w:r>
      <w:r>
        <w:t xml:space="preserve">onnection </w:t>
      </w:r>
      <w:r w:rsidR="00DC077B">
        <w:t>g</w:t>
      </w:r>
      <w:r w:rsidRPr="00E76879">
        <w:t>uideline is to provide a framework and charging principles for new connections or connection alterations.</w:t>
      </w:r>
      <w:r w:rsidRPr="00E76879">
        <w:rPr>
          <w:rStyle w:val="FootnoteReference"/>
        </w:rPr>
        <w:footnoteReference w:id="50"/>
      </w:r>
      <w:r w:rsidRPr="00E76879">
        <w:t xml:space="preserve"> We are mindful of classifying SA</w:t>
      </w:r>
      <w:r>
        <w:t xml:space="preserve"> </w:t>
      </w:r>
      <w:r w:rsidRPr="00E76879">
        <w:t>P</w:t>
      </w:r>
      <w:r>
        <w:t xml:space="preserve">ower </w:t>
      </w:r>
      <w:r w:rsidRPr="00E76879">
        <w:t>N</w:t>
      </w:r>
      <w:r>
        <w:t>etwork</w:t>
      </w:r>
      <w:r w:rsidRPr="00E76879">
        <w:t>s</w:t>
      </w:r>
      <w:r>
        <w:t>’</w:t>
      </w:r>
      <w:r w:rsidRPr="00E76879">
        <w:t xml:space="preserve"> connection services in a way </w:t>
      </w:r>
      <w:r w:rsidR="00DC077B">
        <w:t>that supports the operation of c</w:t>
      </w:r>
      <w:r w:rsidRPr="00E76879">
        <w:t xml:space="preserve">hapter 5A and the </w:t>
      </w:r>
      <w:r w:rsidR="00DC077B">
        <w:t>c</w:t>
      </w:r>
      <w:r>
        <w:t xml:space="preserve">onnection </w:t>
      </w:r>
      <w:r w:rsidR="00DC077B">
        <w:t>g</w:t>
      </w:r>
      <w:r w:rsidRPr="00E76879">
        <w:t xml:space="preserve">uideline. </w:t>
      </w:r>
    </w:p>
    <w:p w:rsidR="00AA45D3" w:rsidRPr="00E76879" w:rsidRDefault="00AA45D3" w:rsidP="00AA45D3">
      <w:pPr>
        <w:pStyle w:val="AERbodytext"/>
      </w:pPr>
      <w:r w:rsidRPr="00E76879">
        <w:t xml:space="preserve">Under </w:t>
      </w:r>
      <w:r w:rsidR="00A36E64">
        <w:t>c</w:t>
      </w:r>
      <w:r w:rsidRPr="00E76879">
        <w:t xml:space="preserve">hapter 5A and the </w:t>
      </w:r>
      <w:r w:rsidR="00DC077B">
        <w:t>c</w:t>
      </w:r>
      <w:r>
        <w:t xml:space="preserve">onnection </w:t>
      </w:r>
      <w:r w:rsidR="00DC077B">
        <w:t>g</w:t>
      </w:r>
      <w:r w:rsidRPr="00E76879">
        <w:t>uideline, connection services classified as standard control services will b</w:t>
      </w:r>
      <w:r>
        <w:t>e charged according to our</w:t>
      </w:r>
      <w:r w:rsidRPr="00E76879">
        <w:t xml:space="preserve"> decision on the form of control (for example, a price cap or revenue cap). Chapter 5A and the </w:t>
      </w:r>
      <w:r w:rsidR="00DC077B">
        <w:t>c</w:t>
      </w:r>
      <w:r>
        <w:t xml:space="preserve">onnection </w:t>
      </w:r>
      <w:r w:rsidR="00DC077B">
        <w:t>g</w:t>
      </w:r>
      <w:r w:rsidRPr="00E76879">
        <w:t xml:space="preserve">uideline also provide that for connection services a distributor may seek a capital contribution from the customer toward the cost of the connection service. </w:t>
      </w:r>
      <w:r>
        <w:t xml:space="preserve">This means a distributor </w:t>
      </w:r>
      <w:r w:rsidRPr="00E76879">
        <w:t xml:space="preserve">may only seek a capital contribution from a customer when the incremental cost of the connection service exceeds the estimated incremental revenue expected to be derived from the connection service. Put simply, if the customer's connection cost exceeds the revenues that will be paid by that customer over time, then the customer will be asked to make a contribution to the connection costs.  </w:t>
      </w:r>
    </w:p>
    <w:p w:rsidR="00AA45D3" w:rsidRDefault="00AA45D3" w:rsidP="00AA45D3">
      <w:pPr>
        <w:pStyle w:val="AERbodytext"/>
      </w:pPr>
      <w:r>
        <w:t xml:space="preserve">We consider classifying non-standard connection service as negotiated services is consistent with the </w:t>
      </w:r>
      <w:r w:rsidRPr="00AC6DCC">
        <w:t xml:space="preserve">operation of </w:t>
      </w:r>
      <w:r w:rsidR="00A36E64">
        <w:t>c</w:t>
      </w:r>
      <w:r w:rsidRPr="00AC6DCC">
        <w:t xml:space="preserve">hapter 5A and the </w:t>
      </w:r>
      <w:r w:rsidR="00DC077B">
        <w:t>c</w:t>
      </w:r>
      <w:r>
        <w:t xml:space="preserve">onnection </w:t>
      </w:r>
      <w:r w:rsidR="00DC077B">
        <w:t>g</w:t>
      </w:r>
      <w:r w:rsidRPr="00AC6DCC">
        <w:t>uideline</w:t>
      </w:r>
      <w:r>
        <w:t xml:space="preserve">. Under this classification </w:t>
      </w:r>
      <w:r w:rsidRPr="00544E6A">
        <w:t xml:space="preserve">non-standard connection services </w:t>
      </w:r>
      <w:r>
        <w:t xml:space="preserve">will be </w:t>
      </w:r>
      <w:r w:rsidRPr="00544E6A">
        <w:t>regulate</w:t>
      </w:r>
      <w:r>
        <w:t>d</w:t>
      </w:r>
      <w:r w:rsidRPr="00544E6A">
        <w:t xml:space="preserve"> under a negotiate</w:t>
      </w:r>
      <w:r w:rsidR="006110E9">
        <w:rPr>
          <w:rFonts w:cs="Gautami"/>
        </w:rPr>
        <w:t>–</w:t>
      </w:r>
      <w:r w:rsidRPr="00544E6A">
        <w:t>arbitrate framework</w:t>
      </w:r>
      <w:r>
        <w:t xml:space="preserve">. The framework is </w:t>
      </w:r>
      <w:r w:rsidRPr="00704607">
        <w:t xml:space="preserve">set out in chapter 5A </w:t>
      </w:r>
      <w:r>
        <w:t xml:space="preserve">of the </w:t>
      </w:r>
      <w:r w:rsidR="00111AFD">
        <w:t xml:space="preserve">rules </w:t>
      </w:r>
      <w:r>
        <w:t xml:space="preserve">and </w:t>
      </w:r>
      <w:r w:rsidRPr="00704607">
        <w:t xml:space="preserve">the </w:t>
      </w:r>
      <w:r w:rsidR="00DC077B">
        <w:rPr>
          <w:rFonts w:eastAsiaTheme="minorHAnsi"/>
        </w:rPr>
        <w:t>connection g</w:t>
      </w:r>
      <w:r w:rsidRPr="00AA45D3">
        <w:rPr>
          <w:rFonts w:eastAsiaTheme="minorHAnsi"/>
        </w:rPr>
        <w:t>uideline provides guidance on the practical implementation of the framework. Further,</w:t>
      </w:r>
      <w:r w:rsidRPr="00704607">
        <w:t xml:space="preserve"> </w:t>
      </w:r>
      <w:r>
        <w:t>we have approved</w:t>
      </w:r>
      <w:r w:rsidRPr="005A4D0B">
        <w:t xml:space="preserve"> a Connection Policy </w:t>
      </w:r>
      <w:r>
        <w:t xml:space="preserve">document </w:t>
      </w:r>
      <w:r w:rsidRPr="005A4D0B">
        <w:t>for SA</w:t>
      </w:r>
      <w:r>
        <w:t xml:space="preserve"> </w:t>
      </w:r>
      <w:r w:rsidRPr="005A4D0B">
        <w:t>P</w:t>
      </w:r>
      <w:r>
        <w:t xml:space="preserve">ower </w:t>
      </w:r>
      <w:r w:rsidRPr="005A4D0B">
        <w:t>N</w:t>
      </w:r>
      <w:r>
        <w:t>etwork</w:t>
      </w:r>
      <w:r w:rsidRPr="005A4D0B">
        <w:t>s</w:t>
      </w:r>
      <w:r>
        <w:t xml:space="preserve">’ </w:t>
      </w:r>
      <w:r w:rsidRPr="005A4D0B">
        <w:t>distribution network</w:t>
      </w:r>
      <w:r>
        <w:t xml:space="preserve"> effective from January 2013. We consider this will provide further assistance </w:t>
      </w:r>
      <w:r w:rsidRPr="00704607">
        <w:t xml:space="preserve">for </w:t>
      </w:r>
      <w:r>
        <w:t xml:space="preserve">South Australian </w:t>
      </w:r>
      <w:r w:rsidRPr="00704607">
        <w:t xml:space="preserve">consumers to </w:t>
      </w:r>
      <w:r>
        <w:t xml:space="preserve">better </w:t>
      </w:r>
      <w:r w:rsidRPr="00704607">
        <w:t xml:space="preserve">understand where additional contributions may be required. </w:t>
      </w:r>
    </w:p>
    <w:p w:rsidR="00AA45D3" w:rsidRPr="00544E6A" w:rsidRDefault="00AA45D3" w:rsidP="00AA45D3">
      <w:pPr>
        <w:pStyle w:val="AERbodytext"/>
      </w:pPr>
      <w:r w:rsidRPr="00544E6A">
        <w:t>For t</w:t>
      </w:r>
      <w:r>
        <w:t>he above reasons, we consider</w:t>
      </w:r>
      <w:r w:rsidRPr="00544E6A">
        <w:t xml:space="preserve"> no change t</w:t>
      </w:r>
      <w:r>
        <w:t xml:space="preserve">o the current classification </w:t>
      </w:r>
      <w:r w:rsidRPr="00544E6A">
        <w:t xml:space="preserve">for </w:t>
      </w:r>
      <w:r>
        <w:t>non-</w:t>
      </w:r>
      <w:r w:rsidRPr="00544E6A">
        <w:t>basic connection services</w:t>
      </w:r>
      <w:r>
        <w:t xml:space="preserve"> is justified</w:t>
      </w:r>
      <w:r w:rsidRPr="00544E6A">
        <w:t xml:space="preserve">. </w:t>
      </w:r>
    </w:p>
    <w:p w:rsidR="00AA45D3" w:rsidRPr="00AA45D3" w:rsidRDefault="00AA45D3" w:rsidP="00AA45D3">
      <w:pPr>
        <w:pStyle w:val="Heading3"/>
      </w:pPr>
      <w:bookmarkStart w:id="30" w:name="_Toc350444112"/>
      <w:bookmarkStart w:id="31" w:name="_Toc350444306"/>
      <w:bookmarkStart w:id="32" w:name="_Toc351732925"/>
      <w:bookmarkStart w:id="33" w:name="_Toc351731453"/>
      <w:bookmarkStart w:id="34" w:name="_Toc373499989"/>
      <w:bookmarkStart w:id="35" w:name="_Toc373773974"/>
      <w:bookmarkStart w:id="36" w:name="_Toc328123166"/>
      <w:bookmarkStart w:id="37" w:name="_Toc328143886"/>
      <w:bookmarkEnd w:id="20"/>
      <w:bookmarkEnd w:id="21"/>
      <w:r w:rsidRPr="00AA45D3">
        <w:t>Metering services</w:t>
      </w:r>
      <w:bookmarkEnd w:id="30"/>
      <w:bookmarkEnd w:id="31"/>
      <w:bookmarkEnd w:id="32"/>
      <w:bookmarkEnd w:id="33"/>
      <w:bookmarkEnd w:id="34"/>
      <w:bookmarkEnd w:id="35"/>
      <w:r w:rsidRPr="00AA45D3">
        <w:t xml:space="preserve"> </w:t>
      </w:r>
      <w:bookmarkEnd w:id="36"/>
      <w:bookmarkEnd w:id="37"/>
    </w:p>
    <w:p w:rsidR="00AA45D3" w:rsidRDefault="00AA45D3" w:rsidP="00AA45D3">
      <w:pPr>
        <w:pStyle w:val="AERbodytext"/>
        <w:rPr>
          <w:rStyle w:val="AERbody"/>
        </w:rPr>
      </w:pPr>
      <w:r w:rsidRPr="00823F3C">
        <w:rPr>
          <w:rStyle w:val="AERbody"/>
        </w:rPr>
        <w:t>All electricity customers have a meter that measures the amount of electricity they use.</w:t>
      </w:r>
      <w:r w:rsidRPr="00E761AF">
        <w:rPr>
          <w:rStyle w:val="AERsuperscript"/>
        </w:rPr>
        <w:footnoteReference w:id="51"/>
      </w:r>
      <w:r w:rsidRPr="00823F3C">
        <w:rPr>
          <w:rStyle w:val="AERbody"/>
        </w:rPr>
        <w:t xml:space="preserve"> However, not all customers have the same type of meter. There are different types of meters which each measure electricity usage in different ways. </w:t>
      </w:r>
    </w:p>
    <w:p w:rsidR="00AA45D3" w:rsidRPr="003F4923" w:rsidRDefault="00AA45D3" w:rsidP="00AA45D3">
      <w:pPr>
        <w:pStyle w:val="AERbodytext"/>
      </w:pPr>
      <w:r w:rsidRPr="003F4923">
        <w:lastRenderedPageBreak/>
        <w:t>Type 1</w:t>
      </w:r>
      <w:r w:rsidR="009A54A3">
        <w:t xml:space="preserve"> </w:t>
      </w:r>
      <w:r w:rsidR="00A45E1D">
        <w:t xml:space="preserve">to </w:t>
      </w:r>
      <w:r w:rsidRPr="003F4923">
        <w:t xml:space="preserve">4 meters </w:t>
      </w:r>
      <w:r>
        <w:t>are</w:t>
      </w:r>
      <w:r w:rsidRPr="003F4923">
        <w:t xml:space="preserve"> generally provided to large customers who consume greater than 160 megawatt hours (MWh) of electricity per annu</w:t>
      </w:r>
      <w:r>
        <w:t>m. Clause 7.2.3(a)(1) of the rules</w:t>
      </w:r>
      <w:r w:rsidRPr="003F4923">
        <w:t xml:space="preserve"> provides that provision of these types of meters </w:t>
      </w:r>
      <w:r>
        <w:t>is</w:t>
      </w:r>
      <w:r w:rsidRPr="003F4923">
        <w:t xml:space="preserve"> contestable.</w:t>
      </w:r>
      <w:r>
        <w:t xml:space="preserve"> </w:t>
      </w:r>
    </w:p>
    <w:p w:rsidR="00AA45D3" w:rsidRDefault="00AA45D3" w:rsidP="00AA45D3">
      <w:pPr>
        <w:pStyle w:val="AERbodytext"/>
      </w:pPr>
      <w:r>
        <w:t>However,</w:t>
      </w:r>
      <w:r w:rsidRPr="003F4923">
        <w:t xml:space="preserve"> </w:t>
      </w:r>
      <w:r>
        <w:t>SA Power Networks</w:t>
      </w:r>
      <w:r w:rsidRPr="003F4923">
        <w:t xml:space="preserve"> </w:t>
      </w:r>
      <w:r>
        <w:t>is</w:t>
      </w:r>
      <w:r w:rsidRPr="003F4923">
        <w:t xml:space="preserve"> the monopoly provider of type 5 and 6 meters.</w:t>
      </w:r>
      <w:r w:rsidRPr="003F4923">
        <w:rPr>
          <w:rStyle w:val="FootnoteReference"/>
        </w:rPr>
        <w:footnoteReference w:id="52"/>
      </w:r>
      <w:r w:rsidRPr="003F4923">
        <w:t xml:space="preserve"> </w:t>
      </w:r>
      <w:r>
        <w:t>D</w:t>
      </w:r>
      <w:r w:rsidRPr="003F4923">
        <w:t xml:space="preserve">istributors provide these default meter types to households and other small consumption users. Type 6 meters simply record total electricity usage over a period of time. Type 5 meters can record </w:t>
      </w:r>
      <w:r>
        <w:t xml:space="preserve">both </w:t>
      </w:r>
      <w:r w:rsidRPr="003F4923">
        <w:t xml:space="preserve">electricity usage and </w:t>
      </w:r>
      <w:r>
        <w:t xml:space="preserve">the </w:t>
      </w:r>
      <w:r w:rsidRPr="003F4923">
        <w:t>time of use.</w:t>
      </w:r>
      <w:r w:rsidRPr="003F4923">
        <w:rPr>
          <w:rStyle w:val="FootnoteReference"/>
        </w:rPr>
        <w:footnoteReference w:id="53"/>
      </w:r>
      <w:r w:rsidRPr="003F4923">
        <w:t xml:space="preserve"> </w:t>
      </w:r>
    </w:p>
    <w:p w:rsidR="00AA45D3" w:rsidRDefault="00AA45D3" w:rsidP="00AA45D3">
      <w:pPr>
        <w:pStyle w:val="AERbodytext"/>
      </w:pPr>
      <w:r>
        <w:t>SA Power Networks currently offers the following m</w:t>
      </w:r>
      <w:r w:rsidRPr="003F4923">
        <w:t xml:space="preserve">etering services </w:t>
      </w:r>
      <w:r>
        <w:t xml:space="preserve">for different types of meters: </w:t>
      </w:r>
    </w:p>
    <w:p w:rsidR="00AA45D3" w:rsidRDefault="006110E9" w:rsidP="00AA45D3">
      <w:pPr>
        <w:pStyle w:val="AERbulletlistfirststyle"/>
      </w:pPr>
      <w:r>
        <w:t>p</w:t>
      </w:r>
      <w:r w:rsidR="00AA45D3">
        <w:t xml:space="preserve">rovision and installation of </w:t>
      </w:r>
      <w:r w:rsidR="004839C5">
        <w:t xml:space="preserve">a </w:t>
      </w:r>
      <w:r w:rsidR="00AA45D3">
        <w:t>Type 5</w:t>
      </w:r>
      <w:r w:rsidR="00A36E64">
        <w:t xml:space="preserve"> to </w:t>
      </w:r>
      <w:r w:rsidR="00AA45D3">
        <w:t xml:space="preserve">7 meter </w:t>
      </w:r>
    </w:p>
    <w:p w:rsidR="00AA45D3" w:rsidRPr="003F4923" w:rsidRDefault="006110E9" w:rsidP="00AA45D3">
      <w:pPr>
        <w:pStyle w:val="AERbulletlistfirststyle"/>
      </w:pPr>
      <w:r>
        <w:t>p</w:t>
      </w:r>
      <w:r w:rsidR="00AA45D3" w:rsidRPr="003F4923">
        <w:t xml:space="preserve">rovision and installation of </w:t>
      </w:r>
      <w:r w:rsidR="004839C5">
        <w:t xml:space="preserve">a </w:t>
      </w:r>
      <w:r w:rsidR="00AA45D3">
        <w:t>Type 1</w:t>
      </w:r>
      <w:r w:rsidR="00A36E64">
        <w:t xml:space="preserve"> to </w:t>
      </w:r>
      <w:r w:rsidR="00AA45D3">
        <w:t>4</w:t>
      </w:r>
      <w:r w:rsidR="00AA45D3" w:rsidRPr="003F4923">
        <w:t xml:space="preserve"> meter </w:t>
      </w:r>
    </w:p>
    <w:p w:rsidR="00AA45D3" w:rsidRPr="003F4923" w:rsidRDefault="006110E9" w:rsidP="00AA45D3">
      <w:pPr>
        <w:pStyle w:val="AERbulletlistfirststyle"/>
      </w:pPr>
      <w:r>
        <w:t>e</w:t>
      </w:r>
      <w:r w:rsidR="00AA45D3" w:rsidRPr="003F4923">
        <w:t>nergy data services (except the quarterly meter read service)</w:t>
      </w:r>
    </w:p>
    <w:p w:rsidR="00AA45D3" w:rsidRPr="003F4923" w:rsidRDefault="006110E9" w:rsidP="00AA45D3">
      <w:pPr>
        <w:pStyle w:val="AERbulletlistfirststyle"/>
      </w:pPr>
      <w:r>
        <w:t>u</w:t>
      </w:r>
      <w:r w:rsidR="00AA45D3" w:rsidRPr="003F4923">
        <w:t>nscheduled meter reading – non-chargeable</w:t>
      </w:r>
    </w:p>
    <w:p w:rsidR="00AA45D3" w:rsidRPr="003F4923" w:rsidRDefault="006110E9" w:rsidP="00AA45D3">
      <w:pPr>
        <w:pStyle w:val="AERbulletlistfirststyle"/>
      </w:pPr>
      <w:r>
        <w:t>m</w:t>
      </w:r>
      <w:r w:rsidR="00AA45D3">
        <w:t xml:space="preserve">etering investigation </w:t>
      </w:r>
    </w:p>
    <w:p w:rsidR="00AA45D3" w:rsidRPr="003F4923" w:rsidRDefault="006110E9" w:rsidP="00AA45D3">
      <w:pPr>
        <w:pStyle w:val="AERbulletlistfirststyle"/>
      </w:pPr>
      <w:r>
        <w:t>m</w:t>
      </w:r>
      <w:r w:rsidR="00AA45D3" w:rsidRPr="003F4923">
        <w:t>aintaining and repairing meters and</w:t>
      </w:r>
      <w:r w:rsidR="00AA45D3">
        <w:t xml:space="preserve"> load control equipment </w:t>
      </w:r>
    </w:p>
    <w:p w:rsidR="00AA45D3" w:rsidRPr="003F4923" w:rsidRDefault="006110E9" w:rsidP="00AA45D3">
      <w:pPr>
        <w:pStyle w:val="AERbulletlistfirststyle"/>
      </w:pPr>
      <w:r>
        <w:t>s</w:t>
      </w:r>
      <w:r w:rsidR="00AA45D3">
        <w:t xml:space="preserve">cheduled meter reading </w:t>
      </w:r>
    </w:p>
    <w:p w:rsidR="00AA45D3" w:rsidRPr="003F4923" w:rsidRDefault="006110E9" w:rsidP="00AA45D3">
      <w:pPr>
        <w:pStyle w:val="AERbulletlistfirststyle"/>
      </w:pPr>
      <w:r>
        <w:t>e</w:t>
      </w:r>
      <w:r w:rsidR="00AA45D3" w:rsidRPr="003F4923">
        <w:t>xceptional large customer metering services (types 1</w:t>
      </w:r>
      <w:r w:rsidR="00A36E64">
        <w:t xml:space="preserve"> to </w:t>
      </w:r>
      <w:r w:rsidR="00AA45D3" w:rsidRPr="003F4923">
        <w:t>4 installed prior to 1 July 2000)</w:t>
      </w:r>
    </w:p>
    <w:p w:rsidR="00AA45D3" w:rsidRDefault="00A45E1D" w:rsidP="00AA45D3">
      <w:pPr>
        <w:pStyle w:val="AERbulletlistfirststyle"/>
      </w:pPr>
      <w:r>
        <w:t>m</w:t>
      </w:r>
      <w:r w:rsidR="00AA45D3" w:rsidRPr="003F4923">
        <w:t>eter testing at the request of the customer</w:t>
      </w:r>
      <w:r w:rsidR="006110E9">
        <w:t>.</w:t>
      </w:r>
    </w:p>
    <w:p w:rsidR="000D3D32" w:rsidRDefault="00AA45D3" w:rsidP="00AA45D3">
      <w:pPr>
        <w:pStyle w:val="AERbodytext"/>
      </w:pPr>
      <w:r w:rsidRPr="00835571">
        <w:t>South Australi</w:t>
      </w:r>
      <w:r>
        <w:t xml:space="preserve">a is the first jurisdiction where we </w:t>
      </w:r>
      <w:r w:rsidRPr="00835571">
        <w:t>unb</w:t>
      </w:r>
      <w:r>
        <w:t>un</w:t>
      </w:r>
      <w:r w:rsidRPr="00835571">
        <w:t>d</w:t>
      </w:r>
      <w:r>
        <w:t>l</w:t>
      </w:r>
      <w:r w:rsidRPr="00835571">
        <w:t>ed metering services for type 6 meters. In the 2010–</w:t>
      </w:r>
      <w:r>
        <w:t>20</w:t>
      </w:r>
      <w:r w:rsidRPr="00835571">
        <w:t xml:space="preserve">15 regulatory control period, the provision of metering services such as maintenance, repair and scheduled reading for type 6 </w:t>
      </w:r>
      <w:r>
        <w:t xml:space="preserve">meters </w:t>
      </w:r>
      <w:r w:rsidRPr="00835571">
        <w:t xml:space="preserve">is unbundled from </w:t>
      </w:r>
      <w:r>
        <w:t xml:space="preserve">other metering services such as </w:t>
      </w:r>
      <w:r w:rsidRPr="00835571">
        <w:t xml:space="preserve">energy </w:t>
      </w:r>
      <w:r w:rsidR="000D3D32">
        <w:t>data and storage services and metering</w:t>
      </w:r>
      <w:r w:rsidRPr="00835571">
        <w:t xml:space="preserve"> in</w:t>
      </w:r>
      <w:r w:rsidR="000D3D32">
        <w:t>vestigation</w:t>
      </w:r>
      <w:r w:rsidRPr="00835571">
        <w:t xml:space="preserve">. </w:t>
      </w:r>
    </w:p>
    <w:p w:rsidR="00AA45D3" w:rsidRPr="00B80D37" w:rsidRDefault="00AA45D3" w:rsidP="00AA45D3">
      <w:pPr>
        <w:pStyle w:val="AERbodytext"/>
        <w:rPr>
          <w:rStyle w:val="AERbody"/>
        </w:rPr>
      </w:pPr>
      <w:r w:rsidRPr="00B80D37">
        <w:rPr>
          <w:rStyle w:val="AERbody"/>
        </w:rPr>
        <w:t xml:space="preserve">Customers seek </w:t>
      </w:r>
      <w:r>
        <w:rPr>
          <w:rStyle w:val="AERbody"/>
        </w:rPr>
        <w:t>interval</w:t>
      </w:r>
      <w:r w:rsidRPr="00B80D37">
        <w:rPr>
          <w:rStyle w:val="AERbody"/>
        </w:rPr>
        <w:t xml:space="preserve"> meters because they offer </w:t>
      </w:r>
      <w:r>
        <w:rPr>
          <w:rStyle w:val="AERbody"/>
        </w:rPr>
        <w:t xml:space="preserve">more </w:t>
      </w:r>
      <w:r w:rsidRPr="00B80D37">
        <w:rPr>
          <w:rStyle w:val="AERbody"/>
        </w:rPr>
        <w:t xml:space="preserve">frequent information about usage which allows them to better manage their electricity use. </w:t>
      </w:r>
    </w:p>
    <w:p w:rsidR="00AA45D3" w:rsidRDefault="00A45E1D" w:rsidP="00AA45D3">
      <w:pPr>
        <w:pStyle w:val="AERbodytext"/>
      </w:pPr>
      <w:r>
        <w:t>We currently classify t</w:t>
      </w:r>
      <w:r w:rsidR="00AA45D3" w:rsidRPr="00E3359C">
        <w:t>he metering services provided by SA</w:t>
      </w:r>
      <w:r w:rsidR="00AA45D3">
        <w:t xml:space="preserve"> </w:t>
      </w:r>
      <w:r w:rsidR="00AA45D3" w:rsidRPr="00E3359C">
        <w:t>P</w:t>
      </w:r>
      <w:r w:rsidR="00AA45D3">
        <w:t xml:space="preserve">ower </w:t>
      </w:r>
      <w:r w:rsidR="00AA45D3" w:rsidRPr="00E3359C">
        <w:t>N</w:t>
      </w:r>
      <w:r w:rsidR="00AA45D3">
        <w:t>etworks</w:t>
      </w:r>
      <w:r w:rsidR="00AA45D3" w:rsidRPr="00E3359C">
        <w:t xml:space="preserve"> for type 1 to 4 meters as negotiated services. </w:t>
      </w:r>
      <w:r w:rsidR="00AA45D3">
        <w:t>However, two exceptional cases of large customer metering services (customers with type 1</w:t>
      </w:r>
      <w:r w:rsidR="006110E9">
        <w:t xml:space="preserve"> to </w:t>
      </w:r>
      <w:r w:rsidR="00AA45D3">
        <w:t>4 meters installed prior to 1 June 2000) are classified as alternative control services for legacy reasons.</w:t>
      </w:r>
      <w:r w:rsidR="00AA45D3">
        <w:rPr>
          <w:rStyle w:val="FootnoteReference"/>
        </w:rPr>
        <w:footnoteReference w:id="54"/>
      </w:r>
      <w:r w:rsidR="00AA45D3">
        <w:t xml:space="preserve"> </w:t>
      </w:r>
      <w:r w:rsidR="00AA45D3">
        <w:rPr>
          <w:rStyle w:val="AERbody"/>
        </w:rPr>
        <w:t>Type 5 meter services are currently classified as negotiated services.</w:t>
      </w:r>
    </w:p>
    <w:p w:rsidR="00AA45D3" w:rsidRDefault="00AA45D3" w:rsidP="00AA45D3">
      <w:pPr>
        <w:pStyle w:val="AERbodytext"/>
        <w:rPr>
          <w:rStyle w:val="AERbody"/>
        </w:rPr>
      </w:pPr>
      <w:r>
        <w:rPr>
          <w:rStyle w:val="AERbody"/>
        </w:rPr>
        <w:t xml:space="preserve">SA Power Networks is </w:t>
      </w:r>
      <w:r w:rsidRPr="00823F3C">
        <w:rPr>
          <w:rStyle w:val="AERbody"/>
        </w:rPr>
        <w:t>the monopoly provider of type 7 metering services, which are special unmetered connections (for example, public lighting connections).</w:t>
      </w:r>
      <w:r w:rsidRPr="00101B58">
        <w:rPr>
          <w:rStyle w:val="AERsuperscript"/>
        </w:rPr>
        <w:footnoteReference w:id="55"/>
      </w:r>
      <w:r w:rsidR="000D3D32">
        <w:rPr>
          <w:rStyle w:val="AERbody"/>
        </w:rPr>
        <w:t xml:space="preserve"> The m</w:t>
      </w:r>
      <w:r>
        <w:rPr>
          <w:rStyle w:val="AERbody"/>
        </w:rPr>
        <w:t xml:space="preserve">etering service for type 7 meters is classified as standard control. </w:t>
      </w:r>
    </w:p>
    <w:p w:rsidR="00AA45D3" w:rsidRDefault="00AA45D3" w:rsidP="00AA45D3">
      <w:pPr>
        <w:pStyle w:val="AERbodytext"/>
        <w:rPr>
          <w:rStyle w:val="AERbody"/>
        </w:rPr>
      </w:pPr>
      <w:r>
        <w:rPr>
          <w:rStyle w:val="AERbody"/>
        </w:rPr>
        <w:t>In summary, currently SA Power Networks’ metering services are:</w:t>
      </w:r>
    </w:p>
    <w:p w:rsidR="00AA45D3" w:rsidRPr="004B3EC0" w:rsidRDefault="00AA45D3" w:rsidP="00AA45D3">
      <w:pPr>
        <w:pStyle w:val="AERbulletlistfirststyle"/>
        <w:rPr>
          <w:rStyle w:val="AERbody"/>
        </w:rPr>
      </w:pPr>
      <w:r>
        <w:rPr>
          <w:rStyle w:val="AERbody"/>
        </w:rPr>
        <w:t xml:space="preserve">type 1 to 5 – negotiated services  </w:t>
      </w:r>
      <w:r w:rsidRPr="004B3EC0">
        <w:rPr>
          <w:rStyle w:val="AERbody"/>
        </w:rPr>
        <w:t xml:space="preserve"> </w:t>
      </w:r>
    </w:p>
    <w:p w:rsidR="00AA45D3" w:rsidRDefault="00AA45D3" w:rsidP="00AA45D3">
      <w:pPr>
        <w:pStyle w:val="AERbulletlistfirststyle"/>
        <w:rPr>
          <w:rStyle w:val="AERbody"/>
        </w:rPr>
      </w:pPr>
      <w:r>
        <w:rPr>
          <w:rStyle w:val="AERbody"/>
        </w:rPr>
        <w:lastRenderedPageBreak/>
        <w:t>avoidable type 6 metering services –  alternative control services</w:t>
      </w:r>
    </w:p>
    <w:p w:rsidR="00AA45D3" w:rsidRDefault="00AA45D3" w:rsidP="00AA45D3">
      <w:pPr>
        <w:pStyle w:val="AERbulletlistfirststyle"/>
        <w:rPr>
          <w:rStyle w:val="AERbody"/>
        </w:rPr>
      </w:pPr>
      <w:r>
        <w:rPr>
          <w:rStyle w:val="AERbody"/>
        </w:rPr>
        <w:t>fixed component of type 6 metering service – standard control services</w:t>
      </w:r>
    </w:p>
    <w:p w:rsidR="00480CC6" w:rsidRDefault="00AA45D3" w:rsidP="00480CC6">
      <w:pPr>
        <w:pStyle w:val="AERbulletlistfirststyle"/>
        <w:rPr>
          <w:rStyle w:val="AERbody"/>
        </w:rPr>
      </w:pPr>
      <w:r>
        <w:rPr>
          <w:rStyle w:val="AERbody"/>
        </w:rPr>
        <w:t>type 7 – standard control services</w:t>
      </w:r>
      <w:r w:rsidR="00A36E64">
        <w:rPr>
          <w:rStyle w:val="AERbody"/>
        </w:rPr>
        <w:t>.</w:t>
      </w:r>
    </w:p>
    <w:p w:rsidR="00480CC6" w:rsidRDefault="00AA45D3" w:rsidP="00480CC6">
      <w:pPr>
        <w:pStyle w:val="AERbulletlistfirststyle"/>
        <w:numPr>
          <w:ilvl w:val="0"/>
          <w:numId w:val="0"/>
        </w:numPr>
        <w:rPr>
          <w:rStyle w:val="AERbody"/>
        </w:rPr>
      </w:pPr>
      <w:r>
        <w:rPr>
          <w:rStyle w:val="AERbody"/>
        </w:rPr>
        <w:t>We propose changing the above classifi</w:t>
      </w:r>
      <w:r w:rsidR="00480CC6">
        <w:rPr>
          <w:rStyle w:val="AERbody"/>
        </w:rPr>
        <w:t>cation</w:t>
      </w:r>
      <w:r w:rsidR="00CF7482">
        <w:rPr>
          <w:rStyle w:val="AERbody"/>
        </w:rPr>
        <w:t xml:space="preserve"> for the fixed component of the type 6 metering service to alternative control</w:t>
      </w:r>
      <w:r w:rsidR="00480CC6">
        <w:rPr>
          <w:rStyle w:val="AERbody"/>
        </w:rPr>
        <w:t xml:space="preserve">. </w:t>
      </w:r>
      <w:r w:rsidR="00CF7482">
        <w:rPr>
          <w:rStyle w:val="AERbody"/>
        </w:rPr>
        <w:t>Further</w:t>
      </w:r>
      <w:r w:rsidR="00451C5E">
        <w:rPr>
          <w:rStyle w:val="AERbody"/>
        </w:rPr>
        <w:t xml:space="preserve">, we </w:t>
      </w:r>
      <w:r w:rsidR="006C6C5B">
        <w:rPr>
          <w:rStyle w:val="AERbody"/>
        </w:rPr>
        <w:t xml:space="preserve">have </w:t>
      </w:r>
      <w:r w:rsidR="000D3D32">
        <w:rPr>
          <w:rStyle w:val="AERbody"/>
        </w:rPr>
        <w:t>separated</w:t>
      </w:r>
      <w:r w:rsidR="006C6C5B">
        <w:rPr>
          <w:rStyle w:val="AERbody"/>
        </w:rPr>
        <w:t xml:space="preserve"> the current type 6 'meter provision and installation services' into</w:t>
      </w:r>
      <w:r w:rsidR="00627CE1">
        <w:rPr>
          <w:rStyle w:val="AERbody"/>
        </w:rPr>
        <w:t xml:space="preserve"> two separate alternative control services.</w:t>
      </w:r>
      <w:r w:rsidR="006C6C5B">
        <w:rPr>
          <w:rStyle w:val="AERbody"/>
        </w:rPr>
        <w:t xml:space="preserve"> </w:t>
      </w:r>
      <w:r w:rsidR="00480CC6">
        <w:rPr>
          <w:rStyle w:val="AERbody"/>
        </w:rPr>
        <w:t xml:space="preserve">Our proposed approach to classifying metering services is set out in Table </w:t>
      </w:r>
      <w:r w:rsidR="00FF1145">
        <w:rPr>
          <w:rStyle w:val="AERbody"/>
        </w:rPr>
        <w:t>3</w:t>
      </w:r>
      <w:r w:rsidR="00480CC6">
        <w:rPr>
          <w:rStyle w:val="AERbody"/>
        </w:rPr>
        <w:t>.</w:t>
      </w:r>
    </w:p>
    <w:p w:rsidR="00480CC6" w:rsidRPr="004B3EC0" w:rsidRDefault="00480CC6" w:rsidP="00480CC6">
      <w:pPr>
        <w:pStyle w:val="Caption"/>
      </w:pPr>
      <w:r>
        <w:t>Table</w:t>
      </w:r>
      <w:r w:rsidR="00FB364B">
        <w:t xml:space="preserve"> </w:t>
      </w:r>
      <w:r w:rsidR="00FF1145">
        <w:t>3</w:t>
      </w:r>
      <w:r>
        <w:t>: AER's proposed approach to classifying metering services</w:t>
      </w:r>
    </w:p>
    <w:tbl>
      <w:tblPr>
        <w:tblStyle w:val="TableGrid"/>
        <w:tblW w:w="0" w:type="auto"/>
        <w:tblLook w:val="04A0" w:firstRow="1" w:lastRow="0" w:firstColumn="1" w:lastColumn="0" w:noHBand="0" w:noVBand="1"/>
      </w:tblPr>
      <w:tblGrid>
        <w:gridCol w:w="1463"/>
        <w:gridCol w:w="5870"/>
        <w:gridCol w:w="1847"/>
      </w:tblGrid>
      <w:tr w:rsidR="00480CC6" w:rsidTr="00BB12E2">
        <w:tc>
          <w:tcPr>
            <w:tcW w:w="9180" w:type="dxa"/>
            <w:gridSpan w:val="3"/>
          </w:tcPr>
          <w:p w:rsidR="00480CC6" w:rsidRPr="00480CC6" w:rsidRDefault="00480CC6" w:rsidP="00480CC6">
            <w:pPr>
              <w:pStyle w:val="AERtabletextleft"/>
              <w:rPr>
                <w:rStyle w:val="AERtextbold"/>
              </w:rPr>
            </w:pPr>
            <w:r w:rsidRPr="00CC134E">
              <w:rPr>
                <w:rStyle w:val="AERtextbold"/>
              </w:rPr>
              <w:t>AER's proposed approach</w:t>
            </w:r>
          </w:p>
        </w:tc>
      </w:tr>
      <w:tr w:rsidR="00057991" w:rsidRPr="0083430E" w:rsidTr="00BB12E2">
        <w:trPr>
          <w:trHeight w:val="534"/>
        </w:trPr>
        <w:tc>
          <w:tcPr>
            <w:tcW w:w="1463" w:type="dxa"/>
            <w:vMerge w:val="restart"/>
          </w:tcPr>
          <w:p w:rsidR="00057991" w:rsidRPr="00480CC6" w:rsidRDefault="00057991" w:rsidP="00480CC6">
            <w:pPr>
              <w:pStyle w:val="AERtabletextleft"/>
            </w:pPr>
            <w:r w:rsidRPr="00CC134E">
              <w:t>Metering services</w:t>
            </w:r>
          </w:p>
        </w:tc>
        <w:tc>
          <w:tcPr>
            <w:tcW w:w="5870" w:type="dxa"/>
          </w:tcPr>
          <w:p w:rsidR="00057991" w:rsidRPr="00480CC6" w:rsidRDefault="00057991" w:rsidP="007A7872">
            <w:pPr>
              <w:pStyle w:val="AERtabletextleft"/>
            </w:pPr>
            <w:r w:rsidRPr="00CC134E">
              <w:t xml:space="preserve">Type 7 metering </w:t>
            </w:r>
          </w:p>
        </w:tc>
        <w:tc>
          <w:tcPr>
            <w:tcW w:w="1847" w:type="dxa"/>
          </w:tcPr>
          <w:p w:rsidR="00057991" w:rsidRPr="00480CC6" w:rsidRDefault="00057991" w:rsidP="00480CC6">
            <w:pPr>
              <w:pStyle w:val="AERtabletextleft"/>
            </w:pPr>
            <w:r w:rsidRPr="00CC134E">
              <w:t>Standard control</w:t>
            </w:r>
          </w:p>
        </w:tc>
      </w:tr>
      <w:tr w:rsidR="007827C8" w:rsidRPr="0083430E" w:rsidTr="00BB12E2">
        <w:tc>
          <w:tcPr>
            <w:tcW w:w="1463" w:type="dxa"/>
            <w:vMerge/>
          </w:tcPr>
          <w:p w:rsidR="007827C8" w:rsidRPr="00CC134E" w:rsidRDefault="007827C8" w:rsidP="00480CC6">
            <w:pPr>
              <w:pStyle w:val="AERtabletextleft"/>
            </w:pPr>
          </w:p>
        </w:tc>
        <w:tc>
          <w:tcPr>
            <w:tcW w:w="5870" w:type="dxa"/>
          </w:tcPr>
          <w:p w:rsidR="007827C8" w:rsidRPr="00CC134E" w:rsidRDefault="007827C8" w:rsidP="007A7872">
            <w:pPr>
              <w:pStyle w:val="AERtabletextleft"/>
            </w:pPr>
            <w:r>
              <w:t>Type 6 energy data services (except the quarterly meter read service)</w:t>
            </w:r>
          </w:p>
        </w:tc>
        <w:tc>
          <w:tcPr>
            <w:tcW w:w="1847" w:type="dxa"/>
            <w:vMerge w:val="restart"/>
          </w:tcPr>
          <w:p w:rsidR="007827C8" w:rsidRDefault="007827C8" w:rsidP="00480CC6">
            <w:pPr>
              <w:pStyle w:val="AERtabletextleft"/>
            </w:pPr>
          </w:p>
          <w:p w:rsidR="007827C8" w:rsidRDefault="007827C8" w:rsidP="00480CC6">
            <w:pPr>
              <w:pStyle w:val="AERtabletextleft"/>
            </w:pPr>
          </w:p>
          <w:p w:rsidR="007827C8" w:rsidRDefault="007827C8" w:rsidP="00480CC6">
            <w:pPr>
              <w:pStyle w:val="AERtabletextleft"/>
            </w:pPr>
          </w:p>
          <w:p w:rsidR="00CF2FC6" w:rsidRDefault="00CF2FC6" w:rsidP="00480CC6">
            <w:pPr>
              <w:pStyle w:val="AERtabletextleft"/>
            </w:pPr>
          </w:p>
          <w:p w:rsidR="007827C8" w:rsidRPr="00CC134E" w:rsidRDefault="007827C8" w:rsidP="00480CC6">
            <w:pPr>
              <w:pStyle w:val="AERtabletextleft"/>
            </w:pPr>
            <w:r w:rsidRPr="00CC134E">
              <w:t>Alternative control</w:t>
            </w:r>
          </w:p>
        </w:tc>
      </w:tr>
      <w:tr w:rsidR="007827C8" w:rsidRPr="0083430E" w:rsidTr="00BB12E2">
        <w:tc>
          <w:tcPr>
            <w:tcW w:w="1463" w:type="dxa"/>
            <w:vMerge/>
          </w:tcPr>
          <w:p w:rsidR="007827C8" w:rsidRPr="00CC134E" w:rsidRDefault="007827C8" w:rsidP="00480CC6">
            <w:pPr>
              <w:pStyle w:val="AERtabletextleft"/>
            </w:pPr>
          </w:p>
        </w:tc>
        <w:tc>
          <w:tcPr>
            <w:tcW w:w="5870" w:type="dxa"/>
          </w:tcPr>
          <w:p w:rsidR="007827C8" w:rsidRPr="00480CC6" w:rsidRDefault="007827C8" w:rsidP="007827C8">
            <w:pPr>
              <w:pStyle w:val="AERtabletextleft"/>
              <w:tabs>
                <w:tab w:val="left" w:pos="3825"/>
              </w:tabs>
            </w:pPr>
            <w:r w:rsidRPr="00CC134E">
              <w:t>Unscheduled meter reading – non-chargeable</w:t>
            </w:r>
          </w:p>
        </w:tc>
        <w:tc>
          <w:tcPr>
            <w:tcW w:w="1847" w:type="dxa"/>
            <w:vMerge/>
          </w:tcPr>
          <w:p w:rsidR="007827C8" w:rsidRPr="00CC134E" w:rsidRDefault="007827C8" w:rsidP="00480CC6">
            <w:pPr>
              <w:pStyle w:val="AERtabletextleft"/>
            </w:pPr>
          </w:p>
        </w:tc>
      </w:tr>
      <w:tr w:rsidR="007827C8" w:rsidRPr="0083430E" w:rsidTr="00BB12E2">
        <w:tc>
          <w:tcPr>
            <w:tcW w:w="1463" w:type="dxa"/>
            <w:vMerge/>
          </w:tcPr>
          <w:p w:rsidR="007827C8" w:rsidRPr="00CC134E" w:rsidRDefault="007827C8" w:rsidP="00480CC6">
            <w:pPr>
              <w:pStyle w:val="AERtabletextleft"/>
            </w:pPr>
          </w:p>
        </w:tc>
        <w:tc>
          <w:tcPr>
            <w:tcW w:w="5870" w:type="dxa"/>
          </w:tcPr>
          <w:p w:rsidR="007827C8" w:rsidRPr="00480CC6" w:rsidRDefault="007827C8" w:rsidP="00480CC6">
            <w:pPr>
              <w:pStyle w:val="AERtabletextleft"/>
            </w:pPr>
            <w:r w:rsidRPr="00CC134E">
              <w:t>Metering investigation – type 6</w:t>
            </w:r>
          </w:p>
        </w:tc>
        <w:tc>
          <w:tcPr>
            <w:tcW w:w="1847" w:type="dxa"/>
            <w:vMerge/>
          </w:tcPr>
          <w:p w:rsidR="007827C8" w:rsidRPr="00CC134E" w:rsidRDefault="007827C8" w:rsidP="00480CC6">
            <w:pPr>
              <w:pStyle w:val="AERtabletextleft"/>
            </w:pPr>
          </w:p>
        </w:tc>
      </w:tr>
      <w:tr w:rsidR="007827C8" w:rsidRPr="0083430E" w:rsidTr="00BB12E2">
        <w:tc>
          <w:tcPr>
            <w:tcW w:w="1463" w:type="dxa"/>
            <w:vMerge/>
          </w:tcPr>
          <w:p w:rsidR="007827C8" w:rsidRPr="00CC134E" w:rsidRDefault="007827C8" w:rsidP="00480CC6">
            <w:pPr>
              <w:pStyle w:val="AERtabletextleft"/>
            </w:pPr>
          </w:p>
        </w:tc>
        <w:tc>
          <w:tcPr>
            <w:tcW w:w="5870" w:type="dxa"/>
          </w:tcPr>
          <w:p w:rsidR="007827C8" w:rsidRPr="00480CC6" w:rsidRDefault="007827C8" w:rsidP="00480CC6">
            <w:pPr>
              <w:pStyle w:val="AERtabletextleft"/>
            </w:pPr>
            <w:r w:rsidRPr="00CC134E">
              <w:t>Maintaining and repairing meters and load control equipment – type 6</w:t>
            </w:r>
          </w:p>
        </w:tc>
        <w:tc>
          <w:tcPr>
            <w:tcW w:w="1847" w:type="dxa"/>
            <w:vMerge/>
          </w:tcPr>
          <w:p w:rsidR="007827C8" w:rsidRPr="00CC134E" w:rsidRDefault="007827C8" w:rsidP="00480CC6">
            <w:pPr>
              <w:pStyle w:val="AERtabletextleft"/>
            </w:pPr>
          </w:p>
        </w:tc>
      </w:tr>
      <w:tr w:rsidR="007827C8" w:rsidRPr="0083430E" w:rsidTr="00BB12E2">
        <w:tc>
          <w:tcPr>
            <w:tcW w:w="1463" w:type="dxa"/>
            <w:vMerge/>
          </w:tcPr>
          <w:p w:rsidR="007827C8" w:rsidRPr="00CC134E" w:rsidRDefault="007827C8" w:rsidP="00480CC6">
            <w:pPr>
              <w:pStyle w:val="AERtabletextleft"/>
            </w:pPr>
          </w:p>
        </w:tc>
        <w:tc>
          <w:tcPr>
            <w:tcW w:w="5870" w:type="dxa"/>
          </w:tcPr>
          <w:p w:rsidR="007827C8" w:rsidRPr="00480CC6" w:rsidRDefault="000D3D32" w:rsidP="000D3D32">
            <w:pPr>
              <w:pStyle w:val="AERtabletextleft"/>
            </w:pPr>
            <w:r>
              <w:t>Type 6 meter installation</w:t>
            </w:r>
          </w:p>
        </w:tc>
        <w:tc>
          <w:tcPr>
            <w:tcW w:w="1847" w:type="dxa"/>
            <w:vMerge/>
          </w:tcPr>
          <w:p w:rsidR="007827C8" w:rsidRPr="00480CC6" w:rsidRDefault="007827C8" w:rsidP="00480CC6">
            <w:pPr>
              <w:pStyle w:val="AERtabletextleft"/>
            </w:pPr>
          </w:p>
        </w:tc>
      </w:tr>
      <w:tr w:rsidR="007827C8" w:rsidRPr="0083430E" w:rsidTr="00BB12E2">
        <w:trPr>
          <w:trHeight w:val="267"/>
        </w:trPr>
        <w:tc>
          <w:tcPr>
            <w:tcW w:w="1463" w:type="dxa"/>
            <w:vMerge/>
          </w:tcPr>
          <w:p w:rsidR="007827C8" w:rsidRPr="00CC134E" w:rsidRDefault="007827C8" w:rsidP="00480CC6">
            <w:pPr>
              <w:pStyle w:val="AERtabletextleft"/>
            </w:pPr>
          </w:p>
        </w:tc>
        <w:tc>
          <w:tcPr>
            <w:tcW w:w="5870" w:type="dxa"/>
          </w:tcPr>
          <w:p w:rsidR="007827C8" w:rsidRPr="00480CC6" w:rsidRDefault="007827C8" w:rsidP="00480CC6">
            <w:pPr>
              <w:pStyle w:val="AERtabletextleft"/>
            </w:pPr>
            <w:r w:rsidRPr="00451C5E">
              <w:t>Type 6 meter provision</w:t>
            </w:r>
          </w:p>
        </w:tc>
        <w:tc>
          <w:tcPr>
            <w:tcW w:w="1847" w:type="dxa"/>
            <w:vMerge/>
          </w:tcPr>
          <w:p w:rsidR="007827C8" w:rsidRPr="00CC134E" w:rsidRDefault="007827C8" w:rsidP="00480CC6">
            <w:pPr>
              <w:pStyle w:val="AERtabletextleft"/>
            </w:pPr>
          </w:p>
        </w:tc>
      </w:tr>
      <w:tr w:rsidR="007827C8" w:rsidRPr="0083430E" w:rsidTr="00BB12E2">
        <w:trPr>
          <w:trHeight w:val="472"/>
        </w:trPr>
        <w:tc>
          <w:tcPr>
            <w:tcW w:w="1463" w:type="dxa"/>
            <w:vMerge/>
          </w:tcPr>
          <w:p w:rsidR="007827C8" w:rsidRPr="00CC134E" w:rsidRDefault="007827C8" w:rsidP="00480CC6">
            <w:pPr>
              <w:pStyle w:val="AERtabletextleft"/>
            </w:pPr>
          </w:p>
        </w:tc>
        <w:tc>
          <w:tcPr>
            <w:tcW w:w="5870" w:type="dxa"/>
          </w:tcPr>
          <w:p w:rsidR="007827C8" w:rsidRPr="00CC134E" w:rsidRDefault="007827C8" w:rsidP="00480CC6">
            <w:pPr>
              <w:pStyle w:val="AERtabletextleft"/>
            </w:pPr>
            <w:r w:rsidRPr="00CC134E">
              <w:t>Scheduled meter reading – type 6</w:t>
            </w:r>
          </w:p>
        </w:tc>
        <w:tc>
          <w:tcPr>
            <w:tcW w:w="1847" w:type="dxa"/>
            <w:vMerge/>
          </w:tcPr>
          <w:p w:rsidR="007827C8" w:rsidRPr="00CC134E" w:rsidRDefault="007827C8" w:rsidP="00480CC6">
            <w:pPr>
              <w:pStyle w:val="AERtabletextleft"/>
            </w:pPr>
          </w:p>
        </w:tc>
      </w:tr>
      <w:tr w:rsidR="007827C8" w:rsidRPr="0083430E" w:rsidTr="00BB12E2">
        <w:trPr>
          <w:trHeight w:val="550"/>
        </w:trPr>
        <w:tc>
          <w:tcPr>
            <w:tcW w:w="1463" w:type="dxa"/>
            <w:vMerge/>
          </w:tcPr>
          <w:p w:rsidR="007827C8" w:rsidRPr="00CC134E" w:rsidRDefault="007827C8" w:rsidP="00480CC6">
            <w:pPr>
              <w:pStyle w:val="AERtabletextleft"/>
            </w:pPr>
          </w:p>
        </w:tc>
        <w:tc>
          <w:tcPr>
            <w:tcW w:w="5870" w:type="dxa"/>
          </w:tcPr>
          <w:p w:rsidR="007827C8" w:rsidRPr="00480CC6" w:rsidRDefault="007827C8" w:rsidP="007827C8">
            <w:pPr>
              <w:pStyle w:val="AERtabletextleft"/>
            </w:pPr>
            <w:r w:rsidRPr="00CC134E">
              <w:t xml:space="preserve">Exceptional large customer metering services (types 1-4 </w:t>
            </w:r>
            <w:r w:rsidRPr="00480CC6">
              <w:t>installed prior to 1 July 2000)</w:t>
            </w:r>
          </w:p>
        </w:tc>
        <w:tc>
          <w:tcPr>
            <w:tcW w:w="1847" w:type="dxa"/>
            <w:vMerge/>
          </w:tcPr>
          <w:p w:rsidR="007827C8" w:rsidRPr="00CC134E" w:rsidRDefault="007827C8" w:rsidP="00480CC6">
            <w:pPr>
              <w:pStyle w:val="AERtabletextleft"/>
            </w:pPr>
          </w:p>
        </w:tc>
      </w:tr>
      <w:tr w:rsidR="00CC2BB9" w:rsidRPr="0083430E" w:rsidTr="00BB12E2">
        <w:trPr>
          <w:trHeight w:val="431"/>
        </w:trPr>
        <w:tc>
          <w:tcPr>
            <w:tcW w:w="1463" w:type="dxa"/>
            <w:vMerge/>
          </w:tcPr>
          <w:p w:rsidR="00CC2BB9" w:rsidRPr="00CC134E" w:rsidRDefault="00CC2BB9" w:rsidP="00480CC6">
            <w:pPr>
              <w:pStyle w:val="AERtabletextleft"/>
            </w:pPr>
          </w:p>
        </w:tc>
        <w:tc>
          <w:tcPr>
            <w:tcW w:w="5870" w:type="dxa"/>
          </w:tcPr>
          <w:p w:rsidR="00CC2BB9" w:rsidRPr="00480CC6" w:rsidRDefault="00CC2BB9" w:rsidP="00480CC6">
            <w:pPr>
              <w:pStyle w:val="AERtabletextleft"/>
            </w:pPr>
            <w:r w:rsidRPr="00CC134E">
              <w:t>Meter testing at the request of the customer</w:t>
            </w:r>
          </w:p>
        </w:tc>
        <w:tc>
          <w:tcPr>
            <w:tcW w:w="1847" w:type="dxa"/>
          </w:tcPr>
          <w:p w:rsidR="00CC2BB9" w:rsidRPr="00480CC6" w:rsidRDefault="00CC2BB9" w:rsidP="000D3D32">
            <w:pPr>
              <w:pStyle w:val="AERtabletextleft"/>
            </w:pPr>
            <w:r w:rsidRPr="00CC134E">
              <w:t>Negotiated</w:t>
            </w:r>
          </w:p>
        </w:tc>
      </w:tr>
    </w:tbl>
    <w:p w:rsidR="00480CC6" w:rsidRPr="00480CC6" w:rsidRDefault="00480CC6" w:rsidP="00480CC6">
      <w:pPr>
        <w:pStyle w:val="AERtablesource"/>
        <w:rPr>
          <w:rStyle w:val="AERbody"/>
          <w:sz w:val="16"/>
        </w:rPr>
      </w:pPr>
      <w:r>
        <w:t>Source: AER</w:t>
      </w:r>
    </w:p>
    <w:p w:rsidR="00AA45D3" w:rsidRPr="00480CC6" w:rsidRDefault="00AA45D3" w:rsidP="00480CC6">
      <w:pPr>
        <w:pStyle w:val="AERbulletlistfirststyle"/>
        <w:numPr>
          <w:ilvl w:val="0"/>
          <w:numId w:val="0"/>
        </w:numPr>
        <w:rPr>
          <w:rStyle w:val="AERbody"/>
        </w:rPr>
      </w:pPr>
      <w:r>
        <w:rPr>
          <w:rStyle w:val="AERbody"/>
        </w:rPr>
        <w:t xml:space="preserve">Our reasons follow. </w:t>
      </w:r>
    </w:p>
    <w:p w:rsidR="00AA45D3" w:rsidRPr="00394943" w:rsidRDefault="00AA45D3" w:rsidP="00394943">
      <w:pPr>
        <w:pStyle w:val="HeadingBoldBlue"/>
        <w:rPr>
          <w:rStyle w:val="AERtextbold"/>
          <w:b/>
        </w:rPr>
      </w:pPr>
      <w:r w:rsidRPr="00394943">
        <w:rPr>
          <w:rStyle w:val="AERtextbold"/>
          <w:b/>
        </w:rPr>
        <w:t>Type 1 to 4 metering services</w:t>
      </w:r>
    </w:p>
    <w:p w:rsidR="00AA45D3" w:rsidRDefault="00AA45D3" w:rsidP="00AA45D3">
      <w:pPr>
        <w:pStyle w:val="AERbodytext"/>
      </w:pPr>
      <w:r>
        <w:t>Type 1 to 4 metering services are contestable in South Australia.</w:t>
      </w:r>
      <w:r>
        <w:rPr>
          <w:rStyle w:val="FootnoteReference"/>
        </w:rPr>
        <w:footnoteReference w:id="56"/>
      </w:r>
      <w:r>
        <w:t xml:space="preserve"> For this reason, we intend to classify these services as negotiated services. This is consistent with the current regulatory approach. </w:t>
      </w:r>
    </w:p>
    <w:p w:rsidR="00AA45D3" w:rsidRPr="00307946" w:rsidRDefault="00AA45D3" w:rsidP="00AA45D3">
      <w:pPr>
        <w:pStyle w:val="AERbodytext"/>
      </w:pPr>
      <w:r>
        <w:t xml:space="preserve">We note that there are </w:t>
      </w:r>
      <w:r w:rsidRPr="00307946">
        <w:t>two exceptional cases of type 1</w:t>
      </w:r>
      <w:r w:rsidR="009923F2">
        <w:t xml:space="preserve"> to </w:t>
      </w:r>
      <w:r w:rsidRPr="00307946">
        <w:t>4 meter</w:t>
      </w:r>
      <w:r>
        <w:t>s</w:t>
      </w:r>
      <w:r w:rsidRPr="00307946">
        <w:t xml:space="preserve"> </w:t>
      </w:r>
      <w:r>
        <w:t xml:space="preserve">where the </w:t>
      </w:r>
      <w:r w:rsidRPr="00307946">
        <w:t xml:space="preserve">provision </w:t>
      </w:r>
      <w:r>
        <w:t xml:space="preserve">of metering </w:t>
      </w:r>
      <w:r w:rsidRPr="00307946">
        <w:t xml:space="preserve">services </w:t>
      </w:r>
      <w:r>
        <w:t xml:space="preserve">has been classified </w:t>
      </w:r>
      <w:r w:rsidRPr="00307946">
        <w:t xml:space="preserve">as </w:t>
      </w:r>
      <w:r>
        <w:t xml:space="preserve">a </w:t>
      </w:r>
      <w:r w:rsidRPr="00307946">
        <w:t xml:space="preserve">direct control service, and further as </w:t>
      </w:r>
      <w:r>
        <w:t xml:space="preserve">an </w:t>
      </w:r>
      <w:r w:rsidRPr="00307946">
        <w:t>alternative control service</w:t>
      </w:r>
      <w:r>
        <w:t xml:space="preserve"> in the current 2010–2015 regulatory control period for legacy reasons</w:t>
      </w:r>
      <w:r w:rsidRPr="00307946">
        <w:t>. These exceptional cases relate to:</w:t>
      </w:r>
    </w:p>
    <w:p w:rsidR="00AA45D3" w:rsidRPr="00307946" w:rsidRDefault="00AA45D3" w:rsidP="00AA45D3">
      <w:pPr>
        <w:pStyle w:val="AERbulletlistfirststyle"/>
      </w:pPr>
      <w:r w:rsidRPr="00307946">
        <w:t>customers consuming between 160 and 750 MWh per annum who have type 1</w:t>
      </w:r>
      <w:r w:rsidR="00981744">
        <w:t xml:space="preserve"> </w:t>
      </w:r>
      <w:r w:rsidR="009923F2">
        <w:t xml:space="preserve">to </w:t>
      </w:r>
      <w:r w:rsidRPr="00307946">
        <w:t>4 metering installations provided prior to 1 July 2000</w:t>
      </w:r>
    </w:p>
    <w:p w:rsidR="00AA45D3" w:rsidRDefault="00AA45D3" w:rsidP="00AA45D3">
      <w:pPr>
        <w:pStyle w:val="AERbulletlistfirststyle"/>
      </w:pPr>
      <w:r w:rsidRPr="00307946">
        <w:lastRenderedPageBreak/>
        <w:t>customers consuming more than 750 MWh per annum who have type 1</w:t>
      </w:r>
      <w:r w:rsidR="00A36E64">
        <w:t xml:space="preserve"> </w:t>
      </w:r>
      <w:r w:rsidR="009923F2">
        <w:t xml:space="preserve">to </w:t>
      </w:r>
      <w:r w:rsidRPr="00307946">
        <w:t>4 metering installations provided prior to 1 July 2005.</w:t>
      </w:r>
      <w:r>
        <w:t xml:space="preserve"> </w:t>
      </w:r>
    </w:p>
    <w:p w:rsidR="00AA45D3" w:rsidRPr="00CC134E" w:rsidRDefault="00AA45D3" w:rsidP="00AA45D3">
      <w:pPr>
        <w:pStyle w:val="AERbodytext"/>
      </w:pPr>
      <w:r>
        <w:t>The circumstances for thes</w:t>
      </w:r>
      <w:r w:rsidRPr="00CC134E">
        <w:t xml:space="preserve">e customers have not changed and we intend to maintain the current classification for these services. </w:t>
      </w:r>
    </w:p>
    <w:p w:rsidR="00AA45D3" w:rsidRPr="00394943" w:rsidRDefault="00AA45D3" w:rsidP="00394943">
      <w:pPr>
        <w:pStyle w:val="HeadingBoldBlue"/>
        <w:rPr>
          <w:rStyle w:val="AERtextbold"/>
          <w:b/>
        </w:rPr>
      </w:pPr>
      <w:r w:rsidRPr="00394943">
        <w:rPr>
          <w:rStyle w:val="AERtextbold"/>
          <w:b/>
        </w:rPr>
        <w:t>Type 5 metering services</w:t>
      </w:r>
    </w:p>
    <w:p w:rsidR="00AA45D3" w:rsidRPr="00CC134E" w:rsidRDefault="00AA45D3" w:rsidP="00AA45D3">
      <w:pPr>
        <w:pStyle w:val="AERbodytext"/>
      </w:pPr>
      <w:r>
        <w:t xml:space="preserve">We </w:t>
      </w:r>
      <w:r w:rsidRPr="00CC134E">
        <w:t xml:space="preserve">intend to classify </w:t>
      </w:r>
      <w:r w:rsidR="009923F2">
        <w:t>t</w:t>
      </w:r>
      <w:r w:rsidRPr="00CC134E">
        <w:t>ype 5 metering services as negotiated services. This is consistent with the current regulatory approach.</w:t>
      </w:r>
    </w:p>
    <w:p w:rsidR="00AA45D3" w:rsidRPr="00027DCE" w:rsidRDefault="00AA45D3" w:rsidP="00AA45D3">
      <w:pPr>
        <w:pStyle w:val="AERbodytext"/>
      </w:pPr>
      <w:r w:rsidRPr="00027DCE">
        <w:t xml:space="preserve">Under the </w:t>
      </w:r>
      <w:r w:rsidR="009923F2">
        <w:t xml:space="preserve">rules, </w:t>
      </w:r>
      <w:r w:rsidRPr="00027DCE">
        <w:t>type 5 metering provision services are non-contestable. However</w:t>
      </w:r>
      <w:r>
        <w:t xml:space="preserve">, the metering services provided by SA Power Networks associated with the 'non-standard' </w:t>
      </w:r>
      <w:r w:rsidRPr="002213F5">
        <w:t>feature</w:t>
      </w:r>
      <w:r>
        <w:t>s</w:t>
      </w:r>
      <w:r w:rsidRPr="002213F5">
        <w:t xml:space="preserve"> of </w:t>
      </w:r>
      <w:r>
        <w:t>type 5 meters compared to type 6 meters (such as the ability to measure the time of use of energy</w:t>
      </w:r>
      <w:r>
        <w:rPr>
          <w:rStyle w:val="AERbody"/>
        </w:rPr>
        <w:t xml:space="preserve">) in some degree </w:t>
      </w:r>
      <w:r w:rsidRPr="00027DCE">
        <w:t>compete</w:t>
      </w:r>
      <w:r>
        <w:t>s</w:t>
      </w:r>
      <w:r w:rsidRPr="00027DCE">
        <w:t xml:space="preserve"> with the provision of type 4 metering services from alternative providers</w:t>
      </w:r>
      <w:r>
        <w:t>. For this reason, we do</w:t>
      </w:r>
      <w:r w:rsidRPr="00027DCE">
        <w:t xml:space="preserve"> not consider that a direct form of price control is warranted. </w:t>
      </w:r>
      <w:r w:rsidRPr="00B57765">
        <w:t>Ac</w:t>
      </w:r>
      <w:r>
        <w:t xml:space="preserve">cordingly, we intend </w:t>
      </w:r>
      <w:r w:rsidRPr="00B57765">
        <w:t xml:space="preserve">to classify </w:t>
      </w:r>
      <w:r>
        <w:t xml:space="preserve">type 5 metering </w:t>
      </w:r>
      <w:r w:rsidRPr="00B57765">
        <w:t xml:space="preserve">services in a manner consistent with the </w:t>
      </w:r>
      <w:r>
        <w:t xml:space="preserve">current </w:t>
      </w:r>
      <w:r w:rsidRPr="00B57765">
        <w:t xml:space="preserve">regulatory approach </w:t>
      </w:r>
      <w:r>
        <w:t xml:space="preserve">and </w:t>
      </w:r>
      <w:r w:rsidRPr="00B57765">
        <w:t>as negotiated services.</w:t>
      </w:r>
    </w:p>
    <w:p w:rsidR="00AA45D3" w:rsidRPr="00394943" w:rsidRDefault="00AA45D3" w:rsidP="00394943">
      <w:pPr>
        <w:pStyle w:val="HeadingBoldBlue"/>
        <w:rPr>
          <w:rStyle w:val="AERtextbold"/>
          <w:b/>
        </w:rPr>
      </w:pPr>
      <w:r w:rsidRPr="00394943">
        <w:rPr>
          <w:rStyle w:val="AERtextbold"/>
          <w:b/>
        </w:rPr>
        <w:t>Type 6 metering services</w:t>
      </w:r>
    </w:p>
    <w:p w:rsidR="00480CC6" w:rsidRPr="00480CC6" w:rsidRDefault="00F52641" w:rsidP="00480CC6">
      <w:pPr>
        <w:pStyle w:val="AERbodytext"/>
      </w:pPr>
      <w:r>
        <w:t>W</w:t>
      </w:r>
      <w:r w:rsidR="00480CC6" w:rsidRPr="00480CC6">
        <w:t>e consider is it appropriate to apply the following classification to type 6 metering services</w:t>
      </w:r>
      <w:r w:rsidR="00981744">
        <w:t xml:space="preserve"> as set out in Table </w:t>
      </w:r>
      <w:r w:rsidR="00FF1145">
        <w:t>4</w:t>
      </w:r>
      <w:r w:rsidR="00981744">
        <w:t xml:space="preserve"> below.</w:t>
      </w:r>
    </w:p>
    <w:p w:rsidR="00480CC6" w:rsidRDefault="00480CC6" w:rsidP="00480CC6">
      <w:pPr>
        <w:pStyle w:val="Caption"/>
      </w:pPr>
      <w:r>
        <w:t xml:space="preserve">Table </w:t>
      </w:r>
      <w:r w:rsidR="00FF1145">
        <w:t>4</w:t>
      </w:r>
      <w:r>
        <w:t xml:space="preserve">:  Proposed approach to classifying type 6 metering services </w:t>
      </w:r>
    </w:p>
    <w:tbl>
      <w:tblPr>
        <w:tblStyle w:val="AERtable-numbers"/>
        <w:tblW w:w="0" w:type="auto"/>
        <w:tblLook w:val="04A0" w:firstRow="1" w:lastRow="0" w:firstColumn="1" w:lastColumn="0" w:noHBand="0" w:noVBand="1"/>
      </w:tblPr>
      <w:tblGrid>
        <w:gridCol w:w="5241"/>
        <w:gridCol w:w="3118"/>
      </w:tblGrid>
      <w:tr w:rsidR="00480CC6" w:rsidTr="00480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2"/>
          </w:tcPr>
          <w:p w:rsidR="00480CC6" w:rsidRPr="00480CC6" w:rsidRDefault="00480CC6" w:rsidP="00480CC6">
            <w:pPr>
              <w:pStyle w:val="AERtabletextleft"/>
              <w:rPr>
                <w:rStyle w:val="AERtextbold"/>
              </w:rPr>
            </w:pPr>
            <w:r w:rsidRPr="004B3EC0">
              <w:rPr>
                <w:rStyle w:val="AERtextbold"/>
              </w:rPr>
              <w:t>AER's proposed approach</w:t>
            </w:r>
          </w:p>
        </w:tc>
      </w:tr>
      <w:tr w:rsidR="00480CC6" w:rsidTr="00480CC6">
        <w:tc>
          <w:tcPr>
            <w:cnfStyle w:val="001000000000" w:firstRow="0" w:lastRow="0" w:firstColumn="1" w:lastColumn="0" w:oddVBand="0" w:evenVBand="0" w:oddHBand="0" w:evenHBand="0" w:firstRowFirstColumn="0" w:firstRowLastColumn="0" w:lastRowFirstColumn="0" w:lastRowLastColumn="0"/>
            <w:tcW w:w="5241" w:type="dxa"/>
          </w:tcPr>
          <w:p w:rsidR="00480CC6" w:rsidRPr="00480CC6" w:rsidRDefault="00480CC6" w:rsidP="00480CC6">
            <w:pPr>
              <w:pStyle w:val="AERtabletextleft"/>
              <w:rPr>
                <w:rStyle w:val="AERtextbold"/>
              </w:rPr>
            </w:pPr>
            <w:r w:rsidRPr="004B3EC0">
              <w:rPr>
                <w:rStyle w:val="AERtextbold"/>
              </w:rPr>
              <w:t>Service</w:t>
            </w:r>
          </w:p>
        </w:tc>
        <w:tc>
          <w:tcPr>
            <w:tcW w:w="3118" w:type="dxa"/>
          </w:tcPr>
          <w:p w:rsidR="00480CC6" w:rsidRPr="00480CC6" w:rsidRDefault="00480CC6" w:rsidP="00480CC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Proposed</w:t>
            </w:r>
            <w:r w:rsidRPr="00480CC6">
              <w:rPr>
                <w:rStyle w:val="AERtextbold"/>
              </w:rPr>
              <w:t xml:space="preserve"> classification</w:t>
            </w:r>
          </w:p>
        </w:tc>
      </w:tr>
      <w:tr w:rsidR="00480CC6" w:rsidTr="00480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480CC6" w:rsidRPr="00480CC6" w:rsidRDefault="00451C5E" w:rsidP="007A7872">
            <w:pPr>
              <w:pStyle w:val="AERtabletextleft"/>
            </w:pPr>
            <w:r>
              <w:t>Type 6 m</w:t>
            </w:r>
            <w:r w:rsidR="009B7A14">
              <w:t>eter installation</w:t>
            </w:r>
            <w:r w:rsidRPr="00451C5E">
              <w:t xml:space="preserve"> </w:t>
            </w:r>
            <w:r>
              <w:t xml:space="preserve">– </w:t>
            </w:r>
            <w:r w:rsidR="00CF7482">
              <w:t>t</w:t>
            </w:r>
            <w:r>
              <w:t xml:space="preserve">his </w:t>
            </w:r>
            <w:r w:rsidRPr="00451C5E">
              <w:t>include</w:t>
            </w:r>
            <w:r>
              <w:t>s</w:t>
            </w:r>
            <w:r w:rsidRPr="00451C5E">
              <w:t xml:space="preserve"> on site connection of a meter at a customer’s premises</w:t>
            </w:r>
          </w:p>
        </w:tc>
        <w:tc>
          <w:tcPr>
            <w:tcW w:w="3118" w:type="dxa"/>
          </w:tcPr>
          <w:p w:rsidR="00480CC6" w:rsidRPr="00480CC6" w:rsidRDefault="00480CC6" w:rsidP="00480CC6">
            <w:pPr>
              <w:pStyle w:val="AERtabletextleft"/>
              <w:cnfStyle w:val="000000010000" w:firstRow="0" w:lastRow="0" w:firstColumn="0" w:lastColumn="0" w:oddVBand="0" w:evenVBand="0" w:oddHBand="0" w:evenHBand="1" w:firstRowFirstColumn="0" w:firstRowLastColumn="0" w:lastRowFirstColumn="0" w:lastRowLastColumn="0"/>
            </w:pPr>
            <w:r>
              <w:t>Alternative</w:t>
            </w:r>
            <w:r w:rsidRPr="00480CC6">
              <w:t xml:space="preserve"> control</w:t>
            </w:r>
          </w:p>
        </w:tc>
      </w:tr>
      <w:tr w:rsidR="00480CC6" w:rsidTr="00480CC6">
        <w:tc>
          <w:tcPr>
            <w:cnfStyle w:val="001000000000" w:firstRow="0" w:lastRow="0" w:firstColumn="1" w:lastColumn="0" w:oddVBand="0" w:evenVBand="0" w:oddHBand="0" w:evenHBand="0" w:firstRowFirstColumn="0" w:firstRowLastColumn="0" w:lastRowFirstColumn="0" w:lastRowLastColumn="0"/>
            <w:tcW w:w="5241" w:type="dxa"/>
          </w:tcPr>
          <w:p w:rsidR="00480CC6" w:rsidRPr="00480CC6" w:rsidRDefault="00451C5E" w:rsidP="00451C5E">
            <w:pPr>
              <w:pStyle w:val="AERtabletextleft"/>
            </w:pPr>
            <w:r>
              <w:t>Type 6 m</w:t>
            </w:r>
            <w:r w:rsidRPr="00451C5E">
              <w:t>eter provision</w:t>
            </w:r>
            <w:r>
              <w:t xml:space="preserve"> – </w:t>
            </w:r>
            <w:r w:rsidR="00CF7482">
              <w:t>t</w:t>
            </w:r>
            <w:r>
              <w:t xml:space="preserve">his </w:t>
            </w:r>
            <w:r w:rsidRPr="00451C5E">
              <w:t xml:space="preserve">refers to the capital cost of purchasing the metering equipment to be installed </w:t>
            </w:r>
          </w:p>
        </w:tc>
        <w:tc>
          <w:tcPr>
            <w:tcW w:w="3118" w:type="dxa"/>
          </w:tcPr>
          <w:p w:rsidR="00480CC6" w:rsidRPr="00480CC6" w:rsidRDefault="00451C5E" w:rsidP="00480CC6">
            <w:pPr>
              <w:pStyle w:val="AERtabletextleft"/>
              <w:cnfStyle w:val="000000000000" w:firstRow="0" w:lastRow="0" w:firstColumn="0" w:lastColumn="0" w:oddVBand="0" w:evenVBand="0" w:oddHBand="0" w:evenHBand="0" w:firstRowFirstColumn="0" w:firstRowLastColumn="0" w:lastRowFirstColumn="0" w:lastRowLastColumn="0"/>
            </w:pPr>
            <w:r w:rsidRPr="00451C5E">
              <w:t>Alternative control</w:t>
            </w:r>
            <w:r w:rsidRPr="00451C5E" w:rsidDel="00451C5E">
              <w:t xml:space="preserve"> </w:t>
            </w:r>
          </w:p>
        </w:tc>
      </w:tr>
      <w:tr w:rsidR="00451C5E" w:rsidTr="00480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Type 6 energy data services (except the quarterly meter read service)</w:t>
            </w:r>
          </w:p>
        </w:tc>
        <w:tc>
          <w:tcPr>
            <w:tcW w:w="3118" w:type="dxa"/>
          </w:tcPr>
          <w:p w:rsidR="00451C5E" w:rsidRPr="00451C5E" w:rsidRDefault="00AF1640" w:rsidP="00272BD8">
            <w:pPr>
              <w:pStyle w:val="AERtabletextleft"/>
              <w:cnfStyle w:val="000000010000" w:firstRow="0" w:lastRow="0" w:firstColumn="0" w:lastColumn="0" w:oddVBand="0" w:evenVBand="0" w:oddHBand="0" w:evenHBand="1" w:firstRowFirstColumn="0" w:firstRowLastColumn="0" w:lastRowFirstColumn="0" w:lastRowLastColumn="0"/>
            </w:pPr>
            <w:r>
              <w:t xml:space="preserve">Alternative </w:t>
            </w:r>
            <w:r w:rsidR="00451C5E" w:rsidRPr="00451C5E">
              <w:t>control</w:t>
            </w:r>
          </w:p>
        </w:tc>
      </w:tr>
      <w:tr w:rsidR="00451C5E" w:rsidTr="00480CC6">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Unscheduled meter reading – non-chargeable</w:t>
            </w:r>
          </w:p>
        </w:tc>
        <w:tc>
          <w:tcPr>
            <w:tcW w:w="3118" w:type="dxa"/>
          </w:tcPr>
          <w:p w:rsidR="00451C5E" w:rsidRPr="00451C5E" w:rsidRDefault="00AF1640" w:rsidP="00451C5E">
            <w:pPr>
              <w:pStyle w:val="AERtabletextleft"/>
              <w:cnfStyle w:val="000000000000" w:firstRow="0" w:lastRow="0" w:firstColumn="0" w:lastColumn="0" w:oddVBand="0" w:evenVBand="0" w:oddHBand="0" w:evenHBand="0" w:firstRowFirstColumn="0" w:firstRowLastColumn="0" w:lastRowFirstColumn="0" w:lastRowLastColumn="0"/>
            </w:pPr>
            <w:r>
              <w:t>Alternative</w:t>
            </w:r>
            <w:r w:rsidR="00451C5E" w:rsidRPr="00451C5E">
              <w:t xml:space="preserve"> control</w:t>
            </w:r>
          </w:p>
        </w:tc>
      </w:tr>
      <w:tr w:rsidR="00451C5E" w:rsidTr="00480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Metering investigation</w:t>
            </w:r>
          </w:p>
        </w:tc>
        <w:tc>
          <w:tcPr>
            <w:tcW w:w="3118" w:type="dxa"/>
          </w:tcPr>
          <w:p w:rsidR="00451C5E" w:rsidRPr="00451C5E" w:rsidRDefault="00AF1640" w:rsidP="00451C5E">
            <w:pPr>
              <w:pStyle w:val="AERtabletextleft"/>
              <w:cnfStyle w:val="000000010000" w:firstRow="0" w:lastRow="0" w:firstColumn="0" w:lastColumn="0" w:oddVBand="0" w:evenVBand="0" w:oddHBand="0" w:evenHBand="1" w:firstRowFirstColumn="0" w:firstRowLastColumn="0" w:lastRowFirstColumn="0" w:lastRowLastColumn="0"/>
            </w:pPr>
            <w:r>
              <w:t>Alternative</w:t>
            </w:r>
            <w:r w:rsidR="00451C5E" w:rsidRPr="00451C5E">
              <w:t xml:space="preserve"> control</w:t>
            </w:r>
          </w:p>
        </w:tc>
      </w:tr>
      <w:tr w:rsidR="00451C5E" w:rsidTr="00480CC6">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Scheduled meter reading</w:t>
            </w:r>
          </w:p>
        </w:tc>
        <w:tc>
          <w:tcPr>
            <w:tcW w:w="3118" w:type="dxa"/>
          </w:tcPr>
          <w:p w:rsidR="00451C5E" w:rsidRPr="00451C5E" w:rsidRDefault="00451C5E" w:rsidP="00451C5E">
            <w:pPr>
              <w:pStyle w:val="AERtabletextleft"/>
              <w:cnfStyle w:val="000000000000" w:firstRow="0" w:lastRow="0" w:firstColumn="0" w:lastColumn="0" w:oddVBand="0" w:evenVBand="0" w:oddHBand="0" w:evenHBand="0" w:firstRowFirstColumn="0" w:firstRowLastColumn="0" w:lastRowFirstColumn="0" w:lastRowLastColumn="0"/>
            </w:pPr>
            <w:r w:rsidRPr="00451C5E">
              <w:t>Alternative control</w:t>
            </w:r>
          </w:p>
        </w:tc>
      </w:tr>
      <w:tr w:rsidR="00451C5E" w:rsidTr="00480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Maintaining and repairing meters and load control equipment</w:t>
            </w:r>
          </w:p>
        </w:tc>
        <w:tc>
          <w:tcPr>
            <w:tcW w:w="3118" w:type="dxa"/>
          </w:tcPr>
          <w:p w:rsidR="00451C5E" w:rsidRPr="00451C5E" w:rsidRDefault="00451C5E" w:rsidP="00451C5E">
            <w:pPr>
              <w:pStyle w:val="AERtabletextleft"/>
              <w:cnfStyle w:val="000000010000" w:firstRow="0" w:lastRow="0" w:firstColumn="0" w:lastColumn="0" w:oddVBand="0" w:evenVBand="0" w:oddHBand="0" w:evenHBand="1" w:firstRowFirstColumn="0" w:firstRowLastColumn="0" w:lastRowFirstColumn="0" w:lastRowLastColumn="0"/>
            </w:pPr>
            <w:r w:rsidRPr="00451C5E">
              <w:t>Alternative control</w:t>
            </w:r>
          </w:p>
        </w:tc>
      </w:tr>
      <w:tr w:rsidR="00451C5E" w:rsidTr="00480CC6">
        <w:tc>
          <w:tcPr>
            <w:cnfStyle w:val="001000000000" w:firstRow="0" w:lastRow="0" w:firstColumn="1" w:lastColumn="0" w:oddVBand="0" w:evenVBand="0" w:oddHBand="0" w:evenHBand="0" w:firstRowFirstColumn="0" w:firstRowLastColumn="0" w:lastRowFirstColumn="0" w:lastRowLastColumn="0"/>
            <w:tcW w:w="5241" w:type="dxa"/>
          </w:tcPr>
          <w:p w:rsidR="00451C5E" w:rsidRPr="00451C5E" w:rsidRDefault="00451C5E" w:rsidP="00451C5E">
            <w:pPr>
              <w:pStyle w:val="AERtabletextleft"/>
            </w:pPr>
            <w:r w:rsidRPr="00451C5E">
              <w:t>Meter testing at the request of the customer</w:t>
            </w:r>
          </w:p>
        </w:tc>
        <w:tc>
          <w:tcPr>
            <w:tcW w:w="3118" w:type="dxa"/>
          </w:tcPr>
          <w:p w:rsidR="00451C5E" w:rsidRPr="00451C5E" w:rsidRDefault="00451C5E" w:rsidP="00451C5E">
            <w:pPr>
              <w:pStyle w:val="AERtabletextleft"/>
              <w:cnfStyle w:val="000000000000" w:firstRow="0" w:lastRow="0" w:firstColumn="0" w:lastColumn="0" w:oddVBand="0" w:evenVBand="0" w:oddHBand="0" w:evenHBand="0" w:firstRowFirstColumn="0" w:firstRowLastColumn="0" w:lastRowFirstColumn="0" w:lastRowLastColumn="0"/>
            </w:pPr>
            <w:r w:rsidRPr="00451C5E">
              <w:t xml:space="preserve">Negotiated </w:t>
            </w:r>
          </w:p>
        </w:tc>
      </w:tr>
    </w:tbl>
    <w:p w:rsidR="00480CC6" w:rsidRDefault="00480CC6" w:rsidP="00981744">
      <w:pPr>
        <w:pStyle w:val="AERbulletlistfirststyle"/>
        <w:numPr>
          <w:ilvl w:val="0"/>
          <w:numId w:val="0"/>
        </w:numPr>
        <w:ind w:left="357"/>
      </w:pPr>
    </w:p>
    <w:p w:rsidR="00981744" w:rsidRDefault="00981744" w:rsidP="00F52641">
      <w:pPr>
        <w:pStyle w:val="AERbodytext"/>
      </w:pPr>
      <w:r>
        <w:t>Our reasons follow.</w:t>
      </w:r>
    </w:p>
    <w:p w:rsidR="009B7A14" w:rsidRDefault="00AA45D3" w:rsidP="009B7A14">
      <w:pPr>
        <w:pStyle w:val="AERbodytext"/>
      </w:pPr>
      <w:r>
        <w:t>We intend to separately classify individual type 6 metering services</w:t>
      </w:r>
      <w:r w:rsidR="004839C5">
        <w:t xml:space="preserve"> as direct control services</w:t>
      </w:r>
      <w:r>
        <w:t xml:space="preserve">. </w:t>
      </w:r>
    </w:p>
    <w:p w:rsidR="00A425F7" w:rsidRDefault="00AA45D3" w:rsidP="009B7A14">
      <w:pPr>
        <w:pStyle w:val="AERbodytext"/>
      </w:pPr>
      <w:r>
        <w:lastRenderedPageBreak/>
        <w:t>We consider it necessary to classify type 6 metering services as direct control services because, due to current legislative requirements,</w:t>
      </w:r>
      <w:r w:rsidRPr="004B3EC0">
        <w:rPr>
          <w:rStyle w:val="FootnoteReference"/>
        </w:rPr>
        <w:footnoteReference w:id="57"/>
      </w:r>
      <w:r w:rsidRPr="004B3EC0">
        <w:t xml:space="preserve"> there are no real substitutes for type 6 metering services.</w:t>
      </w:r>
      <w:r w:rsidRPr="004B3EC0">
        <w:rPr>
          <w:rStyle w:val="FootnoteReference"/>
        </w:rPr>
        <w:footnoteReference w:id="58"/>
      </w:r>
      <w:r w:rsidRPr="004B3EC0">
        <w:t xml:space="preserve"> This barrier</w:t>
      </w:r>
      <w:r w:rsidRPr="004B3EC0">
        <w:rPr>
          <w:rStyle w:val="FootnoteReference"/>
        </w:rPr>
        <w:footnoteReference w:id="59"/>
      </w:r>
      <w:r w:rsidRPr="004B3EC0">
        <w:t xml:space="preserve"> provides </w:t>
      </w:r>
      <w:r>
        <w:t>SA Power Networks</w:t>
      </w:r>
      <w:r w:rsidRPr="004B3EC0">
        <w:t xml:space="preserve"> with significant market power in providing these services.</w:t>
      </w:r>
      <w:r w:rsidRPr="004B3EC0">
        <w:rPr>
          <w:rStyle w:val="FootnoteReference"/>
        </w:rPr>
        <w:footnoteReference w:id="60"/>
      </w:r>
      <w:r w:rsidRPr="004B3EC0">
        <w:t xml:space="preserve"> In fact, </w:t>
      </w:r>
      <w:r>
        <w:t>SA Power Networks is currently the</w:t>
      </w:r>
      <w:r w:rsidRPr="004B3EC0">
        <w:t xml:space="preserve"> sole provider of type 6 meters</w:t>
      </w:r>
      <w:r>
        <w:t xml:space="preserve"> in South Australia</w:t>
      </w:r>
      <w:r w:rsidRPr="004B3EC0">
        <w:t>.</w:t>
      </w:r>
      <w:r w:rsidRPr="004B3EC0">
        <w:rPr>
          <w:rStyle w:val="FootnoteReference"/>
        </w:rPr>
        <w:footnoteReference w:id="61"/>
      </w:r>
      <w:r w:rsidRPr="004B3EC0">
        <w:t xml:space="preserve"> </w:t>
      </w:r>
      <w:r>
        <w:t>Type 6 m</w:t>
      </w:r>
      <w:r w:rsidRPr="004B3EC0">
        <w:t xml:space="preserve">etering services are </w:t>
      </w:r>
      <w:r>
        <w:t xml:space="preserve">currently </w:t>
      </w:r>
      <w:r w:rsidRPr="004B3EC0">
        <w:t xml:space="preserve">subject to a direct form of control in </w:t>
      </w:r>
      <w:r>
        <w:t xml:space="preserve">South Australia </w:t>
      </w:r>
      <w:r w:rsidRPr="004B3EC0">
        <w:t xml:space="preserve">and other NEM jurisdictions. </w:t>
      </w:r>
    </w:p>
    <w:p w:rsidR="00AA45D3" w:rsidRPr="009923F2" w:rsidRDefault="00A33E8E" w:rsidP="009923F2">
      <w:pPr>
        <w:pStyle w:val="AERbodytext"/>
        <w:rPr>
          <w:rStyle w:val="AERbody"/>
        </w:rPr>
      </w:pPr>
      <w:r>
        <w:t xml:space="preserve">Given that we have classified type 6 metering services as direct control services, </w:t>
      </w:r>
      <w:r w:rsidR="00AA45D3">
        <w:t xml:space="preserve">we must further classify </w:t>
      </w:r>
      <w:r>
        <w:t xml:space="preserve">these </w:t>
      </w:r>
      <w:r w:rsidR="00AA45D3">
        <w:t>services as standard or alternative control services.</w:t>
      </w:r>
      <w:r w:rsidR="00AA45D3">
        <w:rPr>
          <w:rStyle w:val="FootnoteReference"/>
        </w:rPr>
        <w:footnoteReference w:id="62"/>
      </w:r>
      <w:r w:rsidR="00AA45D3">
        <w:t xml:space="preserve"> We consider type 6 metering services should be altern</w:t>
      </w:r>
      <w:r w:rsidR="00520AF2">
        <w:t xml:space="preserve">ative control services because </w:t>
      </w:r>
      <w:r w:rsidR="00AA45D3">
        <w:t xml:space="preserve">there is the potential for competition for </w:t>
      </w:r>
      <w:r w:rsidR="002F702B">
        <w:t>these</w:t>
      </w:r>
      <w:r w:rsidR="00AA45D3">
        <w:t xml:space="preserve"> services. </w:t>
      </w:r>
      <w:r w:rsidR="009923F2">
        <w:t xml:space="preserve">We </w:t>
      </w:r>
      <w:r w:rsidR="00AA45D3">
        <w:t>recognise that SA Power Networks is currently the monopoly provider of type 6 metering services.</w:t>
      </w:r>
      <w:r w:rsidR="00AA45D3" w:rsidRPr="004B3EC0">
        <w:rPr>
          <w:rStyle w:val="FootnoteReference"/>
        </w:rPr>
        <w:footnoteReference w:id="63"/>
      </w:r>
      <w:r w:rsidR="00AA45D3" w:rsidRPr="004B3EC0">
        <w:t xml:space="preserve"> However, we consider that an alternative control classification will enhance competition should contestability for these services change.</w:t>
      </w:r>
      <w:r w:rsidR="00AA45D3" w:rsidRPr="004B3EC0">
        <w:rPr>
          <w:rStyle w:val="FootnoteReference"/>
        </w:rPr>
        <w:footnoteReference w:id="64"/>
      </w:r>
      <w:r w:rsidR="00AA45D3" w:rsidRPr="004B3EC0">
        <w:t xml:space="preserve"> If charges for these services were bundled in distribution charges, any future changes in contestability may be far less effective.</w:t>
      </w:r>
      <w:r w:rsidR="00B43E6D">
        <w:t xml:space="preserve"> </w:t>
      </w:r>
      <w:r w:rsidR="00AA45D3" w:rsidRPr="009923F2">
        <w:rPr>
          <w:rStyle w:val="AERbody"/>
        </w:rPr>
        <w:t>Additionally, our proposed approach is consistent with the AEMC's draft report for its Power of Choice Review. The AEMC's recommendations included that:</w:t>
      </w:r>
    </w:p>
    <w:p w:rsidR="00AA45D3" w:rsidRDefault="00AA45D3" w:rsidP="00AA45D3">
      <w:pPr>
        <w:pStyle w:val="AERbulletlistsecondstyle"/>
      </w:pPr>
      <w:r>
        <w:t>the current metering arrangements need reform to provide investment in better metering technology and provide customer choice</w:t>
      </w:r>
    </w:p>
    <w:p w:rsidR="00AA45D3" w:rsidRDefault="00AA45D3" w:rsidP="00AA45D3">
      <w:pPr>
        <w:pStyle w:val="AERbulletlistsecondstyle"/>
      </w:pPr>
      <w:r>
        <w:t>metering costs should be unbundled from shared network charges.</w:t>
      </w:r>
      <w:r>
        <w:rPr>
          <w:rStyle w:val="FootnoteReference"/>
        </w:rPr>
        <w:footnoteReference w:id="65"/>
      </w:r>
    </w:p>
    <w:p w:rsidR="00AA45D3" w:rsidRDefault="00AA45D3" w:rsidP="00981744">
      <w:pPr>
        <w:pStyle w:val="AERbodytext"/>
      </w:pPr>
      <w:r>
        <w:t>The AEMC also released a Power of Choice supplementary paper on metering services, exploring the arrangements necessary to implement its recommendations.</w:t>
      </w:r>
      <w:r>
        <w:rPr>
          <w:rStyle w:val="FootnoteReference"/>
        </w:rPr>
        <w:footnoteReference w:id="66"/>
      </w:r>
      <w:r>
        <w:t xml:space="preserve"> The AEMC recommended that metering provision be contestable and open to competition among approved service providers. Further, it stated that customers should be able to choose a metering service provider.</w:t>
      </w:r>
      <w:r>
        <w:rPr>
          <w:rStyle w:val="FootnoteReference"/>
        </w:rPr>
        <w:footnoteReference w:id="67"/>
      </w:r>
      <w:r>
        <w:t xml:space="preserve"> The AEMC designed its recommendations to promote the investment in, and use of, advanced metering infrastructure ('smart' metering). It considers there will be demand management benefits for customers, retailers and distributors</w:t>
      </w:r>
      <w:r w:rsidR="00DA5B88">
        <w:t xml:space="preserve"> in using advanced metering infrastructure</w:t>
      </w:r>
      <w:r>
        <w:t>.</w:t>
      </w:r>
      <w:r>
        <w:rPr>
          <w:rStyle w:val="FootnoteReference"/>
        </w:rPr>
        <w:footnoteReference w:id="68"/>
      </w:r>
    </w:p>
    <w:p w:rsidR="00AA45D3" w:rsidRDefault="00AA45D3" w:rsidP="00981744">
      <w:pPr>
        <w:pStyle w:val="AERbodytext"/>
      </w:pPr>
      <w:r>
        <w:t xml:space="preserve">We consider that keeping type 6 metering services unbundled from other standard control services will enhance competition for providers of type 4 meters. It will enable alternative providers to compete with SA Power Networks on both price and non-price aspects. </w:t>
      </w:r>
      <w:r w:rsidR="009923F2">
        <w:t>Additionally:</w:t>
      </w:r>
    </w:p>
    <w:p w:rsidR="00AA45D3" w:rsidRDefault="00AA45D3" w:rsidP="00AA45D3">
      <w:pPr>
        <w:pStyle w:val="AERbulletlistfirststyle"/>
      </w:pPr>
      <w:r>
        <w:t xml:space="preserve">there would be </w:t>
      </w:r>
      <w:r w:rsidR="00E36094">
        <w:t xml:space="preserve">little </w:t>
      </w:r>
      <w:r w:rsidR="009B7A14">
        <w:t>administrative cost</w:t>
      </w:r>
      <w:r>
        <w:t xml:space="preserve"> to us, SA Power Networks, users or potential users. This is because classifying</w:t>
      </w:r>
      <w:r w:rsidR="003D3FF9">
        <w:t xml:space="preserve"> </w:t>
      </w:r>
      <w:r>
        <w:t xml:space="preserve">type 6 metering services as alternative control services is </w:t>
      </w:r>
      <w:r w:rsidR="00E36094">
        <w:t xml:space="preserve">largely </w:t>
      </w:r>
      <w:r>
        <w:t xml:space="preserve">consistent with the current regulatory approach. </w:t>
      </w:r>
    </w:p>
    <w:p w:rsidR="00AA45D3" w:rsidRPr="004B3EC0" w:rsidRDefault="00AA45D3" w:rsidP="00AA45D3">
      <w:pPr>
        <w:pStyle w:val="AERbulletlistfirststyle"/>
      </w:pPr>
      <w:r>
        <w:lastRenderedPageBreak/>
        <w:t>there is some variation in the classification of metering services across NEM jurisdictions. However, type</w:t>
      </w:r>
      <w:r w:rsidRPr="004B3EC0">
        <w:t xml:space="preserve"> </w:t>
      </w:r>
      <w:r>
        <w:t xml:space="preserve">6 </w:t>
      </w:r>
      <w:r w:rsidRPr="004B3EC0">
        <w:t>metering services in Tasmania are alternative control services.</w:t>
      </w:r>
      <w:r w:rsidRPr="004B3EC0">
        <w:rPr>
          <w:rStyle w:val="FootnoteReference"/>
        </w:rPr>
        <w:footnoteReference w:id="69"/>
      </w:r>
      <w:r w:rsidRPr="004B3EC0">
        <w:t xml:space="preserve"> We are also proposing that some type 5 and 6 metering services in NSW be classified as alternative control services.</w:t>
      </w:r>
      <w:r w:rsidRPr="004B3EC0">
        <w:rPr>
          <w:rStyle w:val="FootnoteReference"/>
        </w:rPr>
        <w:footnoteReference w:id="70"/>
      </w:r>
      <w:r w:rsidRPr="004B3EC0">
        <w:t xml:space="preserve">  </w:t>
      </w:r>
    </w:p>
    <w:p w:rsidR="00AA45D3" w:rsidRPr="004B3EC0" w:rsidRDefault="00520AF2" w:rsidP="00AA45D3">
      <w:pPr>
        <w:pStyle w:val="AERbulletlistfirststyle"/>
        <w:rPr>
          <w:rStyle w:val="AERtexthighlight"/>
        </w:rPr>
      </w:pPr>
      <w:r>
        <w:t>w</w:t>
      </w:r>
      <w:r w:rsidR="00AA45D3">
        <w:t xml:space="preserve">e consider that an alternative control classification for some type 6 metering services is appropriate, as customers will only pay for services they receive. </w:t>
      </w:r>
    </w:p>
    <w:p w:rsidR="00AA45D3" w:rsidRDefault="00520AF2" w:rsidP="00AA45D3">
      <w:pPr>
        <w:pStyle w:val="AERbulletlistfirststyle"/>
      </w:pPr>
      <w:r>
        <w:t>a</w:t>
      </w:r>
      <w:r w:rsidR="00AA45D3">
        <w:t>nother relevant factor</w:t>
      </w:r>
      <w:r w:rsidR="00AA45D3" w:rsidRPr="004B3EC0">
        <w:rPr>
          <w:rStyle w:val="FootnoteReference"/>
        </w:rPr>
        <w:footnoteReference w:id="71"/>
      </w:r>
      <w:r w:rsidR="00AA45D3" w:rsidRPr="004B3EC0">
        <w:t xml:space="preserve"> we considered is the potential to create a more transparent and accurate way of providing customers with costing information. Directly attributing costs under an alternative control classification allows customers to make informed choices on meter provision, maintenance</w:t>
      </w:r>
      <w:r w:rsidR="00AA45D3">
        <w:t xml:space="preserve"> and</w:t>
      </w:r>
      <w:r w:rsidR="00AA45D3" w:rsidRPr="004B3EC0">
        <w:t xml:space="preserve"> reading </w:t>
      </w:r>
      <w:r w:rsidR="00AA45D3">
        <w:t>s</w:t>
      </w:r>
      <w:r w:rsidR="00AA45D3" w:rsidRPr="004B3EC0">
        <w:t xml:space="preserve">ervices. </w:t>
      </w:r>
    </w:p>
    <w:p w:rsidR="003D3FF9" w:rsidRDefault="003D3FF9" w:rsidP="00272BD8">
      <w:pPr>
        <w:pStyle w:val="AERbodytext"/>
      </w:pPr>
      <w:r>
        <w:t xml:space="preserve">We have </w:t>
      </w:r>
      <w:r w:rsidR="003643C9" w:rsidRPr="003643C9">
        <w:t xml:space="preserve">received </w:t>
      </w:r>
      <w:r>
        <w:t xml:space="preserve">many </w:t>
      </w:r>
      <w:r w:rsidR="003643C9" w:rsidRPr="003643C9">
        <w:t xml:space="preserve">submissions supporting </w:t>
      </w:r>
      <w:r>
        <w:t xml:space="preserve">our proposed </w:t>
      </w:r>
      <w:r w:rsidR="003643C9" w:rsidRPr="003643C9">
        <w:t xml:space="preserve">position </w:t>
      </w:r>
      <w:r>
        <w:t>to</w:t>
      </w:r>
      <w:r w:rsidR="003643C9">
        <w:t xml:space="preserve"> classify type </w:t>
      </w:r>
      <w:r>
        <w:t xml:space="preserve">6 </w:t>
      </w:r>
      <w:r w:rsidR="003643C9">
        <w:t xml:space="preserve">metering </w:t>
      </w:r>
      <w:r w:rsidR="003643C9" w:rsidRPr="003643C9">
        <w:t xml:space="preserve">services as alternative control services </w:t>
      </w:r>
      <w:r>
        <w:t xml:space="preserve">in </w:t>
      </w:r>
      <w:r w:rsidR="00700181">
        <w:t xml:space="preserve">the </w:t>
      </w:r>
      <w:r>
        <w:t xml:space="preserve">NSW framework and approach process. </w:t>
      </w:r>
      <w:r w:rsidR="003643C9" w:rsidRPr="003643C9">
        <w:t>Generally,</w:t>
      </w:r>
      <w:r>
        <w:t xml:space="preserve"> stakeholder</w:t>
      </w:r>
      <w:r w:rsidR="00700181">
        <w:t>s</w:t>
      </w:r>
      <w:r w:rsidR="003643C9" w:rsidRPr="003643C9">
        <w:t xml:space="preserve"> submitted that unbundling type </w:t>
      </w:r>
      <w:r>
        <w:t>6</w:t>
      </w:r>
      <w:r w:rsidR="003643C9" w:rsidRPr="003643C9">
        <w:t xml:space="preserve"> metering services from network service</w:t>
      </w:r>
      <w:r>
        <w:t xml:space="preserve">s would </w:t>
      </w:r>
      <w:r w:rsidR="003643C9" w:rsidRPr="003643C9">
        <w:t>allow for more transparent costing. This in turn would create f</w:t>
      </w:r>
      <w:r>
        <w:t xml:space="preserve">avourable conditions to develop </w:t>
      </w:r>
      <w:r w:rsidR="003643C9" w:rsidRPr="003643C9">
        <w:t>competition.</w:t>
      </w:r>
      <w:r>
        <w:rPr>
          <w:rStyle w:val="FootnoteReference"/>
        </w:rPr>
        <w:footnoteReference w:id="72"/>
      </w:r>
    </w:p>
    <w:p w:rsidR="003643C9" w:rsidRPr="003643C9" w:rsidRDefault="003643C9" w:rsidP="00272BD8">
      <w:pPr>
        <w:pStyle w:val="AERbodytext"/>
      </w:pPr>
      <w:r w:rsidRPr="003643C9">
        <w:t xml:space="preserve">Our proposed approach </w:t>
      </w:r>
      <w:r w:rsidR="003D3FF9">
        <w:t xml:space="preserve">retains the </w:t>
      </w:r>
      <w:r w:rsidRPr="003643C9">
        <w:t>current classification for most t</w:t>
      </w:r>
      <w:r w:rsidR="00272BD8">
        <w:t>ype 6 metering services except:</w:t>
      </w:r>
    </w:p>
    <w:p w:rsidR="003643C9" w:rsidRPr="003643C9" w:rsidRDefault="003643C9" w:rsidP="003643C9">
      <w:pPr>
        <w:pStyle w:val="AERbulletlistfirststyle"/>
      </w:pPr>
      <w:r w:rsidRPr="003643C9">
        <w:t>Type 6 energy data services (except the quarterly meter read service)</w:t>
      </w:r>
    </w:p>
    <w:p w:rsidR="003643C9" w:rsidRPr="003643C9" w:rsidRDefault="003643C9" w:rsidP="003643C9">
      <w:pPr>
        <w:pStyle w:val="AERbulletlistfirststyle"/>
      </w:pPr>
      <w:r w:rsidRPr="003643C9">
        <w:t>Unscheduled meter reading – non-chargeable</w:t>
      </w:r>
    </w:p>
    <w:p w:rsidR="00B43E6D" w:rsidRDefault="003643C9" w:rsidP="00B43E6D">
      <w:pPr>
        <w:pStyle w:val="AERbulletlistfirststyle"/>
      </w:pPr>
      <w:r w:rsidRPr="003643C9">
        <w:t>Metering investigation</w:t>
      </w:r>
      <w:r w:rsidR="00BD7B40">
        <w:t>.</w:t>
      </w:r>
      <w:r w:rsidRPr="003643C9">
        <w:t xml:space="preserve"> </w:t>
      </w:r>
    </w:p>
    <w:p w:rsidR="00326B34" w:rsidRPr="00D2380D" w:rsidRDefault="003643C9" w:rsidP="00272BD8">
      <w:pPr>
        <w:pStyle w:val="AERbodytext"/>
      </w:pPr>
      <w:r w:rsidRPr="003643C9">
        <w:t xml:space="preserve">We propose to reclassify these services from standard control to alternative control. This provides customers with more transparent costing information </w:t>
      </w:r>
      <w:r w:rsidR="003D3FF9">
        <w:t>for</w:t>
      </w:r>
      <w:r w:rsidRPr="003643C9">
        <w:t xml:space="preserve"> these services</w:t>
      </w:r>
      <w:r>
        <w:t>. It</w:t>
      </w:r>
      <w:r w:rsidRPr="003643C9">
        <w:t xml:space="preserve"> will assist them </w:t>
      </w:r>
      <w:r w:rsidR="003D3FF9">
        <w:t>to make</w:t>
      </w:r>
      <w:r w:rsidR="003D3FF9" w:rsidRPr="003643C9">
        <w:t xml:space="preserve"> </w:t>
      </w:r>
      <w:r w:rsidR="003D3FF9">
        <w:t>informed</w:t>
      </w:r>
      <w:r w:rsidRPr="003643C9">
        <w:t xml:space="preserve"> choice</w:t>
      </w:r>
      <w:r w:rsidR="003D3FF9">
        <w:t xml:space="preserve">s should </w:t>
      </w:r>
      <w:r w:rsidRPr="003643C9">
        <w:t>future rule change</w:t>
      </w:r>
      <w:r w:rsidR="00DE1423">
        <w:t>s</w:t>
      </w:r>
      <w:r w:rsidRPr="003643C9">
        <w:t xml:space="preserve"> allow</w:t>
      </w:r>
      <w:r>
        <w:t xml:space="preserve"> a third party</w:t>
      </w:r>
      <w:r w:rsidRPr="003643C9">
        <w:t xml:space="preserve"> other than SA</w:t>
      </w:r>
      <w:r w:rsidR="00DE1423">
        <w:t xml:space="preserve"> Power Networks</w:t>
      </w:r>
      <w:r w:rsidR="00272BD8">
        <w:t xml:space="preserve"> </w:t>
      </w:r>
      <w:r w:rsidR="00BD7B40">
        <w:t xml:space="preserve">to </w:t>
      </w:r>
      <w:r w:rsidRPr="003643C9">
        <w:t xml:space="preserve">provide these services. </w:t>
      </w:r>
      <w:r w:rsidR="00B43E6D">
        <w:t>An</w:t>
      </w:r>
      <w:r>
        <w:t xml:space="preserve">other </w:t>
      </w:r>
      <w:r w:rsidR="009B7A14">
        <w:t>change</w:t>
      </w:r>
      <w:r w:rsidR="00326B34">
        <w:t xml:space="preserve"> we propose to make </w:t>
      </w:r>
      <w:r>
        <w:t xml:space="preserve">to </w:t>
      </w:r>
      <w:r w:rsidR="003D3FF9">
        <w:t xml:space="preserve">the </w:t>
      </w:r>
      <w:r>
        <w:t xml:space="preserve">classification of type 6 metering services </w:t>
      </w:r>
      <w:r w:rsidR="00326B34">
        <w:t xml:space="preserve">is to </w:t>
      </w:r>
      <w:r w:rsidR="006C6C5B">
        <w:t xml:space="preserve">further </w:t>
      </w:r>
      <w:r w:rsidR="00326B34" w:rsidRPr="00326B34">
        <w:t>break down</w:t>
      </w:r>
      <w:r w:rsidR="003D3FF9">
        <w:t xml:space="preserve"> </w:t>
      </w:r>
      <w:r w:rsidR="00326B34" w:rsidRPr="00326B34">
        <w:t>the meter provision service into two services</w:t>
      </w:r>
      <w:r w:rsidR="00B84A02">
        <w:t>;</w:t>
      </w:r>
      <w:r w:rsidR="00326B34">
        <w:t xml:space="preserve"> meter installation service and meter provision service. The former covers </w:t>
      </w:r>
      <w:r w:rsidR="009B7A14">
        <w:t xml:space="preserve">the </w:t>
      </w:r>
      <w:r w:rsidR="00326B34" w:rsidRPr="00326B34">
        <w:t>on site connection of a meter at a customer’s premises</w:t>
      </w:r>
      <w:r w:rsidR="00326B34">
        <w:t xml:space="preserve">. The latter covers </w:t>
      </w:r>
      <w:r w:rsidR="00326B34" w:rsidRPr="00326B34">
        <w:t>the capital cost of purchasing the metering equipment to be installed.</w:t>
      </w:r>
      <w:r w:rsidR="00326B34">
        <w:t xml:space="preserve"> This approach </w:t>
      </w:r>
      <w:r w:rsidR="00B84A02">
        <w:t xml:space="preserve">results in a </w:t>
      </w:r>
      <w:r w:rsidR="00637925" w:rsidRPr="00637925">
        <w:t xml:space="preserve">more </w:t>
      </w:r>
      <w:r w:rsidR="00326B34">
        <w:t xml:space="preserve">transparent and </w:t>
      </w:r>
      <w:r w:rsidR="00637925" w:rsidRPr="00637925">
        <w:t>accurate way of providing cus</w:t>
      </w:r>
      <w:r w:rsidR="00326B34">
        <w:t xml:space="preserve">tomers with costing information. </w:t>
      </w:r>
    </w:p>
    <w:p w:rsidR="00AA45D3" w:rsidRPr="00D2380D" w:rsidRDefault="009B7A14" w:rsidP="00AA45D3">
      <w:pPr>
        <w:pStyle w:val="AERbodytext"/>
      </w:pPr>
      <w:r>
        <w:t>A meter</w:t>
      </w:r>
      <w:r w:rsidR="00AA45D3">
        <w:t xml:space="preserve"> testing service provided at the request of a customer is contestable and therefore it is appropriate to classify this as a negotiated service. </w:t>
      </w:r>
    </w:p>
    <w:p w:rsidR="00AA45D3" w:rsidRDefault="00AA45D3" w:rsidP="00AA45D3">
      <w:pPr>
        <w:pStyle w:val="AERbodytext"/>
      </w:pPr>
      <w:r w:rsidRPr="00AA45D3">
        <w:rPr>
          <w:rFonts w:eastAsia="Calibri"/>
        </w:rPr>
        <w:t>Classification in this manner is appropriate having regard to the extent that the costs of providing the different aspects of ‘standard’ small customer metering services are, or are not, directly attributable to the customer to whom the service is provided. It is also likely to promote the development of competition in the small customer metering market.</w:t>
      </w:r>
    </w:p>
    <w:p w:rsidR="00AA45D3" w:rsidRPr="00F14D56" w:rsidRDefault="00AA45D3" w:rsidP="00AA45D3">
      <w:pPr>
        <w:pStyle w:val="HeadingBoldBlue"/>
      </w:pPr>
      <w:r w:rsidRPr="00F14D56">
        <w:lastRenderedPageBreak/>
        <w:t xml:space="preserve">Non-standard </w:t>
      </w:r>
      <w:r w:rsidR="009923F2">
        <w:t>t</w:t>
      </w:r>
      <w:r w:rsidRPr="00F14D56">
        <w:t>ype 6 import and export meters</w:t>
      </w:r>
    </w:p>
    <w:p w:rsidR="00AA45D3" w:rsidRPr="006563DF" w:rsidRDefault="00AA45D3" w:rsidP="00AA45D3">
      <w:pPr>
        <w:pStyle w:val="AERbodytext"/>
      </w:pPr>
      <w:r w:rsidRPr="006563DF">
        <w:t xml:space="preserve">We intend to classify </w:t>
      </w:r>
      <w:r w:rsidR="009923F2">
        <w:t>n</w:t>
      </w:r>
      <w:r>
        <w:t xml:space="preserve">on-standard </w:t>
      </w:r>
      <w:r w:rsidR="009923F2">
        <w:t>ty</w:t>
      </w:r>
      <w:r w:rsidRPr="006563DF">
        <w:t xml:space="preserve">pe </w:t>
      </w:r>
      <w:r>
        <w:t>6</w:t>
      </w:r>
      <w:r w:rsidRPr="006563DF">
        <w:t xml:space="preserve"> </w:t>
      </w:r>
      <w:r>
        <w:t xml:space="preserve">import and export </w:t>
      </w:r>
      <w:r w:rsidRPr="006563DF">
        <w:t>metering services as negotiated services. This is consistent with the current regulatory approach.</w:t>
      </w:r>
    </w:p>
    <w:p w:rsidR="00AA45D3" w:rsidRPr="00F52EBA" w:rsidRDefault="00AA45D3" w:rsidP="00AA45D3">
      <w:pPr>
        <w:pStyle w:val="AERbodytext"/>
      </w:pPr>
      <w:r>
        <w:t>N</w:t>
      </w:r>
      <w:r w:rsidRPr="00F52EBA">
        <w:t xml:space="preserve">on-standard </w:t>
      </w:r>
      <w:r w:rsidR="009923F2">
        <w:t>t</w:t>
      </w:r>
      <w:r w:rsidRPr="00F52EBA">
        <w:t>ype 6</w:t>
      </w:r>
      <w:r>
        <w:t xml:space="preserve"> '</w:t>
      </w:r>
      <w:r w:rsidRPr="00F52EBA">
        <w:t>import and export</w:t>
      </w:r>
      <w:r>
        <w:t>'</w:t>
      </w:r>
      <w:r w:rsidRPr="00F52EBA">
        <w:t xml:space="preserve"> meters for s</w:t>
      </w:r>
      <w:r w:rsidR="00981744">
        <w:t xml:space="preserve">olar photovoltaic </w:t>
      </w:r>
      <w:r w:rsidR="00AB6687">
        <w:t xml:space="preserve">(PV) </w:t>
      </w:r>
      <w:r w:rsidR="00981744">
        <w:t>installations</w:t>
      </w:r>
      <w:r w:rsidRPr="00F52EBA">
        <w:t xml:space="preserve"> are currently classified as negotiated service</w:t>
      </w:r>
      <w:r>
        <w:t xml:space="preserve">s. </w:t>
      </w:r>
      <w:r w:rsidR="00B450E5">
        <w:t>Pursuant to c</w:t>
      </w:r>
      <w:r>
        <w:t>lause 7.3.1(a)(7) of the rules</w:t>
      </w:r>
      <w:r w:rsidR="00B450E5">
        <w:t>,</w:t>
      </w:r>
      <w:r w:rsidRPr="00F52EBA">
        <w:t xml:space="preserve"> an import and export (I/E) meter must be installed for all generators connected to the distributio</w:t>
      </w:r>
      <w:r w:rsidR="00AB6687">
        <w:t>n network, including small PV</w:t>
      </w:r>
      <w:r w:rsidRPr="00F52EBA">
        <w:t xml:space="preserve"> installations. Despite the PV I/E metering service </w:t>
      </w:r>
      <w:r>
        <w:t>being</w:t>
      </w:r>
      <w:r w:rsidRPr="00F52EBA">
        <w:t xml:space="preserve"> classified as a negotiated service, it is not contestable as SA</w:t>
      </w:r>
      <w:r>
        <w:t xml:space="preserve"> </w:t>
      </w:r>
      <w:r w:rsidRPr="00F52EBA">
        <w:t>P</w:t>
      </w:r>
      <w:r>
        <w:t xml:space="preserve">ower </w:t>
      </w:r>
      <w:r w:rsidRPr="00F52EBA">
        <w:t>N</w:t>
      </w:r>
      <w:r>
        <w:t>etworks</w:t>
      </w:r>
      <w:r w:rsidRPr="00F52EBA">
        <w:t xml:space="preserve"> is the only service provider. </w:t>
      </w:r>
      <w:r w:rsidR="00B450E5">
        <w:t>Under t</w:t>
      </w:r>
      <w:r w:rsidRPr="00F52EBA">
        <w:t>he South Australia Electricity Metering Code (</w:t>
      </w:r>
      <w:r>
        <w:t>Metering</w:t>
      </w:r>
      <w:r w:rsidRPr="00F52EBA">
        <w:t xml:space="preserve"> Code)</w:t>
      </w:r>
      <w:r>
        <w:t>,</w:t>
      </w:r>
      <w:r w:rsidRPr="00F52EBA">
        <w:t xml:space="preserve"> which regulates metering arrangements in South Aust</w:t>
      </w:r>
      <w:r>
        <w:t xml:space="preserve">ralia, </w:t>
      </w:r>
      <w:r w:rsidR="00B450E5">
        <w:t xml:space="preserve">read with </w:t>
      </w:r>
      <w:r>
        <w:t>clause 7.2 of the rules,</w:t>
      </w:r>
      <w:r w:rsidRPr="00F52EBA">
        <w:t xml:space="preserve"> SA</w:t>
      </w:r>
      <w:r>
        <w:t xml:space="preserve"> </w:t>
      </w:r>
      <w:r w:rsidRPr="00F52EBA">
        <w:t>P</w:t>
      </w:r>
      <w:r>
        <w:t xml:space="preserve">ower </w:t>
      </w:r>
      <w:r w:rsidRPr="00F52EBA">
        <w:t>N</w:t>
      </w:r>
      <w:r>
        <w:t>etworks</w:t>
      </w:r>
      <w:r w:rsidRPr="00F52EBA">
        <w:t xml:space="preserve"> is the only “responsible person” permitted to provide this type of meter service in South Australia.</w:t>
      </w:r>
    </w:p>
    <w:p w:rsidR="00AA45D3" w:rsidRDefault="00AA45D3" w:rsidP="00AA45D3">
      <w:r>
        <w:t xml:space="preserve">Potentially the </w:t>
      </w:r>
      <w:r w:rsidRPr="00F52EBA">
        <w:t>PV I/E metering service may be classified as alternative control service given</w:t>
      </w:r>
      <w:r>
        <w:t xml:space="preserve"> the service is not contestable. </w:t>
      </w:r>
      <w:r w:rsidR="009B7A14">
        <w:t>This would</w:t>
      </w:r>
      <w:r w:rsidRPr="00F52EBA">
        <w:t xml:space="preserve"> introduce price or revenue regulation for the service. The advantages o</w:t>
      </w:r>
      <w:r w:rsidR="009B7A14">
        <w:t>f this approach are that it would</w:t>
      </w:r>
      <w:r w:rsidRPr="00F52EBA">
        <w:t xml:space="preserve"> introduce more scrutiny </w:t>
      </w:r>
      <w:r w:rsidR="005F06F9">
        <w:t>of</w:t>
      </w:r>
      <w:r w:rsidR="005F06F9" w:rsidRPr="00F52EBA">
        <w:t xml:space="preserve"> </w:t>
      </w:r>
      <w:r w:rsidRPr="00F52EBA">
        <w:t xml:space="preserve">the costs of providing the service, and more transparent pricing. </w:t>
      </w:r>
      <w:r>
        <w:t xml:space="preserve">However, setting a price has </w:t>
      </w:r>
      <w:r w:rsidR="005F06F9">
        <w:t xml:space="preserve">the following </w:t>
      </w:r>
      <w:r>
        <w:t>disadvantages:</w:t>
      </w:r>
    </w:p>
    <w:p w:rsidR="00AA45D3" w:rsidRDefault="009923F2" w:rsidP="00AA45D3">
      <w:pPr>
        <w:pStyle w:val="AERbulletlistfirststyle"/>
      </w:pPr>
      <w:r>
        <w:t>t</w:t>
      </w:r>
      <w:r w:rsidR="00AA45D3">
        <w:t xml:space="preserve">here is an </w:t>
      </w:r>
      <w:r w:rsidR="00AA45D3" w:rsidRPr="00F52EBA">
        <w:t>increase in administrative costs</w:t>
      </w:r>
      <w:r w:rsidR="00AA45D3">
        <w:t xml:space="preserve"> of SA Power Networks and us</w:t>
      </w:r>
    </w:p>
    <w:p w:rsidR="00AA45D3" w:rsidRDefault="009923F2" w:rsidP="00AA45D3">
      <w:pPr>
        <w:pStyle w:val="AERbulletlistfirststyle"/>
      </w:pPr>
      <w:r>
        <w:t>i</w:t>
      </w:r>
      <w:r w:rsidR="00AA45D3">
        <w:t>t introduces forecasting risks, this is particularly the case for future PV penetration</w:t>
      </w:r>
    </w:p>
    <w:p w:rsidR="00AA45D3" w:rsidRDefault="00520AF2" w:rsidP="00AA45D3">
      <w:pPr>
        <w:pStyle w:val="AERbulletlistfirststyle"/>
      </w:pPr>
      <w:r>
        <w:t>i</w:t>
      </w:r>
      <w:r w:rsidR="00AA45D3">
        <w:t>t is inflexible and does not take into account technological advances, that is, cost reductions due to advances in metering technology may not be realised as the price is fixed from the on-set.</w:t>
      </w:r>
      <w:r w:rsidR="00AA45D3" w:rsidRPr="00F52EBA">
        <w:t xml:space="preserve"> </w:t>
      </w:r>
    </w:p>
    <w:p w:rsidR="00AA45D3" w:rsidRDefault="00AA45D3" w:rsidP="00AA45D3">
      <w:r>
        <w:t>Also, we are not aware of any evidence that suggests that the current classification is failing customers</w:t>
      </w:r>
      <w:r w:rsidR="009923F2">
        <w:t>,</w:t>
      </w:r>
      <w:r>
        <w:t xml:space="preserve"> h</w:t>
      </w:r>
      <w:r w:rsidRPr="006563DF">
        <w:t xml:space="preserve">owever this does not mean that issues do not exist. </w:t>
      </w:r>
    </w:p>
    <w:p w:rsidR="00AA45D3" w:rsidRDefault="00AA45D3" w:rsidP="00AA45D3">
      <w:pPr>
        <w:rPr>
          <w:rStyle w:val="AERtextbold"/>
        </w:rPr>
      </w:pPr>
      <w:r>
        <w:t xml:space="preserve">On balance, our </w:t>
      </w:r>
      <w:r w:rsidRPr="006563DF">
        <w:t xml:space="preserve">preliminary position </w:t>
      </w:r>
      <w:r>
        <w:t>is to m</w:t>
      </w:r>
      <w:r w:rsidRPr="00F52EBA">
        <w:rPr>
          <w:rStyle w:val="AERbody"/>
        </w:rPr>
        <w:t xml:space="preserve">aintain the current </w:t>
      </w:r>
      <w:r w:rsidRPr="006563DF">
        <w:rPr>
          <w:rStyle w:val="AERbody"/>
        </w:rPr>
        <w:t xml:space="preserve">negotiated </w:t>
      </w:r>
      <w:r>
        <w:rPr>
          <w:rStyle w:val="AERbody"/>
        </w:rPr>
        <w:t xml:space="preserve">service </w:t>
      </w:r>
      <w:r w:rsidRPr="00F52EBA">
        <w:rPr>
          <w:rStyle w:val="AERbody"/>
        </w:rPr>
        <w:t xml:space="preserve">classification </w:t>
      </w:r>
      <w:r>
        <w:rPr>
          <w:rStyle w:val="AERbody"/>
        </w:rPr>
        <w:t xml:space="preserve">for </w:t>
      </w:r>
      <w:r w:rsidR="009923F2">
        <w:t>n</w:t>
      </w:r>
      <w:r w:rsidRPr="006563DF">
        <w:t xml:space="preserve">on-standard </w:t>
      </w:r>
      <w:r w:rsidR="009923F2">
        <w:t>t</w:t>
      </w:r>
      <w:r w:rsidRPr="006563DF">
        <w:t>ype 6 import and export meter</w:t>
      </w:r>
      <w:r>
        <w:t>s</w:t>
      </w:r>
      <w:r w:rsidRPr="00F52EBA">
        <w:t xml:space="preserve"> for SA</w:t>
      </w:r>
      <w:r>
        <w:t xml:space="preserve">. We </w:t>
      </w:r>
      <w:r w:rsidRPr="00F52EBA">
        <w:t>seek submissions from stakeholder</w:t>
      </w:r>
      <w:r w:rsidR="00842C8E">
        <w:t>s</w:t>
      </w:r>
      <w:r w:rsidRPr="00F52EBA">
        <w:t xml:space="preserve"> as to whether </w:t>
      </w:r>
      <w:r w:rsidRPr="001D2A12">
        <w:t>a different classification is clea</w:t>
      </w:r>
      <w:r>
        <w:t xml:space="preserve">rly more appropriate. </w:t>
      </w:r>
    </w:p>
    <w:p w:rsidR="00AA45D3" w:rsidRPr="00394943" w:rsidRDefault="00AA45D3" w:rsidP="00394943">
      <w:pPr>
        <w:pStyle w:val="HeadingBoldBlue"/>
        <w:rPr>
          <w:rStyle w:val="AERtextbold"/>
          <w:b/>
        </w:rPr>
      </w:pPr>
      <w:r w:rsidRPr="00394943">
        <w:rPr>
          <w:rStyle w:val="AERtextbold"/>
          <w:b/>
        </w:rPr>
        <w:t>Type 7 metering services</w:t>
      </w:r>
    </w:p>
    <w:p w:rsidR="00AA45D3" w:rsidRPr="00A45B8A" w:rsidRDefault="00AA45D3" w:rsidP="00AA45D3">
      <w:pPr>
        <w:pStyle w:val="AERbodytext"/>
      </w:pPr>
      <w:r>
        <w:t>We intend</w:t>
      </w:r>
      <w:r w:rsidRPr="00A45B8A">
        <w:t xml:space="preserve"> to classify type </w:t>
      </w:r>
      <w:r>
        <w:t>7</w:t>
      </w:r>
      <w:r w:rsidRPr="00A45B8A">
        <w:t xml:space="preserve"> metering services as direct control and further, as </w:t>
      </w:r>
      <w:r>
        <w:t xml:space="preserve">standard </w:t>
      </w:r>
      <w:r w:rsidRPr="00A45B8A">
        <w:t>control services.</w:t>
      </w:r>
    </w:p>
    <w:p w:rsidR="00AA45D3" w:rsidRPr="004B3EC0" w:rsidRDefault="00AA45D3" w:rsidP="00AA45D3">
      <w:pPr>
        <w:pStyle w:val="AERbodytext"/>
      </w:pPr>
      <w:r>
        <w:t>A type 7 meter</w:t>
      </w:r>
      <w:r w:rsidR="005F06F9">
        <w:t xml:space="preserve"> </w:t>
      </w:r>
      <w:r w:rsidR="00A45E1D">
        <w:t xml:space="preserve">does </w:t>
      </w:r>
      <w:r>
        <w:t xml:space="preserve">not measure the flow of electricity. Examples include streetlights or traffic lights. Distributors charge customers, usually councils or government agencies, for unmetered connections by estimating usage using standard data. For example, the distributor estimates streetlight usage using the total time the lights were on, the number of lights in operation and the light bulb wattage. As only SA Power Networks estimates usage, only it can bill customers. </w:t>
      </w:r>
    </w:p>
    <w:p w:rsidR="00AA45D3" w:rsidRDefault="00AA45D3" w:rsidP="00AA45D3">
      <w:pPr>
        <w:pStyle w:val="AERbodytext"/>
      </w:pPr>
      <w:r>
        <w:t xml:space="preserve">Similar to type 6 metering services, services for type 7 meters could be unbundled. However, the avoidable component </w:t>
      </w:r>
      <w:r w:rsidRPr="00A45B8A">
        <w:t>involved in providing type 7 metering services is likely to be minimal (and relat</w:t>
      </w:r>
      <w:r>
        <w:t>e only to energy data services). We do</w:t>
      </w:r>
      <w:r w:rsidRPr="00A45B8A">
        <w:t xml:space="preserve"> not consider there is a net benefit from unbundling ch</w:t>
      </w:r>
      <w:r>
        <w:t xml:space="preserve">arges for these services from the </w:t>
      </w:r>
      <w:r w:rsidR="009B7A14">
        <w:t>distribution use of system</w:t>
      </w:r>
      <w:r>
        <w:t xml:space="preserve"> tariff. For this reason, we are</w:t>
      </w:r>
      <w:r w:rsidRPr="00A45B8A">
        <w:t xml:space="preserve"> likely to classify type </w:t>
      </w:r>
      <w:r>
        <w:t xml:space="preserve">7 metering services as standard </w:t>
      </w:r>
      <w:r w:rsidRPr="00A45B8A">
        <w:t>control services, consistent with the regulatory approach</w:t>
      </w:r>
      <w:r>
        <w:t xml:space="preserve"> in the current regulatory control period</w:t>
      </w:r>
      <w:r w:rsidRPr="00A45B8A">
        <w:t>.</w:t>
      </w:r>
    </w:p>
    <w:p w:rsidR="00AA45D3" w:rsidRPr="00394943" w:rsidRDefault="00AA45D3" w:rsidP="00394943">
      <w:pPr>
        <w:pStyle w:val="Heading3"/>
      </w:pPr>
      <w:bookmarkStart w:id="38" w:name="_Toc373499990"/>
      <w:bookmarkStart w:id="39" w:name="_Toc373773975"/>
      <w:bookmarkStart w:id="40" w:name="_Toc328123168"/>
      <w:bookmarkStart w:id="41" w:name="_Toc328143888"/>
      <w:bookmarkStart w:id="42" w:name="_Toc350444113"/>
      <w:bookmarkStart w:id="43" w:name="_Toc350444307"/>
      <w:bookmarkStart w:id="44" w:name="_Toc351732926"/>
      <w:bookmarkStart w:id="45" w:name="_Toc351731454"/>
      <w:r w:rsidRPr="00394943">
        <w:lastRenderedPageBreak/>
        <w:t>Public lighting</w:t>
      </w:r>
      <w:bookmarkEnd w:id="38"/>
      <w:bookmarkEnd w:id="39"/>
    </w:p>
    <w:p w:rsidR="00AA45D3" w:rsidRDefault="00AA45D3" w:rsidP="00AA45D3">
      <w:pPr>
        <w:pStyle w:val="AERbodytext"/>
      </w:pPr>
      <w:r>
        <w:t>We intend</w:t>
      </w:r>
      <w:r w:rsidRPr="0099353E">
        <w:t xml:space="preserve"> to classify </w:t>
      </w:r>
      <w:r>
        <w:t xml:space="preserve">public lighting </w:t>
      </w:r>
      <w:r w:rsidRPr="0099353E">
        <w:t xml:space="preserve">services as </w:t>
      </w:r>
      <w:r>
        <w:t>negotiated services.</w:t>
      </w:r>
    </w:p>
    <w:p w:rsidR="00AA45D3" w:rsidRPr="00CC134E" w:rsidRDefault="00AA45D3" w:rsidP="00AA45D3">
      <w:pPr>
        <w:pStyle w:val="AERbodytext"/>
        <w:rPr>
          <w:rStyle w:val="AERbody"/>
        </w:rPr>
      </w:pPr>
      <w:r w:rsidRPr="001B34F4">
        <w:rPr>
          <w:rStyle w:val="AERbody"/>
        </w:rPr>
        <w:t xml:space="preserve">South Australia is currently the only jurisdiction where public </w:t>
      </w:r>
      <w:r w:rsidRPr="00CC134E">
        <w:rPr>
          <w:rStyle w:val="AERbody"/>
        </w:rPr>
        <w:t xml:space="preserve">lighting services are negotiated. However, this classification is consistent with the classification set by the previous jurisdictional regulator, ESCOSA. </w:t>
      </w:r>
    </w:p>
    <w:p w:rsidR="00AA45D3" w:rsidRDefault="00AA45D3" w:rsidP="00AA45D3">
      <w:pPr>
        <w:rPr>
          <w:rStyle w:val="AERbody"/>
        </w:rPr>
      </w:pPr>
      <w:r w:rsidRPr="001B34F4">
        <w:rPr>
          <w:rStyle w:val="AERbody"/>
        </w:rPr>
        <w:t>Public lighting services includes provision, construction and maintenance of street lighting (or street lighting use of system service), lighting equipment rate services and energy only services. South Australia</w:t>
      </w:r>
      <w:r w:rsidR="004B2161">
        <w:rPr>
          <w:rStyle w:val="AERbody"/>
        </w:rPr>
        <w:t>n</w:t>
      </w:r>
      <w:r w:rsidRPr="001B34F4">
        <w:rPr>
          <w:rStyle w:val="AERbody"/>
        </w:rPr>
        <w:t xml:space="preserve"> custome</w:t>
      </w:r>
      <w:r>
        <w:rPr>
          <w:rStyle w:val="AERbody"/>
        </w:rPr>
        <w:t>rs (local councils, Transport Service Division</w:t>
      </w:r>
      <w:r w:rsidRPr="001B34F4">
        <w:rPr>
          <w:rStyle w:val="AERbody"/>
        </w:rPr>
        <w:t xml:space="preserve">) </w:t>
      </w:r>
      <w:r>
        <w:rPr>
          <w:rStyle w:val="AERbody"/>
        </w:rPr>
        <w:t>are not required</w:t>
      </w:r>
      <w:r w:rsidRPr="001B34F4">
        <w:rPr>
          <w:rStyle w:val="AERbody"/>
        </w:rPr>
        <w:t xml:space="preserve"> to ask SA</w:t>
      </w:r>
      <w:r>
        <w:rPr>
          <w:rStyle w:val="AERbody"/>
        </w:rPr>
        <w:t xml:space="preserve"> </w:t>
      </w:r>
      <w:r w:rsidRPr="001B34F4">
        <w:rPr>
          <w:rStyle w:val="AERbody"/>
        </w:rPr>
        <w:t>P</w:t>
      </w:r>
      <w:r>
        <w:rPr>
          <w:rStyle w:val="AERbody"/>
        </w:rPr>
        <w:t xml:space="preserve">ower </w:t>
      </w:r>
      <w:r w:rsidRPr="001B34F4">
        <w:rPr>
          <w:rStyle w:val="AERbody"/>
        </w:rPr>
        <w:t>N</w:t>
      </w:r>
      <w:r>
        <w:rPr>
          <w:rStyle w:val="AERbody"/>
        </w:rPr>
        <w:t>etworks</w:t>
      </w:r>
      <w:r w:rsidRPr="001B34F4">
        <w:rPr>
          <w:rStyle w:val="AERbody"/>
        </w:rPr>
        <w:t xml:space="preserve"> to provide, operate and maintain their street lighting assets. Customers have the option of providing (and owning), operating and maintaining their own lights, and effectively avoiding all SA</w:t>
      </w:r>
      <w:r>
        <w:rPr>
          <w:rStyle w:val="AERbody"/>
        </w:rPr>
        <w:t xml:space="preserve"> </w:t>
      </w:r>
      <w:r w:rsidRPr="001B34F4">
        <w:rPr>
          <w:rStyle w:val="AERbody"/>
        </w:rPr>
        <w:t>P</w:t>
      </w:r>
      <w:r>
        <w:rPr>
          <w:rStyle w:val="AERbody"/>
        </w:rPr>
        <w:t xml:space="preserve">ower </w:t>
      </w:r>
      <w:r w:rsidRPr="001B34F4">
        <w:rPr>
          <w:rStyle w:val="AERbody"/>
        </w:rPr>
        <w:t>N</w:t>
      </w:r>
      <w:r>
        <w:rPr>
          <w:rStyle w:val="AERbody"/>
        </w:rPr>
        <w:t>etworks’</w:t>
      </w:r>
      <w:r w:rsidRPr="001B34F4">
        <w:rPr>
          <w:rStyle w:val="AERbody"/>
        </w:rPr>
        <w:t xml:space="preserve"> physical public lighting services (by using an ‘energy only’ service), </w:t>
      </w:r>
      <w:r w:rsidR="004B2161">
        <w:rPr>
          <w:rStyle w:val="AERbody"/>
        </w:rPr>
        <w:t>and/</w:t>
      </w:r>
      <w:r w:rsidRPr="001B34F4">
        <w:rPr>
          <w:rStyle w:val="AERbody"/>
        </w:rPr>
        <w:t>or only employing SA</w:t>
      </w:r>
      <w:r>
        <w:rPr>
          <w:rStyle w:val="AERbody"/>
        </w:rPr>
        <w:t xml:space="preserve"> </w:t>
      </w:r>
      <w:r w:rsidRPr="001B34F4">
        <w:rPr>
          <w:rStyle w:val="AERbody"/>
        </w:rPr>
        <w:t>P</w:t>
      </w:r>
      <w:r>
        <w:rPr>
          <w:rStyle w:val="AERbody"/>
        </w:rPr>
        <w:t xml:space="preserve">ower </w:t>
      </w:r>
      <w:r w:rsidRPr="001B34F4">
        <w:rPr>
          <w:rStyle w:val="AERbody"/>
        </w:rPr>
        <w:t>N</w:t>
      </w:r>
      <w:r>
        <w:rPr>
          <w:rStyle w:val="AERbody"/>
        </w:rPr>
        <w:t>etworks</w:t>
      </w:r>
      <w:r w:rsidRPr="001B34F4">
        <w:rPr>
          <w:rStyle w:val="AERbody"/>
        </w:rPr>
        <w:t xml:space="preserve"> to replace failed light bulbs in their lights. </w:t>
      </w:r>
    </w:p>
    <w:p w:rsidR="00AA45D3" w:rsidRDefault="00AA45D3" w:rsidP="00AA45D3">
      <w:pPr>
        <w:rPr>
          <w:rStyle w:val="AERbody"/>
        </w:rPr>
      </w:pPr>
      <w:r>
        <w:rPr>
          <w:rStyle w:val="AERbody"/>
        </w:rPr>
        <w:t>We consider</w:t>
      </w:r>
      <w:r w:rsidRPr="001B34F4">
        <w:rPr>
          <w:rStyle w:val="AERbody"/>
        </w:rPr>
        <w:t xml:space="preserve"> these options could provide some countervailing power to customers </w:t>
      </w:r>
      <w:r>
        <w:rPr>
          <w:rStyle w:val="AERbody"/>
        </w:rPr>
        <w:t>and</w:t>
      </w:r>
      <w:r w:rsidRPr="001B34F4">
        <w:rPr>
          <w:rStyle w:val="AERbody"/>
        </w:rPr>
        <w:t xml:space="preserve"> place some competitive constraint on </w:t>
      </w:r>
      <w:r>
        <w:rPr>
          <w:rStyle w:val="AERbody"/>
        </w:rPr>
        <w:t>SA Power Networks'</w:t>
      </w:r>
      <w:r w:rsidRPr="001B34F4">
        <w:rPr>
          <w:rStyle w:val="AERbody"/>
        </w:rPr>
        <w:t xml:space="preserve"> pricing of public lighting services. </w:t>
      </w:r>
      <w:r>
        <w:rPr>
          <w:rStyle w:val="AERbody"/>
        </w:rPr>
        <w:t xml:space="preserve">This view is supported by submissions from </w:t>
      </w:r>
      <w:r w:rsidRPr="001B34F4">
        <w:rPr>
          <w:rStyle w:val="AERbody"/>
        </w:rPr>
        <w:t>two of the major customers of public lighting services, local councils (represented by the Local Gov</w:t>
      </w:r>
      <w:r>
        <w:rPr>
          <w:rStyle w:val="AERbody"/>
        </w:rPr>
        <w:t>ernment Association of SA</w:t>
      </w:r>
      <w:r w:rsidR="005C4DAF">
        <w:rPr>
          <w:rStyle w:val="AERbody"/>
        </w:rPr>
        <w:t>)</w:t>
      </w:r>
      <w:r w:rsidRPr="001B34F4">
        <w:rPr>
          <w:rStyle w:val="AERbody"/>
        </w:rPr>
        <w:t xml:space="preserve"> and </w:t>
      </w:r>
      <w:r>
        <w:rPr>
          <w:rStyle w:val="AERbody"/>
        </w:rPr>
        <w:t xml:space="preserve">the </w:t>
      </w:r>
      <w:r w:rsidRPr="001B34F4">
        <w:rPr>
          <w:rStyle w:val="AERbody"/>
        </w:rPr>
        <w:t xml:space="preserve">Transport </w:t>
      </w:r>
      <w:r>
        <w:rPr>
          <w:rStyle w:val="AERbody"/>
        </w:rPr>
        <w:t>Service Division of the South Australian Department of Planning, Transport and Infrastructure. Both expressed</w:t>
      </w:r>
      <w:r w:rsidRPr="001B34F4">
        <w:rPr>
          <w:rStyle w:val="AERbody"/>
        </w:rPr>
        <w:t xml:space="preserve"> their preference for public lighting to </w:t>
      </w:r>
      <w:r>
        <w:rPr>
          <w:rStyle w:val="AERbody"/>
        </w:rPr>
        <w:t xml:space="preserve">continue to </w:t>
      </w:r>
      <w:r w:rsidRPr="001B34F4">
        <w:rPr>
          <w:rStyle w:val="AERbody"/>
        </w:rPr>
        <w:t xml:space="preserve">be classified as </w:t>
      </w:r>
      <w:r>
        <w:rPr>
          <w:rStyle w:val="AERbody"/>
        </w:rPr>
        <w:t>a negotiated service</w:t>
      </w:r>
      <w:r w:rsidR="00C811AC">
        <w:rPr>
          <w:rStyle w:val="AERbody"/>
        </w:rPr>
        <w:t>.</w:t>
      </w:r>
      <w:r>
        <w:rPr>
          <w:rStyle w:val="FootnoteReference"/>
        </w:rPr>
        <w:footnoteReference w:id="73"/>
      </w:r>
      <w:r>
        <w:rPr>
          <w:rStyle w:val="AERbody"/>
        </w:rPr>
        <w:t xml:space="preserve"> A</w:t>
      </w:r>
      <w:r w:rsidRPr="001B34F4">
        <w:rPr>
          <w:rStyle w:val="AERbody"/>
        </w:rPr>
        <w:t xml:space="preserve"> number of other stakeholders </w:t>
      </w:r>
      <w:r>
        <w:rPr>
          <w:rStyle w:val="AERbody"/>
        </w:rPr>
        <w:t xml:space="preserve">also expressed similar views and </w:t>
      </w:r>
      <w:r w:rsidRPr="001B34F4">
        <w:rPr>
          <w:rStyle w:val="AERbody"/>
        </w:rPr>
        <w:t xml:space="preserve">support for </w:t>
      </w:r>
      <w:r>
        <w:rPr>
          <w:rStyle w:val="AERbody"/>
        </w:rPr>
        <w:t xml:space="preserve">retaining the current </w:t>
      </w:r>
      <w:r w:rsidRPr="001B34F4">
        <w:rPr>
          <w:rStyle w:val="AERbody"/>
        </w:rPr>
        <w:t>classif</w:t>
      </w:r>
      <w:r>
        <w:rPr>
          <w:rStyle w:val="AERbody"/>
        </w:rPr>
        <w:t>ication for public lighting services in their submission to our</w:t>
      </w:r>
      <w:r w:rsidRPr="001B34F4">
        <w:rPr>
          <w:rStyle w:val="AERbody"/>
        </w:rPr>
        <w:t xml:space="preserve"> initial notice for </w:t>
      </w:r>
      <w:r>
        <w:rPr>
          <w:rStyle w:val="AERbody"/>
        </w:rPr>
        <w:t xml:space="preserve">the </w:t>
      </w:r>
      <w:r w:rsidRPr="001B34F4">
        <w:rPr>
          <w:rStyle w:val="AERbody"/>
        </w:rPr>
        <w:t xml:space="preserve">SA </w:t>
      </w:r>
      <w:r w:rsidR="009923F2">
        <w:rPr>
          <w:rStyle w:val="AERbody"/>
        </w:rPr>
        <w:t>F&amp;A</w:t>
      </w:r>
      <w:r w:rsidRPr="001B34F4">
        <w:rPr>
          <w:rStyle w:val="AERbody"/>
        </w:rPr>
        <w:t>.</w:t>
      </w:r>
      <w:r>
        <w:rPr>
          <w:rStyle w:val="FootnoteReference"/>
        </w:rPr>
        <w:footnoteReference w:id="74"/>
      </w:r>
      <w:r w:rsidRPr="001B34F4">
        <w:rPr>
          <w:rStyle w:val="AERbody"/>
        </w:rPr>
        <w:t xml:space="preserve"> </w:t>
      </w:r>
    </w:p>
    <w:p w:rsidR="00AA45D3" w:rsidRPr="001B34F4" w:rsidRDefault="00AA45D3" w:rsidP="00AA45D3">
      <w:pPr>
        <w:rPr>
          <w:rStyle w:val="AERbody"/>
        </w:rPr>
      </w:pPr>
      <w:r>
        <w:rPr>
          <w:rStyle w:val="AERbody"/>
        </w:rPr>
        <w:t>For these reason</w:t>
      </w:r>
      <w:r w:rsidR="004B2161">
        <w:rPr>
          <w:rStyle w:val="AERbody"/>
        </w:rPr>
        <w:t>s</w:t>
      </w:r>
      <w:r>
        <w:rPr>
          <w:rStyle w:val="AERbody"/>
        </w:rPr>
        <w:t xml:space="preserve">, we consider there is no clear reason to change the current classification of public lighting services. </w:t>
      </w:r>
    </w:p>
    <w:p w:rsidR="00AA45D3" w:rsidRPr="00394943" w:rsidRDefault="00AA45D3" w:rsidP="00394943">
      <w:pPr>
        <w:pStyle w:val="Heading3"/>
      </w:pPr>
      <w:bookmarkStart w:id="46" w:name="_Toc373499991"/>
      <w:bookmarkStart w:id="47" w:name="_Toc373773976"/>
      <w:r w:rsidRPr="00394943">
        <w:t>Non-standard network services</w:t>
      </w:r>
      <w:bookmarkEnd w:id="40"/>
      <w:bookmarkEnd w:id="41"/>
      <w:bookmarkEnd w:id="42"/>
      <w:bookmarkEnd w:id="43"/>
      <w:bookmarkEnd w:id="44"/>
      <w:bookmarkEnd w:id="45"/>
      <w:bookmarkEnd w:id="46"/>
      <w:bookmarkEnd w:id="47"/>
    </w:p>
    <w:p w:rsidR="00AA45D3" w:rsidRPr="00093342" w:rsidRDefault="00AA45D3" w:rsidP="00AA45D3">
      <w:pPr>
        <w:pStyle w:val="AERbodytext"/>
      </w:pPr>
      <w:r>
        <w:t>We intend</w:t>
      </w:r>
      <w:r w:rsidRPr="00093342">
        <w:t xml:space="preserve"> to classify </w:t>
      </w:r>
      <w:r>
        <w:t>non-standard network services</w:t>
      </w:r>
      <w:r w:rsidR="00105A8F">
        <w:rPr>
          <w:rStyle w:val="FootnoteReference"/>
        </w:rPr>
        <w:footnoteReference w:id="75"/>
      </w:r>
      <w:r>
        <w:t xml:space="preserve"> </w:t>
      </w:r>
      <w:r w:rsidRPr="00093342">
        <w:t>as negotiated service</w:t>
      </w:r>
      <w:r>
        <w:t>s</w:t>
      </w:r>
      <w:r w:rsidRPr="00093342">
        <w:t>.</w:t>
      </w:r>
    </w:p>
    <w:p w:rsidR="00AA45D3" w:rsidRPr="000D08A6" w:rsidRDefault="00AA45D3" w:rsidP="00AA45D3">
      <w:pPr>
        <w:pStyle w:val="AERbodytext"/>
      </w:pPr>
      <w:r>
        <w:t xml:space="preserve">The prices for non-standard network services are </w:t>
      </w:r>
      <w:r w:rsidRPr="000D08A6">
        <w:t xml:space="preserve">negotiated </w:t>
      </w:r>
      <w:r>
        <w:t>between</w:t>
      </w:r>
      <w:r w:rsidRPr="000D08A6">
        <w:t xml:space="preserve"> SA</w:t>
      </w:r>
      <w:r>
        <w:t xml:space="preserve"> </w:t>
      </w:r>
      <w:r w:rsidRPr="000D08A6">
        <w:t>P</w:t>
      </w:r>
      <w:r>
        <w:t xml:space="preserve">ower </w:t>
      </w:r>
      <w:r w:rsidRPr="000D08A6">
        <w:t>N</w:t>
      </w:r>
      <w:r>
        <w:t>etworks</w:t>
      </w:r>
      <w:r w:rsidRPr="000D08A6">
        <w:t xml:space="preserve"> </w:t>
      </w:r>
      <w:r>
        <w:t xml:space="preserve">and customers. SA Power Networks also </w:t>
      </w:r>
      <w:r w:rsidRPr="000D08A6">
        <w:t>publishe</w:t>
      </w:r>
      <w:r>
        <w:t>s</w:t>
      </w:r>
      <w:r w:rsidRPr="000D08A6">
        <w:t xml:space="preserve"> on its website an indicative price list for these services. </w:t>
      </w:r>
    </w:p>
    <w:p w:rsidR="00AA45D3" w:rsidRPr="00BF3F2D" w:rsidRDefault="00AA45D3" w:rsidP="00AA45D3">
      <w:pPr>
        <w:pStyle w:val="AERbodytext"/>
      </w:pPr>
      <w:r>
        <w:t>Some of the n</w:t>
      </w:r>
      <w:r w:rsidRPr="00BF3F2D">
        <w:t>on-standard network services are competitively available</w:t>
      </w:r>
      <w:r>
        <w:t>,</w:t>
      </w:r>
      <w:r w:rsidRPr="00BF3F2D">
        <w:t xml:space="preserve"> such as</w:t>
      </w:r>
      <w:r>
        <w:t>:</w:t>
      </w:r>
    </w:p>
    <w:p w:rsidR="00AA45D3" w:rsidRPr="00BF3F2D" w:rsidRDefault="00482311" w:rsidP="00AA45D3">
      <w:pPr>
        <w:pStyle w:val="AERbulletlistfirststyle"/>
      </w:pPr>
      <w:r>
        <w:t>n</w:t>
      </w:r>
      <w:r w:rsidR="00AA45D3" w:rsidRPr="00BF3F2D">
        <w:t>on-standard metering services – small and large customers, types 1 to 7</w:t>
      </w:r>
    </w:p>
    <w:p w:rsidR="00AA45D3" w:rsidRPr="00BF3F2D" w:rsidRDefault="00482311" w:rsidP="00AA45D3">
      <w:pPr>
        <w:pStyle w:val="AERbulletlistfirststyle"/>
      </w:pPr>
      <w:r>
        <w:t>s</w:t>
      </w:r>
      <w:r w:rsidR="00AA45D3" w:rsidRPr="00BF3F2D">
        <w:t>tand-by and temporary supply services</w:t>
      </w:r>
    </w:p>
    <w:p w:rsidR="00AA45D3" w:rsidRPr="00BF3F2D" w:rsidRDefault="00482311" w:rsidP="00AA45D3">
      <w:pPr>
        <w:pStyle w:val="AERbulletlistfirststyle"/>
      </w:pPr>
      <w:r>
        <w:t>e</w:t>
      </w:r>
      <w:r w:rsidR="00AA45D3" w:rsidRPr="00BF3F2D">
        <w:t>mbedded generation services</w:t>
      </w:r>
    </w:p>
    <w:p w:rsidR="00AA45D3" w:rsidRPr="00BF3F2D" w:rsidRDefault="00482311" w:rsidP="00AA45D3">
      <w:pPr>
        <w:pStyle w:val="AERbulletlistfirststyle"/>
      </w:pPr>
      <w:r>
        <w:t>p</w:t>
      </w:r>
      <w:r w:rsidR="00AA45D3" w:rsidRPr="00BF3F2D">
        <w:t>rovision of a copy of various codes</w:t>
      </w:r>
    </w:p>
    <w:p w:rsidR="00AA45D3" w:rsidRPr="00BF3F2D" w:rsidRDefault="00482311" w:rsidP="00AA45D3">
      <w:pPr>
        <w:pStyle w:val="AERbulletlistfirststyle"/>
      </w:pPr>
      <w:r>
        <w:t>p</w:t>
      </w:r>
      <w:r w:rsidR="00AA45D3" w:rsidRPr="00BF3F2D">
        <w:t>rovision of reactive power</w:t>
      </w:r>
    </w:p>
    <w:p w:rsidR="00AA45D3" w:rsidRPr="00BF3F2D" w:rsidRDefault="009923F2" w:rsidP="00AA45D3">
      <w:pPr>
        <w:pStyle w:val="AERbulletlistfirststyle"/>
      </w:pPr>
      <w:r>
        <w:lastRenderedPageBreak/>
        <w:t>i</w:t>
      </w:r>
      <w:r w:rsidR="00AA45D3" w:rsidRPr="00BF3F2D">
        <w:t>nvestigation and testing services</w:t>
      </w:r>
    </w:p>
    <w:p w:rsidR="00AA45D3" w:rsidRPr="00BF3F2D" w:rsidRDefault="009923F2" w:rsidP="00AA45D3">
      <w:pPr>
        <w:pStyle w:val="AERbulletlistfirststyle"/>
      </w:pPr>
      <w:r>
        <w:t>t</w:t>
      </w:r>
      <w:r w:rsidR="00AA45D3" w:rsidRPr="00BF3F2D">
        <w:t>ransportation of electricity not consumed in the distribution system</w:t>
      </w:r>
    </w:p>
    <w:p w:rsidR="00AA45D3" w:rsidRPr="00BF3F2D" w:rsidRDefault="009923F2" w:rsidP="00AA45D3">
      <w:pPr>
        <w:pStyle w:val="AERbulletlistfirststyle"/>
      </w:pPr>
      <w:r>
        <w:t>p</w:t>
      </w:r>
      <w:r w:rsidR="00AA45D3" w:rsidRPr="00BF3F2D">
        <w:t>rovision of high load escorts</w:t>
      </w:r>
    </w:p>
    <w:p w:rsidR="00AA45D3" w:rsidRPr="00BF3F2D" w:rsidRDefault="009923F2" w:rsidP="00AA45D3">
      <w:pPr>
        <w:pStyle w:val="AERbulletlistfirststyle"/>
      </w:pPr>
      <w:r>
        <w:t>p</w:t>
      </w:r>
      <w:r w:rsidR="00AA45D3" w:rsidRPr="00BF3F2D">
        <w:t>rovision of measuring devices</w:t>
      </w:r>
    </w:p>
    <w:p w:rsidR="00AA45D3" w:rsidRPr="00BF3F2D" w:rsidRDefault="009923F2" w:rsidP="00AA45D3">
      <w:pPr>
        <w:pStyle w:val="AERbulletlistfirststyle"/>
      </w:pPr>
      <w:r>
        <w:t>p</w:t>
      </w:r>
      <w:r w:rsidR="00AA45D3" w:rsidRPr="00BF3F2D">
        <w:t>rovision of protection systems</w:t>
      </w:r>
    </w:p>
    <w:p w:rsidR="00AA45D3" w:rsidRPr="00BF3F2D" w:rsidRDefault="009923F2" w:rsidP="00AA45D3">
      <w:pPr>
        <w:pStyle w:val="AERbulletlistfirststyle"/>
      </w:pPr>
      <w:r>
        <w:t>p</w:t>
      </w:r>
      <w:r w:rsidR="00AA45D3" w:rsidRPr="00BF3F2D">
        <w:t>rovision of television or radio interference investigations where not caused by the distribution system</w:t>
      </w:r>
    </w:p>
    <w:p w:rsidR="00AA45D3" w:rsidRPr="00BF3F2D" w:rsidRDefault="009923F2" w:rsidP="00AA45D3">
      <w:pPr>
        <w:pStyle w:val="AERbulletlistfirststyle"/>
      </w:pPr>
      <w:r>
        <w:t>p</w:t>
      </w:r>
      <w:r w:rsidR="00AA45D3" w:rsidRPr="00BF3F2D">
        <w:t>rovision of information to parties not related to connection enquir</w:t>
      </w:r>
      <w:r w:rsidR="00AA45D3">
        <w:t>i</w:t>
      </w:r>
      <w:r w:rsidR="00AA45D3" w:rsidRPr="00BF3F2D">
        <w:t>es</w:t>
      </w:r>
      <w:r w:rsidR="00AA45D3">
        <w:t>.</w:t>
      </w:r>
    </w:p>
    <w:p w:rsidR="00AA45D3" w:rsidRPr="00BF3F2D" w:rsidRDefault="00AA45D3" w:rsidP="00AA45D3">
      <w:pPr>
        <w:pStyle w:val="AERbodytext"/>
      </w:pPr>
      <w:r>
        <w:t xml:space="preserve">Other non-standard network services </w:t>
      </w:r>
      <w:r w:rsidRPr="00BF3F2D">
        <w:t xml:space="preserve">are generally provided at the request of, or for the benefit of, specific customers, </w:t>
      </w:r>
      <w:r w:rsidR="009923F2">
        <w:t>including</w:t>
      </w:r>
      <w:r>
        <w:t>:</w:t>
      </w:r>
      <w:r w:rsidRPr="00BF3F2D">
        <w:t xml:space="preserve"> </w:t>
      </w:r>
    </w:p>
    <w:p w:rsidR="00AA45D3" w:rsidRPr="00BF3F2D" w:rsidRDefault="009923F2" w:rsidP="00AA45D3">
      <w:pPr>
        <w:pStyle w:val="AERbulletlistfirststyle"/>
      </w:pPr>
      <w:r>
        <w:t>c</w:t>
      </w:r>
      <w:r w:rsidR="00AA45D3" w:rsidRPr="00BF3F2D">
        <w:t>onnection services with higher quality and reliability standards or in excess of SA</w:t>
      </w:r>
      <w:r w:rsidR="00AA45D3">
        <w:t xml:space="preserve"> </w:t>
      </w:r>
      <w:r w:rsidR="00AA45D3" w:rsidRPr="00BF3F2D">
        <w:t>P</w:t>
      </w:r>
      <w:r w:rsidR="00AA45D3">
        <w:t xml:space="preserve">ower </w:t>
      </w:r>
      <w:r w:rsidR="00AA45D3" w:rsidRPr="00BF3F2D">
        <w:t>N</w:t>
      </w:r>
      <w:r w:rsidR="00AA45D3">
        <w:t>etworks</w:t>
      </w:r>
      <w:r w:rsidR="00575211">
        <w:t>'</w:t>
      </w:r>
      <w:r w:rsidR="00AA45D3" w:rsidRPr="00BF3F2D">
        <w:t xml:space="preserve"> service or plant rates</w:t>
      </w:r>
    </w:p>
    <w:p w:rsidR="00AA45D3" w:rsidRPr="00BF3F2D" w:rsidRDefault="009D6F03" w:rsidP="00AA45D3">
      <w:pPr>
        <w:pStyle w:val="AERbulletlistfirststyle"/>
      </w:pPr>
      <w:r>
        <w:t>n</w:t>
      </w:r>
      <w:r w:rsidR="00AA45D3" w:rsidRPr="00BF3F2D">
        <w:t>on-basic connections, new and upgraded connection points – where financial contribution to an extension or augmentation is required</w:t>
      </w:r>
    </w:p>
    <w:p w:rsidR="00AA45D3" w:rsidRPr="00BF3F2D" w:rsidRDefault="009D6F03" w:rsidP="00AA45D3">
      <w:pPr>
        <w:pStyle w:val="AERbulletlistfirststyle"/>
      </w:pPr>
      <w:r>
        <w:t>a</w:t>
      </w:r>
      <w:r w:rsidR="00AA45D3" w:rsidRPr="00BF3F2D">
        <w:t>sset relocation, temporary disconnection and temporary line insulation services</w:t>
      </w:r>
    </w:p>
    <w:p w:rsidR="00AA45D3" w:rsidRPr="00BF3F2D" w:rsidRDefault="009D6F03" w:rsidP="00AA45D3">
      <w:pPr>
        <w:pStyle w:val="AERbulletlistfirststyle"/>
      </w:pPr>
      <w:r>
        <w:t>a</w:t>
      </w:r>
      <w:r w:rsidR="00AA45D3" w:rsidRPr="00BF3F2D">
        <w:t>pplication for an account or new supply</w:t>
      </w:r>
    </w:p>
    <w:p w:rsidR="00AA45D3" w:rsidRPr="00BF3F2D" w:rsidRDefault="009D6F03" w:rsidP="00AA45D3">
      <w:pPr>
        <w:pStyle w:val="AERbulletlistfirststyle"/>
      </w:pPr>
      <w:r>
        <w:t>p</w:t>
      </w:r>
      <w:r w:rsidR="00AA45D3" w:rsidRPr="00BF3F2D">
        <w:t>rovision of old billing data</w:t>
      </w:r>
    </w:p>
    <w:p w:rsidR="00AA45D3" w:rsidRPr="00BF3F2D" w:rsidRDefault="009D6F03" w:rsidP="00AA45D3">
      <w:pPr>
        <w:pStyle w:val="AERbulletlistfirststyle"/>
      </w:pPr>
      <w:r>
        <w:t>a</w:t>
      </w:r>
      <w:r w:rsidR="00AA45D3" w:rsidRPr="00BF3F2D">
        <w:t>fter hours reconnection</w:t>
      </w:r>
    </w:p>
    <w:p w:rsidR="00AA45D3" w:rsidRPr="00BF3F2D" w:rsidRDefault="009D6F03" w:rsidP="00AA45D3">
      <w:pPr>
        <w:pStyle w:val="AERbulletlistfirststyle"/>
      </w:pPr>
      <w:r>
        <w:t>r</w:t>
      </w:r>
      <w:r w:rsidR="00AA45D3" w:rsidRPr="00BF3F2D">
        <w:t>econnection due to users fault</w:t>
      </w:r>
    </w:p>
    <w:p w:rsidR="00AA45D3" w:rsidRPr="00BF3F2D" w:rsidRDefault="009D6F03" w:rsidP="00AA45D3">
      <w:pPr>
        <w:pStyle w:val="AERbulletlistfirststyle"/>
      </w:pPr>
      <w:r>
        <w:t>d</w:t>
      </w:r>
      <w:r w:rsidR="00AA45D3" w:rsidRPr="00BF3F2D">
        <w:t>isconnection services provided to the retailer or user</w:t>
      </w:r>
    </w:p>
    <w:p w:rsidR="00AA45D3" w:rsidRPr="00BF3F2D" w:rsidRDefault="009D6F03" w:rsidP="00AA45D3">
      <w:pPr>
        <w:pStyle w:val="AERbulletlistfirststyle"/>
      </w:pPr>
      <w:r>
        <w:t>a</w:t>
      </w:r>
      <w:r w:rsidR="00AA45D3" w:rsidRPr="00BF3F2D">
        <w:t>sset allocation and identification services</w:t>
      </w:r>
    </w:p>
    <w:p w:rsidR="00AA45D3" w:rsidRPr="00BF3F2D" w:rsidRDefault="009D6F03" w:rsidP="00AA45D3">
      <w:pPr>
        <w:pStyle w:val="AERbulletlistfirststyle"/>
      </w:pPr>
      <w:r>
        <w:t>t</w:t>
      </w:r>
      <w:r w:rsidR="00AA45D3" w:rsidRPr="00BF3F2D">
        <w:t>ransportation of electricity to users connected to the distribution system adjacent to the transmission system</w:t>
      </w:r>
    </w:p>
    <w:p w:rsidR="00AA45D3" w:rsidRPr="00BF3F2D" w:rsidRDefault="009D6F03" w:rsidP="00AA45D3">
      <w:pPr>
        <w:pStyle w:val="AERbulletlistfirststyle"/>
      </w:pPr>
      <w:r>
        <w:t>r</w:t>
      </w:r>
      <w:r w:rsidR="00AA45D3" w:rsidRPr="00BF3F2D">
        <w:t>epair of equipment damaged by user or third party</w:t>
      </w:r>
    </w:p>
    <w:p w:rsidR="00AA45D3" w:rsidRPr="00BF3F2D" w:rsidRDefault="009D6F03" w:rsidP="00AA45D3">
      <w:pPr>
        <w:pStyle w:val="AERbulletlistfirststyle"/>
      </w:pPr>
      <w:r>
        <w:t>p</w:t>
      </w:r>
      <w:r w:rsidR="00AA45D3" w:rsidRPr="00BF3F2D">
        <w:t>rovision of pole attachments, ducts or conduits (excluding telecommunication services)</w:t>
      </w:r>
    </w:p>
    <w:p w:rsidR="00AA45D3" w:rsidRPr="00BF3F2D" w:rsidRDefault="009D6F03" w:rsidP="00AA45D3">
      <w:pPr>
        <w:pStyle w:val="AERbulletlistfirststyle"/>
      </w:pPr>
      <w:r>
        <w:t>c</w:t>
      </w:r>
      <w:r w:rsidR="00AA45D3" w:rsidRPr="00BF3F2D">
        <w:t>osts incurred as a result of a customer not complying with the standard connection and supply contract or other obligation</w:t>
      </w:r>
    </w:p>
    <w:p w:rsidR="00482311" w:rsidRDefault="009D6F03" w:rsidP="00482311">
      <w:pPr>
        <w:pStyle w:val="AERbulletlistfirststyle"/>
      </w:pPr>
      <w:r>
        <w:t>a</w:t>
      </w:r>
      <w:r w:rsidR="00AA45D3" w:rsidRPr="00BF3F2D">
        <w:t>dditional costs incurred due to the actions or inacti</w:t>
      </w:r>
      <w:r w:rsidR="00AA45D3">
        <w:t>o</w:t>
      </w:r>
      <w:r w:rsidR="00482311">
        <w:t>n of a customer or their agent.</w:t>
      </w:r>
    </w:p>
    <w:p w:rsidR="00AA45D3" w:rsidRPr="00CC134E" w:rsidRDefault="00AA45D3" w:rsidP="00482311">
      <w:pPr>
        <w:pStyle w:val="AERbulletlistfirststyle"/>
        <w:numPr>
          <w:ilvl w:val="0"/>
          <w:numId w:val="0"/>
        </w:numPr>
      </w:pPr>
      <w:r>
        <w:t xml:space="preserve">Given the </w:t>
      </w:r>
      <w:r w:rsidRPr="00CC134E">
        <w:rPr>
          <w:rStyle w:val="AERbody"/>
        </w:rPr>
        <w:t>contestable nature</w:t>
      </w:r>
      <w:r w:rsidRPr="00CC134E">
        <w:t xml:space="preserve"> of the first group of non-standard network services</w:t>
      </w:r>
      <w:r w:rsidR="00E82B2F">
        <w:rPr>
          <w:rStyle w:val="FootnoteReference"/>
        </w:rPr>
        <w:footnoteReference w:id="76"/>
      </w:r>
      <w:r w:rsidRPr="00CC134E">
        <w:t xml:space="preserve">, </w:t>
      </w:r>
      <w:r w:rsidR="009D6F03">
        <w:t>we</w:t>
      </w:r>
      <w:r w:rsidRPr="00CC134E">
        <w:t xml:space="preserve"> intend to classify them as negotiated services. </w:t>
      </w:r>
    </w:p>
    <w:p w:rsidR="00AA45D3" w:rsidRDefault="00AA45D3" w:rsidP="00AA45D3">
      <w:pPr>
        <w:pStyle w:val="AERbodytext"/>
        <w:rPr>
          <w:rStyle w:val="AERbody"/>
        </w:rPr>
      </w:pPr>
      <w:r>
        <w:rPr>
          <w:rStyle w:val="AERbody"/>
        </w:rPr>
        <w:lastRenderedPageBreak/>
        <w:t>The remaining service</w:t>
      </w:r>
      <w:r w:rsidR="000979D2">
        <w:rPr>
          <w:rStyle w:val="AERbody"/>
        </w:rPr>
        <w:t>s</w:t>
      </w:r>
      <w:r w:rsidR="00E82B2F">
        <w:rPr>
          <w:rStyle w:val="FootnoteReference"/>
        </w:rPr>
        <w:footnoteReference w:id="77"/>
      </w:r>
      <w:r>
        <w:rPr>
          <w:rStyle w:val="AERbody"/>
        </w:rPr>
        <w:t xml:space="preserve"> generally </w:t>
      </w:r>
      <w:r w:rsidRPr="00964A37">
        <w:rPr>
          <w:rStyle w:val="AERbody"/>
        </w:rPr>
        <w:t>involve work</w:t>
      </w:r>
      <w:r>
        <w:rPr>
          <w:rStyle w:val="AERbody"/>
        </w:rPr>
        <w:t>ing</w:t>
      </w:r>
      <w:r w:rsidRPr="00964A37">
        <w:rPr>
          <w:rStyle w:val="AERbody"/>
        </w:rPr>
        <w:t xml:space="preserve"> on, or in relation to, parts of SA</w:t>
      </w:r>
      <w:r>
        <w:rPr>
          <w:rStyle w:val="AERbody"/>
        </w:rPr>
        <w:t xml:space="preserve"> </w:t>
      </w:r>
      <w:r w:rsidRPr="00964A37">
        <w:rPr>
          <w:rStyle w:val="AERbody"/>
        </w:rPr>
        <w:t>P</w:t>
      </w:r>
      <w:r>
        <w:rPr>
          <w:rStyle w:val="AERbody"/>
        </w:rPr>
        <w:t xml:space="preserve">ower </w:t>
      </w:r>
      <w:r w:rsidRPr="00964A37">
        <w:rPr>
          <w:rStyle w:val="AERbody"/>
        </w:rPr>
        <w:t>N</w:t>
      </w:r>
      <w:r>
        <w:rPr>
          <w:rStyle w:val="AERbody"/>
        </w:rPr>
        <w:t>etworks'</w:t>
      </w:r>
      <w:r w:rsidRPr="00964A37">
        <w:rPr>
          <w:rStyle w:val="AERbody"/>
        </w:rPr>
        <w:t xml:space="preserve"> distribution network. Therefore, as a licensed monopoly provider</w:t>
      </w:r>
      <w:r w:rsidR="00510A33">
        <w:rPr>
          <w:rStyle w:val="AERbody"/>
        </w:rPr>
        <w:t>,</w:t>
      </w:r>
      <w:r w:rsidRPr="00964A37">
        <w:rPr>
          <w:rStyle w:val="AERbody"/>
        </w:rPr>
        <w:t xml:space="preserve"> only SA</w:t>
      </w:r>
      <w:r>
        <w:rPr>
          <w:rStyle w:val="AERbody"/>
        </w:rPr>
        <w:t xml:space="preserve"> </w:t>
      </w:r>
      <w:r w:rsidRPr="00964A37">
        <w:rPr>
          <w:rStyle w:val="AERbody"/>
        </w:rPr>
        <w:t>P</w:t>
      </w:r>
      <w:r>
        <w:rPr>
          <w:rStyle w:val="AERbody"/>
        </w:rPr>
        <w:t xml:space="preserve">ower </w:t>
      </w:r>
      <w:r w:rsidRPr="00964A37">
        <w:rPr>
          <w:rStyle w:val="AERbody"/>
        </w:rPr>
        <w:t>N</w:t>
      </w:r>
      <w:r>
        <w:rPr>
          <w:rStyle w:val="AERbody"/>
        </w:rPr>
        <w:t>etworks</w:t>
      </w:r>
      <w:r w:rsidRPr="00964A37">
        <w:rPr>
          <w:rStyle w:val="AERbody"/>
        </w:rPr>
        <w:t xml:space="preserve"> can undertake these services. We consider that, similar to network services, there is a regulatory barrier preventing any party other than SA</w:t>
      </w:r>
      <w:r>
        <w:rPr>
          <w:rStyle w:val="AERbody"/>
        </w:rPr>
        <w:t xml:space="preserve"> </w:t>
      </w:r>
      <w:r w:rsidRPr="00964A37">
        <w:rPr>
          <w:rStyle w:val="AERbody"/>
        </w:rPr>
        <w:t>P</w:t>
      </w:r>
      <w:r>
        <w:rPr>
          <w:rStyle w:val="AERbody"/>
        </w:rPr>
        <w:t xml:space="preserve">ower </w:t>
      </w:r>
      <w:r w:rsidRPr="00964A37">
        <w:rPr>
          <w:rStyle w:val="AERbody"/>
        </w:rPr>
        <w:t>N</w:t>
      </w:r>
      <w:r>
        <w:rPr>
          <w:rStyle w:val="AERbody"/>
        </w:rPr>
        <w:t>etworks</w:t>
      </w:r>
      <w:r w:rsidRPr="00964A37">
        <w:rPr>
          <w:rStyle w:val="AERbody"/>
        </w:rPr>
        <w:t xml:space="preserve"> providing </w:t>
      </w:r>
      <w:r>
        <w:rPr>
          <w:rStyle w:val="AERbody"/>
        </w:rPr>
        <w:t xml:space="preserve">these </w:t>
      </w:r>
      <w:r w:rsidRPr="00964A37">
        <w:rPr>
          <w:rStyle w:val="AERbody"/>
        </w:rPr>
        <w:t>services</w:t>
      </w:r>
      <w:r w:rsidR="00E82B2F">
        <w:rPr>
          <w:rStyle w:val="AERbody"/>
        </w:rPr>
        <w:t xml:space="preserve">. </w:t>
      </w:r>
      <w:r>
        <w:rPr>
          <w:rStyle w:val="AERbody"/>
        </w:rPr>
        <w:t>However, these services are currently classified as negotiated services because</w:t>
      </w:r>
      <w:r>
        <w:rPr>
          <w:rStyle w:val="FootnoteReference"/>
        </w:rPr>
        <w:footnoteReference w:id="78"/>
      </w:r>
      <w:r>
        <w:rPr>
          <w:rStyle w:val="AERbody"/>
        </w:rPr>
        <w:t xml:space="preserve">: </w:t>
      </w:r>
    </w:p>
    <w:p w:rsidR="00AA45D3" w:rsidRPr="00AA45D3" w:rsidRDefault="00AA45D3" w:rsidP="00AA45D3">
      <w:pPr>
        <w:pStyle w:val="AERbulletlistfirststyle"/>
        <w:rPr>
          <w:rStyle w:val="AERbody"/>
          <w:rFonts w:eastAsia="Calibri"/>
        </w:rPr>
      </w:pPr>
      <w:r>
        <w:rPr>
          <w:rStyle w:val="AERbody"/>
        </w:rPr>
        <w:t>the classification is consistent with the regulatory approach adopted by the previous jurisdictional regulator ESCOSA</w:t>
      </w:r>
    </w:p>
    <w:p w:rsidR="00AA45D3" w:rsidRPr="00AA45D3" w:rsidRDefault="00AA45D3" w:rsidP="00AA45D3">
      <w:pPr>
        <w:pStyle w:val="AERbulletlistfirststyle"/>
        <w:rPr>
          <w:rStyle w:val="AERbody"/>
          <w:rFonts w:eastAsia="Calibri"/>
        </w:rPr>
      </w:pPr>
      <w:r>
        <w:rPr>
          <w:rStyle w:val="AERbody"/>
        </w:rPr>
        <w:t xml:space="preserve">the </w:t>
      </w:r>
      <w:r w:rsidRPr="000D08A6">
        <w:rPr>
          <w:rStyle w:val="AERbody"/>
        </w:rPr>
        <w:t xml:space="preserve">costs </w:t>
      </w:r>
      <w:r>
        <w:rPr>
          <w:rStyle w:val="AERbody"/>
        </w:rPr>
        <w:t xml:space="preserve">of these services can be </w:t>
      </w:r>
      <w:r w:rsidRPr="000D08A6">
        <w:rPr>
          <w:rStyle w:val="AERbody"/>
        </w:rPr>
        <w:t>attribut</w:t>
      </w:r>
      <w:r>
        <w:rPr>
          <w:rStyle w:val="AERbody"/>
        </w:rPr>
        <w:t>ed</w:t>
      </w:r>
      <w:r w:rsidRPr="000D08A6">
        <w:rPr>
          <w:rStyle w:val="AERbody"/>
        </w:rPr>
        <w:t xml:space="preserve"> to an individual customer. This is because of the specific nature of the services only benefiting an individual</w:t>
      </w:r>
      <w:r>
        <w:rPr>
          <w:rStyle w:val="AERbody"/>
        </w:rPr>
        <w:t xml:space="preserve"> or small sub-set of customers </w:t>
      </w:r>
    </w:p>
    <w:p w:rsidR="00AA45D3" w:rsidRPr="00AA45D3" w:rsidRDefault="00AA45D3" w:rsidP="00AA45D3">
      <w:pPr>
        <w:pStyle w:val="AERbulletlistfirststyle"/>
        <w:rPr>
          <w:rStyle w:val="AERbody"/>
          <w:rFonts w:eastAsia="Calibri"/>
        </w:rPr>
      </w:pPr>
      <w:r>
        <w:rPr>
          <w:rStyle w:val="AERbody"/>
        </w:rPr>
        <w:t>the elasticity of demand and the substitutable nature of these services are greater for these s</w:t>
      </w:r>
      <w:r w:rsidRPr="000D08A6">
        <w:rPr>
          <w:rStyle w:val="AERbody"/>
        </w:rPr>
        <w:t>ervices compared to the core distribution services</w:t>
      </w:r>
    </w:p>
    <w:p w:rsidR="00AA45D3" w:rsidRPr="00AA45D3" w:rsidRDefault="00AA45D3" w:rsidP="00AA45D3">
      <w:pPr>
        <w:pStyle w:val="AERbulletlistfirststyle"/>
        <w:rPr>
          <w:rStyle w:val="AERbody"/>
          <w:rFonts w:eastAsia="Calibri"/>
        </w:rPr>
      </w:pPr>
      <w:r>
        <w:rPr>
          <w:rStyle w:val="AERbody"/>
        </w:rPr>
        <w:t xml:space="preserve">although the current legislation does not allow these services to be contestable, the potential for development of competition exists if the barrier is relaxed  </w:t>
      </w:r>
    </w:p>
    <w:p w:rsidR="00AA45D3" w:rsidRPr="00AA45D3" w:rsidRDefault="00A45E1D" w:rsidP="00AA45D3">
      <w:pPr>
        <w:pStyle w:val="AERbulletlistfirststyle"/>
        <w:rPr>
          <w:rStyle w:val="AERbody"/>
          <w:rFonts w:eastAsia="Calibri"/>
        </w:rPr>
      </w:pPr>
      <w:r w:rsidRPr="006174CE">
        <w:rPr>
          <w:rStyle w:val="AERbody"/>
        </w:rPr>
        <w:t xml:space="preserve">potential administrative costs in introducing price or revenue regulation </w:t>
      </w:r>
      <w:r>
        <w:rPr>
          <w:rStyle w:val="AERbody"/>
        </w:rPr>
        <w:t>are</w:t>
      </w:r>
      <w:r w:rsidR="00AA45D3">
        <w:rPr>
          <w:rStyle w:val="AERbody"/>
        </w:rPr>
        <w:t xml:space="preserve"> likely to be significant </w:t>
      </w:r>
      <w:r w:rsidR="00AA45D3" w:rsidRPr="006C2C95">
        <w:rPr>
          <w:rStyle w:val="AERbody"/>
        </w:rPr>
        <w:t>for customers, SA</w:t>
      </w:r>
      <w:r w:rsidR="00AA45D3">
        <w:rPr>
          <w:rStyle w:val="AERbody"/>
        </w:rPr>
        <w:t xml:space="preserve"> </w:t>
      </w:r>
      <w:r w:rsidR="00AA45D3" w:rsidRPr="006C2C95">
        <w:rPr>
          <w:rStyle w:val="AERbody"/>
        </w:rPr>
        <w:t>P</w:t>
      </w:r>
      <w:r w:rsidR="00AA45D3">
        <w:rPr>
          <w:rStyle w:val="AERbody"/>
        </w:rPr>
        <w:t xml:space="preserve">ower </w:t>
      </w:r>
      <w:r w:rsidR="00AA45D3" w:rsidRPr="006C2C95">
        <w:rPr>
          <w:rStyle w:val="AERbody"/>
        </w:rPr>
        <w:t>N</w:t>
      </w:r>
      <w:r w:rsidR="00AA45D3">
        <w:rPr>
          <w:rStyle w:val="AERbody"/>
        </w:rPr>
        <w:t>etworks and us</w:t>
      </w:r>
      <w:r w:rsidR="00AA45D3" w:rsidRPr="006C2C95">
        <w:rPr>
          <w:rStyle w:val="AERbody"/>
        </w:rPr>
        <w:t xml:space="preserve"> </w:t>
      </w:r>
      <w:r w:rsidR="00AA45D3">
        <w:rPr>
          <w:rStyle w:val="AERbody"/>
        </w:rPr>
        <w:t xml:space="preserve">compared to potential benefits. This is </w:t>
      </w:r>
      <w:r w:rsidR="00AA45D3" w:rsidRPr="006C2C95">
        <w:rPr>
          <w:rStyle w:val="AERbody"/>
        </w:rPr>
        <w:t xml:space="preserve">because </w:t>
      </w:r>
      <w:r w:rsidR="00AA45D3">
        <w:rPr>
          <w:rStyle w:val="AERbody"/>
        </w:rPr>
        <w:t xml:space="preserve">it is difficult </w:t>
      </w:r>
      <w:r w:rsidR="00AA45D3" w:rsidRPr="006C2C95">
        <w:rPr>
          <w:rStyle w:val="AERbody"/>
        </w:rPr>
        <w:t xml:space="preserve">to establish the costs and volume forecasts required for price or revenue regulation </w:t>
      </w:r>
      <w:r w:rsidR="00AA45D3">
        <w:rPr>
          <w:rStyle w:val="AERbody"/>
        </w:rPr>
        <w:t xml:space="preserve">due to infrequent and </w:t>
      </w:r>
      <w:r w:rsidR="00AA45D3" w:rsidRPr="006C2C95">
        <w:rPr>
          <w:rStyle w:val="AERbody"/>
        </w:rPr>
        <w:t>non-standard nature of these services</w:t>
      </w:r>
    </w:p>
    <w:p w:rsidR="00AA45D3" w:rsidRPr="00AA45D3" w:rsidRDefault="00AA45D3" w:rsidP="003F13A3">
      <w:pPr>
        <w:pStyle w:val="AERbulletlistfirststyle"/>
      </w:pPr>
      <w:r w:rsidRPr="00887DB9">
        <w:t>The circumstance</w:t>
      </w:r>
      <w:r w:rsidRPr="00AA45D3">
        <w:t xml:space="preserve">s surrounding the provision of these services have not changed since we classified these services as negotiated services. </w:t>
      </w:r>
      <w:r w:rsidRPr="00AA45D3">
        <w:rPr>
          <w:rStyle w:val="AERbody"/>
        </w:rPr>
        <w:t>Having regard to the potential administrative costs in introducing price or revenue regulation, on balance, we consider that there is insufficient evidence to overcome the presumption in favour of the previous classification for the non-standard network services under clauses</w:t>
      </w:r>
      <w:r w:rsidRPr="00AA45D3">
        <w:t xml:space="preserve"> 6.2.1(d) and 6.2.2(d) of the rules. For this reason,</w:t>
      </w:r>
      <w:r w:rsidRPr="00AA45D3">
        <w:rPr>
          <w:rStyle w:val="AERbody"/>
        </w:rPr>
        <w:t xml:space="preserve"> we intend to maintain the current classification of negotiated services for non-standard network services. </w:t>
      </w:r>
    </w:p>
    <w:p w:rsidR="00AA45D3" w:rsidRPr="00394943" w:rsidRDefault="00AA45D3" w:rsidP="00394943">
      <w:pPr>
        <w:pStyle w:val="Heading2"/>
      </w:pPr>
      <w:bookmarkStart w:id="48" w:name="_Toc373499992"/>
      <w:bookmarkStart w:id="49" w:name="_Toc373773977"/>
      <w:r w:rsidRPr="00394943">
        <w:t>Conclusion</w:t>
      </w:r>
      <w:bookmarkEnd w:id="48"/>
      <w:bookmarkEnd w:id="49"/>
    </w:p>
    <w:p w:rsidR="00AA45D3" w:rsidRPr="00AA45D3" w:rsidRDefault="00AA45D3" w:rsidP="00AA45D3">
      <w:pPr>
        <w:pStyle w:val="AERbodytext"/>
        <w:rPr>
          <w:rStyle w:val="AERbody"/>
        </w:rPr>
      </w:pPr>
      <w:r>
        <w:t xml:space="preserve">In summary, we intend to group and classify the SA Power Networks' distribution services as </w:t>
      </w:r>
      <w:r>
        <w:rPr>
          <w:rStyle w:val="AERbody"/>
        </w:rPr>
        <w:t xml:space="preserve">set out in </w:t>
      </w:r>
      <w:r w:rsidR="003F13A3">
        <w:rPr>
          <w:rStyle w:val="AERbody"/>
        </w:rPr>
        <w:t xml:space="preserve">Table </w:t>
      </w:r>
      <w:r w:rsidR="00FF1145">
        <w:rPr>
          <w:rStyle w:val="AERbody"/>
        </w:rPr>
        <w:t>5</w:t>
      </w:r>
      <w:r w:rsidR="003F13A3">
        <w:rPr>
          <w:rStyle w:val="AERbody"/>
        </w:rPr>
        <w:t xml:space="preserve"> </w:t>
      </w:r>
      <w:r w:rsidRPr="003F13A3">
        <w:rPr>
          <w:rStyle w:val="AERbody"/>
        </w:rPr>
        <w:t xml:space="preserve">and </w:t>
      </w:r>
      <w:r w:rsidR="00FF1145">
        <w:rPr>
          <w:rStyle w:val="AERbody"/>
        </w:rPr>
        <w:t>6</w:t>
      </w:r>
      <w:r w:rsidRPr="00532F78">
        <w:rPr>
          <w:rStyle w:val="AERbody"/>
        </w:rPr>
        <w:t>.</w:t>
      </w:r>
    </w:p>
    <w:p w:rsidR="00AA45D3" w:rsidRDefault="00AA45D3" w:rsidP="00AA45D3">
      <w:pPr>
        <w:pStyle w:val="AERrevisionbox"/>
        <w:rPr>
          <w:rStyle w:val="AERbody"/>
        </w:rPr>
      </w:pPr>
      <w:r>
        <w:rPr>
          <w:rStyle w:val="AERbody"/>
        </w:rPr>
        <w:t>We seek submissions on our preliminary position on the classification of SA Power Networks' distribution services. In particular, whether non-standard type 6 import and export meter services should remain classified as negotiated services.</w:t>
      </w:r>
    </w:p>
    <w:p w:rsidR="00AA45D3" w:rsidRPr="00AA45D3" w:rsidRDefault="00AA45D3" w:rsidP="00AA45D3">
      <w:pPr>
        <w:pStyle w:val="AERbodytext"/>
        <w:rPr>
          <w:rStyle w:val="AERtextbold"/>
        </w:rPr>
      </w:pPr>
      <w:r>
        <w:rPr>
          <w:rStyle w:val="AERbody"/>
        </w:rPr>
        <w:t xml:space="preserve"> </w:t>
      </w:r>
      <w:r w:rsidRPr="00AA45D3">
        <w:rPr>
          <w:rStyle w:val="AERtextbold"/>
        </w:rPr>
        <w:br w:type="page"/>
      </w:r>
    </w:p>
    <w:p w:rsidR="00394943" w:rsidRPr="008713E8" w:rsidRDefault="00394943" w:rsidP="008713E8">
      <w:pPr>
        <w:pStyle w:val="AERtablesource"/>
        <w:rPr>
          <w:rStyle w:val="AERtextbold"/>
        </w:rPr>
      </w:pPr>
      <w:bookmarkStart w:id="50" w:name="_Ref370804285"/>
      <w:bookmarkStart w:id="51" w:name="_Ref370804278"/>
      <w:r w:rsidRPr="008713E8">
        <w:rPr>
          <w:rStyle w:val="AERtextbold"/>
        </w:rPr>
        <w:lastRenderedPageBreak/>
        <w:t xml:space="preserve">Table </w:t>
      </w:r>
      <w:bookmarkEnd w:id="50"/>
      <w:r w:rsidR="00FF1145">
        <w:rPr>
          <w:rStyle w:val="AERtextbold"/>
        </w:rPr>
        <w:t>5</w:t>
      </w:r>
      <w:r w:rsidRPr="008713E8">
        <w:rPr>
          <w:rStyle w:val="AERtextbold"/>
        </w:rPr>
        <w:t>:  Proposed classification of SAPN's direct control and negotiated distribution services</w:t>
      </w:r>
      <w:bookmarkEnd w:id="51"/>
    </w:p>
    <w:tbl>
      <w:tblPr>
        <w:tblStyle w:val="AERtable-text"/>
        <w:tblW w:w="0" w:type="auto"/>
        <w:tblLook w:val="04A0" w:firstRow="1" w:lastRow="0" w:firstColumn="1" w:lastColumn="0" w:noHBand="0" w:noVBand="1"/>
      </w:tblPr>
      <w:tblGrid>
        <w:gridCol w:w="3080"/>
        <w:gridCol w:w="3081"/>
        <w:gridCol w:w="3081"/>
      </w:tblGrid>
      <w:tr w:rsidR="00394943" w:rsidRPr="00CC134E" w:rsidTr="00394943">
        <w:trPr>
          <w:cnfStyle w:val="100000000000" w:firstRow="1" w:lastRow="0" w:firstColumn="0" w:lastColumn="0" w:oddVBand="0" w:evenVBand="0" w:oddHBand="0" w:evenHBand="0" w:firstRowFirstColumn="0" w:firstRowLastColumn="0" w:lastRowFirstColumn="0" w:lastRowLastColumn="0"/>
        </w:trPr>
        <w:tc>
          <w:tcPr>
            <w:tcW w:w="3080" w:type="dxa"/>
          </w:tcPr>
          <w:p w:rsidR="00394943" w:rsidRPr="00394943" w:rsidRDefault="00394943" w:rsidP="00394943">
            <w:pPr>
              <w:pStyle w:val="AERtabletextleft"/>
              <w:rPr>
                <w:rStyle w:val="AERtextbold"/>
              </w:rPr>
            </w:pPr>
            <w:r w:rsidRPr="00394943">
              <w:rPr>
                <w:rStyle w:val="AERtextbold"/>
              </w:rPr>
              <w:t>Service category</w:t>
            </w:r>
          </w:p>
        </w:tc>
        <w:tc>
          <w:tcPr>
            <w:tcW w:w="3081" w:type="dxa"/>
          </w:tcPr>
          <w:p w:rsidR="00394943" w:rsidRPr="00394943" w:rsidRDefault="00394943" w:rsidP="00394943">
            <w:pPr>
              <w:pStyle w:val="AERtabletextleft"/>
              <w:rPr>
                <w:rStyle w:val="AERtextbold"/>
              </w:rPr>
            </w:pPr>
            <w:r w:rsidRPr="00394943">
              <w:rPr>
                <w:rStyle w:val="AERtextbold"/>
              </w:rPr>
              <w:t>Direct control</w:t>
            </w:r>
          </w:p>
        </w:tc>
        <w:tc>
          <w:tcPr>
            <w:tcW w:w="3081" w:type="dxa"/>
          </w:tcPr>
          <w:p w:rsidR="00394943" w:rsidRPr="00394943" w:rsidRDefault="00394943" w:rsidP="00394943">
            <w:pPr>
              <w:pStyle w:val="AERtabletextleft"/>
              <w:rPr>
                <w:rStyle w:val="AERtextbold"/>
              </w:rPr>
            </w:pPr>
            <w:r w:rsidRPr="00394943">
              <w:rPr>
                <w:rStyle w:val="AERtextbold"/>
              </w:rPr>
              <w:t>Negotiated distribution</w:t>
            </w:r>
          </w:p>
        </w:tc>
      </w:tr>
      <w:tr w:rsidR="00394943" w:rsidRPr="00394943" w:rsidTr="00394943">
        <w:tc>
          <w:tcPr>
            <w:tcW w:w="3080" w:type="dxa"/>
          </w:tcPr>
          <w:p w:rsidR="00394943" w:rsidRPr="00394943" w:rsidRDefault="00394943" w:rsidP="00394943">
            <w:pPr>
              <w:pStyle w:val="AERtabletextleft"/>
              <w:rPr>
                <w:rStyle w:val="AERbody"/>
                <w:sz w:val="16"/>
              </w:rPr>
            </w:pPr>
            <w:r w:rsidRPr="00394943">
              <w:rPr>
                <w:rStyle w:val="AERbody"/>
                <w:sz w:val="16"/>
              </w:rPr>
              <w:t>Network services</w:t>
            </w:r>
          </w:p>
        </w:tc>
        <w:tc>
          <w:tcPr>
            <w:tcW w:w="3081" w:type="dxa"/>
          </w:tcPr>
          <w:p w:rsidR="00394943" w:rsidRPr="00394943" w:rsidRDefault="00394943" w:rsidP="00394943">
            <w:pPr>
              <w:pStyle w:val="AERtabletextleft"/>
              <w:rPr>
                <w:rStyle w:val="AERbody"/>
                <w:sz w:val="16"/>
              </w:rPr>
            </w:pPr>
            <w:r w:rsidRPr="00394943">
              <w:rPr>
                <w:rStyle w:val="AERbody"/>
                <w:sz w:val="16"/>
              </w:rPr>
              <w:t>Network services at mandated standard</w:t>
            </w:r>
          </w:p>
        </w:tc>
        <w:tc>
          <w:tcPr>
            <w:tcW w:w="3081" w:type="dxa"/>
          </w:tcPr>
          <w:p w:rsidR="00394943" w:rsidRPr="00394943" w:rsidRDefault="00394943" w:rsidP="00394943">
            <w:pPr>
              <w:pStyle w:val="AERtabletextleft"/>
              <w:rPr>
                <w:rStyle w:val="AERbody"/>
                <w:sz w:val="16"/>
              </w:rPr>
            </w:pPr>
            <w:r w:rsidRPr="00394943">
              <w:rPr>
                <w:rStyle w:val="AERbody"/>
                <w:sz w:val="16"/>
              </w:rPr>
              <w:t>Network services at higher (or lower) than mandated standard</w:t>
            </w:r>
          </w:p>
        </w:tc>
      </w:tr>
      <w:tr w:rsidR="00394943" w:rsidRPr="00394943" w:rsidTr="00394943">
        <w:trPr>
          <w:cnfStyle w:val="000000010000" w:firstRow="0" w:lastRow="0" w:firstColumn="0" w:lastColumn="0" w:oddVBand="0" w:evenVBand="0" w:oddHBand="0" w:evenHBand="1" w:firstRowFirstColumn="0" w:firstRowLastColumn="0" w:lastRowFirstColumn="0" w:lastRowLastColumn="0"/>
        </w:trPr>
        <w:tc>
          <w:tcPr>
            <w:tcW w:w="3080" w:type="dxa"/>
          </w:tcPr>
          <w:p w:rsidR="00394943" w:rsidRPr="00394943" w:rsidRDefault="00394943" w:rsidP="00394943">
            <w:pPr>
              <w:pStyle w:val="AERtabletextleft"/>
              <w:rPr>
                <w:rStyle w:val="AERbody"/>
                <w:sz w:val="16"/>
              </w:rPr>
            </w:pPr>
            <w:r w:rsidRPr="00394943">
              <w:rPr>
                <w:rStyle w:val="AERbody"/>
                <w:sz w:val="16"/>
              </w:rPr>
              <w:t>Connection services</w:t>
            </w:r>
          </w:p>
          <w:p w:rsidR="00394943" w:rsidRPr="00394943" w:rsidRDefault="00394943" w:rsidP="00394943">
            <w:pPr>
              <w:pStyle w:val="AERtabletextleft"/>
              <w:rPr>
                <w:rStyle w:val="AERbody"/>
                <w:sz w:val="16"/>
              </w:rPr>
            </w:pPr>
          </w:p>
        </w:tc>
        <w:tc>
          <w:tcPr>
            <w:tcW w:w="3081" w:type="dxa"/>
          </w:tcPr>
          <w:p w:rsidR="00394943" w:rsidRPr="00394943" w:rsidRDefault="00394943" w:rsidP="00394943">
            <w:pPr>
              <w:pStyle w:val="AERtabletextleft"/>
              <w:rPr>
                <w:rStyle w:val="AERbody"/>
                <w:sz w:val="16"/>
              </w:rPr>
            </w:pPr>
            <w:r w:rsidRPr="00394943">
              <w:rPr>
                <w:rStyle w:val="AERbody"/>
                <w:sz w:val="16"/>
              </w:rPr>
              <w:t>Connection services at mandated standard</w:t>
            </w:r>
          </w:p>
          <w:p w:rsidR="00394943" w:rsidRPr="00394943" w:rsidRDefault="00394943" w:rsidP="00394943">
            <w:pPr>
              <w:pStyle w:val="AERtabletextleft"/>
              <w:rPr>
                <w:rStyle w:val="AERbody"/>
                <w:sz w:val="16"/>
              </w:rPr>
            </w:pPr>
            <w:r w:rsidRPr="00394943">
              <w:rPr>
                <w:rStyle w:val="AERbody"/>
                <w:sz w:val="16"/>
              </w:rPr>
              <w:t>New or upgraded connection services (to the extent the user is not required to make a financial contribution)</w:t>
            </w:r>
          </w:p>
        </w:tc>
        <w:tc>
          <w:tcPr>
            <w:tcW w:w="3081" w:type="dxa"/>
          </w:tcPr>
          <w:p w:rsidR="00394943" w:rsidRPr="00394943" w:rsidRDefault="00394943" w:rsidP="00394943">
            <w:pPr>
              <w:pStyle w:val="AERtabletextleft"/>
              <w:rPr>
                <w:rStyle w:val="AERbody"/>
                <w:sz w:val="16"/>
              </w:rPr>
            </w:pPr>
            <w:r w:rsidRPr="00394943">
              <w:rPr>
                <w:rStyle w:val="AERbody"/>
                <w:sz w:val="16"/>
              </w:rPr>
              <w:t xml:space="preserve">Connection services at higher (or lower) than mandated standard </w:t>
            </w:r>
          </w:p>
          <w:p w:rsidR="00394943" w:rsidRPr="00394943" w:rsidRDefault="00394943" w:rsidP="00394943">
            <w:pPr>
              <w:pStyle w:val="AERtabletextleft"/>
              <w:rPr>
                <w:rStyle w:val="AERbody"/>
                <w:sz w:val="16"/>
              </w:rPr>
            </w:pPr>
            <w:r w:rsidRPr="00394943">
              <w:rPr>
                <w:rStyle w:val="AERbody"/>
                <w:sz w:val="16"/>
              </w:rPr>
              <w:t>New or upgraded connection services (to the extent that the user is required to make a financial contribution)</w:t>
            </w:r>
          </w:p>
        </w:tc>
      </w:tr>
      <w:tr w:rsidR="00394943" w:rsidRPr="00394943" w:rsidTr="00394943">
        <w:tc>
          <w:tcPr>
            <w:tcW w:w="3080" w:type="dxa"/>
          </w:tcPr>
          <w:p w:rsidR="00394943" w:rsidRPr="00394943" w:rsidRDefault="00394943" w:rsidP="00394943">
            <w:pPr>
              <w:pStyle w:val="AERtabletextleft"/>
              <w:rPr>
                <w:rStyle w:val="AERbody"/>
                <w:sz w:val="16"/>
              </w:rPr>
            </w:pPr>
            <w:r w:rsidRPr="00394943">
              <w:rPr>
                <w:rStyle w:val="AERbody"/>
                <w:sz w:val="16"/>
              </w:rPr>
              <w:t>Metering services</w:t>
            </w:r>
          </w:p>
          <w:p w:rsidR="00394943" w:rsidRPr="00394943" w:rsidRDefault="00394943" w:rsidP="00394943">
            <w:pPr>
              <w:pStyle w:val="AERtabletextleft"/>
              <w:rPr>
                <w:rStyle w:val="AERbody"/>
                <w:sz w:val="16"/>
              </w:rPr>
            </w:pPr>
          </w:p>
        </w:tc>
        <w:tc>
          <w:tcPr>
            <w:tcW w:w="3081" w:type="dxa"/>
          </w:tcPr>
          <w:p w:rsidR="00394943" w:rsidRPr="00272BD8" w:rsidRDefault="00394943" w:rsidP="00394943">
            <w:pPr>
              <w:pStyle w:val="AERtabletextleft"/>
              <w:jc w:val="both"/>
              <w:rPr>
                <w:rStyle w:val="AERtextsize8"/>
              </w:rPr>
            </w:pPr>
            <w:r w:rsidRPr="00272BD8">
              <w:rPr>
                <w:rStyle w:val="AERtextsize8"/>
              </w:rPr>
              <w:t>Small customer standard meter provision and energy data services (type 6 metering installation</w:t>
            </w:r>
            <w:r w:rsidR="00207A8D" w:rsidRPr="00272BD8">
              <w:rPr>
                <w:rStyle w:val="AERtextsize8"/>
              </w:rPr>
              <w:t xml:space="preserve"> services and type 6 meter provision service</w:t>
            </w:r>
            <w:r w:rsidR="00B43E6D">
              <w:rPr>
                <w:rStyle w:val="AERtextsize8"/>
              </w:rPr>
              <w:t>s</w:t>
            </w:r>
            <w:r w:rsidRPr="00272BD8">
              <w:rPr>
                <w:rStyle w:val="AERtextsize8"/>
              </w:rPr>
              <w:t>)</w:t>
            </w:r>
          </w:p>
          <w:p w:rsidR="00394943" w:rsidRPr="00394943" w:rsidRDefault="00394943" w:rsidP="00394943">
            <w:pPr>
              <w:pStyle w:val="AERtabletextleft"/>
              <w:rPr>
                <w:rStyle w:val="AERbody"/>
                <w:sz w:val="16"/>
              </w:rPr>
            </w:pPr>
            <w:r w:rsidRPr="00394943">
              <w:rPr>
                <w:rStyle w:val="AERbody"/>
                <w:sz w:val="16"/>
              </w:rPr>
              <w:t>Unmetered metering services (type 7 metering installations)</w:t>
            </w:r>
          </w:p>
          <w:p w:rsidR="00394943" w:rsidRPr="00394943" w:rsidRDefault="00394943" w:rsidP="009D6F03">
            <w:pPr>
              <w:pStyle w:val="AERtabletextleft"/>
              <w:rPr>
                <w:rStyle w:val="AERbody"/>
                <w:sz w:val="16"/>
              </w:rPr>
            </w:pPr>
            <w:r w:rsidRPr="00394943">
              <w:rPr>
                <w:rStyle w:val="AERbody"/>
                <w:sz w:val="16"/>
              </w:rPr>
              <w:t>Two ‘exceptional cases’ of large customer metering services (type 1</w:t>
            </w:r>
            <w:r w:rsidR="009D6F03">
              <w:rPr>
                <w:rStyle w:val="AERbody"/>
              </w:rPr>
              <w:t xml:space="preserve"> </w:t>
            </w:r>
            <w:r w:rsidR="009D6F03" w:rsidRPr="00596CF4">
              <w:rPr>
                <w:rStyle w:val="AERbody"/>
                <w:sz w:val="16"/>
              </w:rPr>
              <w:t>to</w:t>
            </w:r>
            <w:r w:rsidR="003F13A3">
              <w:rPr>
                <w:rStyle w:val="AERbody"/>
              </w:rPr>
              <w:t xml:space="preserve"> </w:t>
            </w:r>
            <w:r w:rsidRPr="00394943">
              <w:rPr>
                <w:rStyle w:val="AERbody"/>
                <w:sz w:val="16"/>
              </w:rPr>
              <w:t>4 meter provision services), being:</w:t>
            </w:r>
          </w:p>
          <w:p w:rsidR="00394943" w:rsidRPr="00394943" w:rsidRDefault="00394943" w:rsidP="009D6F03">
            <w:pPr>
              <w:pStyle w:val="AERtabletextleft"/>
              <w:rPr>
                <w:rStyle w:val="AERbody"/>
                <w:sz w:val="16"/>
              </w:rPr>
            </w:pPr>
            <w:r w:rsidRPr="00394943">
              <w:rPr>
                <w:rStyle w:val="AERbody"/>
                <w:sz w:val="16"/>
              </w:rPr>
              <w:t>- customers consuming between 160 and 750 MWh per annum who have types 1</w:t>
            </w:r>
            <w:r w:rsidR="009D6F0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metering installations provided prior to 1 July 2000, and</w:t>
            </w:r>
          </w:p>
          <w:p w:rsidR="00394943" w:rsidRPr="00394943" w:rsidRDefault="00394943" w:rsidP="00575211">
            <w:pPr>
              <w:pStyle w:val="AERbodytext"/>
              <w:rPr>
                <w:rStyle w:val="AERbody"/>
                <w:sz w:val="16"/>
              </w:rPr>
            </w:pPr>
            <w:r w:rsidRPr="00394943">
              <w:rPr>
                <w:rStyle w:val="AERbody"/>
                <w:sz w:val="16"/>
              </w:rPr>
              <w:t>- custo</w:t>
            </w:r>
            <w:r w:rsidR="00575211">
              <w:rPr>
                <w:rStyle w:val="AERbody"/>
                <w:sz w:val="16"/>
              </w:rPr>
              <w:t>mers consuming more than 750 MW</w:t>
            </w:r>
            <w:r w:rsidR="00575211" w:rsidRPr="00575211">
              <w:rPr>
                <w:rStyle w:val="AERbody"/>
                <w:sz w:val="16"/>
              </w:rPr>
              <w:t>h</w:t>
            </w:r>
            <w:r w:rsidRPr="00394943">
              <w:rPr>
                <w:rStyle w:val="AERbody"/>
                <w:sz w:val="16"/>
              </w:rPr>
              <w:t xml:space="preserve"> per annum who have types 1</w:t>
            </w:r>
            <w:r w:rsidR="00575211">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metering installations provided prior to 1 July 2005.</w:t>
            </w:r>
          </w:p>
        </w:tc>
        <w:tc>
          <w:tcPr>
            <w:tcW w:w="3081" w:type="dxa"/>
          </w:tcPr>
          <w:p w:rsidR="00394943" w:rsidRPr="00394943" w:rsidRDefault="00394943" w:rsidP="009D6F03">
            <w:pPr>
              <w:pStyle w:val="AERtabletextleft"/>
              <w:rPr>
                <w:rStyle w:val="AERbody"/>
                <w:sz w:val="16"/>
              </w:rPr>
            </w:pPr>
            <w:r w:rsidRPr="00394943">
              <w:rPr>
                <w:rStyle w:val="AERbody"/>
                <w:sz w:val="16"/>
              </w:rPr>
              <w:t>Small customer non-standard meter provision and energy data services (type 1</w:t>
            </w:r>
            <w:r w:rsidR="003F13A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5 metering installations, and type 5</w:t>
            </w:r>
            <w:r w:rsidR="009D6F0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7 metering installations containing a meter different to the type SAPN would usually install)</w:t>
            </w:r>
          </w:p>
          <w:p w:rsidR="00394943" w:rsidRPr="00394943" w:rsidRDefault="00394943" w:rsidP="00394943">
            <w:pPr>
              <w:pStyle w:val="AERtabletextleft"/>
              <w:rPr>
                <w:rStyle w:val="AERbody"/>
                <w:sz w:val="16"/>
              </w:rPr>
            </w:pPr>
            <w:r w:rsidRPr="00394943">
              <w:rPr>
                <w:rStyle w:val="AERbody"/>
                <w:sz w:val="16"/>
              </w:rPr>
              <w:t>Small customer special meter reads (including monthly reads)</w:t>
            </w:r>
          </w:p>
          <w:p w:rsidR="00394943" w:rsidRPr="00394943" w:rsidRDefault="00394943" w:rsidP="009D6F03">
            <w:pPr>
              <w:pStyle w:val="AERtabletextleft"/>
              <w:rPr>
                <w:rStyle w:val="AERbody"/>
                <w:sz w:val="16"/>
              </w:rPr>
            </w:pPr>
            <w:r w:rsidRPr="00394943">
              <w:rPr>
                <w:rStyle w:val="AERbody"/>
                <w:sz w:val="16"/>
              </w:rPr>
              <w:t>Large customer meter provision and energy data services (type 1</w:t>
            </w:r>
            <w:r w:rsidR="00575211">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metering installations)</w:t>
            </w:r>
          </w:p>
        </w:tc>
      </w:tr>
      <w:tr w:rsidR="00394943" w:rsidRPr="00394943" w:rsidTr="00394943">
        <w:trPr>
          <w:cnfStyle w:val="000000010000" w:firstRow="0" w:lastRow="0" w:firstColumn="0" w:lastColumn="0" w:oddVBand="0" w:evenVBand="0" w:oddHBand="0" w:evenHBand="1" w:firstRowFirstColumn="0" w:firstRowLastColumn="0" w:lastRowFirstColumn="0" w:lastRowLastColumn="0"/>
        </w:trPr>
        <w:tc>
          <w:tcPr>
            <w:tcW w:w="3080" w:type="dxa"/>
          </w:tcPr>
          <w:p w:rsidR="00394943" w:rsidRPr="00394943" w:rsidRDefault="00394943" w:rsidP="00394943">
            <w:pPr>
              <w:pStyle w:val="AERtabletextleft"/>
            </w:pPr>
            <w:r w:rsidRPr="00394943">
              <w:t>Public lighting services</w:t>
            </w:r>
          </w:p>
          <w:p w:rsidR="00394943" w:rsidRPr="00394943" w:rsidRDefault="00394943" w:rsidP="00394943">
            <w:pPr>
              <w:pStyle w:val="AERtabletextleft"/>
            </w:pPr>
          </w:p>
        </w:tc>
        <w:tc>
          <w:tcPr>
            <w:tcW w:w="3081" w:type="dxa"/>
          </w:tcPr>
          <w:p w:rsidR="00394943" w:rsidRPr="00394943" w:rsidRDefault="00394943" w:rsidP="00394943">
            <w:pPr>
              <w:pStyle w:val="AERtabletextleft"/>
            </w:pPr>
            <w:r w:rsidRPr="00394943">
              <w:t>Nil</w:t>
            </w:r>
          </w:p>
          <w:p w:rsidR="00394943" w:rsidRPr="00394943" w:rsidRDefault="00394943" w:rsidP="00394943">
            <w:pPr>
              <w:pStyle w:val="AERtabletextleft"/>
            </w:pPr>
          </w:p>
        </w:tc>
        <w:tc>
          <w:tcPr>
            <w:tcW w:w="3081" w:type="dxa"/>
          </w:tcPr>
          <w:p w:rsidR="00394943" w:rsidRPr="00394943" w:rsidRDefault="00394943" w:rsidP="00394943">
            <w:pPr>
              <w:pStyle w:val="AERtabletextleft"/>
            </w:pPr>
            <w:r w:rsidRPr="00394943">
              <w:t>Provision, operation and maintenance of public lighting assets</w:t>
            </w:r>
          </w:p>
          <w:p w:rsidR="00394943" w:rsidRPr="00394943" w:rsidRDefault="00394943" w:rsidP="00394943">
            <w:pPr>
              <w:pStyle w:val="AERtabletextleft"/>
            </w:pPr>
            <w:r w:rsidRPr="00394943">
              <w:t>Lamp replacement</w:t>
            </w:r>
          </w:p>
          <w:p w:rsidR="00394943" w:rsidRPr="00394943" w:rsidRDefault="00394943" w:rsidP="00394943">
            <w:pPr>
              <w:pStyle w:val="AERtabletextleft"/>
            </w:pPr>
            <w:r w:rsidRPr="00394943">
              <w:t>‘Energy only’ services</w:t>
            </w:r>
          </w:p>
        </w:tc>
      </w:tr>
      <w:tr w:rsidR="00394943" w:rsidRPr="00394943" w:rsidTr="00394943">
        <w:tc>
          <w:tcPr>
            <w:tcW w:w="3080" w:type="dxa"/>
          </w:tcPr>
          <w:p w:rsidR="00394943" w:rsidRPr="00394943" w:rsidRDefault="00394943" w:rsidP="009D6F03">
            <w:pPr>
              <w:pStyle w:val="AERtabletextleft"/>
              <w:rPr>
                <w:rStyle w:val="AERbody"/>
                <w:sz w:val="16"/>
              </w:rPr>
            </w:pPr>
            <w:r w:rsidRPr="00394943">
              <w:rPr>
                <w:rStyle w:val="AERbody"/>
                <w:sz w:val="16"/>
              </w:rPr>
              <w:t>Non-standard</w:t>
            </w:r>
            <w:r w:rsidRPr="009D6F03">
              <w:rPr>
                <w:rStyle w:val="AERbody"/>
                <w:sz w:val="16"/>
              </w:rPr>
              <w:t xml:space="preserve"> </w:t>
            </w:r>
            <w:r w:rsidRPr="00394943">
              <w:rPr>
                <w:rStyle w:val="AERbody"/>
                <w:sz w:val="16"/>
              </w:rPr>
              <w:t>network services</w:t>
            </w:r>
          </w:p>
          <w:p w:rsidR="00394943" w:rsidRPr="00394943" w:rsidRDefault="00394943" w:rsidP="00394943">
            <w:pPr>
              <w:pStyle w:val="AERtabletextleft"/>
              <w:rPr>
                <w:rStyle w:val="AERbody"/>
                <w:sz w:val="16"/>
              </w:rPr>
            </w:pPr>
          </w:p>
        </w:tc>
        <w:tc>
          <w:tcPr>
            <w:tcW w:w="3081" w:type="dxa"/>
          </w:tcPr>
          <w:p w:rsidR="00394943" w:rsidRPr="00394943" w:rsidRDefault="00394943" w:rsidP="00394943">
            <w:pPr>
              <w:pStyle w:val="AERtabletextleft"/>
              <w:rPr>
                <w:rStyle w:val="AERbody"/>
                <w:sz w:val="16"/>
              </w:rPr>
            </w:pPr>
            <w:r w:rsidRPr="00394943">
              <w:rPr>
                <w:rStyle w:val="AERbody"/>
                <w:sz w:val="16"/>
              </w:rPr>
              <w:t>Nil</w:t>
            </w:r>
          </w:p>
          <w:p w:rsidR="00394943" w:rsidRPr="00394943" w:rsidRDefault="00394943" w:rsidP="00394943">
            <w:pPr>
              <w:pStyle w:val="AERtabletextleft"/>
              <w:rPr>
                <w:rStyle w:val="AERbody"/>
                <w:sz w:val="16"/>
              </w:rPr>
            </w:pPr>
          </w:p>
        </w:tc>
        <w:tc>
          <w:tcPr>
            <w:tcW w:w="3081" w:type="dxa"/>
          </w:tcPr>
          <w:p w:rsidR="00394943" w:rsidRPr="00394943" w:rsidRDefault="00394943" w:rsidP="00394943">
            <w:pPr>
              <w:pStyle w:val="AERtabletextleft"/>
              <w:rPr>
                <w:rStyle w:val="AERbody"/>
                <w:sz w:val="16"/>
              </w:rPr>
            </w:pPr>
            <w:r w:rsidRPr="00394943">
              <w:rPr>
                <w:rStyle w:val="AERbody"/>
                <w:sz w:val="16"/>
              </w:rPr>
              <w:t xml:space="preserve">Remaining services listed in </w:t>
            </w:r>
            <w:r w:rsidRPr="00394943">
              <w:rPr>
                <w:rStyle w:val="AERtexthighlight"/>
                <w:shd w:val="clear" w:color="auto" w:fill="auto"/>
              </w:rPr>
              <w:t>appendix B</w:t>
            </w:r>
            <w:r w:rsidRPr="00394943">
              <w:rPr>
                <w:rStyle w:val="AERbody"/>
                <w:sz w:val="16"/>
              </w:rPr>
              <w:t xml:space="preserve"> as negotiated distribution services, which includes:</w:t>
            </w:r>
          </w:p>
          <w:p w:rsidR="00394943" w:rsidRPr="00394943" w:rsidRDefault="00394943" w:rsidP="00394943">
            <w:pPr>
              <w:pStyle w:val="AERtabletextleft"/>
              <w:rPr>
                <w:rStyle w:val="AERbody"/>
                <w:sz w:val="16"/>
              </w:rPr>
            </w:pPr>
            <w:r w:rsidRPr="00394943">
              <w:rPr>
                <w:rStyle w:val="AERbody"/>
                <w:sz w:val="16"/>
              </w:rPr>
              <w:t>- provision of stand-by or temporary supply</w:t>
            </w:r>
          </w:p>
          <w:p w:rsidR="00394943" w:rsidRPr="00394943" w:rsidRDefault="00394943" w:rsidP="00394943">
            <w:pPr>
              <w:pStyle w:val="AERtabletextleft"/>
              <w:rPr>
                <w:rStyle w:val="AERbody"/>
                <w:sz w:val="16"/>
              </w:rPr>
            </w:pPr>
            <w:r w:rsidRPr="00394943">
              <w:rPr>
                <w:rStyle w:val="AERbody"/>
                <w:sz w:val="16"/>
              </w:rPr>
              <w:t>- asset relocations</w:t>
            </w:r>
          </w:p>
          <w:p w:rsidR="00394943" w:rsidRPr="00394943" w:rsidRDefault="00394943" w:rsidP="00394943">
            <w:pPr>
              <w:pStyle w:val="AERtabletextleft"/>
              <w:rPr>
                <w:rStyle w:val="AERbody"/>
                <w:sz w:val="16"/>
              </w:rPr>
            </w:pPr>
            <w:r w:rsidRPr="00394943">
              <w:rPr>
                <w:rStyle w:val="AERbody"/>
                <w:sz w:val="16"/>
              </w:rPr>
              <w:t xml:space="preserve">- temporary disconnections </w:t>
            </w:r>
          </w:p>
          <w:p w:rsidR="00394943" w:rsidRPr="00394943" w:rsidRDefault="00394943" w:rsidP="00394943">
            <w:pPr>
              <w:pStyle w:val="AERtabletextleft"/>
              <w:rPr>
                <w:rStyle w:val="AERbody"/>
                <w:sz w:val="16"/>
              </w:rPr>
            </w:pPr>
            <w:r w:rsidRPr="00394943">
              <w:rPr>
                <w:rStyle w:val="AERbody"/>
                <w:sz w:val="16"/>
              </w:rPr>
              <w:t xml:space="preserve">- </w:t>
            </w:r>
            <w:r w:rsidRPr="00394943">
              <w:t xml:space="preserve">provision of copies of various </w:t>
            </w:r>
            <w:r w:rsidRPr="00394943">
              <w:rPr>
                <w:rStyle w:val="AERbody"/>
                <w:sz w:val="16"/>
              </w:rPr>
              <w:t>codes</w:t>
            </w:r>
          </w:p>
          <w:p w:rsidR="00394943" w:rsidRPr="00394943" w:rsidRDefault="00394943" w:rsidP="00394943">
            <w:pPr>
              <w:pStyle w:val="AERtabletextleft"/>
              <w:rPr>
                <w:rStyle w:val="AERbody"/>
                <w:sz w:val="16"/>
              </w:rPr>
            </w:pPr>
            <w:r w:rsidRPr="00394943">
              <w:rPr>
                <w:rStyle w:val="AERbody"/>
                <w:sz w:val="16"/>
              </w:rPr>
              <w:t>- embedded generation services</w:t>
            </w:r>
          </w:p>
        </w:tc>
      </w:tr>
    </w:tbl>
    <w:p w:rsidR="00394943" w:rsidRPr="003F13A3" w:rsidRDefault="009D6F03" w:rsidP="003F13A3">
      <w:pPr>
        <w:pStyle w:val="AERtablesource"/>
        <w:ind w:left="0" w:firstLine="0"/>
      </w:pPr>
      <w:r w:rsidRPr="003F13A3">
        <w:t>Source: AER</w:t>
      </w:r>
      <w:r w:rsidR="00394943" w:rsidRPr="003F13A3">
        <w:br w:type="page"/>
      </w:r>
    </w:p>
    <w:p w:rsidR="00394943" w:rsidRPr="00394943" w:rsidRDefault="00923D25" w:rsidP="008713E8">
      <w:pPr>
        <w:pStyle w:val="AERtablesource"/>
        <w:rPr>
          <w:rStyle w:val="AERtextbold"/>
        </w:rPr>
      </w:pPr>
      <w:r>
        <w:rPr>
          <w:rStyle w:val="AERtextbold"/>
        </w:rPr>
        <w:lastRenderedPageBreak/>
        <w:t xml:space="preserve">Table </w:t>
      </w:r>
      <w:r w:rsidR="00FF1145">
        <w:rPr>
          <w:rStyle w:val="AERtextbold"/>
        </w:rPr>
        <w:t>6</w:t>
      </w:r>
      <w:r w:rsidR="003F13A3">
        <w:rPr>
          <w:rStyle w:val="AERtextbold"/>
        </w:rPr>
        <w:t xml:space="preserve">: </w:t>
      </w:r>
      <w:r w:rsidR="00AD1C33">
        <w:rPr>
          <w:rStyle w:val="AERtextbold"/>
        </w:rPr>
        <w:t xml:space="preserve"> </w:t>
      </w:r>
      <w:r w:rsidR="00394943" w:rsidRPr="00394943">
        <w:rPr>
          <w:rStyle w:val="AERtextbold"/>
        </w:rPr>
        <w:t>Proposed classification of SAPN's direct control services into standard control and alternati</w:t>
      </w:r>
      <w:r>
        <w:rPr>
          <w:rStyle w:val="AERtextbold"/>
        </w:rPr>
        <w:t xml:space="preserve">ve control </w:t>
      </w:r>
      <w:r w:rsidR="00394943" w:rsidRPr="00394943">
        <w:rPr>
          <w:rStyle w:val="AERtextbold"/>
        </w:rPr>
        <w:t>services</w:t>
      </w:r>
    </w:p>
    <w:tbl>
      <w:tblPr>
        <w:tblStyle w:val="AERtable-text"/>
        <w:tblW w:w="0" w:type="auto"/>
        <w:tblLook w:val="04A0" w:firstRow="1" w:lastRow="0" w:firstColumn="1" w:lastColumn="0" w:noHBand="0" w:noVBand="1"/>
      </w:tblPr>
      <w:tblGrid>
        <w:gridCol w:w="3080"/>
        <w:gridCol w:w="3081"/>
        <w:gridCol w:w="3081"/>
      </w:tblGrid>
      <w:tr w:rsidR="00394943" w:rsidRPr="00394943" w:rsidTr="00394943">
        <w:trPr>
          <w:cnfStyle w:val="100000000000" w:firstRow="1" w:lastRow="0" w:firstColumn="0" w:lastColumn="0" w:oddVBand="0" w:evenVBand="0" w:oddHBand="0" w:evenHBand="0" w:firstRowFirstColumn="0" w:firstRowLastColumn="0" w:lastRowFirstColumn="0" w:lastRowLastColumn="0"/>
        </w:trPr>
        <w:tc>
          <w:tcPr>
            <w:tcW w:w="3080" w:type="dxa"/>
          </w:tcPr>
          <w:p w:rsidR="00394943" w:rsidRPr="00394943" w:rsidRDefault="00394943" w:rsidP="00394943">
            <w:pPr>
              <w:pStyle w:val="AERtabletextleft"/>
              <w:rPr>
                <w:rStyle w:val="AERtextbold"/>
                <w:b/>
              </w:rPr>
            </w:pPr>
            <w:r w:rsidRPr="00394943">
              <w:rPr>
                <w:rStyle w:val="AERtextbold"/>
                <w:b/>
              </w:rPr>
              <w:t>Service category</w:t>
            </w:r>
          </w:p>
        </w:tc>
        <w:tc>
          <w:tcPr>
            <w:tcW w:w="3081" w:type="dxa"/>
          </w:tcPr>
          <w:p w:rsidR="00394943" w:rsidRPr="00394943" w:rsidRDefault="00394943" w:rsidP="00394943">
            <w:pPr>
              <w:pStyle w:val="AERtabletextleft"/>
              <w:rPr>
                <w:rStyle w:val="AERtextbold"/>
                <w:b/>
              </w:rPr>
            </w:pPr>
            <w:r w:rsidRPr="00394943">
              <w:rPr>
                <w:rStyle w:val="AERtextbold"/>
                <w:b/>
              </w:rPr>
              <w:t>Standard control</w:t>
            </w:r>
          </w:p>
        </w:tc>
        <w:tc>
          <w:tcPr>
            <w:tcW w:w="3081" w:type="dxa"/>
          </w:tcPr>
          <w:p w:rsidR="00394943" w:rsidRPr="00394943" w:rsidRDefault="00394943" w:rsidP="00394943">
            <w:pPr>
              <w:pStyle w:val="AERtabletextleft"/>
              <w:rPr>
                <w:rStyle w:val="AERtextbold"/>
                <w:b/>
              </w:rPr>
            </w:pPr>
            <w:r w:rsidRPr="00394943">
              <w:rPr>
                <w:rStyle w:val="AERtextbold"/>
                <w:b/>
              </w:rPr>
              <w:t>Alternative control</w:t>
            </w:r>
          </w:p>
        </w:tc>
      </w:tr>
      <w:tr w:rsidR="00394943" w:rsidRPr="00394943" w:rsidTr="00394943">
        <w:tc>
          <w:tcPr>
            <w:tcW w:w="3080" w:type="dxa"/>
          </w:tcPr>
          <w:p w:rsidR="00394943" w:rsidRPr="00394943" w:rsidRDefault="00394943" w:rsidP="00394943">
            <w:pPr>
              <w:pStyle w:val="AERtabletextleft"/>
              <w:rPr>
                <w:rStyle w:val="AERbody"/>
                <w:sz w:val="16"/>
              </w:rPr>
            </w:pPr>
            <w:r w:rsidRPr="00394943">
              <w:rPr>
                <w:rStyle w:val="AERbody"/>
                <w:sz w:val="16"/>
              </w:rPr>
              <w:t>Network services</w:t>
            </w:r>
          </w:p>
        </w:tc>
        <w:tc>
          <w:tcPr>
            <w:tcW w:w="3081" w:type="dxa"/>
          </w:tcPr>
          <w:p w:rsidR="00394943" w:rsidRPr="00394943" w:rsidRDefault="00394943" w:rsidP="00394943">
            <w:pPr>
              <w:pStyle w:val="AERtabletextleft"/>
              <w:rPr>
                <w:rStyle w:val="AERbody"/>
                <w:sz w:val="16"/>
              </w:rPr>
            </w:pPr>
            <w:r w:rsidRPr="00394943">
              <w:rPr>
                <w:rStyle w:val="AERbody"/>
                <w:sz w:val="16"/>
              </w:rPr>
              <w:t>All direct control network services</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r>
      <w:tr w:rsidR="00394943" w:rsidRPr="00394943" w:rsidTr="00394943">
        <w:trPr>
          <w:cnfStyle w:val="000000010000" w:firstRow="0" w:lastRow="0" w:firstColumn="0" w:lastColumn="0" w:oddVBand="0" w:evenVBand="0" w:oddHBand="0" w:evenHBand="1" w:firstRowFirstColumn="0" w:firstRowLastColumn="0" w:lastRowFirstColumn="0" w:lastRowLastColumn="0"/>
        </w:trPr>
        <w:tc>
          <w:tcPr>
            <w:tcW w:w="3080" w:type="dxa"/>
          </w:tcPr>
          <w:p w:rsidR="00394943" w:rsidRPr="00394943" w:rsidRDefault="00394943" w:rsidP="00394943">
            <w:pPr>
              <w:pStyle w:val="AERtabletextleft"/>
              <w:rPr>
                <w:rStyle w:val="AERbody"/>
                <w:sz w:val="16"/>
              </w:rPr>
            </w:pPr>
            <w:r w:rsidRPr="00394943">
              <w:rPr>
                <w:rStyle w:val="AERbody"/>
                <w:sz w:val="16"/>
              </w:rPr>
              <w:t>Connection services</w:t>
            </w:r>
          </w:p>
        </w:tc>
        <w:tc>
          <w:tcPr>
            <w:tcW w:w="3081" w:type="dxa"/>
          </w:tcPr>
          <w:p w:rsidR="00394943" w:rsidRPr="00394943" w:rsidRDefault="00394943" w:rsidP="00394943">
            <w:pPr>
              <w:pStyle w:val="AERtabletextleft"/>
              <w:rPr>
                <w:rStyle w:val="AERbody"/>
                <w:sz w:val="16"/>
              </w:rPr>
            </w:pPr>
            <w:r w:rsidRPr="00394943">
              <w:rPr>
                <w:rStyle w:val="AERbody"/>
                <w:sz w:val="16"/>
              </w:rPr>
              <w:t>All direct control connection services</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r>
      <w:tr w:rsidR="00394943" w:rsidRPr="00394943" w:rsidTr="00394943">
        <w:tc>
          <w:tcPr>
            <w:tcW w:w="3080" w:type="dxa"/>
          </w:tcPr>
          <w:p w:rsidR="00394943" w:rsidRPr="00394943" w:rsidRDefault="00394943" w:rsidP="00394943">
            <w:pPr>
              <w:pStyle w:val="AERtabletextleft"/>
              <w:rPr>
                <w:rStyle w:val="AERbody"/>
                <w:sz w:val="16"/>
              </w:rPr>
            </w:pPr>
            <w:r w:rsidRPr="00394943">
              <w:rPr>
                <w:rStyle w:val="AERbody"/>
                <w:sz w:val="16"/>
              </w:rPr>
              <w:t>Metering services</w:t>
            </w:r>
          </w:p>
          <w:p w:rsidR="00394943" w:rsidRPr="00394943" w:rsidRDefault="00394943" w:rsidP="00394943">
            <w:pPr>
              <w:pStyle w:val="AERtabletextleft"/>
              <w:rPr>
                <w:rStyle w:val="AERbody"/>
                <w:sz w:val="16"/>
              </w:rPr>
            </w:pPr>
          </w:p>
        </w:tc>
        <w:tc>
          <w:tcPr>
            <w:tcW w:w="3081" w:type="dxa"/>
          </w:tcPr>
          <w:p w:rsidR="00394943" w:rsidRPr="00394943" w:rsidRDefault="00394943" w:rsidP="00272BD8">
            <w:pPr>
              <w:pStyle w:val="AERtabletextleft"/>
              <w:rPr>
                <w:rStyle w:val="AERbody"/>
                <w:sz w:val="16"/>
              </w:rPr>
            </w:pPr>
            <w:r w:rsidRPr="00394943">
              <w:rPr>
                <w:rStyle w:val="AERbody"/>
                <w:sz w:val="16"/>
              </w:rPr>
              <w:t>Unmetered metering services (type 7 metering installations)</w:t>
            </w:r>
          </w:p>
        </w:tc>
        <w:tc>
          <w:tcPr>
            <w:tcW w:w="3081" w:type="dxa"/>
          </w:tcPr>
          <w:p w:rsidR="00394943" w:rsidRPr="00394943" w:rsidRDefault="00272BD8" w:rsidP="00394943">
            <w:pPr>
              <w:pStyle w:val="AERtabletextleft"/>
              <w:rPr>
                <w:rStyle w:val="AERbody"/>
                <w:sz w:val="16"/>
              </w:rPr>
            </w:pPr>
            <w:r w:rsidRPr="00272BD8">
              <w:t>S</w:t>
            </w:r>
            <w:r w:rsidR="00394943" w:rsidRPr="00394943">
              <w:rPr>
                <w:rStyle w:val="AERbody"/>
                <w:sz w:val="16"/>
              </w:rPr>
              <w:t xml:space="preserve">tandard small customer metering services </w:t>
            </w:r>
            <w:r w:rsidR="003C63E3" w:rsidRPr="003C63E3">
              <w:t xml:space="preserve">and energy data services </w:t>
            </w:r>
            <w:r w:rsidR="00394943" w:rsidRPr="00394943">
              <w:rPr>
                <w:rStyle w:val="AERbody"/>
                <w:sz w:val="16"/>
              </w:rPr>
              <w:t xml:space="preserve">(type 6 metering </w:t>
            </w:r>
            <w:r w:rsidR="00B43E6D" w:rsidRPr="00B43E6D">
              <w:t xml:space="preserve">provision </w:t>
            </w:r>
            <w:r w:rsidR="00B43E6D">
              <w:t xml:space="preserve">and </w:t>
            </w:r>
            <w:r w:rsidR="00394943" w:rsidRPr="00394943">
              <w:rPr>
                <w:rStyle w:val="AERbody"/>
                <w:sz w:val="16"/>
              </w:rPr>
              <w:t>installations)</w:t>
            </w:r>
          </w:p>
          <w:p w:rsidR="00394943" w:rsidRPr="00394943" w:rsidRDefault="00394943" w:rsidP="009D6F03">
            <w:pPr>
              <w:pStyle w:val="AERtabletextleft"/>
              <w:rPr>
                <w:rStyle w:val="AERbody"/>
                <w:sz w:val="16"/>
              </w:rPr>
            </w:pPr>
            <w:r w:rsidRPr="00394943">
              <w:rPr>
                <w:rStyle w:val="AERbody"/>
                <w:sz w:val="16"/>
              </w:rPr>
              <w:t>Two ‘exceptional cases’ of large customer metering services (type 1</w:t>
            </w:r>
            <w:r w:rsidR="003F13A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 provision services), being:</w:t>
            </w:r>
          </w:p>
          <w:p w:rsidR="00394943" w:rsidRPr="00394943" w:rsidRDefault="00394943" w:rsidP="009D6F03">
            <w:pPr>
              <w:pStyle w:val="AERtabletextleft"/>
              <w:rPr>
                <w:rStyle w:val="AERbody"/>
                <w:sz w:val="16"/>
              </w:rPr>
            </w:pPr>
            <w:r w:rsidRPr="00394943">
              <w:rPr>
                <w:rStyle w:val="AERbody"/>
                <w:sz w:val="16"/>
              </w:rPr>
              <w:t>- customers consuming between 160 and 750 MWh per annum who have types 1</w:t>
            </w:r>
            <w:r w:rsidR="003F13A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metering installations provided prior to 1 July 2000</w:t>
            </w:r>
          </w:p>
          <w:p w:rsidR="00394943" w:rsidRPr="00394943" w:rsidRDefault="00394943" w:rsidP="00575211">
            <w:pPr>
              <w:pStyle w:val="AERbodytext"/>
              <w:rPr>
                <w:rStyle w:val="AERbody"/>
                <w:sz w:val="16"/>
              </w:rPr>
            </w:pPr>
            <w:r w:rsidRPr="00394943">
              <w:rPr>
                <w:rStyle w:val="AERbody"/>
                <w:sz w:val="16"/>
              </w:rPr>
              <w:t>- custo</w:t>
            </w:r>
            <w:r w:rsidR="00575211">
              <w:rPr>
                <w:rStyle w:val="AERbody"/>
                <w:sz w:val="16"/>
              </w:rPr>
              <w:t>mers consuming more than 750 MW</w:t>
            </w:r>
            <w:r w:rsidR="00575211" w:rsidRPr="00575211">
              <w:rPr>
                <w:rStyle w:val="AERbody"/>
                <w:sz w:val="16"/>
              </w:rPr>
              <w:t>h</w:t>
            </w:r>
            <w:r w:rsidRPr="00394943">
              <w:rPr>
                <w:rStyle w:val="AERbody"/>
                <w:sz w:val="16"/>
              </w:rPr>
              <w:t xml:space="preserve"> per annum who have types 1</w:t>
            </w:r>
            <w:r w:rsidR="003F13A3">
              <w:rPr>
                <w:rStyle w:val="AERbody"/>
              </w:rPr>
              <w:t xml:space="preserve"> </w:t>
            </w:r>
            <w:r w:rsidR="009D6F03" w:rsidRPr="00596CF4">
              <w:rPr>
                <w:rStyle w:val="AERbody"/>
                <w:sz w:val="16"/>
              </w:rPr>
              <w:t>to</w:t>
            </w:r>
            <w:r w:rsidR="009D6F03">
              <w:rPr>
                <w:rStyle w:val="AERbody"/>
              </w:rPr>
              <w:t xml:space="preserve"> </w:t>
            </w:r>
            <w:r w:rsidRPr="00394943">
              <w:rPr>
                <w:rStyle w:val="AERbody"/>
                <w:sz w:val="16"/>
              </w:rPr>
              <w:t>4 metering installations provided prior to 1 July 2005.</w:t>
            </w:r>
          </w:p>
        </w:tc>
      </w:tr>
      <w:tr w:rsidR="00394943" w:rsidRPr="00394943" w:rsidTr="00394943">
        <w:trPr>
          <w:cnfStyle w:val="000000010000" w:firstRow="0" w:lastRow="0" w:firstColumn="0" w:lastColumn="0" w:oddVBand="0" w:evenVBand="0" w:oddHBand="0" w:evenHBand="1" w:firstRowFirstColumn="0" w:firstRowLastColumn="0" w:lastRowFirstColumn="0" w:lastRowLastColumn="0"/>
        </w:trPr>
        <w:tc>
          <w:tcPr>
            <w:tcW w:w="3080" w:type="dxa"/>
          </w:tcPr>
          <w:p w:rsidR="00394943" w:rsidRPr="00394943" w:rsidRDefault="00394943" w:rsidP="00394943">
            <w:pPr>
              <w:pStyle w:val="AERtabletextleft"/>
              <w:rPr>
                <w:rStyle w:val="AERbody"/>
                <w:sz w:val="16"/>
              </w:rPr>
            </w:pPr>
            <w:r w:rsidRPr="00394943">
              <w:rPr>
                <w:rStyle w:val="AERbody"/>
                <w:sz w:val="16"/>
              </w:rPr>
              <w:t>Public lighting services</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r>
      <w:tr w:rsidR="00394943" w:rsidRPr="00394943" w:rsidTr="00394943">
        <w:tc>
          <w:tcPr>
            <w:tcW w:w="3080" w:type="dxa"/>
          </w:tcPr>
          <w:p w:rsidR="00394943" w:rsidRPr="00394943" w:rsidRDefault="00394943" w:rsidP="009D6F03">
            <w:pPr>
              <w:pStyle w:val="AERtabletextleft"/>
              <w:rPr>
                <w:rStyle w:val="AERbody"/>
                <w:sz w:val="16"/>
              </w:rPr>
            </w:pPr>
            <w:r w:rsidRPr="00394943">
              <w:rPr>
                <w:rStyle w:val="AERbody"/>
                <w:sz w:val="16"/>
              </w:rPr>
              <w:t>Non-standard network services</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c>
          <w:tcPr>
            <w:tcW w:w="3081" w:type="dxa"/>
          </w:tcPr>
          <w:p w:rsidR="00394943" w:rsidRPr="00394943" w:rsidRDefault="00394943" w:rsidP="00394943">
            <w:pPr>
              <w:pStyle w:val="AERtabletextleft"/>
              <w:rPr>
                <w:rStyle w:val="AERbody"/>
                <w:sz w:val="16"/>
              </w:rPr>
            </w:pPr>
            <w:r w:rsidRPr="00394943">
              <w:rPr>
                <w:rStyle w:val="AERbody"/>
                <w:sz w:val="16"/>
              </w:rPr>
              <w:t>Nil</w:t>
            </w:r>
          </w:p>
        </w:tc>
      </w:tr>
    </w:tbl>
    <w:p w:rsidR="00AA45D3" w:rsidRPr="00AA45D3" w:rsidRDefault="009D6F03" w:rsidP="003F13A3">
      <w:pPr>
        <w:pStyle w:val="AERtablesource"/>
      </w:pPr>
      <w:r>
        <w:t>Source: AER</w:t>
      </w:r>
    </w:p>
    <w:p w:rsidR="00A519F2" w:rsidRDefault="00350180" w:rsidP="00350180">
      <w:pPr>
        <w:pStyle w:val="Heading1"/>
      </w:pPr>
      <w:bookmarkStart w:id="52" w:name="_Toc373773978"/>
      <w:r>
        <w:lastRenderedPageBreak/>
        <w:t>Control mechanisms</w:t>
      </w:r>
      <w:bookmarkEnd w:id="52"/>
    </w:p>
    <w:p w:rsidR="00C84BFE" w:rsidRPr="005F763D" w:rsidRDefault="00C84BFE" w:rsidP="00C84BFE">
      <w:pPr>
        <w:pStyle w:val="AERbodytext"/>
      </w:pPr>
      <w:r w:rsidRPr="005F763D">
        <w:t>This attachment sets out our proposed control mechanisms to apply to SA</w:t>
      </w:r>
      <w:r>
        <w:t xml:space="preserve"> </w:t>
      </w:r>
      <w:r w:rsidRPr="005F763D">
        <w:t>P</w:t>
      </w:r>
      <w:r>
        <w:t xml:space="preserve">ower </w:t>
      </w:r>
      <w:r w:rsidRPr="005F763D">
        <w:t>N</w:t>
      </w:r>
      <w:r>
        <w:t>etwork</w:t>
      </w:r>
      <w:r w:rsidRPr="005F763D">
        <w:t xml:space="preserve">'s direct control services for the 2015–20 regulatory control period. This attachment also sets out our proposed approach on the formulae to give effect to the control mechanisms for direct control services. </w:t>
      </w:r>
    </w:p>
    <w:p w:rsidR="00C84BFE" w:rsidRPr="005F763D" w:rsidRDefault="00C84BFE" w:rsidP="00C84BFE">
      <w:pPr>
        <w:pStyle w:val="AERbodytext"/>
      </w:pPr>
      <w:r w:rsidRPr="005F763D">
        <w:t xml:space="preserve">Our distribution determination must impose controls over the prices (and/or revenues) of direct control services. This paper states </w:t>
      </w:r>
      <w:r>
        <w:t xml:space="preserve">our preliminary </w:t>
      </w:r>
      <w:r w:rsidRPr="005F763D">
        <w:t>positions, together with our reasons, on the form(s) of the control mechanism(s) to apply to direct control services in the determination for the 2015</w:t>
      </w:r>
      <w:r>
        <w:t>–20</w:t>
      </w:r>
      <w:r w:rsidR="00421D98">
        <w:t>20</w:t>
      </w:r>
      <w:r>
        <w:t xml:space="preserve"> regulatory control period. </w:t>
      </w:r>
      <w:r w:rsidRPr="005F763D">
        <w:t>We classify direct control services as standard control services or alternative control services. Different control mechanisms may apply to each of these classifications, or to different services within the same classification.</w:t>
      </w:r>
    </w:p>
    <w:p w:rsidR="00C84BFE" w:rsidRPr="005F763D" w:rsidRDefault="00C84BFE" w:rsidP="00C84BFE">
      <w:pPr>
        <w:pStyle w:val="AERbodytext"/>
      </w:pPr>
      <w:r w:rsidRPr="005F763D">
        <w:t>We can only approve the con</w:t>
      </w:r>
      <w:r>
        <w:t>trol mechanisms in SA Power Network</w:t>
      </w:r>
      <w:r w:rsidRPr="005F763D">
        <w:t>s</w:t>
      </w:r>
      <w:r w:rsidR="00421D98">
        <w:t>'</w:t>
      </w:r>
      <w:r w:rsidRPr="005F763D">
        <w:t xml:space="preserve"> regulatory proposal if they are the same a</w:t>
      </w:r>
      <w:r>
        <w:t>s those set out in the F&amp;A</w:t>
      </w:r>
      <w:r w:rsidRPr="005F763D">
        <w:t>.  We can also only approve the proposed formulae to give effect to the contro</w:t>
      </w:r>
      <w:r>
        <w:t xml:space="preserve">l mechanisms in SA Power Network’s </w:t>
      </w:r>
      <w:r w:rsidRPr="005F763D">
        <w:t>regulatory proposal if they are the same as the f</w:t>
      </w:r>
      <w:r>
        <w:t>ormulae set out in the F&amp;A</w:t>
      </w:r>
      <w:r w:rsidRPr="005F763D">
        <w:t>, unless we consider that unforeseen circumstances justify departing from the formulae set out in this paper</w:t>
      </w:r>
      <w:r w:rsidR="00C40DE9" w:rsidRPr="005F763D">
        <w:t>.</w:t>
      </w:r>
      <w:r>
        <w:rPr>
          <w:rStyle w:val="FootnoteReference"/>
        </w:rPr>
        <w:footnoteReference w:id="79"/>
      </w:r>
      <w:r w:rsidRPr="005F763D">
        <w:t xml:space="preserve"> </w:t>
      </w:r>
    </w:p>
    <w:p w:rsidR="00C84BFE" w:rsidRPr="00C84BFE" w:rsidRDefault="00C84BFE" w:rsidP="00C84BFE">
      <w:pPr>
        <w:pStyle w:val="Heading2"/>
      </w:pPr>
      <w:bookmarkStart w:id="53" w:name="_Toc373499994"/>
      <w:bookmarkStart w:id="54" w:name="_Toc373773979"/>
      <w:r w:rsidRPr="00C84BFE">
        <w:t>AER's preliminary position</w:t>
      </w:r>
      <w:bookmarkEnd w:id="53"/>
      <w:bookmarkEnd w:id="54"/>
      <w:r w:rsidRPr="00C84BFE">
        <w:t xml:space="preserve"> </w:t>
      </w:r>
    </w:p>
    <w:p w:rsidR="00C84BFE" w:rsidRPr="005F763D" w:rsidRDefault="00C84BFE" w:rsidP="00C84BFE">
      <w:pPr>
        <w:pStyle w:val="AERbodytext"/>
      </w:pPr>
      <w:r>
        <w:t>Our preliminary</w:t>
      </w:r>
      <w:r w:rsidRPr="005F763D">
        <w:t xml:space="preserve"> position is to apply the following forms of control in the 2015–20</w:t>
      </w:r>
      <w:r w:rsidR="00421D98">
        <w:t>20</w:t>
      </w:r>
      <w:r w:rsidRPr="005F763D">
        <w:t xml:space="preserve"> regulatory control period:</w:t>
      </w:r>
    </w:p>
    <w:p w:rsidR="00C84BFE" w:rsidRPr="005F763D" w:rsidRDefault="00C84BFE" w:rsidP="00C84BFE">
      <w:pPr>
        <w:pStyle w:val="AERbulletlistfirststyle"/>
      </w:pPr>
      <w:r w:rsidRPr="005F763D">
        <w:t xml:space="preserve">Revenue cap — for services we have classified as standard control services. </w:t>
      </w:r>
    </w:p>
    <w:p w:rsidR="00C84BFE" w:rsidRPr="005F763D" w:rsidRDefault="00C84BFE" w:rsidP="00C84BFE">
      <w:pPr>
        <w:pStyle w:val="AERbulletlistfirststyle"/>
      </w:pPr>
      <w:r w:rsidRPr="005F763D">
        <w:t>Price cap for individual service</w:t>
      </w:r>
      <w:r>
        <w:t>s</w:t>
      </w:r>
      <w:r w:rsidRPr="005F763D">
        <w:t xml:space="preserve"> — for services we have classified as alternative control services.</w:t>
      </w:r>
    </w:p>
    <w:p w:rsidR="00C84BFE" w:rsidRPr="00C84BFE" w:rsidRDefault="00C84BFE" w:rsidP="00C84BFE">
      <w:pPr>
        <w:pStyle w:val="Heading2"/>
      </w:pPr>
      <w:bookmarkStart w:id="55" w:name="_Toc373499995"/>
      <w:bookmarkStart w:id="56" w:name="_Toc373773980"/>
      <w:r w:rsidRPr="00C84BFE">
        <w:t>AER's assessment approach</w:t>
      </w:r>
      <w:bookmarkEnd w:id="55"/>
      <w:bookmarkEnd w:id="56"/>
    </w:p>
    <w:p w:rsidR="00C84BFE" w:rsidRPr="00C84BFE" w:rsidRDefault="00C84BFE" w:rsidP="00C84BFE">
      <w:pPr>
        <w:pStyle w:val="AERbodytext"/>
        <w:rPr>
          <w:rFonts w:eastAsia="Calibri"/>
        </w:rPr>
      </w:pPr>
      <w:r w:rsidRPr="00C84BFE">
        <w:rPr>
          <w:rFonts w:eastAsia="Calibri"/>
        </w:rPr>
        <w:t>Our consideration of the control mechanisms for direct control services consists of three parts:</w:t>
      </w:r>
    </w:p>
    <w:p w:rsidR="00C84BFE" w:rsidRPr="00C84BFE" w:rsidRDefault="00C84BFE" w:rsidP="00C84BFE">
      <w:pPr>
        <w:pStyle w:val="AERbulletlistfirststyle"/>
        <w:rPr>
          <w:rFonts w:eastAsia="Calibri"/>
        </w:rPr>
      </w:pPr>
      <w:r w:rsidRPr="00C84BFE">
        <w:rPr>
          <w:rFonts w:eastAsia="Calibri"/>
        </w:rPr>
        <w:t>the control mechanism</w:t>
      </w:r>
      <w:r w:rsidRPr="00C84BFE">
        <w:rPr>
          <w:rStyle w:val="FootnoteReference"/>
          <w:rFonts w:eastAsia="Calibri"/>
        </w:rPr>
        <w:footnoteReference w:id="80"/>
      </w:r>
    </w:p>
    <w:p w:rsidR="00C84BFE" w:rsidRPr="005F763D" w:rsidRDefault="00C84BFE" w:rsidP="00C84BFE">
      <w:pPr>
        <w:pStyle w:val="AERbulletlistfirststyle"/>
      </w:pPr>
      <w:r w:rsidRPr="00C84BFE">
        <w:rPr>
          <w:rFonts w:eastAsia="Calibri"/>
        </w:rPr>
        <w:t>the basis of the control mechanism</w:t>
      </w:r>
      <w:r w:rsidRPr="00C84BFE">
        <w:rPr>
          <w:rStyle w:val="FootnoteReference"/>
          <w:rFonts w:eastAsia="Calibri"/>
        </w:rPr>
        <w:footnoteReference w:id="81"/>
      </w:r>
    </w:p>
    <w:p w:rsidR="00C84BFE" w:rsidRPr="005F763D" w:rsidRDefault="00C84BFE" w:rsidP="00C84BFE">
      <w:pPr>
        <w:pStyle w:val="AERbulletlistfirststyle"/>
      </w:pPr>
      <w:r w:rsidRPr="00C84BFE">
        <w:rPr>
          <w:rFonts w:eastAsia="Calibri"/>
        </w:rPr>
        <w:t>the formulae to give effect to the control mechanisms.</w:t>
      </w:r>
    </w:p>
    <w:p w:rsidR="00C84BFE" w:rsidRPr="00C84BFE" w:rsidRDefault="00C84BFE" w:rsidP="00C84BFE">
      <w:pPr>
        <w:pStyle w:val="AERbodytext"/>
        <w:rPr>
          <w:rFonts w:eastAsia="Calibri"/>
        </w:rPr>
      </w:pPr>
      <w:r w:rsidRPr="00C84BFE">
        <w:rPr>
          <w:rFonts w:eastAsia="Calibri"/>
        </w:rPr>
        <w:t>Clause 6.2.5(b) of the rules sets out the control mechanisms that may apply to both standard and alternative control services:</w:t>
      </w:r>
    </w:p>
    <w:p w:rsidR="00C84BFE" w:rsidRPr="00C84BFE" w:rsidRDefault="00C84BFE" w:rsidP="00C84BFE">
      <w:pPr>
        <w:pStyle w:val="AERbulletlistfirststyle"/>
        <w:rPr>
          <w:rFonts w:eastAsia="Calibri"/>
        </w:rPr>
      </w:pPr>
      <w:r w:rsidRPr="00C84BFE">
        <w:rPr>
          <w:rFonts w:eastAsia="Calibri"/>
        </w:rPr>
        <w:t>a schedule of fixed prices</w:t>
      </w:r>
    </w:p>
    <w:p w:rsidR="00C84BFE" w:rsidRPr="005F763D" w:rsidRDefault="00C84BFE" w:rsidP="00C84BFE">
      <w:pPr>
        <w:pStyle w:val="AERbodytextindent1"/>
      </w:pPr>
      <w:r w:rsidRPr="005F763D">
        <w:t xml:space="preserve">A schedule of fixed prices specifies a price for every service provided by a </w:t>
      </w:r>
      <w:r>
        <w:t>distributor</w:t>
      </w:r>
      <w:r w:rsidRPr="005F763D">
        <w:t>. The specified prices are escalated annually by inflation, the X factor</w:t>
      </w:r>
      <w:r>
        <w:rPr>
          <w:rStyle w:val="FootnoteReference"/>
        </w:rPr>
        <w:footnoteReference w:id="82"/>
      </w:r>
      <w:r w:rsidRPr="005F763D">
        <w:t xml:space="preserve"> and applicable adjustment </w:t>
      </w:r>
      <w:r w:rsidRPr="005F763D">
        <w:lastRenderedPageBreak/>
        <w:t>factors</w:t>
      </w:r>
      <w:r w:rsidR="009D6F03">
        <w:t>.</w:t>
      </w:r>
      <w:r>
        <w:rPr>
          <w:rStyle w:val="FootnoteReference"/>
        </w:rPr>
        <w:footnoteReference w:id="83"/>
      </w:r>
      <w:r w:rsidRPr="005F763D">
        <w:t xml:space="preserve"> </w:t>
      </w:r>
      <w:r>
        <w:t xml:space="preserve">Distributors </w:t>
      </w:r>
      <w:r w:rsidRPr="005F763D">
        <w:t>comply with the constraint by submitting prices matching the schedule in the first year and then escalated prices in subsequent years.</w:t>
      </w:r>
    </w:p>
    <w:p w:rsidR="00C84BFE" w:rsidRPr="005F763D" w:rsidRDefault="00C84BFE" w:rsidP="00C84BFE">
      <w:pPr>
        <w:pStyle w:val="AERbulletlistfirststyle"/>
      </w:pPr>
      <w:r w:rsidRPr="00C84BFE">
        <w:rPr>
          <w:rFonts w:eastAsia="Calibri"/>
        </w:rPr>
        <w:t>caps on the prices of individual services</w:t>
      </w:r>
      <w:r w:rsidRPr="00C84BFE">
        <w:rPr>
          <w:rStyle w:val="AERsuperscript"/>
          <w:rFonts w:eastAsia="Calibri"/>
        </w:rPr>
        <w:footnoteReference w:id="84"/>
      </w:r>
    </w:p>
    <w:p w:rsidR="00C84BFE" w:rsidRPr="005F763D" w:rsidRDefault="00C84BFE" w:rsidP="00C84BFE">
      <w:pPr>
        <w:pStyle w:val="AERbodytextindent1"/>
      </w:pPr>
      <w:r w:rsidRPr="005F763D">
        <w:t xml:space="preserve">Caps on the prices of individual services are the same as a schedule of fixed </w:t>
      </w:r>
      <w:r>
        <w:t>prices except that a distributor</w:t>
      </w:r>
      <w:r w:rsidRPr="005F763D">
        <w:t xml:space="preserve"> may set prices below the specified prices.</w:t>
      </w:r>
    </w:p>
    <w:p w:rsidR="00C84BFE" w:rsidRPr="005F763D" w:rsidRDefault="00C84BFE" w:rsidP="00C84BFE">
      <w:pPr>
        <w:pStyle w:val="AERbulletlistfirststyle"/>
      </w:pPr>
      <w:r w:rsidRPr="00C84BFE">
        <w:rPr>
          <w:rFonts w:eastAsia="Calibri"/>
        </w:rPr>
        <w:t xml:space="preserve">caps on the revenue to be derived from a particular combination of services (revenue cap) </w:t>
      </w:r>
    </w:p>
    <w:p w:rsidR="00C84BFE" w:rsidRPr="005F763D" w:rsidRDefault="00C84BFE" w:rsidP="00C84BFE">
      <w:pPr>
        <w:pStyle w:val="AERbodytextindent1"/>
      </w:pPr>
      <w:r w:rsidRPr="005F763D">
        <w:t xml:space="preserve">A revenue cap sets a maximum allowable revenue (MAR) for each year of the regulatory control period. </w:t>
      </w:r>
      <w:r>
        <w:t>Distributors</w:t>
      </w:r>
      <w:r w:rsidRPr="005F763D">
        <w:t xml:space="preserve"> must then recover revenue equal to or less than the MAR. </w:t>
      </w:r>
      <w:r>
        <w:t>Distributors</w:t>
      </w:r>
      <w:r w:rsidRPr="005F763D">
        <w:t xml:space="preserve"> comply with the constraint by forecasting sales for the next regulatory year and setting prices so the expected revenue is equal to or less than the MAR. At the end of each </w:t>
      </w:r>
      <w:r>
        <w:t>regulatory year, the distributor</w:t>
      </w:r>
      <w:r w:rsidRPr="005F763D">
        <w:t xml:space="preserve"> reports its actual revenues to us. We account for differences between the actual revenue recovered and the MAR in future years. This operation occurs through an 'overs and unders' account, whereby any over-recovery (under-recovery) is deducted from (added to) the MAR in future years.</w:t>
      </w:r>
    </w:p>
    <w:p w:rsidR="00C84BFE" w:rsidRPr="005F763D" w:rsidRDefault="00C84BFE" w:rsidP="00C84BFE">
      <w:pPr>
        <w:pStyle w:val="AERbulletlistfirststyle"/>
      </w:pPr>
      <w:r w:rsidRPr="005F763D">
        <w:t>tariff basket price control (WAPC)</w:t>
      </w:r>
    </w:p>
    <w:p w:rsidR="00C84BFE" w:rsidRPr="005F763D" w:rsidRDefault="00C84BFE" w:rsidP="00C84BFE">
      <w:pPr>
        <w:pStyle w:val="AERbodytextindent1"/>
      </w:pPr>
      <w:r w:rsidRPr="005F763D">
        <w:t xml:space="preserve">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w:t>
      </w:r>
      <w:r>
        <w:t xml:space="preserve">Distributors </w:t>
      </w:r>
      <w:r w:rsidRPr="005F763D">
        <w:t>comply with the constraint by setting prices so the change in the weighted average price is equal to or less than the CPI–X cap. Importantly, the WAPC places no cap on the re</w:t>
      </w:r>
      <w:r>
        <w:t>venue recovered by a distributor</w:t>
      </w:r>
      <w:r w:rsidRPr="005F763D">
        <w:t xml:space="preserve"> in any given year. That is, if revenue recovered under the WAPC is greater than (less than) the e</w:t>
      </w:r>
      <w:r>
        <w:t>xpected revenue, the distributor</w:t>
      </w:r>
      <w:r w:rsidRPr="005F763D">
        <w:t xml:space="preserve"> keeps (loses) that additional (shortfall) revenue.</w:t>
      </w:r>
    </w:p>
    <w:p w:rsidR="00C84BFE" w:rsidRPr="005F763D" w:rsidRDefault="00C84BFE" w:rsidP="00C84BFE">
      <w:pPr>
        <w:pStyle w:val="AERbulletlistfirststyle"/>
      </w:pPr>
      <w:r w:rsidRPr="005F763D">
        <w:t>revenue yield control (average revenue cap)</w:t>
      </w:r>
    </w:p>
    <w:p w:rsidR="00C84BFE" w:rsidRPr="005F763D" w:rsidRDefault="00C84BFE" w:rsidP="00C84BFE">
      <w:pPr>
        <w:pStyle w:val="AERbodytextindent1"/>
      </w:pPr>
      <w:r w:rsidRPr="005F763D">
        <w:t>An average revenue cap is a cap on the average revenue per unit of electricity so</w:t>
      </w:r>
      <w:r>
        <w:t>ld that a distributor</w:t>
      </w:r>
      <w:r w:rsidRPr="005F763D">
        <w:t xml:space="preserve"> can recover. The cap is calculated by dividing the MAR by a particular unit (or units) of output, usually kilow</w:t>
      </w:r>
      <w:r>
        <w:t>att hours (kWh). The distributor</w:t>
      </w:r>
      <w:r w:rsidRPr="005F763D">
        <w:t xml:space="preserve"> complies with the constraint by setting prices so the average revenue is equal to or less than the MAR per unit of output.</w:t>
      </w:r>
    </w:p>
    <w:p w:rsidR="00C84BFE" w:rsidRPr="005F763D" w:rsidRDefault="00C84BFE" w:rsidP="00C84BFE">
      <w:pPr>
        <w:pStyle w:val="AERbulletlistfirststyle"/>
      </w:pPr>
      <w:r w:rsidRPr="005F763D">
        <w:t>a combinati</w:t>
      </w:r>
      <w:r w:rsidR="00855F25">
        <w:t>on of any of the above (hybrid)</w:t>
      </w:r>
    </w:p>
    <w:p w:rsidR="00C84BFE" w:rsidRDefault="00C84BFE" w:rsidP="00C84BFE">
      <w:pPr>
        <w:pStyle w:val="AERbodytextindent1"/>
      </w:pPr>
      <w:r w:rsidRPr="005F763D">
        <w:t xml:space="preserve">A </w:t>
      </w:r>
      <w:r>
        <w:t>h</w:t>
      </w:r>
      <w:r w:rsidRPr="005F763D">
        <w:t xml:space="preserve">ybrid control mechanism is any combination of the above mechanisms. Typically, hybrid approaches involve a proportion of revenue that is fixed and a proportion that varies according to </w:t>
      </w:r>
      <w:r w:rsidRPr="005F763D">
        <w:br/>
        <w:t>pre-determined parameters, such as peak demand.</w:t>
      </w:r>
    </w:p>
    <w:p w:rsidR="00952679" w:rsidRPr="005F763D" w:rsidRDefault="00952679" w:rsidP="00952679">
      <w:pPr>
        <w:pStyle w:val="AERbodytext"/>
      </w:pPr>
      <w:r w:rsidRPr="00952679">
        <w:rPr>
          <w:rStyle w:val="AERbody"/>
        </w:rPr>
        <w:t xml:space="preserve">In considering our preliminary position, we have not considered a schedule of fixed prices or caps on the prices of individual standard control services. This is because we consider these </w:t>
      </w:r>
      <w:r w:rsidRPr="00952679">
        <w:t xml:space="preserve">direct price </w:t>
      </w:r>
      <w:r w:rsidRPr="00952679">
        <w:lastRenderedPageBreak/>
        <w:t xml:space="preserve">control mechanisms do not provide the level of flexibility within the regulatory control period for distributors to manage distribution use of service charges shared across the broad customer base. Consequently, our assessment is focussed on a revenue cap or WAPC. </w:t>
      </w:r>
    </w:p>
    <w:p w:rsidR="00C84BFE" w:rsidRPr="00855F25" w:rsidRDefault="00C84BFE" w:rsidP="00855F25">
      <w:pPr>
        <w:pStyle w:val="Heading3"/>
      </w:pPr>
      <w:bookmarkStart w:id="57" w:name="_Toc373499996"/>
      <w:bookmarkStart w:id="58" w:name="_Toc373773981"/>
      <w:r w:rsidRPr="00855F25">
        <w:t>Standard control services</w:t>
      </w:r>
      <w:bookmarkEnd w:id="57"/>
      <w:bookmarkEnd w:id="58"/>
    </w:p>
    <w:p w:rsidR="00C84BFE" w:rsidRPr="00C84BFE" w:rsidRDefault="00C84BFE" w:rsidP="00C84BFE">
      <w:pPr>
        <w:pStyle w:val="AERbodytext"/>
        <w:rPr>
          <w:rFonts w:eastAsia="Calibri"/>
        </w:rPr>
      </w:pPr>
      <w:r w:rsidRPr="00C84BFE">
        <w:rPr>
          <w:rFonts w:eastAsia="Calibri"/>
        </w:rPr>
        <w:t>In determining a control mechanism to apply to standard control services, we will have regard to the factors in clause 6.2.5(c) of the rules:</w:t>
      </w:r>
    </w:p>
    <w:p w:rsidR="00C84BFE" w:rsidRPr="005F763D" w:rsidRDefault="00C84BFE" w:rsidP="00C84BFE">
      <w:pPr>
        <w:pStyle w:val="AERbulletlistfirststyle"/>
      </w:pPr>
      <w:r w:rsidRPr="00C84BFE">
        <w:rPr>
          <w:rFonts w:eastAsia="Calibri"/>
        </w:rPr>
        <w:t>the need for efficient tariff structures</w:t>
      </w:r>
    </w:p>
    <w:p w:rsidR="00C84BFE" w:rsidRPr="005F763D" w:rsidRDefault="00C84BFE" w:rsidP="00C84BFE">
      <w:pPr>
        <w:pStyle w:val="AERbulletlistfirststyle"/>
      </w:pPr>
      <w:r w:rsidRPr="005F763D">
        <w:t>the possible effects of the control mechanism on administrative c</w:t>
      </w:r>
      <w:r>
        <w:t xml:space="preserve">osts of </w:t>
      </w:r>
      <w:r w:rsidR="009D6F03">
        <w:t>us</w:t>
      </w:r>
      <w:r>
        <w:t xml:space="preserve">, </w:t>
      </w:r>
      <w:r w:rsidR="002B5CB9">
        <w:t>SA Power Networks</w:t>
      </w:r>
      <w:r w:rsidRPr="005F763D">
        <w:t>, users or potential users</w:t>
      </w:r>
    </w:p>
    <w:p w:rsidR="00C84BFE" w:rsidRPr="005F763D" w:rsidRDefault="00C84BFE" w:rsidP="00C84BFE">
      <w:pPr>
        <w:pStyle w:val="AERbulletlistfirststyle"/>
      </w:pPr>
      <w:r w:rsidRPr="005F763D">
        <w:t>the regulatory arrangements (if any) applicable to the relevant service immediately before the commencement of the distribution determination</w:t>
      </w:r>
    </w:p>
    <w:p w:rsidR="00C84BFE" w:rsidRPr="005F763D" w:rsidRDefault="00C84BFE" w:rsidP="00C84BFE">
      <w:pPr>
        <w:pStyle w:val="AERbulletlistfirststyle"/>
      </w:pPr>
      <w:r w:rsidRPr="005F763D">
        <w:t>the desirability of consistency between regulatory arrangements for similar services (both within and beyond the relevant jurisdiction)</w:t>
      </w:r>
    </w:p>
    <w:p w:rsidR="00C84BFE" w:rsidRPr="005F763D" w:rsidRDefault="00C84BFE" w:rsidP="00C84BFE">
      <w:pPr>
        <w:pStyle w:val="AERbulletlistfirststyle"/>
      </w:pPr>
      <w:r w:rsidRPr="005F763D">
        <w:t>any other relevant factor.</w:t>
      </w:r>
    </w:p>
    <w:p w:rsidR="00C84BFE" w:rsidRPr="005F763D" w:rsidRDefault="00C84BFE" w:rsidP="00C84BFE">
      <w:pPr>
        <w:pStyle w:val="AERbodytext"/>
      </w:pPr>
      <w:r w:rsidRPr="005F763D">
        <w:t xml:space="preserve">We propose to have regard to three other </w:t>
      </w:r>
      <w:r>
        <w:t xml:space="preserve">relevant </w:t>
      </w:r>
      <w:r w:rsidRPr="005F763D">
        <w:t xml:space="preserve">factors which we consider are relevant to assessing the most appropriate control mechanism: </w:t>
      </w:r>
    </w:p>
    <w:p w:rsidR="00C84BFE" w:rsidRPr="005F763D" w:rsidRDefault="00C84BFE" w:rsidP="00C84BFE">
      <w:pPr>
        <w:pStyle w:val="AERbulletlistfirststyle"/>
      </w:pPr>
      <w:r w:rsidRPr="005F763D">
        <w:t xml:space="preserve">revenue recovery </w:t>
      </w:r>
    </w:p>
    <w:p w:rsidR="00C84BFE" w:rsidRPr="005F763D" w:rsidRDefault="00C84BFE" w:rsidP="00C84BFE">
      <w:pPr>
        <w:pStyle w:val="AERbulletlistfirststyle"/>
      </w:pPr>
      <w:r w:rsidRPr="005F763D">
        <w:t>price flexibility and stability</w:t>
      </w:r>
    </w:p>
    <w:p w:rsidR="00C84BFE" w:rsidRPr="005F763D" w:rsidRDefault="00C84BFE" w:rsidP="00C84BFE">
      <w:pPr>
        <w:pStyle w:val="AERbulletlistfirststyle"/>
      </w:pPr>
      <w:r w:rsidRPr="005F763D">
        <w:t>incentives for demand side management.</w:t>
      </w:r>
    </w:p>
    <w:p w:rsidR="00C84BFE" w:rsidRPr="005F763D" w:rsidRDefault="00C84BFE" w:rsidP="00C84BFE">
      <w:pPr>
        <w:pStyle w:val="AERbodytext"/>
      </w:pPr>
      <w:r w:rsidRPr="005F763D">
        <w:t>The basis of the control mechanism for standard control services must be of the prospective CPI–X form or some incentive-based variant.</w:t>
      </w:r>
      <w:r w:rsidRPr="00D67E86">
        <w:rPr>
          <w:rStyle w:val="AERsuperscript"/>
        </w:rPr>
        <w:footnoteReference w:id="85"/>
      </w:r>
    </w:p>
    <w:p w:rsidR="00C84BFE" w:rsidRPr="005F763D" w:rsidRDefault="00C84BFE" w:rsidP="00C84BFE">
      <w:pPr>
        <w:pStyle w:val="AERbodytext"/>
      </w:pPr>
      <w:r w:rsidRPr="005F763D">
        <w:t xml:space="preserve">The following subsections outline </w:t>
      </w:r>
      <w:r>
        <w:t xml:space="preserve">our consideration of each of the above factors in </w:t>
      </w:r>
      <w:r w:rsidRPr="005F763D">
        <w:t>determining the form of control for standard control services.</w:t>
      </w:r>
    </w:p>
    <w:p w:rsidR="00C84BFE" w:rsidRPr="00855F25" w:rsidRDefault="00A36E64" w:rsidP="00855F25">
      <w:pPr>
        <w:pStyle w:val="HeadingBoldBlue"/>
        <w:rPr>
          <w:rStyle w:val="AERtextblue"/>
        </w:rPr>
      </w:pPr>
      <w:r>
        <w:rPr>
          <w:rStyle w:val="AERtextblue"/>
        </w:rPr>
        <w:t>N</w:t>
      </w:r>
      <w:r w:rsidR="00C84BFE" w:rsidRPr="00855F25">
        <w:rPr>
          <w:rStyle w:val="AERtextblue"/>
        </w:rPr>
        <w:t>eed for efficient tariff structures</w:t>
      </w:r>
    </w:p>
    <w:p w:rsidR="00C84BFE" w:rsidRPr="005F763D" w:rsidRDefault="00C84BFE" w:rsidP="00C84BFE">
      <w:pPr>
        <w:pStyle w:val="AERbodytext"/>
      </w:pPr>
      <w:r w:rsidRPr="003F13A3">
        <w:rPr>
          <w:rStyle w:val="AERbody"/>
          <w:rFonts w:eastAsia="+mn-ea"/>
        </w:rPr>
        <w:t>Appendix C</w:t>
      </w:r>
      <w:r w:rsidRPr="00C84BFE">
        <w:rPr>
          <w:rFonts w:eastAsia="+mn-ea"/>
        </w:rPr>
        <w:t xml:space="preserve"> outlines some high level considerations about the concept of efficient pricing structures. Broadly, we consider prices are efficient if they reflect the underlying cost of supplying distribution services and take into account customers’ willingness to pay. </w:t>
      </w:r>
    </w:p>
    <w:p w:rsidR="00C84BFE" w:rsidRPr="005F763D" w:rsidRDefault="00C84BFE" w:rsidP="00C84BFE">
      <w:pPr>
        <w:pStyle w:val="AERbodytext"/>
      </w:pPr>
      <w:r w:rsidRPr="005F763D">
        <w:t>Efficient pricing is important for several reasons:</w:t>
      </w:r>
    </w:p>
    <w:p w:rsidR="00C84BFE" w:rsidRPr="005F763D" w:rsidRDefault="003F13A3" w:rsidP="00C84BFE">
      <w:pPr>
        <w:pStyle w:val="AERbulletlistfirststyle"/>
      </w:pPr>
      <w:r>
        <w:t>w</w:t>
      </w:r>
      <w:r w:rsidR="00C84BFE" w:rsidRPr="005F763D">
        <w:t>here prices are cost reflective, allocative efficiency is maximised because consumers can compare the cost of providing the service to their needs and wants.</w:t>
      </w:r>
      <w:r w:rsidR="00C84BFE" w:rsidRPr="00D67E86">
        <w:rPr>
          <w:rStyle w:val="AERsuperscript"/>
        </w:rPr>
        <w:footnoteReference w:id="86"/>
      </w:r>
      <w:r w:rsidR="00C84BFE" w:rsidRPr="005F763D">
        <w:t xml:space="preserve"> </w:t>
      </w:r>
    </w:p>
    <w:p w:rsidR="00C84BFE" w:rsidRPr="005F763D" w:rsidRDefault="003F13A3" w:rsidP="00C84BFE">
      <w:pPr>
        <w:pStyle w:val="AERbulletlistfirststyle"/>
      </w:pPr>
      <w:r>
        <w:lastRenderedPageBreak/>
        <w:t>w</w:t>
      </w:r>
      <w:r w:rsidR="00C84BFE" w:rsidRPr="005F763D">
        <w:t>here prices are cost reflective, consumers and providers of demand side management face efficient incentives because they can take into account the cost of providing the service in decision making.</w:t>
      </w:r>
    </w:p>
    <w:p w:rsidR="00C84BFE" w:rsidRPr="005F763D" w:rsidRDefault="003F13A3" w:rsidP="00C84BFE">
      <w:pPr>
        <w:pStyle w:val="AERbulletlistfirststyle"/>
      </w:pPr>
      <w:r>
        <w:t>c</w:t>
      </w:r>
      <w:r w:rsidR="00C84BFE" w:rsidRPr="005F763D">
        <w:t xml:space="preserve">ost reflective prices allow </w:t>
      </w:r>
      <w:r w:rsidR="00C84BFE">
        <w:t xml:space="preserve">distributors </w:t>
      </w:r>
      <w:r w:rsidR="00C84BFE" w:rsidRPr="005F763D">
        <w:t xml:space="preserve">to make efficient investment decisions. </w:t>
      </w:r>
      <w:r w:rsidR="00C84BFE">
        <w:t>C</w:t>
      </w:r>
      <w:r w:rsidR="00C84BFE" w:rsidRPr="005F763D">
        <w:t>onsumers base consumption decisions on the cost of providing the service compared to their value of consumption</w:t>
      </w:r>
      <w:r w:rsidR="00C84BFE">
        <w:t xml:space="preserve"> and</w:t>
      </w:r>
      <w:r w:rsidR="00C84BFE" w:rsidRPr="005F763D">
        <w:t xml:space="preserve"> increases </w:t>
      </w:r>
      <w:r w:rsidR="00C84BFE">
        <w:t>or</w:t>
      </w:r>
      <w:r w:rsidR="00C84BFE" w:rsidRPr="005F763D">
        <w:t xml:space="preserve"> decreases in demand signal the potential need for extra network capacity.</w:t>
      </w:r>
    </w:p>
    <w:p w:rsidR="00C84BFE" w:rsidRPr="00C84BFE" w:rsidRDefault="00C84BFE" w:rsidP="00855F25">
      <w:pPr>
        <w:pStyle w:val="HeadingBoldBlue"/>
      </w:pPr>
      <w:r w:rsidRPr="006755F8">
        <w:t>Administration costs</w:t>
      </w:r>
    </w:p>
    <w:p w:rsidR="00C84BFE" w:rsidRPr="005F763D" w:rsidRDefault="00C84BFE" w:rsidP="00C84BFE">
      <w:pPr>
        <w:pStyle w:val="AERbodytext"/>
      </w:pPr>
      <w:r w:rsidRPr="005F763D">
        <w:t xml:space="preserve">Where possible, a control mechanism should minimise the complexity and administrative burden for us, </w:t>
      </w:r>
      <w:r>
        <w:t>distributors</w:t>
      </w:r>
      <w:r w:rsidRPr="005F763D">
        <w:t xml:space="preserve"> and users. </w:t>
      </w:r>
    </w:p>
    <w:p w:rsidR="00C84BFE" w:rsidRPr="00C84BFE" w:rsidRDefault="00A36E64" w:rsidP="00855F25">
      <w:pPr>
        <w:pStyle w:val="HeadingBoldBlue"/>
      </w:pPr>
      <w:r>
        <w:t>E</w:t>
      </w:r>
      <w:r w:rsidR="00C84BFE" w:rsidRPr="006755F8">
        <w:t>xisting regulatory arrangements</w:t>
      </w:r>
    </w:p>
    <w:p w:rsidR="00C84BFE" w:rsidRPr="005F763D" w:rsidRDefault="00C84BFE" w:rsidP="00C84BFE">
      <w:pPr>
        <w:pStyle w:val="AERbodytext"/>
      </w:pPr>
      <w:r w:rsidRPr="00C84BFE">
        <w:rPr>
          <w:rFonts w:eastAsia="Calibri"/>
        </w:rPr>
        <w:t>We consider</w:t>
      </w:r>
      <w:r w:rsidRPr="005F763D">
        <w:t xml:space="preserve"> that consistency</w:t>
      </w:r>
      <w:r>
        <w:t xml:space="preserve"> in regulatory arrangements</w:t>
      </w:r>
      <w:r w:rsidRPr="005F763D">
        <w:t xml:space="preserve"> across regulatory periods for similar services </w:t>
      </w:r>
      <w:r>
        <w:t xml:space="preserve">provided by a distributor </w:t>
      </w:r>
      <w:r w:rsidRPr="005F763D">
        <w:t xml:space="preserve">is generally desirable. </w:t>
      </w:r>
    </w:p>
    <w:p w:rsidR="00C84BFE" w:rsidRPr="00C84BFE" w:rsidRDefault="00A36E64" w:rsidP="00855F25">
      <w:pPr>
        <w:pStyle w:val="HeadingBoldBlue"/>
      </w:pPr>
      <w:r>
        <w:t>D</w:t>
      </w:r>
      <w:r w:rsidR="00C84BFE" w:rsidRPr="006755F8">
        <w:t>esirability of consistency between regulatory arrangements</w:t>
      </w:r>
    </w:p>
    <w:p w:rsidR="00C84BFE" w:rsidRPr="005F763D" w:rsidRDefault="00C84BFE" w:rsidP="00C84BFE">
      <w:pPr>
        <w:pStyle w:val="AERbodytext"/>
      </w:pPr>
      <w:r w:rsidRPr="00C84BFE">
        <w:rPr>
          <w:rFonts w:eastAsia="Calibri"/>
        </w:rPr>
        <w:t>We consider that</w:t>
      </w:r>
      <w:r w:rsidRPr="005F763D">
        <w:t xml:space="preserve"> consistency within and across jurisdictions for similar services is generally desirable.</w:t>
      </w:r>
    </w:p>
    <w:p w:rsidR="00C84BFE" w:rsidRPr="00C84BFE" w:rsidRDefault="00C84BFE" w:rsidP="00855F25">
      <w:pPr>
        <w:pStyle w:val="HeadingBoldBlue"/>
      </w:pPr>
      <w:r w:rsidRPr="006755F8">
        <w:t>Revenue recovery</w:t>
      </w:r>
    </w:p>
    <w:p w:rsidR="00C84BFE" w:rsidRPr="005F763D" w:rsidRDefault="00C84BFE" w:rsidP="00C84BFE">
      <w:pPr>
        <w:pStyle w:val="AERbodytext"/>
      </w:pPr>
      <w:r w:rsidRPr="005F763D">
        <w:t xml:space="preserve">We consider that a control mechanism should give </w:t>
      </w:r>
      <w:r>
        <w:t xml:space="preserve">distributors </w:t>
      </w:r>
      <w:r w:rsidRPr="005F763D">
        <w:t xml:space="preserve">an opportunity to recover efficient costs. We also consider that a control mechanism should limit revenue recovery above such costs. Revenue recovery above efficient costs results in higher prices for </w:t>
      </w:r>
      <w:r w:rsidR="00D416AA">
        <w:t>consumers</w:t>
      </w:r>
      <w:r w:rsidRPr="005F763D">
        <w:t xml:space="preserve">. Further, </w:t>
      </w:r>
      <w:r>
        <w:t>distributors</w:t>
      </w:r>
      <w:r w:rsidRPr="005F763D">
        <w:t xml:space="preserve">' recovering additional revenue from price sensitive services through prices above marginal cost reduces allocative efficiency. </w:t>
      </w:r>
    </w:p>
    <w:p w:rsidR="00C84BFE" w:rsidRPr="00C84BFE" w:rsidRDefault="00C84BFE" w:rsidP="00855F25">
      <w:pPr>
        <w:pStyle w:val="HeadingBoldBlue"/>
      </w:pPr>
      <w:r w:rsidRPr="006755F8">
        <w:t>Pricing flexibility and stability</w:t>
      </w:r>
    </w:p>
    <w:p w:rsidR="00C84BFE" w:rsidRPr="005F763D" w:rsidRDefault="00C84BFE" w:rsidP="00C84BFE">
      <w:pPr>
        <w:pStyle w:val="AERbodytext"/>
      </w:pPr>
      <w:r w:rsidRPr="00C84BFE">
        <w:rPr>
          <w:rFonts w:eastAsia="Calibri"/>
        </w:rPr>
        <w:t xml:space="preserve">Price flexibility enables </w:t>
      </w:r>
      <w:r>
        <w:t xml:space="preserve">distributors </w:t>
      </w:r>
      <w:r w:rsidRPr="005F763D">
        <w:t xml:space="preserve">to restructure existing prices and/or introduce charges for new services. </w:t>
      </w:r>
    </w:p>
    <w:p w:rsidR="00C84BFE" w:rsidRPr="005F763D" w:rsidRDefault="00C84BFE" w:rsidP="00C84BFE">
      <w:pPr>
        <w:pStyle w:val="AERbodytext"/>
      </w:pPr>
      <w:r w:rsidRPr="005F763D">
        <w:t>The stability and predictability of distribution network prices is important because it affects consumers’ ability to manage bills and retailers' ability to manage risks incurred from changes to network prices.</w:t>
      </w:r>
    </w:p>
    <w:p w:rsidR="00C84BFE" w:rsidRPr="00C84BFE" w:rsidRDefault="00C84BFE" w:rsidP="00855F25">
      <w:pPr>
        <w:pStyle w:val="HeadingBoldBlue"/>
      </w:pPr>
      <w:r w:rsidRPr="006755F8">
        <w:t>Incentives for demand side management</w:t>
      </w:r>
    </w:p>
    <w:p w:rsidR="00C84BFE" w:rsidRPr="00C84BFE" w:rsidRDefault="00C84BFE" w:rsidP="00C84BFE">
      <w:pPr>
        <w:pStyle w:val="AERbodytext"/>
        <w:rPr>
          <w:rFonts w:eastAsia="Calibri"/>
        </w:rPr>
      </w:pPr>
      <w:r w:rsidRPr="005F763D">
        <w:t>Demand side management refers to the implementation of non-network solutions to avoid the need to build network infrastructure to meet increases in annual or peak demand.</w:t>
      </w:r>
      <w:r w:rsidRPr="006755F8">
        <w:rPr>
          <w:rStyle w:val="AERsuperscript"/>
        </w:rPr>
        <w:footnoteReference w:id="87"/>
      </w:r>
      <w:r w:rsidRPr="005F763D">
        <w:t xml:space="preserve"> We consider demand side management projects are efficient if the reduction in network expenditure is greater than the cost of implementing the project. Consumers benefit from efficient demand side management projects through reductions in total network costs. </w:t>
      </w:r>
    </w:p>
    <w:p w:rsidR="00C84BFE" w:rsidRPr="003F13A3" w:rsidRDefault="00C84BFE" w:rsidP="003F13A3">
      <w:pPr>
        <w:pStyle w:val="Heading3"/>
      </w:pPr>
      <w:bookmarkStart w:id="59" w:name="_Toc373499997"/>
      <w:bookmarkStart w:id="60" w:name="_Toc373773982"/>
      <w:r w:rsidRPr="003F13A3">
        <w:lastRenderedPageBreak/>
        <w:t>Alternative control services</w:t>
      </w:r>
      <w:bookmarkEnd w:id="59"/>
      <w:bookmarkEnd w:id="60"/>
    </w:p>
    <w:p w:rsidR="00C84BFE" w:rsidRPr="00C84BFE" w:rsidRDefault="00C84BFE" w:rsidP="00C84BFE">
      <w:pPr>
        <w:pStyle w:val="AERbodytext"/>
        <w:rPr>
          <w:rFonts w:eastAsia="Calibri"/>
        </w:rPr>
      </w:pPr>
      <w:r w:rsidRPr="00C84BFE">
        <w:rPr>
          <w:rFonts w:eastAsia="Calibri"/>
        </w:rPr>
        <w:t>We must have regard to the factors listed in clause 6.2.5(d) of the rules in deciding on a control mechanism for alternative control services:</w:t>
      </w:r>
    </w:p>
    <w:p w:rsidR="00C84BFE" w:rsidRPr="005F763D" w:rsidRDefault="00C84BFE" w:rsidP="00C84BFE">
      <w:pPr>
        <w:pStyle w:val="AERbulletlistfirststyle"/>
      </w:pPr>
      <w:r w:rsidRPr="00C84BFE">
        <w:rPr>
          <w:rFonts w:eastAsia="Calibri"/>
        </w:rPr>
        <w:t>the potential for the development of competition in the relevant market and how the control mechanism might influence that potential</w:t>
      </w:r>
    </w:p>
    <w:p w:rsidR="00C84BFE" w:rsidRPr="005F763D" w:rsidRDefault="00C84BFE" w:rsidP="00C84BFE">
      <w:pPr>
        <w:pStyle w:val="AERbulletlistfirststyle"/>
      </w:pPr>
      <w:r w:rsidRPr="005F763D">
        <w:t>the possible effects of the control mechanism on administr</w:t>
      </w:r>
      <w:r>
        <w:t>ative costs of the AER, the distributor</w:t>
      </w:r>
      <w:r w:rsidRPr="005F763D">
        <w:t xml:space="preserve"> and users or potential users</w:t>
      </w:r>
    </w:p>
    <w:p w:rsidR="00C84BFE" w:rsidRPr="005F763D" w:rsidRDefault="00C84BFE" w:rsidP="00C84BFE">
      <w:pPr>
        <w:pStyle w:val="AERbulletlistfirststyle"/>
      </w:pPr>
      <w:r w:rsidRPr="005F763D">
        <w:t>the regulatory arrangements (if any) applicable to the relevant service immediately before the commencement of the distribution determination</w:t>
      </w:r>
    </w:p>
    <w:p w:rsidR="00C84BFE" w:rsidRPr="005F763D" w:rsidRDefault="00C84BFE" w:rsidP="00C84BFE">
      <w:pPr>
        <w:pStyle w:val="AERbulletlistfirststyle"/>
      </w:pPr>
      <w:r w:rsidRPr="005F763D">
        <w:t>the desirability of consistency between regulatory arrangements for similar services (both within and beyond the relevant jurisdiction)</w:t>
      </w:r>
    </w:p>
    <w:p w:rsidR="00C84BFE" w:rsidRPr="005F763D" w:rsidRDefault="00C84BFE" w:rsidP="00C84BFE">
      <w:pPr>
        <w:pStyle w:val="AERbulletlistfirststyle"/>
      </w:pPr>
      <w:r w:rsidRPr="005F763D">
        <w:t>any other relevant factor.</w:t>
      </w:r>
    </w:p>
    <w:p w:rsidR="00C84BFE" w:rsidRPr="00C84BFE" w:rsidRDefault="00C84BFE" w:rsidP="00C84BFE">
      <w:pPr>
        <w:pStyle w:val="AERbodytext"/>
        <w:rPr>
          <w:rFonts w:eastAsia="Calibri"/>
        </w:rPr>
      </w:pPr>
      <w:r w:rsidRPr="00C84BFE">
        <w:rPr>
          <w:rFonts w:eastAsia="Calibri"/>
        </w:rPr>
        <w:t>The control mechanism must have a basis stated in the distribution determination.</w:t>
      </w:r>
      <w:r w:rsidRPr="00C84BFE">
        <w:rPr>
          <w:rStyle w:val="AERsuperscript"/>
          <w:rFonts w:eastAsia="Calibri"/>
        </w:rPr>
        <w:footnoteReference w:id="88"/>
      </w:r>
      <w:r w:rsidRPr="00C84BFE">
        <w:rPr>
          <w:rFonts w:eastAsia="Calibri"/>
        </w:rPr>
        <w:t xml:space="preserve"> This may, but need not, utilise elements of Part C of chapter 6 of the rules with or without modification. For example, the control mechanism may, but need not, use a building block approach or incorporate a pass-through mechanism.</w:t>
      </w:r>
      <w:r w:rsidRPr="00C84BFE">
        <w:rPr>
          <w:rStyle w:val="AERsuperscript"/>
          <w:rFonts w:eastAsia="Calibri"/>
        </w:rPr>
        <w:footnoteReference w:id="89"/>
      </w:r>
    </w:p>
    <w:p w:rsidR="00C84BFE" w:rsidRPr="00BE0AB8" w:rsidRDefault="00C84BFE" w:rsidP="00BE0AB8">
      <w:pPr>
        <w:pStyle w:val="Heading2"/>
      </w:pPr>
      <w:bookmarkStart w:id="61" w:name="_Toc373499998"/>
      <w:bookmarkStart w:id="62" w:name="_Toc373773983"/>
      <w:r w:rsidRPr="00BE0AB8">
        <w:t>Reasons for AER's preliminary position</w:t>
      </w:r>
      <w:bookmarkEnd w:id="61"/>
      <w:bookmarkEnd w:id="62"/>
      <w:r w:rsidRPr="00BE0AB8">
        <w:t xml:space="preserve"> </w:t>
      </w:r>
    </w:p>
    <w:p w:rsidR="00C84BFE" w:rsidRPr="00B33E52" w:rsidRDefault="00C84BFE" w:rsidP="00C84BFE">
      <w:pPr>
        <w:pStyle w:val="AERbodytext"/>
      </w:pPr>
      <w:r>
        <w:t>This section sets out the reasons for our preliminary position on the forms of control for the 2015</w:t>
      </w:r>
      <w:r w:rsidR="009D6F03">
        <w:rPr>
          <w:rFonts w:cs="Gautami"/>
        </w:rPr>
        <w:t>–</w:t>
      </w:r>
      <w:r>
        <w:t>2020 regulatory control period regarding standard and alternative control services.</w:t>
      </w:r>
    </w:p>
    <w:p w:rsidR="00C84BFE" w:rsidRPr="00BE0AB8" w:rsidRDefault="00C84BFE" w:rsidP="00BE0AB8">
      <w:pPr>
        <w:pStyle w:val="Heading3"/>
      </w:pPr>
      <w:bookmarkStart w:id="63" w:name="_Toc373499999"/>
      <w:bookmarkStart w:id="64" w:name="_Toc373773984"/>
      <w:r w:rsidRPr="00BE0AB8">
        <w:t>Standard control services</w:t>
      </w:r>
      <w:bookmarkEnd w:id="63"/>
      <w:bookmarkEnd w:id="64"/>
    </w:p>
    <w:p w:rsidR="00C84BFE" w:rsidRPr="005F763D" w:rsidRDefault="00C84BFE" w:rsidP="00C84BFE">
      <w:pPr>
        <w:pStyle w:val="AERbodytext"/>
      </w:pPr>
      <w:r w:rsidRPr="005F763D">
        <w:t>We consider that a revenue cap best meets the factors set out under clause 6.2.5(c) compared to the other available control mechanism</w:t>
      </w:r>
      <w:r>
        <w:t>s under clause 6.2.5(b) of the r</w:t>
      </w:r>
      <w:r w:rsidRPr="005F763D">
        <w:t>ules. We consider that a change from a WAPC</w:t>
      </w:r>
      <w:r>
        <w:t>, which applies in the current regulatory period,</w:t>
      </w:r>
      <w:r w:rsidRPr="005F763D">
        <w:t xml:space="preserve"> to a revenue cap will result in benefits to consumers through: </w:t>
      </w:r>
    </w:p>
    <w:p w:rsidR="00C84BFE" w:rsidRPr="005F763D" w:rsidRDefault="00C84BFE" w:rsidP="00C84BFE">
      <w:pPr>
        <w:pStyle w:val="AERbulletlistfirststyle"/>
      </w:pPr>
      <w:r w:rsidRPr="005F763D">
        <w:t>a higher likelihood of revenue recovery at efficient cost</w:t>
      </w:r>
    </w:p>
    <w:p w:rsidR="00C84BFE" w:rsidRPr="005F763D" w:rsidRDefault="00C84BFE" w:rsidP="00C84BFE">
      <w:pPr>
        <w:pStyle w:val="AERbulletlistfirststyle"/>
      </w:pPr>
      <w:r w:rsidRPr="005F763D">
        <w:t>lower administration costs</w:t>
      </w:r>
    </w:p>
    <w:p w:rsidR="00C84BFE" w:rsidRPr="005F763D" w:rsidRDefault="00C84BFE" w:rsidP="00C84BFE">
      <w:pPr>
        <w:pStyle w:val="AERbulletlistfirststyle"/>
      </w:pPr>
      <w:r w:rsidRPr="005F763D">
        <w:t>incentives for efficient demand side management</w:t>
      </w:r>
    </w:p>
    <w:p w:rsidR="00C84BFE" w:rsidRPr="005F763D" w:rsidRDefault="00C84BFE" w:rsidP="00C84BFE">
      <w:pPr>
        <w:pStyle w:val="AERbulletlistfirststyle"/>
      </w:pPr>
      <w:r w:rsidRPr="005F763D">
        <w:t xml:space="preserve">lower reliance on energy forecasts </w:t>
      </w:r>
    </w:p>
    <w:p w:rsidR="00C84BFE" w:rsidRPr="005F763D" w:rsidRDefault="00C84BFE" w:rsidP="00C84BFE">
      <w:pPr>
        <w:pStyle w:val="AERbulletlistfirststyle"/>
      </w:pPr>
      <w:r w:rsidRPr="005F763D">
        <w:t xml:space="preserve">facilitation of the introduction of efficient prices and pricing structures through increased pricing flexibility </w:t>
      </w:r>
    </w:p>
    <w:p w:rsidR="00C84BFE" w:rsidRPr="00C84BFE" w:rsidRDefault="00BE0AB8" w:rsidP="00C84BFE">
      <w:pPr>
        <w:pStyle w:val="AERbulletlistfirststyle"/>
      </w:pPr>
      <w:r>
        <w:t>w</w:t>
      </w:r>
      <w:r w:rsidR="00C84BFE" w:rsidRPr="005F763D">
        <w:t>e consider that the detriments of a revenue cap compared to a WAPC are able to be mitigated</w:t>
      </w:r>
      <w:r w:rsidR="00C84BFE" w:rsidRPr="00C84BFE">
        <w:t xml:space="preserve"> - within period pricing instability can be addressed through new modelling techniques and the application of tolerance limits. We also consider that the revenue caps' weak pricing incentives have little practical effect. Though not a factor in our considerations, we further note that the weak </w:t>
      </w:r>
      <w:r w:rsidR="00C84BFE" w:rsidRPr="00C84BFE">
        <w:lastRenderedPageBreak/>
        <w:t>pricing incentives may in any case be addressed through rule changes proposed by SCER for distribution network pricing arrangements</w:t>
      </w:r>
      <w:r w:rsidR="009D6F03">
        <w:t>.</w:t>
      </w:r>
      <w:r w:rsidR="00C84BFE" w:rsidRPr="00C84BFE">
        <w:rPr>
          <w:rStyle w:val="FootnoteReference"/>
        </w:rPr>
        <w:footnoteReference w:id="90"/>
      </w:r>
      <w:r w:rsidR="00C84BFE" w:rsidRPr="00C84BFE">
        <w:t xml:space="preserve"> </w:t>
      </w:r>
    </w:p>
    <w:p w:rsidR="00C84BFE" w:rsidRPr="005F763D" w:rsidRDefault="00C84BFE" w:rsidP="00C84BFE">
      <w:pPr>
        <w:pStyle w:val="AERbodytext"/>
      </w:pPr>
      <w:r w:rsidRPr="005F763D">
        <w:t>Our consideration of these issues is provided below.</w:t>
      </w:r>
    </w:p>
    <w:p w:rsidR="00C84BFE" w:rsidRPr="00C84BFE" w:rsidRDefault="00A36E64" w:rsidP="00855F25">
      <w:pPr>
        <w:pStyle w:val="HeadingBoldBlue"/>
      </w:pPr>
      <w:r>
        <w:t>N</w:t>
      </w:r>
      <w:r w:rsidR="00C84BFE" w:rsidRPr="006755F8">
        <w:t xml:space="preserve">eed for efficient tariff structures </w:t>
      </w:r>
    </w:p>
    <w:p w:rsidR="00C84BFE" w:rsidRPr="009D198B" w:rsidRDefault="00C84BFE" w:rsidP="00C84BFE">
      <w:pPr>
        <w:pStyle w:val="AERbodytext"/>
        <w:rPr>
          <w:rStyle w:val="AERtextbold"/>
        </w:rPr>
      </w:pPr>
      <w:r w:rsidRPr="009D198B">
        <w:rPr>
          <w:rStyle w:val="AERtextbold"/>
        </w:rPr>
        <w:t>Revenue cap</w:t>
      </w:r>
    </w:p>
    <w:p w:rsidR="00C84BFE" w:rsidRPr="005F763D" w:rsidRDefault="00C84BFE" w:rsidP="00C84BFE">
      <w:pPr>
        <w:pStyle w:val="AERbodytext"/>
      </w:pPr>
      <w:r w:rsidRPr="005F763D">
        <w:t xml:space="preserve">We consider that by itself the revenue cap provides limited incentive for </w:t>
      </w:r>
      <w:r>
        <w:t>distributors</w:t>
      </w:r>
      <w:r w:rsidRPr="005F763D">
        <w:t xml:space="preserve"> to set efficient prices. Th</w:t>
      </w:r>
      <w:r>
        <w:t>at is, under a revenue cap, distributor</w:t>
      </w:r>
      <w:r w:rsidRPr="005F763D">
        <w:t>s' revenues are fixed over the</w:t>
      </w:r>
      <w:r>
        <w:t xml:space="preserve"> regulatory control period. Distributor</w:t>
      </w:r>
      <w:r w:rsidRPr="005F763D">
        <w:t>s therefore maximise profits by decreasin</w:t>
      </w:r>
      <w:r>
        <w:t>g costs. To decrease costs, distributor</w:t>
      </w:r>
      <w:r w:rsidRPr="005F763D">
        <w:t>s face an incentive to increase prices above marginal costs on price sensitive, high cost services. This results in reductions in demand for those services below efficient levels.</w:t>
      </w:r>
    </w:p>
    <w:p w:rsidR="00C84BFE" w:rsidRPr="005F763D" w:rsidRDefault="00C84BFE" w:rsidP="00855F25">
      <w:pPr>
        <w:pStyle w:val="AERbodytext"/>
      </w:pPr>
      <w:r w:rsidRPr="00C84BFE">
        <w:rPr>
          <w:rFonts w:eastAsia="Calibri"/>
        </w:rPr>
        <w:t xml:space="preserve">We consider that this incentive is unlikely to apply to, or give rise to inefficient pricing by SA Power Networks. We consider that the majority of SA Power Networks' variable costs are caused by augmentations and connections (where demand for connections is likely to be price insensitive) to the network. The incentive for distributors to decrease costs through pricing is therefore likely to result in higher prices for peak demand. This would require a shift towards peak energy and peak demand/capacity tariffs. In the current environment where tariffs largely consist of flat energy/capacity tariffs (as noted in </w:t>
      </w:r>
      <w:r w:rsidRPr="00BE0AB8">
        <w:rPr>
          <w:rStyle w:val="AERbody"/>
          <w:rFonts w:eastAsia="Calibri"/>
        </w:rPr>
        <w:t>appendix C</w:t>
      </w:r>
      <w:r w:rsidRPr="00C84BFE">
        <w:rPr>
          <w:rFonts w:eastAsia="Calibri"/>
        </w:rPr>
        <w:t>) we consider that a shift towards peak energy/capacity prices will result in increases in pricing efficiency.</w:t>
      </w:r>
    </w:p>
    <w:p w:rsidR="00C84BFE" w:rsidRPr="009D198B" w:rsidRDefault="00C84BFE" w:rsidP="00C84BFE">
      <w:pPr>
        <w:pStyle w:val="AERbodytext"/>
        <w:rPr>
          <w:rStyle w:val="AERtextbold"/>
        </w:rPr>
      </w:pPr>
      <w:r w:rsidRPr="009D198B">
        <w:rPr>
          <w:rStyle w:val="AERtextbold"/>
        </w:rPr>
        <w:t>WAPC</w:t>
      </w:r>
    </w:p>
    <w:p w:rsidR="00C84BFE" w:rsidRPr="005F763D" w:rsidRDefault="00C84BFE" w:rsidP="00C84BFE">
      <w:pPr>
        <w:pStyle w:val="AERbodytext"/>
      </w:pPr>
      <w:r>
        <w:t xml:space="preserve">Distributors </w:t>
      </w:r>
      <w:r w:rsidRPr="005F763D">
        <w:t xml:space="preserve">under a WAPC can retain revenue recovered above the expected revenue calculated by us. Theoretically, this provides </w:t>
      </w:r>
      <w:r>
        <w:t>distributors</w:t>
      </w:r>
      <w:r w:rsidRPr="005F763D">
        <w:t xml:space="preserve"> with an incentive to set prices efficiently. That is, </w:t>
      </w:r>
      <w:r>
        <w:t xml:space="preserve">distributors </w:t>
      </w:r>
      <w:r w:rsidRPr="005F763D">
        <w:t>are able to increase profit by reducing the price on price sensitive services towards marginal cost. This incentive a</w:t>
      </w:r>
      <w:r>
        <w:t>rises because when a distributor</w:t>
      </w:r>
      <w:r w:rsidRPr="005F763D">
        <w:t xml:space="preserve"> reduces the price of any service(s) under the WAPC it is allowed to increase the price on ano</w:t>
      </w:r>
      <w:r>
        <w:t>ther service(s). The distributor</w:t>
      </w:r>
      <w:r w:rsidRPr="005F763D">
        <w:t xml:space="preserve"> can therefore increase profit by simultaneously decreasing the price on price sensitive services and increasing the price on price insensitive services. This is because customers of price sensitive services are likely to respond to lower prices by using more of those services. The decrease in a distributor’s revenue caused by it lowering prices is therefore offset by the increase in sales. Meanwhile, customers of price insensitive services are likely to respond to higher prices by using the same amount, or only slightly less, of those services. </w:t>
      </w:r>
    </w:p>
    <w:p w:rsidR="00C84BFE" w:rsidRPr="005F763D" w:rsidRDefault="00C84BFE" w:rsidP="00C84BFE">
      <w:pPr>
        <w:pStyle w:val="AERbodytext"/>
      </w:pPr>
      <w:r w:rsidRPr="005F763D">
        <w:t xml:space="preserve">We consider the WAPC's theoretical advantages have not eventuated in practice because they rely on assumptions that do not apply to electricity </w:t>
      </w:r>
      <w:r>
        <w:t>distributors</w:t>
      </w:r>
      <w:r w:rsidRPr="005F763D">
        <w:t>. These assumptions include:</w:t>
      </w:r>
    </w:p>
    <w:p w:rsidR="00C84BFE" w:rsidRPr="005F763D" w:rsidRDefault="009D6F03" w:rsidP="00C84BFE">
      <w:pPr>
        <w:pStyle w:val="AERbulletlistfirststyle"/>
      </w:pPr>
      <w:r>
        <w:t>d</w:t>
      </w:r>
      <w:r w:rsidR="00C84BFE">
        <w:t>istributors</w:t>
      </w:r>
      <w:r w:rsidR="00C84BFE" w:rsidRPr="005F763D">
        <w:t xml:space="preserve"> have the expertise, incentive, infrastructure and independence to set prices to maximise profit:</w:t>
      </w:r>
    </w:p>
    <w:p w:rsidR="00C84BFE" w:rsidRPr="005F763D" w:rsidRDefault="009D6F03" w:rsidP="00C84BFE">
      <w:pPr>
        <w:pStyle w:val="AERbulletlistsecondstyle"/>
      </w:pPr>
      <w:r>
        <w:t>d</w:t>
      </w:r>
      <w:r w:rsidR="00C84BFE">
        <w:t>istributors</w:t>
      </w:r>
      <w:r w:rsidR="00C84BFE" w:rsidRPr="005F763D">
        <w:t xml:space="preserve"> must have the expertise to estimate the price sensitivity of different services (and components of services) and adjust prices accordingly</w:t>
      </w:r>
    </w:p>
    <w:p w:rsidR="00C84BFE" w:rsidRPr="005F763D" w:rsidRDefault="009D6F03" w:rsidP="00C84BFE">
      <w:pPr>
        <w:pStyle w:val="AERbulletlistsecondstyle"/>
      </w:pPr>
      <w:r>
        <w:t>d</w:t>
      </w:r>
      <w:r w:rsidR="00C84BFE">
        <w:t>istributors</w:t>
      </w:r>
      <w:r w:rsidR="00C84BFE" w:rsidRPr="005F763D">
        <w:t xml:space="preserve"> objective in setting prices must be to maximise profit </w:t>
      </w:r>
    </w:p>
    <w:p w:rsidR="00C84BFE" w:rsidRPr="005F763D" w:rsidRDefault="009D6F03" w:rsidP="00C84BFE">
      <w:pPr>
        <w:pStyle w:val="AERbulletlistsecondstyle"/>
      </w:pPr>
      <w:r>
        <w:lastRenderedPageBreak/>
        <w:t>d</w:t>
      </w:r>
      <w:r w:rsidR="00C84BFE">
        <w:t>istributors</w:t>
      </w:r>
      <w:r w:rsidR="00C84BFE" w:rsidRPr="005F763D">
        <w:t xml:space="preserve"> must have, or have the ability to install, the necessary metering technology to provide cost reflective tariffs </w:t>
      </w:r>
    </w:p>
    <w:p w:rsidR="00C84BFE" w:rsidRPr="005F763D" w:rsidRDefault="009D6F03" w:rsidP="00C84BFE">
      <w:pPr>
        <w:pStyle w:val="AERbulletlistsecondstyle"/>
      </w:pPr>
      <w:r>
        <w:t>d</w:t>
      </w:r>
      <w:r w:rsidR="00C84BFE">
        <w:t>istributors</w:t>
      </w:r>
      <w:r w:rsidR="00C84BFE" w:rsidRPr="005F763D">
        <w:t xml:space="preserve"> must be free from outside influence to set profit motivated prices.</w:t>
      </w:r>
    </w:p>
    <w:p w:rsidR="00C84BFE" w:rsidRPr="005F763D" w:rsidRDefault="00BE0AB8" w:rsidP="00C84BFE">
      <w:pPr>
        <w:pStyle w:val="AERbulletlistfirststyle"/>
      </w:pPr>
      <w:r>
        <w:t>p</w:t>
      </w:r>
      <w:r w:rsidR="00C84BFE" w:rsidRPr="005F763D">
        <w:t>ass through of distribution costs to consumers</w:t>
      </w:r>
      <w:r>
        <w:t>:</w:t>
      </w:r>
    </w:p>
    <w:p w:rsidR="00C84BFE" w:rsidRPr="005F763D" w:rsidRDefault="00C84BFE" w:rsidP="00C84BFE">
      <w:pPr>
        <w:pStyle w:val="AERbulletlistsecondstyle"/>
      </w:pPr>
      <w:r w:rsidRPr="005F763D">
        <w:t>Often retail charges do not reflect the underlying structure of network costs and changes in network prices are not passed through in full to consumers. This is especially the case where retail price regulation applies.</w:t>
      </w:r>
    </w:p>
    <w:p w:rsidR="00C84BFE" w:rsidRPr="005F763D" w:rsidRDefault="00C84BFE" w:rsidP="00C84BFE">
      <w:pPr>
        <w:pStyle w:val="AERbulletlistsecondstyle"/>
      </w:pPr>
      <w:r w:rsidRPr="005F763D">
        <w:t xml:space="preserve">Distribution charges represent only one component of network charges. Where </w:t>
      </w:r>
      <w:r>
        <w:t>distributors</w:t>
      </w:r>
      <w:r w:rsidRPr="005F763D">
        <w:t xml:space="preserve"> have discretion to set transmission and other charges, which do not fall under the WAPC, these charges may be adjusted to impact network charges.</w:t>
      </w:r>
    </w:p>
    <w:p w:rsidR="00C84BFE" w:rsidRPr="005F763D" w:rsidRDefault="00C84BFE" w:rsidP="00C84BFE">
      <w:pPr>
        <w:pStyle w:val="AERbulletlistfirststyle"/>
      </w:pPr>
      <w:r w:rsidRPr="005F763D">
        <w:t>Fully informed consumers</w:t>
      </w:r>
      <w:r w:rsidR="00BE0AB8">
        <w:t>:</w:t>
      </w:r>
    </w:p>
    <w:p w:rsidR="00C84BFE" w:rsidRPr="005F763D" w:rsidRDefault="00C84BFE" w:rsidP="00C84BFE">
      <w:pPr>
        <w:pStyle w:val="AERbulletlistsecondstyle"/>
      </w:pPr>
      <w:r w:rsidRPr="005F763D">
        <w:t>Consumers must know of price changes when they happen. Particularly where retail price regulation exists many consumers do not see price changes until bills are received midway through the regulatory year.</w:t>
      </w:r>
    </w:p>
    <w:p w:rsidR="00C84BFE" w:rsidRPr="005F763D" w:rsidRDefault="00C84BFE" w:rsidP="00C84BFE">
      <w:pPr>
        <w:pStyle w:val="AERbulletlistsecondstyle"/>
      </w:pPr>
      <w:r w:rsidRPr="005F763D">
        <w:t>Consumers must be capable of understanding and incentivised to respond to price signals. Where complicated price structures exist</w:t>
      </w:r>
      <w:r>
        <w:t xml:space="preserve">, </w:t>
      </w:r>
      <w:r w:rsidRPr="005F763D">
        <w:t>such as inclining block tariffs</w:t>
      </w:r>
      <w:r w:rsidR="009D6F03">
        <w:t>,</w:t>
      </w:r>
      <w:r>
        <w:rPr>
          <w:rStyle w:val="FootnoteReference"/>
        </w:rPr>
        <w:footnoteReference w:id="91"/>
      </w:r>
      <w:r w:rsidRPr="005F763D">
        <w:t xml:space="preserve"> many consumers are not able to understand the price they are charged for electricity usage.</w:t>
      </w:r>
    </w:p>
    <w:p w:rsidR="00C84BFE" w:rsidRPr="005F763D" w:rsidRDefault="00C84BFE" w:rsidP="00C84BFE">
      <w:pPr>
        <w:pStyle w:val="AERbodytext"/>
      </w:pPr>
      <w:r w:rsidRPr="005F763D">
        <w:t>We consider that where these assumptions do not hold the WAPC does not provide an incentive to set efficient prices. For example, where the first assumption holds but the last two do not</w:t>
      </w:r>
      <w:r>
        <w:t>,</w:t>
      </w:r>
      <w:r w:rsidRPr="005F763D">
        <w:t xml:space="preserve"> the incentive to maximise profit remains but it does not result in an incentive to set efficient prices. Instead, </w:t>
      </w:r>
      <w:r>
        <w:t>distributors</w:t>
      </w:r>
      <w:r w:rsidRPr="005F763D">
        <w:t xml:space="preserve"> maximise profits by increasing prices on services expected to increase in quantity. Alternatively, where the first assumption does not hold </w:t>
      </w:r>
      <w:r>
        <w:t>distributors</w:t>
      </w:r>
      <w:r w:rsidRPr="005F763D">
        <w:t xml:space="preserve"> may be more likely to maintain previous pricing structures/levels regardless of their efficiency.</w:t>
      </w:r>
    </w:p>
    <w:p w:rsidR="00C84BFE" w:rsidRPr="005F763D" w:rsidRDefault="00C84BFE" w:rsidP="00C84BFE">
      <w:pPr>
        <w:pStyle w:val="AERbodytext"/>
      </w:pPr>
      <w:r w:rsidRPr="005F763D">
        <w:t>It is difficult to evaluate efficient pricing outcomes under the WAPC by SA</w:t>
      </w:r>
      <w:r>
        <w:t xml:space="preserve"> </w:t>
      </w:r>
      <w:r w:rsidRPr="005F763D">
        <w:t>P</w:t>
      </w:r>
      <w:r>
        <w:t xml:space="preserve">ower </w:t>
      </w:r>
      <w:r w:rsidRPr="005F763D">
        <w:t>N</w:t>
      </w:r>
      <w:r>
        <w:t>etworks</w:t>
      </w:r>
      <w:r w:rsidRPr="005F763D">
        <w:t xml:space="preserve"> due to its recent introduction. However, in the recent </w:t>
      </w:r>
      <w:r w:rsidR="009D6F03">
        <w:t>S</w:t>
      </w:r>
      <w:r w:rsidRPr="005F763D">
        <w:t xml:space="preserve">tage 1 NSW F&amp;A we undertook extensive analysis of pricing outcomes under the WAPC in NSW and Victoria. We concluded that the WAPC has not provided an incentive for, or resulted in, increased pricing efficiency. Included in this analysis were the inefficiencies related to the widespread use of inclining block tariffs and the low utilisation of tariffs based on network cost drivers. Appendix </w:t>
      </w:r>
      <w:r>
        <w:t>C</w:t>
      </w:r>
      <w:r w:rsidRPr="005F763D">
        <w:t xml:space="preserve"> demonstrates that these features also apply to SA</w:t>
      </w:r>
      <w:r>
        <w:t xml:space="preserve"> </w:t>
      </w:r>
      <w:r w:rsidRPr="005F763D">
        <w:t>P</w:t>
      </w:r>
      <w:r>
        <w:t xml:space="preserve">ower </w:t>
      </w:r>
      <w:r w:rsidRPr="005F763D">
        <w:t>N</w:t>
      </w:r>
      <w:r>
        <w:t>etwork</w:t>
      </w:r>
      <w:r w:rsidRPr="005F763D">
        <w:t>'s current pricing.</w:t>
      </w:r>
    </w:p>
    <w:p w:rsidR="00C84BFE" w:rsidRPr="005F763D" w:rsidRDefault="00C84BFE" w:rsidP="00C84BFE">
      <w:pPr>
        <w:pStyle w:val="AERbodytext"/>
      </w:pPr>
      <w:r w:rsidRPr="005F763D">
        <w:t>The details of the analysis of efficient pricing under the WAPC are presented in in appendix C.</w:t>
      </w:r>
    </w:p>
    <w:p w:rsidR="00C84BFE" w:rsidRPr="00C84BFE" w:rsidRDefault="00C84BFE" w:rsidP="00AD16C8">
      <w:pPr>
        <w:pStyle w:val="HeadingBoldBlue"/>
      </w:pPr>
      <w:r w:rsidRPr="003914BC">
        <w:t>Administrative costs</w:t>
      </w:r>
    </w:p>
    <w:p w:rsidR="00C84BFE" w:rsidRPr="005F763D" w:rsidRDefault="00C84BFE" w:rsidP="00C84BFE">
      <w:pPr>
        <w:pStyle w:val="AERbodytext"/>
      </w:pPr>
      <w:r w:rsidRPr="005F763D">
        <w:t>We consider that there is generally lit</w:t>
      </w:r>
      <w:r>
        <w:t>tle difference in administrative</w:t>
      </w:r>
      <w:r w:rsidRPr="005F763D">
        <w:t xml:space="preserve"> costs between control mechanisms under the building block framework. However</w:t>
      </w:r>
      <w:r>
        <w:t>,</w:t>
      </w:r>
      <w:r w:rsidRPr="005F763D">
        <w:t xml:space="preserve"> in the current context we consider that a revenu</w:t>
      </w:r>
      <w:r>
        <w:t>e cap will reduce administrative</w:t>
      </w:r>
      <w:r w:rsidRPr="005F763D">
        <w:t xml:space="preserve"> costs to users and us due to consistency between regulatory arrangements. We are proposing the retention of a revenue cap in Queensland</w:t>
      </w:r>
      <w:r>
        <w:t>.</w:t>
      </w:r>
      <w:r w:rsidRPr="005F763D">
        <w:t xml:space="preserve"> NSW </w:t>
      </w:r>
      <w:r>
        <w:t xml:space="preserve">also </w:t>
      </w:r>
      <w:r w:rsidRPr="005F763D">
        <w:t xml:space="preserve">will be under a revenue cap in </w:t>
      </w:r>
      <w:r>
        <w:t xml:space="preserve">the </w:t>
      </w:r>
      <w:r w:rsidRPr="005F763D">
        <w:t>2014</w:t>
      </w:r>
      <w:r w:rsidR="009D6F03">
        <w:rPr>
          <w:rFonts w:cs="Gautami"/>
        </w:rPr>
        <w:t>–</w:t>
      </w:r>
      <w:r w:rsidR="00421D98">
        <w:t>20</w:t>
      </w:r>
      <w:r w:rsidRPr="005F763D">
        <w:t xml:space="preserve">19 regulatory control period and Tasmania is already operating </w:t>
      </w:r>
      <w:r w:rsidRPr="005F763D">
        <w:lastRenderedPageBreak/>
        <w:t>under a revenue cap. This consistency wil</w:t>
      </w:r>
      <w:r>
        <w:t>l lead to reduced administrative</w:t>
      </w:r>
      <w:r w:rsidRPr="005F763D">
        <w:t xml:space="preserve"> costs through standardisation of modelling approaches, incentive schemes and consultation requirements.</w:t>
      </w:r>
    </w:p>
    <w:p w:rsidR="00C84BFE" w:rsidRPr="00C84BFE" w:rsidRDefault="00A36E64" w:rsidP="00AD16C8">
      <w:pPr>
        <w:pStyle w:val="HeadingBoldBlue"/>
      </w:pPr>
      <w:r>
        <w:t>E</w:t>
      </w:r>
      <w:r w:rsidR="00C84BFE" w:rsidRPr="00963B11">
        <w:t>xisting regulatory arrangements</w:t>
      </w:r>
    </w:p>
    <w:p w:rsidR="00C84BFE" w:rsidRPr="005F763D" w:rsidRDefault="00C84BFE" w:rsidP="00C84BFE">
      <w:pPr>
        <w:pStyle w:val="AERbodytext"/>
      </w:pPr>
      <w:r w:rsidRPr="005F763D">
        <w:t xml:space="preserve">We consider that consistency across regulatory control periods is generally desirable. However, it </w:t>
      </w:r>
      <w:r>
        <w:t>is not</w:t>
      </w:r>
      <w:r w:rsidRPr="005F763D">
        <w:t xml:space="preserve"> primary </w:t>
      </w:r>
      <w:r>
        <w:t xml:space="preserve">to our </w:t>
      </w:r>
      <w:r w:rsidRPr="005F763D">
        <w:t>consideration</w:t>
      </w:r>
      <w:r>
        <w:t xml:space="preserve"> in this instance</w:t>
      </w:r>
      <w:r w:rsidRPr="005F763D">
        <w:t xml:space="preserve">. We consider </w:t>
      </w:r>
      <w:r>
        <w:t xml:space="preserve">that desirability needs to be weighed against </w:t>
      </w:r>
      <w:r w:rsidRPr="005F763D">
        <w:t>the other factor</w:t>
      </w:r>
      <w:r>
        <w:t>s under clause 6.2.5(c) of the r</w:t>
      </w:r>
      <w:r w:rsidRPr="005F763D">
        <w:t xml:space="preserve">ules. We consider this is appropriate because consistency in and of itself has no direct effect on </w:t>
      </w:r>
      <w:r>
        <w:t>distributors</w:t>
      </w:r>
      <w:r w:rsidRPr="005F763D">
        <w:t>, us or customers.</w:t>
      </w:r>
    </w:p>
    <w:p w:rsidR="00C84BFE" w:rsidRPr="00C84BFE" w:rsidRDefault="00A36E64" w:rsidP="00AD16C8">
      <w:pPr>
        <w:pStyle w:val="HeadingBoldBlue"/>
      </w:pPr>
      <w:r>
        <w:t>D</w:t>
      </w:r>
      <w:r w:rsidR="00C84BFE" w:rsidRPr="00963B11">
        <w:t>esirability of consistency between regulatory arrangements</w:t>
      </w:r>
    </w:p>
    <w:p w:rsidR="00C84BFE" w:rsidRPr="005F763D" w:rsidRDefault="00C84BFE" w:rsidP="00C84BFE">
      <w:pPr>
        <w:pStyle w:val="AERbodytext"/>
      </w:pPr>
      <w:r w:rsidRPr="005F763D">
        <w:t xml:space="preserve">We consider that consistency between regulatory arrangements is generally desirable but </w:t>
      </w:r>
      <w:r>
        <w:t xml:space="preserve">is not </w:t>
      </w:r>
      <w:r w:rsidRPr="005F763D">
        <w:t xml:space="preserve">primary </w:t>
      </w:r>
      <w:r>
        <w:t xml:space="preserve">to our </w:t>
      </w:r>
      <w:r w:rsidRPr="005F763D">
        <w:t>consideration</w:t>
      </w:r>
      <w:r>
        <w:t xml:space="preserve"> in this instance</w:t>
      </w:r>
      <w:r w:rsidRPr="005F763D">
        <w:t xml:space="preserve">. </w:t>
      </w:r>
      <w:r>
        <w:t>Its desirability needs to be weighed against the other factors under clause 6.2.5(c)</w:t>
      </w:r>
      <w:r w:rsidRPr="005F763D">
        <w:t>.</w:t>
      </w:r>
      <w:r w:rsidR="00AD16C8">
        <w:t xml:space="preserve"> </w:t>
      </w:r>
      <w:r>
        <w:t xml:space="preserve">The outcomes under the other factors reveal outcomes that further the National Electricity Objective and are consistent with the </w:t>
      </w:r>
      <w:r w:rsidR="009D6F03">
        <w:t>r</w:t>
      </w:r>
      <w:r>
        <w:t xml:space="preserve">evenue and </w:t>
      </w:r>
      <w:r w:rsidR="009D6F03">
        <w:t>p</w:t>
      </w:r>
      <w:r>
        <w:t xml:space="preserve">ricing </w:t>
      </w:r>
      <w:r w:rsidR="009D6F03">
        <w:t>p</w:t>
      </w:r>
      <w:r>
        <w:t>rinciples.</w:t>
      </w:r>
    </w:p>
    <w:p w:rsidR="00C84BFE" w:rsidRPr="00C84BFE" w:rsidRDefault="00C84BFE" w:rsidP="00AD16C8">
      <w:pPr>
        <w:pStyle w:val="HeadingBoldBlue"/>
      </w:pPr>
      <w:r w:rsidRPr="00963B11">
        <w:t>Revenue recovery</w:t>
      </w:r>
    </w:p>
    <w:p w:rsidR="00C84BFE" w:rsidRPr="005F763D" w:rsidRDefault="00C84BFE" w:rsidP="00C84BFE">
      <w:pPr>
        <w:pStyle w:val="AERbodytext"/>
      </w:pPr>
      <w:r w:rsidRPr="005F763D">
        <w:t xml:space="preserve">We consider that a revenue cap provides a high likelihood of efficient cost recovery. </w:t>
      </w:r>
      <w:r>
        <w:t>As a distributor</w:t>
      </w:r>
      <w:r w:rsidR="00421D98">
        <w:t>'</w:t>
      </w:r>
      <w:r>
        <w:t>s</w:t>
      </w:r>
      <w:r w:rsidRPr="005F763D">
        <w:t xml:space="preserve"> costs are largely fixed and unrelated to energy sales, for efficient cost recovery to occur revenue recovery should be largely fixed and unrelated to energy sales. This is the case under the revenue cap because revenue is fixed over the regulator</w:t>
      </w:r>
      <w:r>
        <w:t>y control period. D</w:t>
      </w:r>
      <w:r w:rsidRPr="005F763D">
        <w:t xml:space="preserve">ifferences from forecast cost drivers, e.g. peak demand and customer numbers, may cause differences in </w:t>
      </w:r>
      <w:r>
        <w:t>distributors</w:t>
      </w:r>
      <w:r w:rsidRPr="005F763D">
        <w:t xml:space="preserve">' costs. Where this occurs, variations from efficient cost recovery may result under the revenue cap. We have therefore considered adjustment mechanisms (hybrid control mechanisms) to the revenue cap for variations from forecast peak demand and customer numbers. </w:t>
      </w:r>
      <w:r>
        <w:t>O</w:t>
      </w:r>
      <w:r w:rsidRPr="005F763D">
        <w:t>ur consideration of hybrid control mechanisms</w:t>
      </w:r>
      <w:r>
        <w:t xml:space="preserve"> is set out in the last part of this section</w:t>
      </w:r>
      <w:r w:rsidRPr="005F763D">
        <w:t>.</w:t>
      </w:r>
    </w:p>
    <w:p w:rsidR="00C84BFE" w:rsidRPr="005F763D" w:rsidRDefault="00C84BFE" w:rsidP="00C84BFE">
      <w:pPr>
        <w:pStyle w:val="AERbodytext"/>
      </w:pPr>
      <w:r w:rsidRPr="005F763D">
        <w:t xml:space="preserve">We do not consider that a WAPC provides a high </w:t>
      </w:r>
      <w:r>
        <w:t xml:space="preserve">or even a reasonable </w:t>
      </w:r>
      <w:r w:rsidRPr="005F763D">
        <w:t xml:space="preserve">likelihood of efficient cost recovery. Under the WAPC revenue varies with the volume of energy sales. We consider this provides an opportunity for </w:t>
      </w:r>
      <w:r>
        <w:t>distributors</w:t>
      </w:r>
      <w:r w:rsidRPr="005F763D">
        <w:t xml:space="preserve"> to recover revenue systematically above forecast. That is, under a WAPC </w:t>
      </w:r>
      <w:r>
        <w:t xml:space="preserve">distributors </w:t>
      </w:r>
      <w:r w:rsidRPr="005F763D">
        <w:t xml:space="preserve">have the opportunity to recover revenue substantially above forecast revenue when actual quantities exceed forecast quantities, and to recover revenue close to forecast when actual quantities are below forecast quantities. </w:t>
      </w:r>
    </w:p>
    <w:p w:rsidR="00C84BFE" w:rsidRPr="005F763D" w:rsidRDefault="00C84BFE" w:rsidP="00C84BFE">
      <w:pPr>
        <w:pStyle w:val="AERbodytext"/>
      </w:pPr>
      <w:r w:rsidRPr="005F763D">
        <w:t>It is difficult to evaluate efficient cost recovery under the WAPC by SA</w:t>
      </w:r>
      <w:r>
        <w:t xml:space="preserve"> </w:t>
      </w:r>
      <w:r w:rsidRPr="005F763D">
        <w:t>P</w:t>
      </w:r>
      <w:r>
        <w:t xml:space="preserve">ower </w:t>
      </w:r>
      <w:r w:rsidRPr="005F763D">
        <w:t>N</w:t>
      </w:r>
      <w:r>
        <w:t>etworks</w:t>
      </w:r>
      <w:r w:rsidRPr="005F763D">
        <w:t xml:space="preserve"> because of its recent introduction. However, in the NSW stage 1 F&amp;A we conducted analysis of revenue recovery by NSW and Victorian </w:t>
      </w:r>
      <w:r>
        <w:t>distributors</w:t>
      </w:r>
      <w:r w:rsidRPr="005F763D">
        <w:t xml:space="preserve"> and found that </w:t>
      </w:r>
      <w:r>
        <w:t>distributors</w:t>
      </w:r>
      <w:r w:rsidRPr="005F763D">
        <w:t xml:space="preserve"> were able to recover revenue systematically above forecast.</w:t>
      </w:r>
    </w:p>
    <w:p w:rsidR="00C84BFE" w:rsidRPr="00C84BFE" w:rsidRDefault="00C84BFE" w:rsidP="00AD16C8">
      <w:pPr>
        <w:pStyle w:val="HeadingBoldBlue"/>
      </w:pPr>
      <w:r w:rsidRPr="00963B11">
        <w:t>Pricing flexibility and stability</w:t>
      </w:r>
    </w:p>
    <w:p w:rsidR="00C84BFE" w:rsidRPr="009D198B" w:rsidRDefault="00C84BFE" w:rsidP="00C84BFE">
      <w:pPr>
        <w:pStyle w:val="AERbodytext"/>
        <w:rPr>
          <w:rStyle w:val="AERtextbold"/>
        </w:rPr>
      </w:pPr>
      <w:r w:rsidRPr="009D198B">
        <w:rPr>
          <w:rStyle w:val="AERtextbold"/>
        </w:rPr>
        <w:t>Pricing flexibility</w:t>
      </w:r>
    </w:p>
    <w:p w:rsidR="00C84BFE" w:rsidRPr="005F763D" w:rsidRDefault="00C84BFE" w:rsidP="00C84BFE">
      <w:pPr>
        <w:pStyle w:val="AERbodytext"/>
      </w:pPr>
      <w:r w:rsidRPr="005F763D">
        <w:t xml:space="preserve">We consider that price flexibility for existing tariffs and tariff structures is primarily influenced by the side constraints and the pricing principles, not the form of control mechanism. </w:t>
      </w:r>
    </w:p>
    <w:p w:rsidR="00C84BFE" w:rsidRPr="005F763D" w:rsidRDefault="00C84BFE" w:rsidP="00C84BFE">
      <w:pPr>
        <w:pStyle w:val="AERbodytext"/>
      </w:pPr>
      <w:r w:rsidRPr="005F763D">
        <w:t xml:space="preserve">We consider that the revenue cap results in increased pricing flexibility in relation to the introduction of new tariffs and tariff structures. Under a revenue cap, to introduce a new </w:t>
      </w:r>
      <w:r>
        <w:t>tariff or tariff structure, distributor</w:t>
      </w:r>
      <w:r w:rsidRPr="005F763D">
        <w:t xml:space="preserve">s are required to submit reasonable forecasts for that tariff. </w:t>
      </w:r>
      <w:r>
        <w:t>As</w:t>
      </w:r>
      <w:r w:rsidRPr="005F763D">
        <w:t xml:space="preserve"> there is no revenue at risk </w:t>
      </w:r>
      <w:r>
        <w:lastRenderedPageBreak/>
        <w:t xml:space="preserve">because </w:t>
      </w:r>
      <w:r w:rsidRPr="005F763D">
        <w:t>revenue is fixed over the regulatory control period</w:t>
      </w:r>
      <w:r>
        <w:t>,</w:t>
      </w:r>
      <w:r w:rsidRPr="005F763D">
        <w:t xml:space="preserve"> the incentive to </w:t>
      </w:r>
      <w:r>
        <w:t xml:space="preserve">manipulate </w:t>
      </w:r>
      <w:r w:rsidRPr="005F763D">
        <w:t>such forecasts is low</w:t>
      </w:r>
      <w:r>
        <w:t>. Conversely, under a WAPC, distributor</w:t>
      </w:r>
      <w:r w:rsidRPr="005F763D">
        <w:t>s submit reasonable estimates when introducing new tariffs or tariff structures. We assess these estimates rigorously as substantial revenue is at risk which can result in signif</w:t>
      </w:r>
      <w:r>
        <w:t>icant changes in profit for distributor</w:t>
      </w:r>
      <w:r w:rsidRPr="005F763D">
        <w:t>s. We consider that this will be of increasing importance under likely changes to the pricing principles proposed by SCER.</w:t>
      </w:r>
    </w:p>
    <w:p w:rsidR="00C84BFE" w:rsidRPr="009D198B" w:rsidRDefault="00C84BFE" w:rsidP="00C84BFE">
      <w:pPr>
        <w:pStyle w:val="AERbodytext"/>
        <w:rPr>
          <w:rStyle w:val="AERtextbold"/>
        </w:rPr>
      </w:pPr>
      <w:r w:rsidRPr="009D198B">
        <w:rPr>
          <w:rStyle w:val="AERtextbold"/>
        </w:rPr>
        <w:t xml:space="preserve">Pricing stability </w:t>
      </w:r>
    </w:p>
    <w:p w:rsidR="00C84BFE" w:rsidRPr="005F763D" w:rsidRDefault="00C84BFE" w:rsidP="00C84BFE">
      <w:pPr>
        <w:pStyle w:val="AERbodytext"/>
      </w:pPr>
      <w:r w:rsidRPr="005F763D">
        <w:t>We consider price instability can occur under all forms of control m</w:t>
      </w:r>
      <w:r>
        <w:t>echanisms. This is because the r</w:t>
      </w:r>
      <w:r w:rsidRPr="005F763D">
        <w:t>ules require various annual price adjustments regardless of the control mechanism.</w:t>
      </w:r>
      <w:r w:rsidRPr="00D67E86">
        <w:rPr>
          <w:rStyle w:val="AERsuperscript"/>
        </w:rPr>
        <w:footnoteReference w:id="92"/>
      </w:r>
      <w:r w:rsidRPr="005F763D">
        <w:t xml:space="preserve"> </w:t>
      </w:r>
    </w:p>
    <w:p w:rsidR="00C84BFE" w:rsidRPr="005F763D" w:rsidRDefault="00C84BFE" w:rsidP="00C84BFE">
      <w:pPr>
        <w:pStyle w:val="AERbodytext"/>
      </w:pPr>
      <w:r w:rsidRPr="005F763D">
        <w:t xml:space="preserve">We consider that there is increased likelihood of overall price instability within a regulatory control period under a revenue cap. That is, </w:t>
      </w:r>
      <w:r>
        <w:t>distributors</w:t>
      </w:r>
      <w:r w:rsidRPr="005F763D">
        <w:t xml:space="preserve"> must adjust prices during the regulatory control period to account for differences between forecast and actual sales volumes. We consider that tolerance limits and the design of the unders and overs account can limit price adjustments in any one year. For example, in Queensland in the current period we applied tolerance limits to the unders and overs account.</w:t>
      </w:r>
      <w:r>
        <w:rPr>
          <w:rStyle w:val="FootnoteReference"/>
        </w:rPr>
        <w:footnoteReference w:id="93"/>
      </w:r>
      <w:r w:rsidRPr="005F763D">
        <w:t xml:space="preserve"> In Tasmania, we designed the unders and overs account as a rolling account with an estimate year to help smooth the price adjustments year on year.</w:t>
      </w:r>
      <w:r>
        <w:rPr>
          <w:rStyle w:val="FootnoteReference"/>
        </w:rPr>
        <w:footnoteReference w:id="94"/>
      </w:r>
      <w:r w:rsidR="009D6F03" w:rsidRPr="003A0E18">
        <w:rPr>
          <w:rStyle w:val="AERsuperscript"/>
        </w:rPr>
        <w:t>,</w:t>
      </w:r>
      <w:r w:rsidR="009079D3">
        <w:rPr>
          <w:rStyle w:val="FootnoteReference"/>
        </w:rPr>
        <w:footnoteReference w:id="95"/>
      </w:r>
      <w:r w:rsidRPr="005F763D">
        <w:t xml:space="preserve"> We also consider that incorporating forecast sales in forming the X-factors in the distribution determination will result in lower balances in the unders and overs account.</w:t>
      </w:r>
      <w:r w:rsidRPr="00D67E86">
        <w:rPr>
          <w:rStyle w:val="AERsuperscript"/>
        </w:rPr>
        <w:footnoteReference w:id="96"/>
      </w:r>
      <w:r w:rsidRPr="005F763D">
        <w:t xml:space="preserve"> </w:t>
      </w:r>
    </w:p>
    <w:p w:rsidR="00C84BFE" w:rsidRPr="005F763D" w:rsidRDefault="00C84BFE" w:rsidP="00C84BFE">
      <w:pPr>
        <w:pStyle w:val="AERbodytext"/>
      </w:pPr>
      <w:r w:rsidRPr="005F763D">
        <w:t>We consider the WAPC can increase overall price stability within the regulatory control period compared to a revenue cap. However, we do not consider a WAPC is likely to lead to increased price stability or predictability for individual tar</w:t>
      </w:r>
      <w:r>
        <w:t>iffs or customers. Under a WAPC distributors</w:t>
      </w:r>
      <w:r w:rsidRPr="005F763D">
        <w:t xml:space="preserve"> face an incentive to re-balance tariffs to maximise profit and this incentive may result in large changes to tariffs within the regulatory control period.</w:t>
      </w:r>
    </w:p>
    <w:p w:rsidR="00C84BFE" w:rsidRPr="005F763D" w:rsidRDefault="00C84BFE" w:rsidP="00C84BFE">
      <w:pPr>
        <w:pStyle w:val="AERbodytext"/>
      </w:pPr>
      <w:r w:rsidRPr="005F763D">
        <w:t>We consider that the WAPC can result in greater price instability across regulatory control periods compared to the revenue cap. This issue is particularly pronounced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would mean that prices would rise gradually over the regulatory period (rather than jump up at the end of the period) if a trend of falling demand was evident.</w:t>
      </w:r>
    </w:p>
    <w:p w:rsidR="00C84BFE" w:rsidRPr="00C84BFE" w:rsidRDefault="00C84BFE" w:rsidP="00AD16C8">
      <w:pPr>
        <w:pStyle w:val="HeadingBoldBlue"/>
      </w:pPr>
      <w:r w:rsidRPr="00963B11">
        <w:t>Incentives for demand side management</w:t>
      </w:r>
    </w:p>
    <w:p w:rsidR="00C84BFE" w:rsidRPr="005F763D" w:rsidRDefault="00C84BFE" w:rsidP="00C84BFE">
      <w:pPr>
        <w:pStyle w:val="AERbodytext"/>
      </w:pPr>
      <w:r w:rsidRPr="005F763D">
        <w:t>We consider a revenue cap provides an incentive to undertake efficient demand side management.  Conversely, a WAPC provides a disincentive to undertake efficient demand side management.</w:t>
      </w:r>
    </w:p>
    <w:p w:rsidR="00C84BFE" w:rsidRPr="005F763D" w:rsidRDefault="00C84BFE" w:rsidP="00C84BFE">
      <w:pPr>
        <w:pStyle w:val="AERbodytext"/>
      </w:pPr>
      <w:r w:rsidRPr="005F763D">
        <w:t xml:space="preserve">Under a revenue cap we fix </w:t>
      </w:r>
      <w:r>
        <w:t>distributors</w:t>
      </w:r>
      <w:r w:rsidRPr="005F763D">
        <w:t xml:space="preserve">' revenue over the regulatory control period. </w:t>
      </w:r>
      <w:r>
        <w:t>Distributors</w:t>
      </w:r>
      <w:r w:rsidRPr="005F763D">
        <w:t xml:space="preserve"> can therefore increase profits by reducing total cost. This creates an incentive for </w:t>
      </w:r>
      <w:r>
        <w:t>distributors</w:t>
      </w:r>
      <w:r w:rsidRPr="005F763D">
        <w:t xml:space="preserve"> to undertake demand side management projects that reduce total costs i.e. any demand side management project </w:t>
      </w:r>
      <w:r w:rsidRPr="005F763D">
        <w:lastRenderedPageBreak/>
        <w:t xml:space="preserve">where the reduction in network expenditure is greater than the cost of implementing the demand side management. We consider this provides an efficient incentive </w:t>
      </w:r>
      <w:r>
        <w:t>for</w:t>
      </w:r>
      <w:r w:rsidRPr="005F763D">
        <w:t xml:space="preserve"> </w:t>
      </w:r>
      <w:r>
        <w:t>distributors</w:t>
      </w:r>
      <w:r w:rsidRPr="005F763D">
        <w:t xml:space="preserve"> to undertake efficient demand side management projects.</w:t>
      </w:r>
    </w:p>
    <w:p w:rsidR="00C84BFE" w:rsidRPr="005F763D" w:rsidRDefault="00C84BFE" w:rsidP="00C84BFE">
      <w:pPr>
        <w:pStyle w:val="AERbodytext"/>
      </w:pPr>
      <w:r w:rsidRPr="005F763D">
        <w:t xml:space="preserve">Under a WAPC </w:t>
      </w:r>
      <w:r>
        <w:t>distributors</w:t>
      </w:r>
      <w:r w:rsidRPr="005F763D">
        <w:t>' revenues are directly linked to the actual volumes of energy sales and demand. This means that when a distributor undertakes a demand side management project that reduces energy sales or demand its revenue will decrease. Therefore, for a distributor to increase profits by undertaking a demand side management project, the reduction in augmentation expenditure would have to be greater than the cost of implementing the project plus the reduction in revenue from lower sales volumes. This creates a strong disincentive to undertake efficient demand side management projects as they often result in significant revenue decreases.</w:t>
      </w:r>
    </w:p>
    <w:p w:rsidR="00C84BFE" w:rsidRPr="00C84BFE" w:rsidRDefault="00C84BFE" w:rsidP="00AB459D">
      <w:pPr>
        <w:pStyle w:val="HeadingBoldBlue"/>
      </w:pPr>
      <w:r w:rsidRPr="00963B11">
        <w:t>Hybrid form of control</w:t>
      </w:r>
    </w:p>
    <w:p w:rsidR="00C84BFE" w:rsidRPr="005F763D" w:rsidRDefault="00C84BFE" w:rsidP="00C84BFE">
      <w:pPr>
        <w:pStyle w:val="AERbodytext"/>
      </w:pPr>
      <w:r w:rsidRPr="005F763D">
        <w:t xml:space="preserve">We consider that higher administrative costs to </w:t>
      </w:r>
      <w:r>
        <w:t>distributors</w:t>
      </w:r>
      <w:r w:rsidRPr="005F763D">
        <w:t xml:space="preserve"> and us under a hybrid revenue cap outweigh its potential benefits.</w:t>
      </w:r>
    </w:p>
    <w:p w:rsidR="00C84BFE" w:rsidRPr="005F763D" w:rsidRDefault="00C84BFE" w:rsidP="00C84BFE">
      <w:pPr>
        <w:pStyle w:val="AERbodytext"/>
      </w:pPr>
      <w:r w:rsidRPr="005F763D">
        <w:t xml:space="preserve">There are many formulations for designing a hybrid form of control mechanism. We have considered a hybrid revenue cap where revenue is adjusted within the regulatory period to adjust for deviations from forecast cost drivers i.e. customer numbers and peak demand. This design enables </w:t>
      </w:r>
      <w:r>
        <w:t>distributors</w:t>
      </w:r>
      <w:r w:rsidRPr="005F763D">
        <w:t xml:space="preserve">' revenues to align more closely to the cost drivers compared with a revenue cap. However, it may be difficult to develop an effective revenue function under a hybrid revenue cap. Furthermore, under the hybrid revenue cap we must recalculate the </w:t>
      </w:r>
      <w:r>
        <w:t>distributors</w:t>
      </w:r>
      <w:r w:rsidRPr="005F763D">
        <w:t xml:space="preserve">' maximum allowable revenue each year. This would involve substantial administrative costs to </w:t>
      </w:r>
      <w:r>
        <w:t>distributors</w:t>
      </w:r>
      <w:r w:rsidRPr="005F763D">
        <w:t xml:space="preserve"> and us throughout the regulatory control period. Additionally, because a large proportion of </w:t>
      </w:r>
      <w:r>
        <w:t>distributors</w:t>
      </w:r>
      <w:r w:rsidRPr="005F763D">
        <w:t xml:space="preserve">' costs are fixed rather than variable such adjustments may only result in small adjustments to </w:t>
      </w:r>
      <w:r>
        <w:t>distributors</w:t>
      </w:r>
      <w:r w:rsidRPr="005F763D">
        <w:t xml:space="preserve">' maximum allowable revenues. For these reasons, </w:t>
      </w:r>
      <w:r w:rsidR="00C40DE9">
        <w:t xml:space="preserve">the </w:t>
      </w:r>
      <w:r w:rsidRPr="005F763D">
        <w:t>I</w:t>
      </w:r>
      <w:r w:rsidR="00F53FCD">
        <w:t xml:space="preserve">ndependent Pricing and Regulatory Tribunal (NSW) </w:t>
      </w:r>
      <w:r w:rsidRPr="005F763D">
        <w:t>moved away from a hybrid revenue cap to a revenue cap in the 1999–2004 distribution determination.</w:t>
      </w:r>
      <w:r w:rsidRPr="00D67E86">
        <w:rPr>
          <w:rStyle w:val="AERsuperscript"/>
        </w:rPr>
        <w:footnoteReference w:id="97"/>
      </w:r>
      <w:r w:rsidRPr="005F763D">
        <w:t xml:space="preserve"> Other regulators (Queensland Competition Authority and </w:t>
      </w:r>
      <w:r>
        <w:t>the Office of the Tasmanian Economic Regulator</w:t>
      </w:r>
      <w:r w:rsidRPr="005F763D">
        <w:t>) also noted the difficulties and complexities involved in developing and applying a hybrid revenue cap.</w:t>
      </w:r>
      <w:r w:rsidRPr="00D67E86">
        <w:rPr>
          <w:rStyle w:val="AERsuperscript"/>
        </w:rPr>
        <w:footnoteReference w:id="98"/>
      </w:r>
    </w:p>
    <w:p w:rsidR="00C84BFE" w:rsidRPr="00596CF4" w:rsidRDefault="00C84BFE" w:rsidP="00F53FCD">
      <w:pPr>
        <w:pStyle w:val="Heading3"/>
      </w:pPr>
      <w:bookmarkStart w:id="65" w:name="_Toc373500000"/>
      <w:bookmarkStart w:id="66" w:name="_Toc373773985"/>
      <w:r w:rsidRPr="00F53FCD">
        <w:t>Formulae for standard control mechanism</w:t>
      </w:r>
      <w:bookmarkEnd w:id="65"/>
      <w:bookmarkEnd w:id="66"/>
    </w:p>
    <w:p w:rsidR="00C84BFE" w:rsidRDefault="00C84BFE" w:rsidP="00C84BFE">
      <w:pPr>
        <w:pStyle w:val="AERbodytext"/>
      </w:pPr>
      <w:r>
        <w:t>We are required to set out our proposed approach to the formulae that give effect to the control mechanisms for standard c</w:t>
      </w:r>
      <w:r w:rsidR="00AB459D">
        <w:t>ontrol services in the F&amp;A</w:t>
      </w:r>
      <w:r>
        <w:t>.</w:t>
      </w:r>
      <w:r w:rsidRPr="00C84BFE">
        <w:rPr>
          <w:rStyle w:val="FootnoteReference"/>
          <w:rFonts w:eastAsia="Calibri"/>
        </w:rPr>
        <w:footnoteReference w:id="99"/>
      </w:r>
      <w:r>
        <w:t xml:space="preserve"> We must include the formulae in our final F&amp;A in our distribution determination, unless we consider that unforeseen circumstances justify departing from the formulae as set out in t</w:t>
      </w:r>
      <w:r w:rsidR="00AB459D">
        <w:t>he F&amp;A</w:t>
      </w:r>
      <w:r>
        <w:t>.</w:t>
      </w:r>
      <w:r w:rsidRPr="00C84BFE">
        <w:rPr>
          <w:rStyle w:val="FootnoteReference"/>
          <w:rFonts w:eastAsia="Calibri"/>
        </w:rPr>
        <w:footnoteReference w:id="100"/>
      </w:r>
      <w:r>
        <w:t xml:space="preserve"> </w:t>
      </w:r>
    </w:p>
    <w:p w:rsidR="00C84BFE" w:rsidRPr="00C84BFE" w:rsidRDefault="00C84BFE" w:rsidP="00C84BFE">
      <w:pPr>
        <w:pStyle w:val="AERbodytext"/>
      </w:pPr>
      <w:r>
        <w:t xml:space="preserve">Below is a preliminary formulae to apply to standard control services. We consider that the formula gives effect to the revenue cap. </w:t>
      </w:r>
    </w:p>
    <w:p w:rsidR="00C84BFE" w:rsidRDefault="00C84BFE" w:rsidP="00F06ACC">
      <w:r>
        <w:t xml:space="preserve">(1) </w:t>
      </w:r>
      <w:r w:rsidR="00F06ACC" w:rsidRPr="00F06ACC">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35.35pt" o:ole="">
            <v:imagedata r:id="rId15" o:title=""/>
          </v:shape>
          <o:OLEObject Type="Embed" ProgID="Equation.3" ShapeID="_x0000_i1025" DrawAspect="Content" ObjectID="_1448879759" r:id="rId16"/>
        </w:object>
      </w:r>
      <w:r>
        <w:tab/>
      </w:r>
      <w:r>
        <w:tab/>
      </w:r>
      <w:r>
        <w:tab/>
      </w:r>
      <w:r>
        <w:tab/>
      </w:r>
      <w:r>
        <w:tab/>
        <w:t>i=1,...,n and j=1,...,m and t=1,...,5</w:t>
      </w:r>
    </w:p>
    <w:p w:rsidR="00C84BFE" w:rsidRPr="00F06ACC" w:rsidRDefault="00C84BFE" w:rsidP="00F06ACC">
      <w:pPr>
        <w:rPr>
          <w:rStyle w:val="AERbody"/>
        </w:rPr>
      </w:pPr>
      <w:r w:rsidRPr="00F06ACC">
        <w:rPr>
          <w:rStyle w:val="AERbody"/>
        </w:rPr>
        <w:t xml:space="preserve">(2) </w:t>
      </w:r>
      <w:r w:rsidR="00F06ACC" w:rsidRPr="00F06ACC">
        <w:rPr>
          <w:rStyle w:val="AERbody"/>
          <w:position w:val="-12"/>
        </w:rPr>
        <w:object w:dxaOrig="2460" w:dyaOrig="360">
          <v:shape id="_x0000_i1026" type="#_x0000_t75" style="width:123.7pt;height:16.35pt" o:ole="">
            <v:imagedata r:id="rId17" o:title=""/>
          </v:shape>
          <o:OLEObject Type="Embed" ProgID="Equation.3" ShapeID="_x0000_i1026" DrawAspect="Content" ObjectID="_1448879760" r:id="rId18"/>
        </w:object>
      </w:r>
    </w:p>
    <w:p w:rsidR="00C84BFE" w:rsidRDefault="00C84BFE" w:rsidP="00F06ACC">
      <w:r>
        <w:lastRenderedPageBreak/>
        <w:t xml:space="preserve">(3) </w:t>
      </w:r>
      <w:r w:rsidR="00F06ACC" w:rsidRPr="00F06ACC">
        <w:rPr>
          <w:position w:val="-12"/>
        </w:rPr>
        <w:object w:dxaOrig="2860" w:dyaOrig="360">
          <v:shape id="_x0000_i1027" type="#_x0000_t75" style="width:143.35pt;height:16.35pt" o:ole="">
            <v:imagedata r:id="rId19" o:title=""/>
          </v:shape>
          <o:OLEObject Type="Embed" ProgID="Equation.3" ShapeID="_x0000_i1027" DrawAspect="Content" ObjectID="_1448879761" r:id="rId20"/>
        </w:object>
      </w:r>
    </w:p>
    <w:p w:rsidR="00C84BFE" w:rsidRDefault="00C84BFE" w:rsidP="00C84BFE">
      <w:pPr>
        <w:pStyle w:val="AERbodytext"/>
      </w:pPr>
      <w:r>
        <w:t xml:space="preserve">Where: </w:t>
      </w:r>
    </w:p>
    <w:p w:rsidR="00C84BFE" w:rsidRDefault="0087647D" w:rsidP="00C84BFE">
      <w:pPr>
        <w:pStyle w:val="AERbodytext"/>
      </w:pPr>
      <w:r w:rsidRPr="00F06ACC">
        <w:rPr>
          <w:position w:val="-12"/>
        </w:rPr>
        <w:object w:dxaOrig="620" w:dyaOrig="360">
          <v:shape id="_x0000_i1028" type="#_x0000_t75" style="width:30.1pt;height:16.35pt" o:ole="">
            <v:imagedata r:id="rId21" o:title=""/>
          </v:shape>
          <o:OLEObject Type="Embed" ProgID="Equation.3" ShapeID="_x0000_i1028" DrawAspect="Content" ObjectID="_1448879762" r:id="rId22"/>
        </w:object>
      </w:r>
      <w:r w:rsidR="00C84BFE">
        <w:t>is the maximum allowable revenue in year t.</w:t>
      </w:r>
    </w:p>
    <w:p w:rsidR="00C84BFE" w:rsidRDefault="0087647D" w:rsidP="00C84BFE">
      <w:pPr>
        <w:pStyle w:val="AERbodytext"/>
      </w:pPr>
      <w:r w:rsidRPr="00F06ACC">
        <w:rPr>
          <w:position w:val="-14"/>
        </w:rPr>
        <w:object w:dxaOrig="320" w:dyaOrig="400">
          <v:shape id="_x0000_i1029" type="#_x0000_t75" style="width:15.7pt;height:20.3pt" o:ole="">
            <v:imagedata r:id="rId23" o:title=""/>
          </v:shape>
          <o:OLEObject Type="Embed" ProgID="Equation.3" ShapeID="_x0000_i1029" DrawAspect="Content" ObjectID="_1448879763" r:id="rId24"/>
        </w:object>
      </w:r>
      <w:r w:rsidR="00C84BFE">
        <w:t>is the price of component i of tariff j</w:t>
      </w:r>
      <w:r w:rsidR="00C84BFE" w:rsidRPr="00463B54">
        <w:t xml:space="preserve"> </w:t>
      </w:r>
      <w:r w:rsidR="00C84BFE">
        <w:t>in year t.</w:t>
      </w:r>
    </w:p>
    <w:p w:rsidR="00C84BFE" w:rsidRDefault="00F06ACC" w:rsidP="00C84BFE">
      <w:pPr>
        <w:pStyle w:val="AERbodytext"/>
      </w:pPr>
      <w:r w:rsidRPr="00F06ACC">
        <w:rPr>
          <w:position w:val="-14"/>
        </w:rPr>
        <w:object w:dxaOrig="320" w:dyaOrig="400">
          <v:shape id="_x0000_i1030" type="#_x0000_t75" style="width:15.7pt;height:20.3pt" o:ole="">
            <v:imagedata r:id="rId25" o:title=""/>
          </v:shape>
          <o:OLEObject Type="Embed" ProgID="Equation.3" ShapeID="_x0000_i1030" DrawAspect="Content" ObjectID="_1448879764" r:id="rId26"/>
        </w:object>
      </w:r>
      <w:r w:rsidR="00C84BFE">
        <w:t>is the forecast quantity of component i of tariff j</w:t>
      </w:r>
      <w:r w:rsidR="00C84BFE" w:rsidRPr="00463B54">
        <w:t xml:space="preserve"> </w:t>
      </w:r>
      <w:r w:rsidR="00C84BFE">
        <w:t>in year t.</w:t>
      </w:r>
    </w:p>
    <w:p w:rsidR="00C84BFE" w:rsidRDefault="00F06ACC" w:rsidP="00C84BFE">
      <w:pPr>
        <w:pStyle w:val="AERbodytext"/>
      </w:pPr>
      <w:r w:rsidRPr="00F06ACC">
        <w:rPr>
          <w:position w:val="-12"/>
        </w:rPr>
        <w:object w:dxaOrig="460" w:dyaOrig="380">
          <v:shape id="_x0000_i1031" type="#_x0000_t75" style="width:21.6pt;height:20.3pt" o:ole="">
            <v:imagedata r:id="rId27" o:title=""/>
          </v:shape>
          <o:OLEObject Type="Embed" ProgID="Equation.3" ShapeID="_x0000_i1031" DrawAspect="Content" ObjectID="_1448879765" r:id="rId28"/>
        </w:object>
      </w:r>
      <w:r w:rsidR="00C84BFE">
        <w:t>is the annual smoothed revenue requirement in the Post Tax Revenue Model for year t.</w:t>
      </w:r>
    </w:p>
    <w:p w:rsidR="00C84BFE" w:rsidRDefault="00F06ACC" w:rsidP="00C84BFE">
      <w:pPr>
        <w:pStyle w:val="AERbodytext"/>
      </w:pPr>
      <w:r w:rsidRPr="00F06ACC">
        <w:rPr>
          <w:position w:val="-12"/>
        </w:rPr>
        <w:object w:dxaOrig="220" w:dyaOrig="360">
          <v:shape id="_x0000_i1032" type="#_x0000_t75" style="width:11.15pt;height:16.35pt" o:ole="">
            <v:imagedata r:id="rId29" o:title=""/>
          </v:shape>
          <o:OLEObject Type="Embed" ProgID="Equation.3" ShapeID="_x0000_i1032" DrawAspect="Content" ObjectID="_1448879766" r:id="rId30"/>
        </w:object>
      </w:r>
      <w:r w:rsidR="00C84BFE">
        <w:t xml:space="preserve"> is the sum of incentive scheme adjustments in year t. To be decided upon in the final decision.</w:t>
      </w:r>
    </w:p>
    <w:p w:rsidR="00C84BFE" w:rsidRDefault="00F06ACC" w:rsidP="00C84BFE">
      <w:pPr>
        <w:pStyle w:val="AERbodytext"/>
      </w:pPr>
      <w:r w:rsidRPr="00F06ACC">
        <w:rPr>
          <w:position w:val="-12"/>
        </w:rPr>
        <w:object w:dxaOrig="240" w:dyaOrig="360">
          <v:shape id="_x0000_i1033" type="#_x0000_t75" style="width:12.45pt;height:16.35pt" o:ole="">
            <v:imagedata r:id="rId31" o:title=""/>
          </v:shape>
          <o:OLEObject Type="Embed" ProgID="Equation.3" ShapeID="_x0000_i1033" DrawAspect="Content" ObjectID="_1448879767" r:id="rId32"/>
        </w:object>
      </w:r>
      <w:r w:rsidR="00C84BFE">
        <w:t xml:space="preserve"> is the sum of transitional adjustments in year t. Likely to incorporate but not limited to adjustments from the transitional regulatory control period. To be decided upon in the final decision.</w:t>
      </w:r>
    </w:p>
    <w:p w:rsidR="00C84BFE" w:rsidRDefault="0087647D" w:rsidP="00C84BFE">
      <w:pPr>
        <w:pStyle w:val="AERbodytext"/>
      </w:pPr>
      <w:r w:rsidRPr="00F06ACC">
        <w:rPr>
          <w:position w:val="-12"/>
        </w:rPr>
        <w:object w:dxaOrig="279" w:dyaOrig="360">
          <v:shape id="_x0000_i1034" type="#_x0000_t75" style="width:12.45pt;height:16.35pt" o:ole="">
            <v:imagedata r:id="rId33" o:title=""/>
          </v:shape>
          <o:OLEObject Type="Embed" ProgID="Equation.3" ShapeID="_x0000_i1034" DrawAspect="Content" ObjectID="_1448879768" r:id="rId34"/>
        </w:object>
      </w:r>
      <w:r w:rsidR="00C84BFE">
        <w:t xml:space="preserve"> is the sum of annual adjustment factors in year t. Likely to incorporate but not limited to adjustments for the overs and unders account. To be decided upon in the final decision.</w:t>
      </w:r>
    </w:p>
    <w:p w:rsidR="00C84BFE" w:rsidRDefault="00F06ACC" w:rsidP="00C84BFE">
      <w:pPr>
        <w:pStyle w:val="AERbodytext"/>
      </w:pPr>
      <w:r w:rsidRPr="00F06ACC">
        <w:rPr>
          <w:position w:val="-12"/>
        </w:rPr>
        <w:object w:dxaOrig="560" w:dyaOrig="380">
          <v:shape id="_x0000_i1035" type="#_x0000_t75" style="width:27.5pt;height:20.3pt" o:ole="">
            <v:imagedata r:id="rId35" o:title=""/>
          </v:shape>
          <o:OLEObject Type="Embed" ProgID="Equation.3" ShapeID="_x0000_i1035" DrawAspect="Content" ObjectID="_1448879769" r:id="rId36"/>
        </w:object>
      </w:r>
      <w:r w:rsidR="00C84BFE">
        <w:t>is the percentage increase in the consumer price index. To be decided upon in the final decision.</w:t>
      </w:r>
    </w:p>
    <w:p w:rsidR="00C84BFE" w:rsidRDefault="0087647D" w:rsidP="00C84BFE">
      <w:pPr>
        <w:pStyle w:val="AERbodytext"/>
      </w:pPr>
      <w:r w:rsidRPr="00F06ACC">
        <w:rPr>
          <w:position w:val="-12"/>
        </w:rPr>
        <w:object w:dxaOrig="360" w:dyaOrig="380">
          <v:shape id="_x0000_i1036" type="#_x0000_t75" style="width:16.35pt;height:20.3pt" o:ole="">
            <v:imagedata r:id="rId37" o:title=""/>
          </v:shape>
          <o:OLEObject Type="Embed" ProgID="Equation.3" ShapeID="_x0000_i1036" DrawAspect="Content" ObjectID="_1448879770" r:id="rId38"/>
        </w:object>
      </w:r>
      <w:r w:rsidR="00C84BFE">
        <w:t>is the X-factor in year t. To be decided upon in the final decision.</w:t>
      </w:r>
    </w:p>
    <w:p w:rsidR="00C84BFE" w:rsidRPr="00DC4D01" w:rsidRDefault="00C84BFE" w:rsidP="00DC4D01">
      <w:pPr>
        <w:pStyle w:val="Heading3"/>
      </w:pPr>
      <w:bookmarkStart w:id="67" w:name="_Toc373500001"/>
      <w:bookmarkStart w:id="68" w:name="_Toc373773986"/>
      <w:r w:rsidRPr="00DC4D01">
        <w:t>Alternative control services</w:t>
      </w:r>
      <w:bookmarkEnd w:id="67"/>
      <w:bookmarkEnd w:id="68"/>
      <w:r w:rsidRPr="00DC4D01">
        <w:t xml:space="preserve"> </w:t>
      </w:r>
    </w:p>
    <w:p w:rsidR="00C84BFE" w:rsidRPr="00C84BFE" w:rsidRDefault="00C84BFE" w:rsidP="00C84BFE">
      <w:pPr>
        <w:pStyle w:val="AERbodytext"/>
        <w:rPr>
          <w:rFonts w:eastAsia="Calibri"/>
        </w:rPr>
      </w:pPr>
      <w:r w:rsidRPr="00C84BFE">
        <w:rPr>
          <w:rFonts w:eastAsia="Calibri"/>
        </w:rPr>
        <w:t xml:space="preserve">In </w:t>
      </w:r>
      <w:r w:rsidR="00F53FCD">
        <w:rPr>
          <w:rFonts w:eastAsia="Calibri"/>
        </w:rPr>
        <w:t>our</w:t>
      </w:r>
      <w:r w:rsidR="00F53FCD" w:rsidRPr="00C84BFE">
        <w:rPr>
          <w:rFonts w:eastAsia="Calibri"/>
        </w:rPr>
        <w:t xml:space="preserve"> </w:t>
      </w:r>
      <w:r w:rsidRPr="00C84BFE">
        <w:rPr>
          <w:rFonts w:eastAsia="Calibri"/>
        </w:rPr>
        <w:t>2010 distribution determination, the variable components of the type 6 metering services (type 6 metering services) were the only services deemed to be alternative control services during the 2010</w:t>
      </w:r>
      <w:r w:rsidRPr="005F763D">
        <w:t>–</w:t>
      </w:r>
      <w:r w:rsidRPr="00C84BFE">
        <w:rPr>
          <w:rFonts w:eastAsia="Calibri"/>
        </w:rPr>
        <w:t>15 regulatory control period. We applied a weighted average price form of control to these services.</w:t>
      </w:r>
    </w:p>
    <w:p w:rsidR="00C84BFE" w:rsidRPr="00C84BFE" w:rsidRDefault="00C84BFE" w:rsidP="00C84BFE">
      <w:pPr>
        <w:pStyle w:val="AERbodytext"/>
        <w:rPr>
          <w:rFonts w:eastAsia="Calibri"/>
        </w:rPr>
      </w:pPr>
      <w:r>
        <w:t xml:space="preserve">Our </w:t>
      </w:r>
      <w:r w:rsidRPr="005F763D">
        <w:t xml:space="preserve">preliminary position is to apply a price cap for each individual </w:t>
      </w:r>
      <w:r w:rsidR="006C554D">
        <w:t xml:space="preserve">alternative control </w:t>
      </w:r>
      <w:r w:rsidRPr="00C84BFE">
        <w:rPr>
          <w:rFonts w:eastAsia="Calibri"/>
        </w:rPr>
        <w:t>type 6 metering service</w:t>
      </w:r>
      <w:r w:rsidR="003C63E3">
        <w:rPr>
          <w:rFonts w:eastAsia="Calibri"/>
        </w:rPr>
        <w:t>s</w:t>
      </w:r>
      <w:r w:rsidRPr="00C84BFE">
        <w:rPr>
          <w:rFonts w:eastAsia="Calibri"/>
        </w:rPr>
        <w:t>.</w:t>
      </w:r>
      <w:r w:rsidRPr="005F763D">
        <w:t xml:space="preserve"> </w:t>
      </w:r>
    </w:p>
    <w:p w:rsidR="00C84BFE" w:rsidRPr="00C84BFE" w:rsidRDefault="00C84BFE" w:rsidP="00C84BFE">
      <w:pPr>
        <w:pStyle w:val="AERbodytext"/>
        <w:rPr>
          <w:rFonts w:eastAsia="Calibri"/>
        </w:rPr>
      </w:pPr>
      <w:r w:rsidRPr="005F763D">
        <w:t xml:space="preserve">The difference between the price cap and the existing WAPC </w:t>
      </w:r>
      <w:r w:rsidRPr="00C84BFE">
        <w:rPr>
          <w:rFonts w:eastAsia="Calibri"/>
        </w:rPr>
        <w:t>in the current regulatory control period is that the WAPC allows some flexibly for the service provider to implement a different price path for individual services under the tariff basket, while a price cap offers no such flexibility. This means the price path over the regulatory control period is fixed for each individual service. The advantage of this approach is that it provides a more transparent and predictable price path for customers compared to the weighted average approach. It will also reduce the likelihood of cross subsidisation between different type 6 metering services that may occur when adjusting the relative pr</w:t>
      </w:r>
      <w:r w:rsidR="002C05B5">
        <w:rPr>
          <w:rFonts w:eastAsia="Calibri"/>
        </w:rPr>
        <w:t>ice between the services.</w:t>
      </w:r>
    </w:p>
    <w:p w:rsidR="00C84BFE" w:rsidRPr="00C84BFE" w:rsidRDefault="00C84BFE" w:rsidP="00C84BFE">
      <w:pPr>
        <w:pStyle w:val="AERbodytext"/>
        <w:rPr>
          <w:rFonts w:eastAsia="Calibri"/>
        </w:rPr>
      </w:pPr>
      <w:r w:rsidRPr="00C84BFE">
        <w:rPr>
          <w:rFonts w:eastAsia="Calibri"/>
        </w:rPr>
        <w:t xml:space="preserve">Our preliminary position is based on the following considerations under clause 6.2.5(d) of the rules: </w:t>
      </w:r>
    </w:p>
    <w:p w:rsidR="00C84BFE" w:rsidRPr="00C84BFE" w:rsidRDefault="00C84BFE" w:rsidP="00C84BFE">
      <w:pPr>
        <w:pStyle w:val="AERbulletlistfirststyle"/>
        <w:rPr>
          <w:rFonts w:eastAsia="Calibri"/>
        </w:rPr>
      </w:pPr>
      <w:r w:rsidRPr="00C84BFE">
        <w:rPr>
          <w:rFonts w:eastAsia="Calibri"/>
        </w:rPr>
        <w:lastRenderedPageBreak/>
        <w:t>a price cap is one of the control mechanisms listed in clause 6.2.5(b) of the rules that can be applied in the next regulatory control period</w:t>
      </w:r>
      <w:r w:rsidRPr="00C84BFE">
        <w:rPr>
          <w:rStyle w:val="AERsuperscript"/>
          <w:rFonts w:eastAsia="Calibri"/>
        </w:rPr>
        <w:footnoteReference w:id="101"/>
      </w:r>
    </w:p>
    <w:p w:rsidR="00C84BFE" w:rsidRPr="00C84BFE" w:rsidRDefault="00F53FCD" w:rsidP="00C84BFE">
      <w:pPr>
        <w:pStyle w:val="AERbulletlistfirststyle"/>
        <w:rPr>
          <w:rFonts w:eastAsia="Calibri"/>
        </w:rPr>
      </w:pPr>
      <w:r>
        <w:t>w</w:t>
      </w:r>
      <w:r w:rsidR="00C84BFE">
        <w:t>e</w:t>
      </w:r>
      <w:r w:rsidR="00C84BFE" w:rsidRPr="005F763D">
        <w:t xml:space="preserve"> consider that a price cap promotes accurate price signals to the market through cost-reflective prices </w:t>
      </w:r>
    </w:p>
    <w:p w:rsidR="00C84BFE" w:rsidRPr="00C84BFE" w:rsidRDefault="00F53FCD" w:rsidP="00C84BFE">
      <w:pPr>
        <w:pStyle w:val="AERbulletlistfirststyle"/>
        <w:rPr>
          <w:rFonts w:eastAsia="Calibri"/>
        </w:rPr>
      </w:pPr>
      <w:r>
        <w:t>w</w:t>
      </w:r>
      <w:r w:rsidR="00C84BFE">
        <w:t>e</w:t>
      </w:r>
      <w:r w:rsidR="00C84BFE" w:rsidRPr="005F763D">
        <w:t xml:space="preserve"> consider that competition for alternative control services is limited at this point in time. However, where the development of competition is possible, the transparent and cost reflective nature of prices under the price cap will enable competitors to assess prices and make informed market entry decisions</w:t>
      </w:r>
      <w:r>
        <w:t>.</w:t>
      </w:r>
    </w:p>
    <w:p w:rsidR="00C84BFE" w:rsidRPr="00C84BFE" w:rsidRDefault="00F53FCD" w:rsidP="00C84BFE">
      <w:pPr>
        <w:pStyle w:val="AERbulletlistfirststyle"/>
        <w:rPr>
          <w:rFonts w:eastAsia="Calibri"/>
        </w:rPr>
      </w:pPr>
      <w:r>
        <w:rPr>
          <w:rFonts w:eastAsia="Calibri"/>
        </w:rPr>
        <w:t>w</w:t>
      </w:r>
      <w:r w:rsidR="00C84BFE" w:rsidRPr="00C84BFE">
        <w:rPr>
          <w:rFonts w:eastAsia="Calibri"/>
        </w:rPr>
        <w:t xml:space="preserve">e consider </w:t>
      </w:r>
      <w:r w:rsidR="00421D98">
        <w:rPr>
          <w:rFonts w:eastAsia="Calibri"/>
        </w:rPr>
        <w:t xml:space="preserve">the </w:t>
      </w:r>
      <w:r w:rsidR="00C84BFE" w:rsidRPr="00C84BFE">
        <w:rPr>
          <w:rFonts w:eastAsia="Calibri"/>
        </w:rPr>
        <w:t>administrative cost involved in switching from a weighted average price cap for a basket of services to a price cap for individual service is negligible because there will be no change to current reporting and modelling requirements</w:t>
      </w:r>
    </w:p>
    <w:p w:rsidR="00C84BFE" w:rsidRPr="00C84BFE" w:rsidRDefault="00C84BFE" w:rsidP="00C84BFE">
      <w:pPr>
        <w:pStyle w:val="AERbulletlistfirststyle"/>
        <w:rPr>
          <w:rFonts w:eastAsia="Calibri"/>
        </w:rPr>
      </w:pPr>
      <w:r w:rsidRPr="00C84BFE">
        <w:rPr>
          <w:rFonts w:eastAsia="Calibri"/>
        </w:rPr>
        <w:t>in the current regulatory control period SA Power Networks applied the same price path for all services under the type 6 metering services basket, except for metering exit fees, which are escalated based on CPI. This means that the price and revenue outcome for the current regulatory control period is largely the same as if a price cap for individual service</w:t>
      </w:r>
      <w:r w:rsidR="00421D98">
        <w:rPr>
          <w:rFonts w:eastAsia="Calibri"/>
        </w:rPr>
        <w:t>s</w:t>
      </w:r>
      <w:r w:rsidRPr="00C84BFE">
        <w:rPr>
          <w:rFonts w:eastAsia="Calibri"/>
        </w:rPr>
        <w:t xml:space="preserve"> were applied. For this reason, we consider a price cap is consistent with the outcome under the current arrangement.</w:t>
      </w:r>
    </w:p>
    <w:p w:rsidR="00C84BFE" w:rsidRPr="00F53FCD" w:rsidRDefault="00C84BFE" w:rsidP="00F53FCD">
      <w:pPr>
        <w:pStyle w:val="Heading3"/>
      </w:pPr>
      <w:bookmarkStart w:id="69" w:name="_Toc373500002"/>
      <w:bookmarkStart w:id="70" w:name="_Toc373773987"/>
      <w:r w:rsidRPr="00F53FCD">
        <w:t>Formulae for alternative control mechanism</w:t>
      </w:r>
      <w:bookmarkEnd w:id="69"/>
      <w:bookmarkEnd w:id="70"/>
    </w:p>
    <w:p w:rsidR="00C84BFE" w:rsidRDefault="00C84BFE" w:rsidP="00C84BFE">
      <w:pPr>
        <w:pStyle w:val="AERbodytext"/>
      </w:pPr>
      <w:r>
        <w:t>Below is a preliminary formulae to apply to alternative control services, which we propose to remain classified as alternative control services. We consider that the formula gives effect to the cap on the prices of individual services.</w:t>
      </w:r>
    </w:p>
    <w:p w:rsidR="00C84BFE" w:rsidRDefault="0059683A" w:rsidP="00C84BFE">
      <w:pPr>
        <w:pStyle w:val="AERbodytext"/>
      </w:pPr>
      <w:r w:rsidRPr="0059683A">
        <w:rPr>
          <w:position w:val="-12"/>
        </w:rPr>
        <w:object w:dxaOrig="800" w:dyaOrig="380">
          <v:shape id="_x0000_i1037" type="#_x0000_t75" style="width:39.25pt;height:20.3pt" o:ole="">
            <v:imagedata r:id="rId39" o:title=""/>
          </v:shape>
          <o:OLEObject Type="Embed" ProgID="Equation.3" ShapeID="_x0000_i1037" DrawAspect="Content" ObjectID="_1448879771" r:id="rId40"/>
        </w:object>
      </w:r>
      <w:r w:rsidR="00C84BFE">
        <w:tab/>
      </w:r>
      <w:r w:rsidR="00C84BFE">
        <w:tab/>
      </w:r>
      <w:r w:rsidR="00C84BFE">
        <w:tab/>
      </w:r>
      <w:r w:rsidR="00C84BFE">
        <w:tab/>
      </w:r>
      <w:r w:rsidR="00C84BFE">
        <w:tab/>
      </w:r>
      <w:r w:rsidR="00C84BFE">
        <w:tab/>
      </w:r>
      <w:r w:rsidR="00C84BFE">
        <w:tab/>
      </w:r>
      <w:r w:rsidR="00C84BFE">
        <w:tab/>
        <w:t>i=1,...,n and t=1,2,3,4</w:t>
      </w:r>
    </w:p>
    <w:p w:rsidR="00C84BFE" w:rsidRDefault="00C84BFE" w:rsidP="00C84BFE">
      <w:pPr>
        <w:pStyle w:val="AERbodytext"/>
      </w:pPr>
      <w:r w:rsidRPr="001762C7">
        <w:object w:dxaOrig="3080" w:dyaOrig="380">
          <v:shape id="_x0000_i1038" type="#_x0000_t75" style="width:153.15pt;height:20.3pt" o:ole="">
            <v:imagedata r:id="rId41" o:title=""/>
          </v:shape>
          <o:OLEObject Type="Embed" ProgID="Equation.3" ShapeID="_x0000_i1038" DrawAspect="Content" ObjectID="_1448879772" r:id="rId42"/>
        </w:object>
      </w:r>
    </w:p>
    <w:p w:rsidR="00C84BFE" w:rsidRDefault="00C84BFE" w:rsidP="00C84BFE">
      <w:pPr>
        <w:pStyle w:val="AERbodytext"/>
      </w:pPr>
      <w:r>
        <w:t>Where:</w:t>
      </w:r>
    </w:p>
    <w:p w:rsidR="00C84BFE" w:rsidRDefault="00714AAD" w:rsidP="00C84BFE">
      <w:pPr>
        <w:pStyle w:val="AERbodytext"/>
      </w:pPr>
      <w:r w:rsidRPr="0059683A">
        <w:rPr>
          <w:position w:val="-12"/>
        </w:rPr>
        <w:object w:dxaOrig="300" w:dyaOrig="380">
          <v:shape id="_x0000_i1039" type="#_x0000_t75" style="width:15.05pt;height:20.3pt" o:ole="">
            <v:imagedata r:id="rId43" o:title=""/>
          </v:shape>
          <o:OLEObject Type="Embed" ProgID="Equation.3" ShapeID="_x0000_i1039" DrawAspect="Content" ObjectID="_1448879773" r:id="rId44"/>
        </w:object>
      </w:r>
      <w:r w:rsidR="00C84BFE">
        <w:t>is the cap on the price of service i in year t</w:t>
      </w:r>
    </w:p>
    <w:p w:rsidR="00C84BFE" w:rsidRDefault="0059683A" w:rsidP="00C84BFE">
      <w:pPr>
        <w:pStyle w:val="AERbodytext"/>
      </w:pPr>
      <w:r w:rsidRPr="0059683A">
        <w:rPr>
          <w:position w:val="-12"/>
        </w:rPr>
        <w:object w:dxaOrig="300" w:dyaOrig="380">
          <v:shape id="_x0000_i1040" type="#_x0000_t75" style="width:15.05pt;height:20.3pt" o:ole="">
            <v:imagedata r:id="rId45" o:title=""/>
          </v:shape>
          <o:OLEObject Type="Embed" ProgID="Equation.3" ShapeID="_x0000_i1040" DrawAspect="Content" ObjectID="_1448879774" r:id="rId46"/>
        </w:object>
      </w:r>
      <w:r w:rsidR="00C84BFE">
        <w:t>is the price of service i in year t</w:t>
      </w:r>
    </w:p>
    <w:p w:rsidR="00C84BFE" w:rsidRDefault="00714AAD" w:rsidP="00C84BFE">
      <w:pPr>
        <w:pStyle w:val="AERbodytext"/>
      </w:pPr>
      <w:r w:rsidRPr="0059683A">
        <w:rPr>
          <w:position w:val="-12"/>
        </w:rPr>
        <w:object w:dxaOrig="580" w:dyaOrig="380">
          <v:shape id="_x0000_i1041" type="#_x0000_t75" style="width:29.45pt;height:20.3pt" o:ole="">
            <v:imagedata r:id="rId47" o:title=""/>
          </v:shape>
          <o:OLEObject Type="Embed" ProgID="Equation.3" ShapeID="_x0000_i1041" DrawAspect="Content" ObjectID="_1448879775" r:id="rId48"/>
        </w:object>
      </w:r>
      <w:r w:rsidR="00C84BFE">
        <w:t>is the percentage increase in the consumer price index. To be decided upon in the final decision.</w:t>
      </w:r>
    </w:p>
    <w:p w:rsidR="00C84BFE" w:rsidRDefault="00714AAD" w:rsidP="00C84BFE">
      <w:pPr>
        <w:pStyle w:val="AERbodytext"/>
      </w:pPr>
      <w:r w:rsidRPr="0059683A">
        <w:rPr>
          <w:position w:val="-12"/>
        </w:rPr>
        <w:object w:dxaOrig="340" w:dyaOrig="380">
          <v:shape id="_x0000_i1042" type="#_x0000_t75" style="width:16.35pt;height:20.3pt" o:ole="">
            <v:imagedata r:id="rId49" o:title=""/>
          </v:shape>
          <o:OLEObject Type="Embed" ProgID="Equation.3" ShapeID="_x0000_i1042" DrawAspect="Content" ObjectID="_1448879776" r:id="rId50"/>
        </w:object>
      </w:r>
      <w:r w:rsidR="00C84BFE">
        <w:t xml:space="preserve">is the X-factor for service i in year t. To be decided upon in the final decision. </w:t>
      </w:r>
    </w:p>
    <w:p w:rsidR="00C84BFE" w:rsidRDefault="00714AAD" w:rsidP="00A84476">
      <w:pPr>
        <w:pStyle w:val="AERbodytext"/>
      </w:pPr>
      <w:r w:rsidRPr="0059683A">
        <w:rPr>
          <w:position w:val="-12"/>
        </w:rPr>
        <w:object w:dxaOrig="300" w:dyaOrig="380">
          <v:shape id="_x0000_i1043" type="#_x0000_t75" style="width:15.05pt;height:20.3pt" o:ole="">
            <v:imagedata r:id="rId51" o:title=""/>
          </v:shape>
          <o:OLEObject Type="Embed" ProgID="Equation.3" ShapeID="_x0000_i1043" DrawAspect="Content" ObjectID="_1448879777" r:id="rId52"/>
        </w:object>
      </w:r>
      <w:r w:rsidR="00C84BFE">
        <w:t xml:space="preserve">is an adjustment factor. Likely to include, but not limited to adjustments for residual charges when customers choose to replace assets before the end of their economic life. </w:t>
      </w:r>
    </w:p>
    <w:p w:rsidR="00350180" w:rsidRPr="00F53FCD" w:rsidRDefault="00350180" w:rsidP="00F53FCD">
      <w:pPr>
        <w:pStyle w:val="Heading1"/>
      </w:pPr>
      <w:bookmarkStart w:id="71" w:name="_Toc373773988"/>
      <w:r w:rsidRPr="00F53FCD">
        <w:lastRenderedPageBreak/>
        <w:t>Incentive schemes</w:t>
      </w:r>
      <w:bookmarkEnd w:id="71"/>
    </w:p>
    <w:p w:rsidR="00842C8E" w:rsidRPr="00842C8E" w:rsidRDefault="00842C8E" w:rsidP="00842C8E">
      <w:pPr>
        <w:pStyle w:val="AERbodytext"/>
      </w:pPr>
      <w:r>
        <w:t>This attachment</w:t>
      </w:r>
      <w:r w:rsidRPr="00842C8E">
        <w:t xml:space="preserve"> sets out our preliminary position on the application of a range of incentive</w:t>
      </w:r>
      <w:r>
        <w:t xml:space="preserve"> schemes to SA Power Networks</w:t>
      </w:r>
      <w:r w:rsidRPr="00842C8E">
        <w:t xml:space="preserve"> for the next regulatory control period. At a high level, our preliminary position is to apply the:</w:t>
      </w:r>
    </w:p>
    <w:p w:rsidR="00842C8E" w:rsidRPr="00842C8E" w:rsidRDefault="00842C8E" w:rsidP="00384EB3">
      <w:pPr>
        <w:pStyle w:val="AERbulletlistfirststyle"/>
      </w:pPr>
      <w:r w:rsidRPr="00842C8E">
        <w:t>service target performance incentive scheme</w:t>
      </w:r>
    </w:p>
    <w:p w:rsidR="00842C8E" w:rsidRPr="00842C8E" w:rsidRDefault="00842C8E" w:rsidP="00384EB3">
      <w:pPr>
        <w:pStyle w:val="AERbulletlistfirststyle"/>
      </w:pPr>
      <w:r w:rsidRPr="00842C8E">
        <w:t>efficiency benefit sharing scheme</w:t>
      </w:r>
    </w:p>
    <w:p w:rsidR="00842C8E" w:rsidRPr="00842C8E" w:rsidRDefault="00842C8E" w:rsidP="00384EB3">
      <w:pPr>
        <w:pStyle w:val="AERbulletlistfirststyle"/>
      </w:pPr>
      <w:r w:rsidRPr="00842C8E">
        <w:t>capital expenditure sharing scheme</w:t>
      </w:r>
    </w:p>
    <w:p w:rsidR="00CA58AA" w:rsidRPr="00842C8E" w:rsidRDefault="00842C8E" w:rsidP="00384EB3">
      <w:pPr>
        <w:pStyle w:val="AERbulletlistfirststyle"/>
        <w:rPr>
          <w:rStyle w:val="AERtexthighlight"/>
          <w:shd w:val="clear" w:color="auto" w:fill="auto"/>
        </w:rPr>
      </w:pPr>
      <w:r w:rsidRPr="00842C8E">
        <w:t xml:space="preserve">demand management incentive scheme. </w:t>
      </w:r>
    </w:p>
    <w:p w:rsidR="0085276C" w:rsidRDefault="0085276C" w:rsidP="0085276C">
      <w:pPr>
        <w:pStyle w:val="Heading2"/>
      </w:pPr>
      <w:bookmarkStart w:id="72" w:name="_Toc373773989"/>
      <w:r w:rsidRPr="0085276C">
        <w:t>Service</w:t>
      </w:r>
      <w:r w:rsidRPr="005D6383">
        <w:t xml:space="preserve"> target performance incentive scheme</w:t>
      </w:r>
      <w:bookmarkEnd w:id="72"/>
    </w:p>
    <w:p w:rsidR="009119D8" w:rsidRDefault="009119D8" w:rsidP="009119D8">
      <w:pPr>
        <w:pStyle w:val="AERbodytext"/>
      </w:pPr>
      <w:r w:rsidRPr="008E6A6B">
        <w:t>This</w:t>
      </w:r>
      <w:r w:rsidR="00461664">
        <w:t xml:space="preserve"> section</w:t>
      </w:r>
      <w:r w:rsidRPr="008E6A6B">
        <w:t xml:space="preserve"> </w:t>
      </w:r>
      <w:r>
        <w:t>sets out our proposed approach and reasons for applying the service target performance incentive scheme (STPIS) to SA Power Networks in the next regulatory control period.</w:t>
      </w:r>
    </w:p>
    <w:p w:rsidR="009119D8" w:rsidRDefault="009119D8" w:rsidP="009119D8">
      <w:pPr>
        <w:pStyle w:val="AERbodytext"/>
      </w:pPr>
      <w:r w:rsidRPr="0056185A">
        <w:t xml:space="preserve">Our national </w:t>
      </w:r>
      <w:r>
        <w:t xml:space="preserve">distribution </w:t>
      </w:r>
      <w:r w:rsidRPr="0056185A">
        <w:t>STPIS</w:t>
      </w:r>
      <w:r w:rsidRPr="002D4FB4">
        <w:rPr>
          <w:rStyle w:val="FootnoteReference"/>
        </w:rPr>
        <w:footnoteReference w:id="102"/>
      </w:r>
      <w:r w:rsidRPr="0056185A">
        <w:t xml:space="preserve"> provides </w:t>
      </w:r>
      <w:r>
        <w:t xml:space="preserve">a </w:t>
      </w:r>
      <w:r w:rsidRPr="0056185A">
        <w:t xml:space="preserve">financial incentive to </w:t>
      </w:r>
      <w:r>
        <w:t>distributors</w:t>
      </w:r>
      <w:r w:rsidRPr="0056185A">
        <w:t xml:space="preserve"> to maintain and improve service performance. The </w:t>
      </w:r>
      <w:r>
        <w:t>STPIS</w:t>
      </w:r>
      <w:r w:rsidRPr="0056185A">
        <w:t xml:space="preserve"> </w:t>
      </w:r>
      <w:r>
        <w:t>aims to ensure that</w:t>
      </w:r>
      <w:r w:rsidRPr="0056185A">
        <w:t xml:space="preserve"> cost efficiencies incentivised under our expenditure schemes </w:t>
      </w:r>
      <w:r>
        <w:t>d</w:t>
      </w:r>
      <w:r w:rsidRPr="0056185A">
        <w:t xml:space="preserve">o </w:t>
      </w:r>
      <w:r>
        <w:t xml:space="preserve">not </w:t>
      </w:r>
      <w:r w:rsidRPr="0056185A">
        <w:t xml:space="preserve">arise through the deterioration of service quality for customers. </w:t>
      </w:r>
      <w:r>
        <w:t>P</w:t>
      </w:r>
      <w:r w:rsidRPr="0056185A">
        <w:t xml:space="preserve">enalties and rewards under the STPIS are calibrated with how willing customers are to pay for improved service. This aligns </w:t>
      </w:r>
      <w:r>
        <w:t>the distributors</w:t>
      </w:r>
      <w:r w:rsidRPr="0056185A">
        <w:t xml:space="preserve">' incentives towards efficient price and non-price outcomes </w:t>
      </w:r>
      <w:r>
        <w:t xml:space="preserve">with </w:t>
      </w:r>
      <w:r w:rsidRPr="0056185A">
        <w:t xml:space="preserve">the long-term </w:t>
      </w:r>
      <w:r>
        <w:t>interests</w:t>
      </w:r>
      <w:r w:rsidRPr="0056185A">
        <w:t xml:space="preserve"> of consumers, consistent with the NEO.</w:t>
      </w:r>
    </w:p>
    <w:p w:rsidR="009119D8" w:rsidRPr="00FF7E92" w:rsidRDefault="009119D8" w:rsidP="009119D8">
      <w:pPr>
        <w:pStyle w:val="AERbodytext"/>
      </w:pPr>
      <w:r>
        <w:t>The STPIS operates as part of the building block determination and contains two mechanisms:</w:t>
      </w:r>
    </w:p>
    <w:p w:rsidR="009119D8" w:rsidRDefault="009119D8" w:rsidP="009119D8">
      <w:pPr>
        <w:pStyle w:val="AERbulletlistfirststyle"/>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9119D8" w:rsidRDefault="009119D8" w:rsidP="009119D8">
      <w:pPr>
        <w:pStyle w:val="AERbulletlistfirststyle"/>
      </w:pPr>
      <w:r>
        <w:t>A guaranteed service level (GSL) component composed of direct payments to customers</w:t>
      </w:r>
      <w:r>
        <w:rPr>
          <w:rStyle w:val="FootnoteReference"/>
        </w:rPr>
        <w:footnoteReference w:id="103"/>
      </w:r>
      <w:r>
        <w:t xml:space="preserve"> experiencing service below a predetermined level.</w:t>
      </w:r>
      <w:r>
        <w:rPr>
          <w:rStyle w:val="FootnoteReference"/>
        </w:rPr>
        <w:footnoteReference w:id="104"/>
      </w:r>
    </w:p>
    <w:p w:rsidR="009119D8" w:rsidRDefault="009119D8" w:rsidP="009119D8">
      <w:pPr>
        <w:pStyle w:val="AERbodytext"/>
      </w:pPr>
      <w:r>
        <w:t xml:space="preserve">While the mechanics of how the STPIS will operate are outlined in our national distribution STPIS, we must set out key aspects specific to each distributor in the next regulatory control period at the determination stage, including:  </w:t>
      </w:r>
    </w:p>
    <w:p w:rsidR="009119D8" w:rsidRDefault="009119D8" w:rsidP="009119D8">
      <w:pPr>
        <w:pStyle w:val="AERbulletlistfirststyle"/>
      </w:pPr>
      <w:r>
        <w:t>the maximum revenue at risk under the STPIS</w:t>
      </w:r>
    </w:p>
    <w:p w:rsidR="009119D8" w:rsidRDefault="009119D8" w:rsidP="009119D8">
      <w:pPr>
        <w:pStyle w:val="AERbulletlistfirststyle"/>
      </w:pPr>
      <w:r>
        <w:t>how the distributor's network will be segmented</w:t>
      </w:r>
    </w:p>
    <w:p w:rsidR="009119D8" w:rsidRDefault="009119D8" w:rsidP="009119D8">
      <w:pPr>
        <w:pStyle w:val="AERbulletlistfirststyle"/>
      </w:pPr>
      <w:r>
        <w:t>the applicable parameters for the s-factor adjustment of annual revenue across customer service, reliability a</w:t>
      </w:r>
      <w:r w:rsidR="00461664">
        <w:t>nd quality of supply components</w:t>
      </w:r>
    </w:p>
    <w:p w:rsidR="009119D8" w:rsidRDefault="009119D8" w:rsidP="009119D8">
      <w:pPr>
        <w:pStyle w:val="AERbulletlistfirststyle"/>
      </w:pPr>
      <w:r>
        <w:t>performance targets for the applicable parameters in each network segment</w:t>
      </w:r>
    </w:p>
    <w:p w:rsidR="009119D8" w:rsidRDefault="009119D8" w:rsidP="009119D8">
      <w:pPr>
        <w:pStyle w:val="AERbulletlistfirststyle"/>
      </w:pPr>
      <w:r>
        <w:lastRenderedPageBreak/>
        <w:t xml:space="preserve">the criteria for certain events to be excluded from the calculation of annual performance and </w:t>
      </w:r>
      <w:r w:rsidRPr="0056185A">
        <w:t>performance</w:t>
      </w:r>
      <w:r>
        <w:t xml:space="preserve"> targets </w:t>
      </w:r>
    </w:p>
    <w:p w:rsidR="009119D8" w:rsidRDefault="009119D8" w:rsidP="009119D8">
      <w:pPr>
        <w:pStyle w:val="AERbulletlistfirststyle"/>
      </w:pPr>
      <w:r w:rsidRPr="0056185A">
        <w:t>incentive rates</w:t>
      </w:r>
      <w:r>
        <w:t xml:space="preserve"> determining the relative importance of measured performance (against targets) across applicable parameters in each network segment.</w:t>
      </w:r>
    </w:p>
    <w:p w:rsidR="009119D8" w:rsidRPr="0056185A" w:rsidRDefault="009119D8" w:rsidP="009119D8">
      <w:pPr>
        <w:pStyle w:val="AERbodytext"/>
      </w:pPr>
      <w:r>
        <w:t>Distributors c</w:t>
      </w:r>
      <w:r w:rsidRPr="00A01C76">
        <w:t>an propos</w:t>
      </w:r>
      <w:r>
        <w:t>e</w:t>
      </w:r>
      <w:r w:rsidRPr="00A01C76">
        <w:t xml:space="preserve"> to vary </w:t>
      </w:r>
      <w:r>
        <w:t xml:space="preserve">the </w:t>
      </w:r>
      <w:r w:rsidRPr="00A01C76">
        <w:t xml:space="preserve">application of the </w:t>
      </w:r>
      <w:r>
        <w:t>STPIS in their</w:t>
      </w:r>
      <w:r w:rsidRPr="00A01C76">
        <w:t xml:space="preserve"> regulatory proposal</w:t>
      </w:r>
      <w:r>
        <w:t>.</w:t>
      </w:r>
      <w:r>
        <w:rPr>
          <w:rStyle w:val="FootnoteReference"/>
        </w:rPr>
        <w:footnoteReference w:id="105"/>
      </w:r>
      <w:r>
        <w:t xml:space="preserve"> We can</w:t>
      </w:r>
      <w:r w:rsidRPr="00A01C76">
        <w:t xml:space="preserve"> accept or reject </w:t>
      </w:r>
      <w:r>
        <w:t xml:space="preserve">the proposed variation </w:t>
      </w:r>
      <w:r w:rsidRPr="00A01C76">
        <w:t xml:space="preserve">in </w:t>
      </w:r>
      <w:r>
        <w:t>our</w:t>
      </w:r>
      <w:r w:rsidRPr="00A01C76">
        <w:t xml:space="preserve"> determination.</w:t>
      </w:r>
      <w:r>
        <w:t xml:space="preserve"> Each applicable year we will calculate a distributor's s-factor based on its service performance in the previous year against targets, subject to the </w:t>
      </w:r>
      <w:r w:rsidRPr="00A01C76">
        <w:t>revenue at risk limit</w:t>
      </w:r>
      <w:r>
        <w:t>. Our national STPIS includes a banking mechanism, allowing distributors to</w:t>
      </w:r>
      <w:r w:rsidRPr="00A01C76">
        <w:t xml:space="preserve"> </w:t>
      </w:r>
      <w:r>
        <w:t xml:space="preserve">propose </w:t>
      </w:r>
      <w:r w:rsidRPr="00A01C76">
        <w:t>delay</w:t>
      </w:r>
      <w:r>
        <w:t>ing</w:t>
      </w:r>
      <w:r w:rsidRPr="00A01C76">
        <w:t xml:space="preserve"> a portion of the revenue increment or decrement for one year</w:t>
      </w:r>
      <w:r w:rsidRPr="009A2F27">
        <w:t xml:space="preserve"> </w:t>
      </w:r>
      <w:r>
        <w:t>to limit price volatility for customers.</w:t>
      </w:r>
      <w:r w:rsidRPr="00A01C76">
        <w:rPr>
          <w:rStyle w:val="FootnoteReference"/>
        </w:rPr>
        <w:footnoteReference w:id="106"/>
      </w:r>
      <w:r>
        <w:t xml:space="preserve"> </w:t>
      </w:r>
      <w:r w:rsidRPr="00462277">
        <w:t xml:space="preserve">A </w:t>
      </w:r>
      <w:r>
        <w:t>distributor</w:t>
      </w:r>
      <w:r w:rsidRPr="00462277">
        <w:t xml:space="preserve"> proposing a delay must provide in</w:t>
      </w:r>
      <w:r>
        <w:t xml:space="preserve"> </w:t>
      </w:r>
      <w:r w:rsidRPr="00462277">
        <w:t>writing its reasons and justification for believing that the delay will result in</w:t>
      </w:r>
      <w:r>
        <w:t xml:space="preserve"> </w:t>
      </w:r>
      <w:r w:rsidRPr="00462277">
        <w:t>reduced price variations to customers.</w:t>
      </w:r>
    </w:p>
    <w:p w:rsidR="009119D8" w:rsidRPr="00455DBA" w:rsidRDefault="009119D8" w:rsidP="009119D8">
      <w:pPr>
        <w:pStyle w:val="AERbodytext"/>
      </w:pPr>
      <w:r w:rsidRPr="00455DBA">
        <w:t>Our nationa</w:t>
      </w:r>
      <w:r w:rsidR="00C40DE9">
        <w:t>l STPIS currently applies to</w:t>
      </w:r>
      <w:r w:rsidRPr="00455DBA">
        <w:t xml:space="preserve"> </w:t>
      </w:r>
      <w:r>
        <w:t>SA Power Networks</w:t>
      </w:r>
      <w:r w:rsidRPr="00455DBA">
        <w:t xml:space="preserve">. </w:t>
      </w:r>
      <w:r>
        <w:t>SA Power Networks</w:t>
      </w:r>
      <w:r w:rsidR="00A01EB6">
        <w:t xml:space="preserve"> is</w:t>
      </w:r>
      <w:r w:rsidRPr="00455DBA">
        <w:t xml:space="preserve"> currently subject to financial penalty or reward of ±</w:t>
      </w:r>
      <w:r>
        <w:t>3</w:t>
      </w:r>
      <w:r w:rsidRPr="00455DBA">
        <w:t xml:space="preserve"> per cent through an s-factor adjustment to revenue. However, jurisdictional</w:t>
      </w:r>
      <w:r w:rsidR="00FD6558">
        <w:t xml:space="preserve"> GSL arrangements do</w:t>
      </w:r>
      <w:r w:rsidRPr="00455DBA">
        <w:t xml:space="preserve"> apply.</w:t>
      </w:r>
      <w:r w:rsidRPr="00455DBA">
        <w:rPr>
          <w:rStyle w:val="FootnoteReference"/>
        </w:rPr>
        <w:footnoteReference w:id="107"/>
      </w:r>
      <w:r w:rsidRPr="00455DBA">
        <w:t xml:space="preserve"> </w:t>
      </w:r>
    </w:p>
    <w:p w:rsidR="009119D8" w:rsidRDefault="009119D8" w:rsidP="009119D8">
      <w:pPr>
        <w:pStyle w:val="Heading3"/>
      </w:pPr>
      <w:bookmarkStart w:id="73" w:name="_Toc373500005"/>
      <w:bookmarkStart w:id="74" w:name="_Toc373773990"/>
      <w:r>
        <w:t xml:space="preserve">AER's preliminary </w:t>
      </w:r>
      <w:bookmarkEnd w:id="73"/>
      <w:r w:rsidR="00D416AA">
        <w:t>position</w:t>
      </w:r>
      <w:bookmarkEnd w:id="74"/>
    </w:p>
    <w:p w:rsidR="009119D8" w:rsidRPr="00C16C7B" w:rsidRDefault="009119D8" w:rsidP="009119D8">
      <w:r>
        <w:t>Our preliminary position is to continue to apply</w:t>
      </w:r>
      <w:r w:rsidRPr="00C16C7B">
        <w:t xml:space="preserve"> the national STPIS to </w:t>
      </w:r>
      <w:r>
        <w:t>SA Power Networks</w:t>
      </w:r>
      <w:r w:rsidRPr="00C16C7B">
        <w:t xml:space="preserve"> in the </w:t>
      </w:r>
      <w:r>
        <w:t>next</w:t>
      </w:r>
      <w:r w:rsidRPr="00C16C7B">
        <w:t xml:space="preserve"> regulatory control period. Our proposed approach to applying the national STPIS in the </w:t>
      </w:r>
      <w:r>
        <w:t xml:space="preserve">next </w:t>
      </w:r>
      <w:r w:rsidRPr="00C16C7B">
        <w:t xml:space="preserve">regulatory control period will be to: </w:t>
      </w:r>
    </w:p>
    <w:p w:rsidR="009119D8" w:rsidRPr="00C16C7B" w:rsidRDefault="009119D8" w:rsidP="009119D8">
      <w:pPr>
        <w:pStyle w:val="AERbulletlistfirststyle"/>
      </w:pPr>
      <w:r w:rsidRPr="00C16C7B">
        <w:t>set revenue at risk for each distributor within the range ±5</w:t>
      </w:r>
      <w:r>
        <w:t xml:space="preserve"> per cent</w:t>
      </w:r>
    </w:p>
    <w:p w:rsidR="009119D8" w:rsidRPr="00C16C7B" w:rsidRDefault="009119D8" w:rsidP="009119D8">
      <w:pPr>
        <w:pStyle w:val="AERbulletlistfirststyle"/>
      </w:pPr>
      <w:r w:rsidRPr="00C16C7B">
        <w:t xml:space="preserve">segment the network according to our interpretation of the </w:t>
      </w:r>
      <w:r>
        <w:t>Standing Committee on National Regulatory Reporting Requirements (</w:t>
      </w:r>
      <w:r w:rsidRPr="00C16C7B">
        <w:t>SCONRRR</w:t>
      </w:r>
      <w:r>
        <w:t>)</w:t>
      </w:r>
      <w:r w:rsidRPr="00C16C7B">
        <w:t xml:space="preserve"> feeder categories (CBD, urb</w:t>
      </w:r>
      <w:r w:rsidR="00C40DE9">
        <w:t>an, short rural and long rural)</w:t>
      </w:r>
      <w:r w:rsidRPr="00C16C7B">
        <w:t xml:space="preserve"> </w:t>
      </w:r>
    </w:p>
    <w:p w:rsidR="009119D8" w:rsidRPr="00C16C7B" w:rsidRDefault="009119D8" w:rsidP="009119D8">
      <w:pPr>
        <w:pStyle w:val="AERbulletlistfirststyle"/>
      </w:pPr>
      <w:r w:rsidRPr="00C16C7B">
        <w:t>set applicable reliability of supply (</w:t>
      </w:r>
      <w:r>
        <w:t xml:space="preserve">system average interruption duration index or </w:t>
      </w:r>
      <w:r w:rsidRPr="00C16C7B">
        <w:t xml:space="preserve">SAIDI and </w:t>
      </w:r>
      <w:r>
        <w:t>system average</w:t>
      </w:r>
      <w:r w:rsidR="00FD6558">
        <w:t xml:space="preserve"> interruption frequency index or</w:t>
      </w:r>
      <w:r>
        <w:t xml:space="preserve"> </w:t>
      </w:r>
      <w:r w:rsidRPr="00C16C7B">
        <w:t>SAIFI) and customer service (telephone answering) parameters</w:t>
      </w:r>
    </w:p>
    <w:p w:rsidR="009119D8" w:rsidRPr="00C16C7B" w:rsidRDefault="009119D8" w:rsidP="009119D8">
      <w:pPr>
        <w:pStyle w:val="AERbulletlistfirststyle"/>
      </w:pPr>
      <w:r w:rsidRPr="00C16C7B">
        <w:t xml:space="preserve">set performance targets based on the </w:t>
      </w:r>
      <w:r>
        <w:t>distributor</w:t>
      </w:r>
      <w:r w:rsidRPr="00C16C7B">
        <w:t>s' average performance over the past five regulatory year</w:t>
      </w:r>
      <w:r w:rsidR="00C40DE9">
        <w:t>s</w:t>
      </w:r>
      <w:r w:rsidRPr="00C16C7B">
        <w:t xml:space="preserve"> </w:t>
      </w:r>
    </w:p>
    <w:p w:rsidR="009119D8" w:rsidRPr="00C16C7B" w:rsidRDefault="009119D8" w:rsidP="009119D8">
      <w:pPr>
        <w:pStyle w:val="AERbulletlistfirststyle"/>
      </w:pPr>
      <w:r w:rsidRPr="00C16C7B">
        <w:t>apply the methodology indicated in the national STPIS for excluding specific events from the calculation of annual performance and performance targets</w:t>
      </w:r>
    </w:p>
    <w:p w:rsidR="009119D8" w:rsidRPr="00C16C7B" w:rsidRDefault="009119D8" w:rsidP="009119D8">
      <w:pPr>
        <w:pStyle w:val="AERbulletlistfirststyle"/>
      </w:pPr>
      <w:r w:rsidRPr="00C16C7B">
        <w:t>apply the methodology and value of customer reliability (VCR) values as indicated in our national STPIS to the calculation of incentive rates.</w:t>
      </w:r>
    </w:p>
    <w:p w:rsidR="009119D8" w:rsidRDefault="009119D8" w:rsidP="009119D8">
      <w:pPr>
        <w:pStyle w:val="AERbodytext"/>
      </w:pPr>
      <w:r>
        <w:t>We will not apply the GSL component as SA Power Networks</w:t>
      </w:r>
      <w:r w:rsidR="00377F4A">
        <w:t xml:space="preserve"> </w:t>
      </w:r>
      <w:r>
        <w:t>is subject to a jurisdictional GSL scheme.</w:t>
      </w:r>
      <w:r>
        <w:rPr>
          <w:rStyle w:val="FootnoteReference"/>
        </w:rPr>
        <w:footnoteReference w:id="108"/>
      </w:r>
      <w:r>
        <w:t xml:space="preserve"> </w:t>
      </w:r>
    </w:p>
    <w:p w:rsidR="009119D8" w:rsidRDefault="009119D8" w:rsidP="0073363B">
      <w:pPr>
        <w:pStyle w:val="AERbodytext"/>
      </w:pPr>
      <w:r w:rsidRPr="00C16C7B">
        <w:lastRenderedPageBreak/>
        <w:t xml:space="preserve">We </w:t>
      </w:r>
      <w:r w:rsidR="003E6A93">
        <w:t xml:space="preserve">are </w:t>
      </w:r>
      <w:r w:rsidRPr="00C16C7B">
        <w:t>aware of policy reviews indicating the need to reform the STPIS. The AEMC recently conducted a review of distribution reliability frameworks in the NEM.</w:t>
      </w:r>
      <w:r>
        <w:rPr>
          <w:rStyle w:val="FootnoteReference"/>
        </w:rPr>
        <w:footnoteReference w:id="109"/>
      </w:r>
      <w:r w:rsidRPr="00C16C7B">
        <w:t xml:space="preserve"> AEMO is currently conducting analysis on how willing consumers are to pay for improvements in network reliability.</w:t>
      </w:r>
      <w:r>
        <w:rPr>
          <w:rStyle w:val="FootnoteReference"/>
        </w:rPr>
        <w:footnoteReference w:id="110"/>
      </w:r>
      <w:r w:rsidRPr="00C16C7B">
        <w:t xml:space="preserve"> We consider there is inadequate time to review our national STPIS to incorporate the findings of these reviews before finalising our determination for </w:t>
      </w:r>
      <w:r>
        <w:t>SA Power Networks</w:t>
      </w:r>
      <w:r w:rsidRPr="00C16C7B">
        <w:t xml:space="preserve">. </w:t>
      </w:r>
    </w:p>
    <w:p w:rsidR="009119D8" w:rsidRPr="00725C54" w:rsidRDefault="009119D8" w:rsidP="009119D8">
      <w:pPr>
        <w:pStyle w:val="Heading3"/>
      </w:pPr>
      <w:bookmarkStart w:id="75" w:name="_Toc373500006"/>
      <w:bookmarkStart w:id="76" w:name="_Toc373773991"/>
      <w:r w:rsidRPr="00725C54">
        <w:t>AER's assessment approach</w:t>
      </w:r>
      <w:bookmarkEnd w:id="75"/>
      <w:bookmarkEnd w:id="76"/>
    </w:p>
    <w:p w:rsidR="009119D8" w:rsidRDefault="009119D8" w:rsidP="009119D8">
      <w:pPr>
        <w:pStyle w:val="AERbodytext"/>
      </w:pPr>
      <w:r>
        <w:t>The rules require us to have regard to several factors in developing and implementing a STPIS for SA Power Networks.</w:t>
      </w:r>
      <w:r w:rsidRPr="002D4FB4">
        <w:rPr>
          <w:rStyle w:val="FootnoteReference"/>
        </w:rPr>
        <w:footnoteReference w:id="111"/>
      </w:r>
      <w:r>
        <w:t xml:space="preserve"> These include:</w:t>
      </w:r>
    </w:p>
    <w:p w:rsidR="009119D8" w:rsidRDefault="009119D8" w:rsidP="009119D8">
      <w:pPr>
        <w:pStyle w:val="AERbulletlistfirststyle"/>
      </w:pPr>
      <w:r>
        <w:t>Jurisdictional obligations</w:t>
      </w:r>
    </w:p>
    <w:p w:rsidR="009119D8" w:rsidRPr="00B96486" w:rsidRDefault="009119D8" w:rsidP="009119D8">
      <w:pPr>
        <w:pStyle w:val="AERbulletlistsecondstyle"/>
      </w:pPr>
      <w:r w:rsidRPr="00B96486">
        <w:t>consulting with the authorities responsible for the administration of relevant jurisdictional electricity legislation</w:t>
      </w:r>
    </w:p>
    <w:p w:rsidR="009119D8" w:rsidRDefault="009119D8" w:rsidP="009119D8">
      <w:pPr>
        <w:pStyle w:val="AERbulletlistsecondstyle"/>
      </w:pPr>
      <w:r w:rsidRPr="00B96486">
        <w:t>ensuring that service standards and service targets (including GSL) set by the scheme do not put at risk the distributor's ability to comply with relevant service standards and service targets (including GSL) specified in jurisdictional electricity legislation</w:t>
      </w:r>
      <w:r w:rsidR="003E6A93">
        <w:t xml:space="preserve"> and</w:t>
      </w:r>
      <w:r>
        <w:t xml:space="preserve"> </w:t>
      </w:r>
      <w:r w:rsidRPr="00B96486">
        <w:t>any regulatory obligation</w:t>
      </w:r>
      <w:r>
        <w:t>s</w:t>
      </w:r>
      <w:r w:rsidRPr="00B96486">
        <w:t xml:space="preserve"> or requirement</w:t>
      </w:r>
      <w:r>
        <w:t>s</w:t>
      </w:r>
      <w:r w:rsidRPr="00B96486">
        <w:t xml:space="preserve"> to w</w:t>
      </w:r>
      <w:r>
        <w:t xml:space="preserve">hich the </w:t>
      </w:r>
      <w:r w:rsidRPr="009011C5">
        <w:t>distributor</w:t>
      </w:r>
      <w:r>
        <w:t xml:space="preserve"> is subject. </w:t>
      </w:r>
    </w:p>
    <w:p w:rsidR="009119D8" w:rsidRDefault="009119D8" w:rsidP="009119D8">
      <w:pPr>
        <w:pStyle w:val="AERbulletlistfirststyle"/>
      </w:pPr>
      <w:r>
        <w:t>Benefits to consumers</w:t>
      </w:r>
    </w:p>
    <w:p w:rsidR="009119D8" w:rsidRPr="00B96486" w:rsidRDefault="009119D8" w:rsidP="009119D8">
      <w:pPr>
        <w:pStyle w:val="AERbulletlistsecondstyle"/>
      </w:pPr>
      <w:r w:rsidRPr="00B96486">
        <w:t>the need to ensure that benefits to consumers likely to result from the scheme are sufficient to warrant any penalty or reward under the scheme</w:t>
      </w:r>
    </w:p>
    <w:p w:rsidR="009119D8" w:rsidRDefault="009119D8" w:rsidP="009119D8">
      <w:pPr>
        <w:pStyle w:val="AERbulletlistsecondstyle"/>
      </w:pPr>
      <w:r w:rsidRPr="00B96486">
        <w:t>the willingness of the customer to pay for improved performance in the delivery of services</w:t>
      </w:r>
      <w:r>
        <w:t>.</w:t>
      </w:r>
    </w:p>
    <w:p w:rsidR="009119D8" w:rsidRPr="00FF7E92" w:rsidRDefault="009119D8" w:rsidP="009119D8">
      <w:pPr>
        <w:pStyle w:val="AERbulletlistfirststyle"/>
      </w:pPr>
      <w:r>
        <w:t>Balanced incentives:</w:t>
      </w:r>
    </w:p>
    <w:p w:rsidR="009119D8" w:rsidRDefault="009119D8" w:rsidP="009119D8">
      <w:pPr>
        <w:pStyle w:val="AERbulletlistsecondstyle"/>
      </w:pPr>
      <w:r>
        <w:t>the past performance of the distribution network</w:t>
      </w:r>
    </w:p>
    <w:p w:rsidR="009119D8" w:rsidRDefault="009119D8" w:rsidP="009119D8">
      <w:pPr>
        <w:pStyle w:val="AERbulletlistsecondstyle"/>
      </w:pPr>
      <w:r>
        <w:t xml:space="preserve">any other incentives available to the </w:t>
      </w:r>
      <w:r w:rsidRPr="009011C5">
        <w:t>distributor</w:t>
      </w:r>
      <w:r>
        <w:t xml:space="preserve"> under the rules or the relevant distribution determination</w:t>
      </w:r>
    </w:p>
    <w:p w:rsidR="009119D8" w:rsidRDefault="009119D8" w:rsidP="009119D8">
      <w:pPr>
        <w:pStyle w:val="AERbulletlistsecondstyle"/>
      </w:pPr>
      <w:r>
        <w:t xml:space="preserve">the need to ensure that the incentives are sufficient to offset any financial incentives the </w:t>
      </w:r>
      <w:r w:rsidRPr="009011C5">
        <w:t>distributor</w:t>
      </w:r>
      <w:r>
        <w:t xml:space="preserve"> may have to reduce costs at the expense of service levels</w:t>
      </w:r>
    </w:p>
    <w:p w:rsidR="009119D8" w:rsidRDefault="009119D8" w:rsidP="009119D8">
      <w:pPr>
        <w:pStyle w:val="AERbulletlistsecondstyle"/>
      </w:pPr>
      <w:r>
        <w:t xml:space="preserve">the possible effects of the schemes on incentives for the implementation of non-network alternatives. </w:t>
      </w:r>
    </w:p>
    <w:p w:rsidR="009119D8" w:rsidRDefault="009119D8" w:rsidP="009119D8">
      <w:r>
        <w:t>Our approach and reasons for developing the STP</w:t>
      </w:r>
      <w:r w:rsidR="00571160">
        <w:t>I</w:t>
      </w:r>
      <w:r>
        <w:t>S are contained in our final decision for the national distribution STPIS.</w:t>
      </w:r>
      <w:r w:rsidRPr="002D4FB4">
        <w:rPr>
          <w:rStyle w:val="FootnoteReference"/>
        </w:rPr>
        <w:footnoteReference w:id="112"/>
      </w:r>
      <w:r w:rsidRPr="00B675F6">
        <w:t xml:space="preserve"> </w:t>
      </w:r>
    </w:p>
    <w:p w:rsidR="009119D8" w:rsidRDefault="009119D8" w:rsidP="009119D8">
      <w:pPr>
        <w:pStyle w:val="Heading3"/>
      </w:pPr>
      <w:bookmarkStart w:id="77" w:name="_Toc373500007"/>
      <w:bookmarkStart w:id="78" w:name="_Toc373773992"/>
      <w:r>
        <w:t xml:space="preserve">Reasons for AER's </w:t>
      </w:r>
      <w:r w:rsidR="00F53FCD">
        <w:t xml:space="preserve">preliminary </w:t>
      </w:r>
      <w:bookmarkEnd w:id="77"/>
      <w:r w:rsidR="00D416AA">
        <w:t>position</w:t>
      </w:r>
      <w:bookmarkEnd w:id="78"/>
    </w:p>
    <w:p w:rsidR="009119D8" w:rsidRPr="00455DBA" w:rsidRDefault="009119D8" w:rsidP="009119D8">
      <w:pPr>
        <w:pStyle w:val="AERbodytext"/>
      </w:pPr>
      <w:r>
        <w:t>Our reasons for applying the STPIS to SA Power Networks in the next regulatory control period are set out below.</w:t>
      </w:r>
    </w:p>
    <w:p w:rsidR="009119D8" w:rsidRDefault="009119D8" w:rsidP="004906AD">
      <w:pPr>
        <w:pStyle w:val="HeadingBoldBlue"/>
      </w:pPr>
      <w:r>
        <w:lastRenderedPageBreak/>
        <w:t>Jurisdictional obligations</w:t>
      </w:r>
    </w:p>
    <w:p w:rsidR="009119D8" w:rsidRPr="00C16C7B" w:rsidRDefault="009119D8" w:rsidP="009119D8">
      <w:r w:rsidRPr="00C16C7B">
        <w:t xml:space="preserve">In </w:t>
      </w:r>
      <w:r>
        <w:t>SA</w:t>
      </w:r>
      <w:r w:rsidRPr="00C16C7B">
        <w:t xml:space="preserve">, </w:t>
      </w:r>
      <w:r w:rsidR="004906AD">
        <w:t>ESCO</w:t>
      </w:r>
      <w:r>
        <w:t>SA</w:t>
      </w:r>
      <w:r w:rsidRPr="00C16C7B">
        <w:t xml:space="preserve"> administers and monitors compliance with the distribution licence conditions set </w:t>
      </w:r>
      <w:r w:rsidR="004906AD">
        <w:t>out in the Electricity Distribution</w:t>
      </w:r>
      <w:r>
        <w:t xml:space="preserve"> Code</w:t>
      </w:r>
      <w:r w:rsidRPr="00C16C7B">
        <w:t xml:space="preserve">. As required by the </w:t>
      </w:r>
      <w:r>
        <w:t>r</w:t>
      </w:r>
      <w:r w:rsidRPr="00C16C7B">
        <w:t xml:space="preserve">ules, we will consult with </w:t>
      </w:r>
      <w:r w:rsidR="004906AD">
        <w:t>the ESCO</w:t>
      </w:r>
      <w:r>
        <w:t>SA and the</w:t>
      </w:r>
      <w:r w:rsidRPr="00994C9B">
        <w:t xml:space="preserve"> Department for Manufacturing, Innovation, Trade, Resources and Energy (DMITRE)</w:t>
      </w:r>
      <w:r>
        <w:t xml:space="preserve"> as </w:t>
      </w:r>
      <w:r w:rsidRPr="00C16C7B">
        <w:t>jurisdictional authorities</w:t>
      </w:r>
      <w:r>
        <w:t xml:space="preserve">, on </w:t>
      </w:r>
      <w:r w:rsidRPr="00C16C7B">
        <w:t>the implementation of the STPIS</w:t>
      </w:r>
      <w:r w:rsidRPr="0015188F">
        <w:rPr>
          <w:rStyle w:val="AERsuperscript"/>
        </w:rPr>
        <w:footnoteReference w:id="113"/>
      </w:r>
      <w:r w:rsidRPr="00C16C7B">
        <w:t xml:space="preserve"> before finalising our distribution determination. </w:t>
      </w:r>
    </w:p>
    <w:p w:rsidR="009119D8" w:rsidRPr="00C16C7B" w:rsidRDefault="009119D8" w:rsidP="009119D8">
      <w:r w:rsidRPr="00C16C7B">
        <w:t xml:space="preserve">Our proposed approach to applying the STPIS in </w:t>
      </w:r>
      <w:r>
        <w:t xml:space="preserve">SA </w:t>
      </w:r>
      <w:r w:rsidRPr="00C16C7B">
        <w:t xml:space="preserve">intends to not compromise the </w:t>
      </w:r>
      <w:r w:rsidR="00A01EB6">
        <w:t>distributor's</w:t>
      </w:r>
      <w:r w:rsidRPr="00C16C7B">
        <w:t xml:space="preserve"> ability to comply with jurisdictional licence obligations </w:t>
      </w:r>
      <w:r>
        <w:t xml:space="preserve">or create duplication </w:t>
      </w:r>
      <w:r w:rsidRPr="00C16C7B">
        <w:t xml:space="preserve">by: </w:t>
      </w:r>
    </w:p>
    <w:p w:rsidR="009119D8" w:rsidRPr="00455DBA" w:rsidRDefault="009119D8" w:rsidP="009119D8">
      <w:pPr>
        <w:pStyle w:val="AERbulletlistfirststyle"/>
      </w:pPr>
      <w:r w:rsidRPr="00455DBA">
        <w:t>not setting service performance targets lower than the minimum service requirements in the licence conditions; and</w:t>
      </w:r>
    </w:p>
    <w:p w:rsidR="009119D8" w:rsidRPr="00455DBA" w:rsidRDefault="009119D8" w:rsidP="009119D8">
      <w:pPr>
        <w:pStyle w:val="AERbulletlistfirststyle"/>
      </w:pPr>
      <w:r w:rsidRPr="00455DBA">
        <w:t xml:space="preserve">not applying the GSL component of our national STPIS while </w:t>
      </w:r>
      <w:r w:rsidR="004906AD">
        <w:t>ESCO</w:t>
      </w:r>
      <w:r>
        <w:t>SA</w:t>
      </w:r>
      <w:r w:rsidR="00FD6558">
        <w:t>'s</w:t>
      </w:r>
      <w:r w:rsidRPr="00455DBA">
        <w:t xml:space="preserve"> guaranteed customer service arrangements remain in place.</w:t>
      </w:r>
    </w:p>
    <w:p w:rsidR="009119D8" w:rsidRDefault="009119D8" w:rsidP="004906AD">
      <w:pPr>
        <w:pStyle w:val="HeadingBoldBlue"/>
      </w:pPr>
      <w:r>
        <w:t>Benefits to consumers</w:t>
      </w:r>
    </w:p>
    <w:p w:rsidR="009119D8" w:rsidRDefault="009119D8" w:rsidP="009119D8">
      <w:pPr>
        <w:pStyle w:val="AERbodytext"/>
      </w:pPr>
      <w:r>
        <w:t>We are mindful of the potential impact of the STPIS on consumers. Under the rules, we</w:t>
      </w:r>
      <w:r w:rsidRPr="00FE7977">
        <w:t xml:space="preserve"> </w:t>
      </w:r>
      <w:r>
        <w:t>must consider</w:t>
      </w:r>
      <w:r w:rsidRPr="00FE7977">
        <w:t xml:space="preserve"> </w:t>
      </w:r>
      <w:r>
        <w:t xml:space="preserve">customers' </w:t>
      </w:r>
      <w:r w:rsidRPr="0026561F">
        <w:t xml:space="preserve">willingness to pay for improved </w:t>
      </w:r>
      <w:r>
        <w:t xml:space="preserve">service </w:t>
      </w:r>
      <w:r w:rsidRPr="0026561F">
        <w:t>performance</w:t>
      </w:r>
      <w:r>
        <w:t xml:space="preserve"> so </w:t>
      </w:r>
      <w:r w:rsidRPr="001717EA">
        <w:t xml:space="preserve">benefits to consumers are sufficient to warrant any penalty or reward under the </w:t>
      </w:r>
      <w:r>
        <w:t>STPIS.</w:t>
      </w:r>
      <w:r w:rsidRPr="001717EA">
        <w:rPr>
          <w:rStyle w:val="FootnoteReference"/>
        </w:rPr>
        <w:footnoteReference w:id="114"/>
      </w:r>
      <w:r>
        <w:t xml:space="preserve"> </w:t>
      </w:r>
    </w:p>
    <w:p w:rsidR="009119D8" w:rsidRDefault="009119D8" w:rsidP="009119D8">
      <w:pPr>
        <w:pStyle w:val="AERbodytext"/>
      </w:pPr>
      <w:r>
        <w:t xml:space="preserve">Under the STPIS, the </w:t>
      </w:r>
      <w:r w:rsidRPr="009011C5">
        <w:t>distributor</w:t>
      </w:r>
      <w:r>
        <w:t xml:space="preserve">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w:t>
      </w:r>
      <w:r w:rsidRPr="00156EE1">
        <w:t>Value o</w:t>
      </w:r>
      <w:r>
        <w:t>f</w:t>
      </w:r>
      <w:r w:rsidRPr="00156EE1">
        <w:t xml:space="preserve"> </w:t>
      </w:r>
      <w:r>
        <w:t>c</w:t>
      </w:r>
      <w:r w:rsidRPr="00156EE1">
        <w:t xml:space="preserve">ustomer </w:t>
      </w:r>
      <w:r>
        <w:t>r</w:t>
      </w:r>
      <w:r w:rsidRPr="00156EE1">
        <w:t xml:space="preserve">eliability </w:t>
      </w:r>
      <w:r>
        <w:t>(VCR) studies</w:t>
      </w:r>
      <w:r w:rsidRPr="00156EE1">
        <w:t xml:space="preserve"> estimate </w:t>
      </w:r>
      <w:r>
        <w:t xml:space="preserve">how willing customers are to pay for improved </w:t>
      </w:r>
      <w:r w:rsidRPr="00156EE1">
        <w:t>service reliability</w:t>
      </w:r>
      <w:r>
        <w:t xml:space="preserve"> as a monetary amount </w:t>
      </w:r>
      <w:r w:rsidRPr="00156EE1">
        <w:t xml:space="preserve">per unit of </w:t>
      </w:r>
      <w:r>
        <w:t xml:space="preserve">unserved energy during a supply interruption. As outlined in our national STPIS, we will use VCR estimates at different stages of our annual s-factor calculation to: </w:t>
      </w:r>
    </w:p>
    <w:p w:rsidR="009119D8" w:rsidRDefault="009119D8" w:rsidP="009119D8">
      <w:pPr>
        <w:pStyle w:val="AERbulletlistfirststyle"/>
      </w:pPr>
      <w:r>
        <w:t xml:space="preserve">set the </w:t>
      </w:r>
      <w:r w:rsidRPr="009C28D7">
        <w:t xml:space="preserve">incentive rates for each </w:t>
      </w:r>
      <w:r>
        <w:t xml:space="preserve">reliability of supply parameter; and </w:t>
      </w:r>
    </w:p>
    <w:p w:rsidR="009119D8" w:rsidRDefault="009119D8" w:rsidP="009119D8">
      <w:pPr>
        <w:pStyle w:val="AERbulletlistfirststyle"/>
      </w:pPr>
      <w:r>
        <w:t>weight reliability of supply performance across diff</w:t>
      </w:r>
      <w:r w:rsidR="00801A9C">
        <w:t>erent segments of the network.</w:t>
      </w:r>
    </w:p>
    <w:p w:rsidR="009119D8" w:rsidRPr="00AE4DB2" w:rsidRDefault="009119D8" w:rsidP="009119D8">
      <w:r w:rsidRPr="00695924">
        <w:t xml:space="preserve">The VCR estimates in our national STPIS are taken from studies conducted for </w:t>
      </w:r>
      <w:r w:rsidR="00FD6558">
        <w:t xml:space="preserve">VENCorp and </w:t>
      </w:r>
      <w:r w:rsidR="00F53FCD">
        <w:t>ESCOSA</w:t>
      </w:r>
      <w:r w:rsidRPr="00695924">
        <w:t>.</w:t>
      </w:r>
      <w:r>
        <w:rPr>
          <w:rStyle w:val="FootnoteReference"/>
        </w:rPr>
        <w:footnoteReference w:id="115"/>
      </w:r>
      <w:r w:rsidRPr="00695924">
        <w:t xml:space="preserve"> The distributors may propose an alternative VCR estimate, supported by details of the calculation m</w:t>
      </w:r>
      <w:r w:rsidRPr="00AE4DB2">
        <w:t>ethodology and research, in</w:t>
      </w:r>
      <w:r w:rsidR="00801A9C">
        <w:t xml:space="preserve"> their regulatory proposals.</w:t>
      </w:r>
    </w:p>
    <w:p w:rsidR="009119D8" w:rsidRPr="00695924" w:rsidRDefault="009119D8" w:rsidP="009119D8">
      <w:pPr>
        <w:pStyle w:val="AERbodytext"/>
      </w:pPr>
      <w:r w:rsidRPr="00695924">
        <w:t xml:space="preserve">The AEMC recently conducted </w:t>
      </w:r>
      <w:r w:rsidR="00C40DE9">
        <w:t xml:space="preserve">a </w:t>
      </w:r>
      <w:r w:rsidRPr="00695924">
        <w:t>review of distribution reliability outcomes and standards in the NEM, proposing a more significant role for the STPIS.</w:t>
      </w:r>
      <w:r w:rsidRPr="00695924">
        <w:rPr>
          <w:rStyle w:val="AERsuperscript"/>
        </w:rPr>
        <w:footnoteReference w:id="116"/>
      </w:r>
      <w:r w:rsidRPr="00695924">
        <w:t xml:space="preserve"> The Australian Energy Market Operator (AEMO) is currently reviewing current approaches to estimating VCR and will propose new VCR estimates in March 2014. </w:t>
      </w:r>
    </w:p>
    <w:p w:rsidR="009119D8" w:rsidRDefault="009119D8" w:rsidP="00B64E86">
      <w:pPr>
        <w:pStyle w:val="AERbodytext"/>
      </w:pPr>
      <w:r w:rsidRPr="00695924">
        <w:t>We intend to undertake a review of our national STPIS once these studies are complete. Any change to the STPIS would be subject to the distribution consultation procedures in the rules.</w:t>
      </w:r>
      <w:r w:rsidRPr="00695924">
        <w:rPr>
          <w:rStyle w:val="FootnoteReference"/>
        </w:rPr>
        <w:footnoteReference w:id="117"/>
      </w:r>
      <w:r w:rsidRPr="00695924">
        <w:t xml:space="preserve"> We consider there is insufficient time to conduct a comprehensive review of the STPIS before </w:t>
      </w:r>
      <w:r>
        <w:t xml:space="preserve">SA Power Networks </w:t>
      </w:r>
      <w:r w:rsidRPr="00695924">
        <w:lastRenderedPageBreak/>
        <w:t>submit</w:t>
      </w:r>
      <w:r w:rsidR="00F53FCD">
        <w:t>s</w:t>
      </w:r>
      <w:r w:rsidRPr="00695924">
        <w:t xml:space="preserve"> </w:t>
      </w:r>
      <w:r w:rsidR="0070615C">
        <w:t xml:space="preserve">its </w:t>
      </w:r>
      <w:r w:rsidRPr="00695924">
        <w:t xml:space="preserve">proposal for the next regulatory control period in October 2014. Therefore our preliminary approach is to apply the national STPIS in its current form and monitor ongoing work. </w:t>
      </w:r>
    </w:p>
    <w:p w:rsidR="009119D8" w:rsidRPr="00255328" w:rsidRDefault="009119D8" w:rsidP="0070615C">
      <w:pPr>
        <w:pStyle w:val="HeadingBoldBlue"/>
      </w:pPr>
      <w:r>
        <w:t xml:space="preserve">Balanced incentives </w:t>
      </w:r>
    </w:p>
    <w:p w:rsidR="009119D8" w:rsidRDefault="009119D8" w:rsidP="009119D8">
      <w:pPr>
        <w:pStyle w:val="AERbodytext"/>
      </w:pPr>
      <w:r>
        <w:t xml:space="preserve">We administer our </w:t>
      </w:r>
      <w:r w:rsidRPr="00D613B5">
        <w:t xml:space="preserve">incentive schemes within a regulatory control period </w:t>
      </w:r>
      <w:r>
        <w:t xml:space="preserve">to align </w:t>
      </w:r>
      <w:r w:rsidRPr="009011C5">
        <w:t>distributor</w:t>
      </w:r>
      <w:r>
        <w:t xml:space="preserve"> incentives with </w:t>
      </w:r>
      <w:r w:rsidR="0070615C">
        <w:t xml:space="preserve">the </w:t>
      </w:r>
      <w:r w:rsidR="00F53FCD">
        <w:t>NEO</w:t>
      </w:r>
      <w:r w:rsidRPr="00D613B5">
        <w:t>.</w:t>
      </w:r>
      <w:r>
        <w:t xml:space="preserve"> In implementing the STPIS we need to be aware of both the operational integrity of the scheme itself and how it interacts with our other incentive schemes. </w:t>
      </w:r>
    </w:p>
    <w:p w:rsidR="009119D8" w:rsidRDefault="009119D8" w:rsidP="0070615C">
      <w:pPr>
        <w:pStyle w:val="Caption"/>
      </w:pPr>
      <w:r>
        <w:t>Distributor incentives under the STPIS</w:t>
      </w:r>
    </w:p>
    <w:p w:rsidR="009119D8" w:rsidRDefault="009119D8" w:rsidP="009119D8">
      <w:pPr>
        <w:pStyle w:val="AERbodytext"/>
      </w:pPr>
      <w:r>
        <w:t xml:space="preserve">How we </w:t>
      </w:r>
      <w:r w:rsidRPr="005F25CF">
        <w:t>measur</w:t>
      </w:r>
      <w:r>
        <w:t>e</w:t>
      </w:r>
      <w:r w:rsidRPr="005F25CF">
        <w:t xml:space="preserve"> actual service performance and set performance targets can significantly impact how well the STPIS meet</w:t>
      </w:r>
      <w:r>
        <w:t>s</w:t>
      </w:r>
      <w:r w:rsidRPr="005F25CF">
        <w:t xml:space="preserve"> its stated objectives. </w:t>
      </w:r>
    </w:p>
    <w:p w:rsidR="009119D8" w:rsidRDefault="009119D8" w:rsidP="009119D8">
      <w:pPr>
        <w:pStyle w:val="AERbodytext"/>
      </w:pPr>
      <w:r>
        <w:t xml:space="preserve">The rules require us to consider </w:t>
      </w:r>
      <w:r w:rsidRPr="00E64C71">
        <w:t>past performance</w:t>
      </w:r>
      <w:r>
        <w:t xml:space="preserve"> of the distributor's network</w:t>
      </w:r>
      <w:r w:rsidRPr="000D3403">
        <w:t xml:space="preserve"> </w:t>
      </w:r>
      <w:r>
        <w:t>in developing and implementing the STPIS.</w:t>
      </w:r>
      <w:r w:rsidRPr="00FF7E92">
        <w:rPr>
          <w:rStyle w:val="FootnoteReference"/>
        </w:rPr>
        <w:footnoteReference w:id="118"/>
      </w:r>
      <w:r>
        <w:t xml:space="preserve"> Our preferred approach is to base performance targets on</w:t>
      </w:r>
      <w:r w:rsidRPr="001C1A15">
        <w:t xml:space="preserve"> </w:t>
      </w:r>
      <w:r>
        <w:t xml:space="preserve">the </w:t>
      </w:r>
      <w:r w:rsidRPr="009011C5">
        <w:t>distributor</w:t>
      </w:r>
      <w:r>
        <w:t xml:space="preserve">s' </w:t>
      </w:r>
      <w:r w:rsidRPr="001C1A15">
        <w:t>average performance</w:t>
      </w:r>
      <w:r>
        <w:t xml:space="preserve"> </w:t>
      </w:r>
      <w:r w:rsidRPr="001C1A15">
        <w:t>over the past five regulatory years</w:t>
      </w:r>
      <w:r>
        <w:t>.</w:t>
      </w:r>
      <w:r w:rsidRPr="009B1538">
        <w:rPr>
          <w:rStyle w:val="FootnoteReference"/>
        </w:rPr>
        <w:footnoteReference w:id="119"/>
      </w:r>
      <w:r w:rsidR="00B64E86">
        <w:t xml:space="preserve"> </w:t>
      </w:r>
      <w:r>
        <w:t xml:space="preserve">Using an average calculated over multiple years instead of applying performance targets based solely on the most recent regulatory year limits the </w:t>
      </w:r>
      <w:r w:rsidRPr="009011C5">
        <w:t>distributor</w:t>
      </w:r>
      <w:r>
        <w:t>s' incentive to underperform in the final year of a regulatory control period to make future targets less one</w:t>
      </w:r>
      <w:r w:rsidR="00B64E86">
        <w:t>rous.</w:t>
      </w:r>
    </w:p>
    <w:p w:rsidR="009119D8" w:rsidRDefault="009119D8" w:rsidP="009119D8">
      <w:pPr>
        <w:pStyle w:val="AERbodytext"/>
      </w:pPr>
      <w:r>
        <w:t xml:space="preserve">Our national STPIS limits variability in penalties and rewards caused by circumstances outside the </w:t>
      </w:r>
      <w:r w:rsidRPr="009011C5">
        <w:t>distributor</w:t>
      </w:r>
      <w:r>
        <w:t xml:space="preserve">s' control. We exclude interruptions to supply deemed to be outside the major event day boundary from both the calculation of performance targets and measured service performance. </w:t>
      </w:r>
    </w:p>
    <w:p w:rsidR="009119D8" w:rsidRDefault="009119D8" w:rsidP="009119D8">
      <w:pPr>
        <w:pStyle w:val="AERbodytext"/>
      </w:pPr>
      <w:r>
        <w:t>Our national STPIS recognises differences across and within distribution networks. Measured performance and performance target</w:t>
      </w:r>
      <w:r w:rsidRPr="002D0B50">
        <w:t xml:space="preserve">s are specific to each segment of a distributor's network. </w:t>
      </w:r>
    </w:p>
    <w:p w:rsidR="009119D8" w:rsidRPr="005F25CF" w:rsidRDefault="009119D8" w:rsidP="00B64E86">
      <w:pPr>
        <w:pStyle w:val="Caption"/>
      </w:pPr>
      <w:r>
        <w:t>Interactions with our other incentive schemes</w:t>
      </w:r>
    </w:p>
    <w:p w:rsidR="009119D8" w:rsidRDefault="009119D8" w:rsidP="009119D8">
      <w:pPr>
        <w:pStyle w:val="AERbodytext"/>
      </w:pPr>
      <w:r>
        <w:t>In applying the STPIS we must consider any other incentives available to the distributor under the rules or relevant distribution determination.</w:t>
      </w:r>
      <w:r>
        <w:rPr>
          <w:rStyle w:val="FootnoteReference"/>
        </w:rPr>
        <w:footnoteReference w:id="120"/>
      </w:r>
      <w:r>
        <w:t xml:space="preserve"> In SA, the STPIS will interact with our expenditure and demand management incentive schemes. </w:t>
      </w:r>
    </w:p>
    <w:p w:rsidR="009119D8" w:rsidRDefault="009119D8" w:rsidP="009119D8">
      <w:pPr>
        <w:pStyle w:val="AERbodytext"/>
      </w:pPr>
      <w:r>
        <w:t xml:space="preserve">The EBSS provides distributors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w:t>
      </w:r>
      <w:r w:rsidRPr="009C71BD">
        <w:t xml:space="preserve">offset any financial incentives the </w:t>
      </w:r>
      <w:r w:rsidRPr="009011C5">
        <w:t>distributor</w:t>
      </w:r>
      <w:r>
        <w:t>s</w:t>
      </w:r>
      <w:r w:rsidRPr="009C71BD">
        <w:t xml:space="preserve"> may have to reduce costs at the expense of service levels</w:t>
      </w:r>
      <w:r>
        <w:t>.</w:t>
      </w:r>
      <w:r w:rsidRPr="00A552B3">
        <w:t xml:space="preserve"> </w:t>
      </w:r>
      <w:r w:rsidRPr="00FF7E92">
        <w:rPr>
          <w:rStyle w:val="FootnoteReference"/>
        </w:rPr>
        <w:footnoteReference w:id="121"/>
      </w:r>
      <w:r>
        <w:t xml:space="preserve"> </w:t>
      </w:r>
    </w:p>
    <w:p w:rsidR="009119D8" w:rsidRDefault="009119D8" w:rsidP="009119D8">
      <w:pPr>
        <w:pStyle w:val="AERbodytext"/>
      </w:pPr>
      <w:r>
        <w:t xml:space="preserve">In setting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122"/>
      </w:r>
      <w:r w:rsidRPr="00233A32">
        <w:t xml:space="preserve"> </w:t>
      </w:r>
    </w:p>
    <w:p w:rsidR="009119D8" w:rsidRDefault="009119D8" w:rsidP="009119D8">
      <w:pPr>
        <w:pStyle w:val="AERbodytext"/>
      </w:pPr>
      <w:r>
        <w:t xml:space="preserve">The CESS rewards distributors if actual capex is lower than the approved forecast amount for the regulatory year. Since our performance targets will reflect planned reliability improvements, any </w:t>
      </w:r>
      <w:r>
        <w:lastRenderedPageBreak/>
        <w:t xml:space="preserve">incentive a distributor may have to reduce capex by not achieving the planned performance outcome will be curtailed by the STPIS penalty. </w:t>
      </w:r>
    </w:p>
    <w:p w:rsidR="009119D8" w:rsidRPr="008471A6" w:rsidRDefault="009119D8" w:rsidP="009119D8">
      <w:pPr>
        <w:pStyle w:val="AERbodytext"/>
      </w:pPr>
      <w:r w:rsidRPr="008471A6">
        <w:t xml:space="preserve">The rules require us to consider the possible effects of the STPIS on the distributors' incentives to implement non-network alternatives to augmentation. The STPIS treats the reliability implications of network and non-network solutions symmetrically, neither encouraging nor discouraging non-network alternatives to augmentation. </w:t>
      </w:r>
    </w:p>
    <w:p w:rsidR="009119D8" w:rsidRPr="008471A6" w:rsidRDefault="009119D8" w:rsidP="009119D8">
      <w:r w:rsidRPr="008471A6">
        <w:t>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distributors' control, we consider this to be unnecessary.</w:t>
      </w:r>
    </w:p>
    <w:p w:rsidR="0085276C" w:rsidRDefault="0085276C" w:rsidP="0085276C">
      <w:pPr>
        <w:pStyle w:val="Heading2"/>
      </w:pPr>
      <w:bookmarkStart w:id="79" w:name="_Toc373773993"/>
      <w:r w:rsidRPr="0085276C">
        <w:t>Efficiency</w:t>
      </w:r>
      <w:r w:rsidRPr="005D6383">
        <w:t xml:space="preserve"> benefit sharing scheme</w:t>
      </w:r>
      <w:bookmarkEnd w:id="79"/>
    </w:p>
    <w:p w:rsidR="002D10B0" w:rsidRPr="002D10B0" w:rsidRDefault="002D10B0" w:rsidP="002D10B0">
      <w:r w:rsidRPr="002D10B0">
        <w:t>The efficiency benefit sharing scheme (EBSS) is intended to provide a continuous incentive for distributors to pursue efficiency improvements in opex, and provide for a fair sharing of these between distributors and network users. Consumers benefit from improved efficiencies through lower regulated prices. This section sets out our preliminary position and reasons on how we intend to apply the EBSS to SA Power Networks in the next regulatory control period.</w:t>
      </w:r>
    </w:p>
    <w:p w:rsidR="002D10B0" w:rsidRPr="002D10B0" w:rsidRDefault="002D10B0" w:rsidP="0008654C">
      <w:pPr>
        <w:pStyle w:val="Heading3"/>
      </w:pPr>
      <w:r w:rsidRPr="002D10B0">
        <w:t>AER's preliminary approach</w:t>
      </w:r>
    </w:p>
    <w:p w:rsidR="002D10B0" w:rsidRPr="002D10B0" w:rsidRDefault="002D10B0" w:rsidP="002D10B0">
      <w:r w:rsidRPr="002D10B0">
        <w:t>We propose applying our new EBSS</w:t>
      </w:r>
      <w:r w:rsidRPr="00EC3049">
        <w:rPr>
          <w:rStyle w:val="AERsuperscript"/>
        </w:rPr>
        <w:footnoteReference w:id="123"/>
      </w:r>
      <w:r w:rsidRPr="002D10B0">
        <w:t xml:space="preserve"> to SA Power Networks for the 2015–20 regulatory control period. </w:t>
      </w:r>
    </w:p>
    <w:p w:rsidR="002D10B0" w:rsidRPr="002D10B0" w:rsidRDefault="002D10B0" w:rsidP="002D10B0">
      <w:r w:rsidRPr="002D10B0">
        <w:t xml:space="preserve">Our distribution determination for SA Power Networks for the next regulatory control period will specify how we will apply the EBSS. </w:t>
      </w:r>
    </w:p>
    <w:p w:rsidR="002D10B0" w:rsidRPr="002D10B0" w:rsidRDefault="002D10B0" w:rsidP="0008654C">
      <w:pPr>
        <w:pStyle w:val="Heading3"/>
      </w:pPr>
      <w:r w:rsidRPr="002D10B0">
        <w:t>AER's assessment approach</w:t>
      </w:r>
    </w:p>
    <w:p w:rsidR="002D10B0" w:rsidRPr="002D10B0" w:rsidRDefault="002D10B0" w:rsidP="002D10B0">
      <w:r w:rsidRPr="002D10B0">
        <w:t>The EBSS must provide for a fair sharing between distributors and network users of opex efficiency gains and efficiency losses.</w:t>
      </w:r>
      <w:r w:rsidRPr="008145B7">
        <w:rPr>
          <w:rStyle w:val="AERsuperscript"/>
        </w:rPr>
        <w:footnoteReference w:id="124"/>
      </w:r>
      <w:r w:rsidRPr="008145B7">
        <w:rPr>
          <w:rStyle w:val="AERsuperscript"/>
        </w:rPr>
        <w:t xml:space="preserve"> </w:t>
      </w:r>
      <w:r w:rsidRPr="002D10B0">
        <w:t>We must also have regard to the following factors in developing and implementing the EBSS:</w:t>
      </w:r>
      <w:r w:rsidRPr="008145B7">
        <w:rPr>
          <w:rStyle w:val="AERsuperscript"/>
        </w:rPr>
        <w:footnoteReference w:id="125"/>
      </w:r>
    </w:p>
    <w:p w:rsidR="002D10B0" w:rsidRPr="002D10B0" w:rsidRDefault="002D10B0" w:rsidP="008145B7">
      <w:pPr>
        <w:pStyle w:val="AERbulletlistfirststyle"/>
      </w:pPr>
      <w:r w:rsidRPr="002D10B0">
        <w:t>the need to ensure that benefits to electricity consumers likely to result from the scheme are sufficient to warrant any reward or penalty under the scheme</w:t>
      </w:r>
    </w:p>
    <w:p w:rsidR="002D10B0" w:rsidRPr="002D10B0" w:rsidRDefault="002D10B0" w:rsidP="008145B7">
      <w:pPr>
        <w:pStyle w:val="AERbulletlistfirststyle"/>
      </w:pPr>
      <w:r w:rsidRPr="002D10B0">
        <w:t>the need to provide service providers with a continuous incentive to reduce opex</w:t>
      </w:r>
    </w:p>
    <w:p w:rsidR="002D10B0" w:rsidRPr="002D10B0" w:rsidRDefault="002D10B0" w:rsidP="008145B7">
      <w:pPr>
        <w:pStyle w:val="AERbulletlistfirststyle"/>
      </w:pPr>
      <w:r w:rsidRPr="002D10B0">
        <w:t>the desirability of both rewarding service providers for efficiency gains and penalising service providers for efficiency losses</w:t>
      </w:r>
    </w:p>
    <w:p w:rsidR="002D10B0" w:rsidRPr="002D10B0" w:rsidRDefault="002D10B0" w:rsidP="008145B7">
      <w:pPr>
        <w:pStyle w:val="AERbulletlistfirststyle"/>
      </w:pPr>
      <w:r w:rsidRPr="002D10B0">
        <w:t>any incentives that service providers may have to capitalise expenditure</w:t>
      </w:r>
    </w:p>
    <w:p w:rsidR="002D10B0" w:rsidRPr="002D10B0" w:rsidRDefault="002D10B0" w:rsidP="008145B7">
      <w:pPr>
        <w:pStyle w:val="AERbulletlistfirststyle"/>
      </w:pPr>
      <w:r w:rsidRPr="002D10B0">
        <w:t>the possible effects of the scheme on incentives for the implementation of non-network alternatives.</w:t>
      </w:r>
    </w:p>
    <w:p w:rsidR="002D10B0" w:rsidRPr="002D10B0" w:rsidRDefault="002D10B0" w:rsidP="0008654C">
      <w:pPr>
        <w:pStyle w:val="Heading3"/>
      </w:pPr>
      <w:r w:rsidRPr="002D10B0">
        <w:lastRenderedPageBreak/>
        <w:t>Reasons for AER's preliminary approach</w:t>
      </w:r>
    </w:p>
    <w:p w:rsidR="002D10B0" w:rsidRPr="002D10B0" w:rsidRDefault="002D10B0" w:rsidP="002D10B0">
      <w:r w:rsidRPr="002D10B0">
        <w:t>The current EBSS applies to SA Power Networks in their current regulatory control period.</w:t>
      </w:r>
      <w:r w:rsidRPr="00A75692">
        <w:rPr>
          <w:rStyle w:val="AERsuperscript"/>
        </w:rPr>
        <w:footnoteReference w:id="126"/>
      </w:r>
      <w:r w:rsidRPr="002D10B0">
        <w:t xml:space="preserve"> As part of our Better Regulation program we consulted on and published the new EBSS, taking into account the requirements of the rules. </w:t>
      </w:r>
    </w:p>
    <w:p w:rsidR="002D10B0" w:rsidRPr="002D10B0" w:rsidRDefault="002D10B0" w:rsidP="002D10B0">
      <w:r w:rsidRPr="002D10B0">
        <w:t>The new EBSS retains the same form as the current EBSS, and merges the distribution and transmission schemes. Changes in the new EBSS relate to the criteria for adjustments and exclusions under the scheme.</w:t>
      </w:r>
      <w:r w:rsidRPr="00A75692">
        <w:rPr>
          <w:rStyle w:val="AERsuperscript"/>
        </w:rPr>
        <w:footnoteReference w:id="127"/>
      </w:r>
      <w:r w:rsidRPr="002D10B0">
        <w:t xml:space="preserve"> We also amended the scheme to provide flexibility to account for any adjustments made to base year opex to remove the impacts of one-off factors. The new EBSS also clarifies how we will determine the carryover period. These revisions affect how carryover amounts are calculated for future regulatory control periods.</w:t>
      </w:r>
      <w:r w:rsidRPr="00A75692">
        <w:rPr>
          <w:rStyle w:val="AERsuperscript"/>
        </w:rPr>
        <w:footnoteReference w:id="128"/>
      </w:r>
    </w:p>
    <w:p w:rsidR="002D10B0" w:rsidRPr="002D10B0" w:rsidRDefault="002D10B0" w:rsidP="002D10B0">
      <w:r w:rsidRPr="002D10B0">
        <w:t xml:space="preserve">In this section we set out why we propose to apply the new EBSS to SA Power Networks in the next regulatory control period. </w:t>
      </w:r>
    </w:p>
    <w:p w:rsidR="002D10B0" w:rsidRPr="002D10B0" w:rsidRDefault="002D10B0" w:rsidP="0008654C">
      <w:pPr>
        <w:pStyle w:val="Heading3"/>
      </w:pPr>
      <w:r w:rsidRPr="002D10B0">
        <w:t>Reasons for applying the EBSS in the next period</w:t>
      </w:r>
    </w:p>
    <w:p w:rsidR="002D10B0" w:rsidRPr="002D10B0" w:rsidRDefault="002D10B0" w:rsidP="002D10B0">
      <w:r w:rsidRPr="002D10B0">
        <w:t>In developing the new EBSS we had regard to the requirements under the rules, as set out in the scheme and accompanying explanatory statement.</w:t>
      </w:r>
      <w:r w:rsidRPr="00A75692">
        <w:rPr>
          <w:rStyle w:val="AERsuperscript"/>
        </w:rPr>
        <w:footnoteReference w:id="129"/>
      </w:r>
      <w:r w:rsidRPr="002D10B0">
        <w:t xml:space="preserve"> This reasoning extends to the factors we must have regard to in implementing the scheme.</w:t>
      </w:r>
    </w:p>
    <w:p w:rsidR="002D10B0" w:rsidRPr="002D10B0" w:rsidRDefault="002D10B0" w:rsidP="002D10B0">
      <w:r w:rsidRPr="002D10B0">
        <w:t>The EBSS must provide for a fair sharing of efficiency gains and losses.</w:t>
      </w:r>
      <w:r w:rsidRPr="00A75692">
        <w:rPr>
          <w:rStyle w:val="AERsuperscript"/>
        </w:rPr>
        <w:footnoteReference w:id="130"/>
      </w:r>
      <w:r w:rsidRPr="002D10B0">
        <w:t xml:space="preserve"> Under the scheme distributors and consumers receive a benefit where a distributor reduces its costs during a regulatory control period and both bear some of any increase in costs.</w:t>
      </w:r>
    </w:p>
    <w:p w:rsidR="00211FCA" w:rsidRPr="00C8798D" w:rsidRDefault="00211FCA" w:rsidP="00211FCA">
      <w:pPr>
        <w:pStyle w:val="AERbodytext"/>
      </w:pPr>
      <w:r w:rsidRPr="00C8798D">
        <w:t>Under the EBSS, positive and negative carryovers reward and penalise distributors for efficiency gains and losses respectively.</w:t>
      </w:r>
      <w:r w:rsidRPr="00C8798D">
        <w:rPr>
          <w:rStyle w:val="FootnoteReference"/>
        </w:rPr>
        <w:footnoteReference w:id="131"/>
      </w:r>
      <w:r w:rsidRPr="00C8798D">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132"/>
      </w:r>
      <w:r w:rsidRPr="00C8798D">
        <w:t xml:space="preserve"> </w:t>
      </w:r>
    </w:p>
    <w:p w:rsidR="00211FCA" w:rsidRPr="00C8798D" w:rsidRDefault="00211FCA" w:rsidP="00211FCA">
      <w:pPr>
        <w:pStyle w:val="AERbodytext"/>
      </w:pPr>
      <w:r w:rsidRPr="00C8798D">
        <w:rPr>
          <w:rStyle w:val="AERbody"/>
        </w:rPr>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C8798D">
        <w:t xml:space="preserve"> </w:t>
      </w:r>
    </w:p>
    <w:p w:rsidR="00211FCA" w:rsidRPr="00C8798D" w:rsidRDefault="00211FCA" w:rsidP="00211FCA">
      <w:pPr>
        <w:pStyle w:val="AERbodytext"/>
      </w:pPr>
      <w:r w:rsidRPr="00C8798D">
        <w:rPr>
          <w:rStyle w:val="AERbody"/>
        </w:rPr>
        <w:t>The EBSS also leads to a</w:t>
      </w:r>
      <w:r w:rsidRPr="00C8798D">
        <w:t xml:space="preserve"> fair sharing of efficiency gains and losses between distributors and consumers.</w:t>
      </w:r>
      <w:r w:rsidRPr="00C8798D">
        <w:rPr>
          <w:rStyle w:val="FootnoteReference"/>
        </w:rPr>
        <w:footnoteReference w:id="133"/>
      </w:r>
      <w:r w:rsidRPr="00C8798D">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2D10B0" w:rsidRPr="002D10B0" w:rsidRDefault="00311DD1" w:rsidP="00211FCA">
      <w:r>
        <w:lastRenderedPageBreak/>
        <w:t xml:space="preserve">Example 1 </w:t>
      </w:r>
      <w:r w:rsidR="00211FCA" w:rsidRPr="00C8798D">
        <w:t>shows how the EBSS operates. It illustrates how the benefits of a permanent efficiency improvement are shared approximately 30:70 between a network service provider and consumers.</w:t>
      </w:r>
      <w:r w:rsidR="00FC7F42">
        <w:pict>
          <v:shapetype id="_x0000_t202" coordsize="21600,21600" o:spt="202" path="m,l,21600r21600,l21600,xe">
            <v:stroke joinstyle="miter"/>
            <v:path gradientshapeok="t" o:connecttype="rect"/>
          </v:shapetype>
          <v:shape id="_x0000_s1040" type="#_x0000_t202" style="width:449.55pt;height:460.3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40">
              <w:txbxContent>
                <w:p w:rsidR="00426427" w:rsidRDefault="00426427" w:rsidP="002D10B0">
                  <w:pPr>
                    <w:pStyle w:val="Caption"/>
                  </w:pPr>
                  <w:bookmarkStart w:id="80" w:name="_Ref373247500"/>
                  <w:r>
                    <w:t>Example</w:t>
                  </w:r>
                  <w:bookmarkEnd w:id="80"/>
                  <w:r>
                    <w:t xml:space="preserve"> 1</w:t>
                  </w:r>
                  <w:r>
                    <w:tab/>
                    <w:t>How the EBSS operates</w:t>
                  </w:r>
                </w:p>
                <w:p w:rsidR="00426427" w:rsidRDefault="00426427" w:rsidP="002D10B0">
                  <w:pPr>
                    <w:pStyle w:val="AERbodytext"/>
                  </w:pPr>
                  <w:r>
                    <w:t xml:space="preserve">Assume that in the first regulatory period, a distributor's forecast opex is $100 million per annum (p.a.). </w:t>
                  </w:r>
                </w:p>
                <w:p w:rsidR="00426427" w:rsidRDefault="00426427" w:rsidP="002D10B0">
                  <w:pPr>
                    <w:pStyle w:val="AERbodytext"/>
                  </w:pPr>
                  <w:r>
                    <w:t xml:space="preserve">Assume that during this period the distributor delivers opex equal to the forecast for the first three years. Then, in the fourth year of the regulatory period, the distributor implements a more efficient business practice for maintaining its assets. As a result, the distributor will be able to deliver opex at $95 million p.a. for the foreseeable future. </w:t>
                  </w:r>
                </w:p>
                <w:p w:rsidR="00426427" w:rsidRDefault="00426427" w:rsidP="002D10B0">
                  <w:pPr>
                    <w:pStyle w:val="AERbodytext"/>
                  </w:pPr>
                  <w:r>
                    <w:t>This efficiency improvement affects regulated revenues in two ways:</w:t>
                  </w:r>
                </w:p>
                <w:p w:rsidR="00426427" w:rsidRDefault="00426427" w:rsidP="002D10B0">
                  <w:pPr>
                    <w:pStyle w:val="AERnumberedlistfirststyle"/>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426427" w:rsidRDefault="00426427" w:rsidP="002D10B0">
                  <w:pPr>
                    <w:pStyle w:val="AERnumberedlistfirststyle"/>
                  </w:pPr>
                  <w:r>
                    <w:t>Through EBSS carryover amounts. The distributor receives additional carryover amounts so that it receives exactly six years of benefits from an efficiency improvement. Because the distributor has made an efficiency improvement of $5 million p.a. in Year 4, to ensure it receives exactly six years of benefits, it will receive annual EBSS carryover amounts of $5 million in the first four years (Years 6 to 9) of the second regulatory period.</w:t>
                  </w:r>
                </w:p>
                <w:p w:rsidR="00426427" w:rsidRDefault="00426427" w:rsidP="002D10B0">
                  <w:pPr>
                    <w:pStyle w:val="AERbodytext"/>
                  </w:pPr>
                  <w:r>
                    <w:t xml:space="preserve">As a result of these effects, the distributor will benefit from the efficiency improvement in Years 4 to 9. This is because the annual amount the distributor receives through the forecast opex and EBSS building blocks ($100 million) is more than what it pays for opex ($95 million) in each of these years. </w:t>
                  </w:r>
                </w:p>
                <w:p w:rsidR="00426427" w:rsidRDefault="00426427" w:rsidP="002D10B0">
                  <w:pPr>
                    <w:pStyle w:val="AERbodytext"/>
                  </w:pPr>
                  <w:r>
                    <w:t>Consumers benefit from Year 10 onwards after the EBSS carryover period has expired. This is because what consumers pay through the forecast opex and EBSS building blocks ($95 million) is lower from Year 10 onwards.</w:t>
                  </w:r>
                </w:p>
                <w:p w:rsidR="00426427" w:rsidRDefault="00426427" w:rsidP="002D10B0">
                  <w:pPr>
                    <w:pStyle w:val="AERbodytext"/>
                  </w:pPr>
                  <w:r>
                    <w:t xml:space="preserve">Table 7 </w:t>
                  </w:r>
                  <w:r w:rsidRPr="00CF7B52">
                    <w:t xml:space="preserve">provides a more detailed illustration of how the benefits are shared between </w:t>
                  </w:r>
                  <w:r>
                    <w:t>distributors</w:t>
                  </w:r>
                  <w:r w:rsidRPr="00CF7B52">
                    <w:t xml:space="preserve"> and consumers over time.</w:t>
                  </w:r>
                </w:p>
                <w:p w:rsidR="00426427" w:rsidRDefault="00426427" w:rsidP="002D10B0"/>
              </w:txbxContent>
            </v:textbox>
            <w10:wrap type="none"/>
            <w10:anchorlock/>
          </v:shape>
        </w:pict>
      </w:r>
    </w:p>
    <w:p w:rsidR="002D10B0" w:rsidRPr="002D10B0" w:rsidRDefault="00FC7F42" w:rsidP="002D10B0">
      <w:r>
        <w:pict>
          <v:shape id="Text Box 2" o:spid="_x0000_s1039" type="#_x0000_t202" style="width:449.5pt;height:711.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426427" w:rsidRPr="003B1F59" w:rsidRDefault="00426427" w:rsidP="002D10B0">
                  <w:pPr>
                    <w:pStyle w:val="Caption"/>
                  </w:pPr>
                  <w:r>
                    <w:t>(Example 1</w:t>
                  </w:r>
                  <w:r>
                    <w:tab/>
                    <w:t>continued)</w:t>
                  </w:r>
                </w:p>
                <w:p w:rsidR="00426427" w:rsidRPr="00AE0906" w:rsidRDefault="00426427" w:rsidP="002D10B0">
                  <w:pPr>
                    <w:pStyle w:val="Caption"/>
                  </w:pPr>
                  <w:r>
                    <w:t>Table 7</w:t>
                  </w:r>
                  <w:r>
                    <w:tab/>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426427" w:rsidRPr="00FC3838" w:rsidTr="002D1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046B33" w:rsidRDefault="00426427" w:rsidP="002D10B0">
                        <w:pPr>
                          <w:pStyle w:val="AERtabletextleft"/>
                        </w:pPr>
                      </w:p>
                    </w:tc>
                    <w:tc>
                      <w:tcPr>
                        <w:tcW w:w="1401" w:type="pct"/>
                        <w:gridSpan w:val="5"/>
                      </w:tcPr>
                      <w:p w:rsidR="00426427" w:rsidRPr="00046B33" w:rsidRDefault="00426427" w:rsidP="002D10B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426427" w:rsidRPr="00046B33" w:rsidRDefault="00426427" w:rsidP="002D10B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426427" w:rsidRPr="00046B33" w:rsidRDefault="00426427" w:rsidP="002D10B0">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426427" w:rsidRPr="00626C63"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046B33" w:rsidRDefault="00426427" w:rsidP="002D10B0">
                        <w:pPr>
                          <w:pStyle w:val="AERtabletextleft"/>
                          <w:rPr>
                            <w:rStyle w:val="AERtextbold"/>
                          </w:rPr>
                        </w:pPr>
                        <w:r w:rsidRPr="00046B33">
                          <w:rPr>
                            <w:rStyle w:val="AERtextbold"/>
                          </w:rPr>
                          <w:t>Year</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Forecast (F</w:t>
                        </w:r>
                        <w:r w:rsidRPr="005A4F14">
                          <w:rPr>
                            <w:rStyle w:val="AERsubscript"/>
                          </w:rPr>
                          <w:t>t</w:t>
                        </w:r>
                        <w:r w:rsidRPr="005A4F14">
                          <w:t>)</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Actual (A</w:t>
                        </w:r>
                        <w:r w:rsidRPr="005A4F14">
                          <w:rPr>
                            <w:rStyle w:val="AERsubscript"/>
                          </w:rPr>
                          <w:t>t</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U</w:t>
                        </w:r>
                        <w:r w:rsidRPr="005A4F14">
                          <w:rPr>
                            <w:rStyle w:val="AERsubscript"/>
                          </w:rPr>
                          <w:t>t</w:t>
                        </w:r>
                        <w:r w:rsidRPr="005A4F14">
                          <w:t>)</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Incremental efficiency gain (I</w:t>
                        </w:r>
                        <w:r w:rsidRPr="005A4F14">
                          <w:rPr>
                            <w:rStyle w:val="AERsubscript"/>
                          </w:rPr>
                          <w:t>t</w:t>
                        </w:r>
                        <w:r w:rsidRPr="005A4F14">
                          <w:t xml:space="preserve"> = U</w:t>
                        </w:r>
                        <w:r w:rsidRPr="005A4F14">
                          <w:rPr>
                            <w:rStyle w:val="AERsubscript"/>
                          </w:rPr>
                          <w:t>t</w:t>
                        </w:r>
                        <w:r w:rsidRPr="005A4F14">
                          <w:t xml:space="preserve"> – U</w:t>
                        </w:r>
                        <w:r w:rsidRPr="005A4F14">
                          <w:rPr>
                            <w:rStyle w:val="AERsubscript"/>
                          </w:rPr>
                          <w:t>t–1</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046B33" w:rsidRDefault="00426427" w:rsidP="002D10B0">
                        <w:pPr>
                          <w:pStyle w:val="AERtabletextleft"/>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Carryover (I</w:t>
                        </w:r>
                        <w:r w:rsidRPr="005A4F14">
                          <w:rPr>
                            <w:rStyle w:val="AERsubscript"/>
                          </w:rPr>
                          <w:t>1</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Carryover (I</w:t>
                        </w:r>
                        <w:r w:rsidRPr="005A4F14">
                          <w:rPr>
                            <w:rStyle w:val="AERsubscript"/>
                          </w:rPr>
                          <w:t>2</w:t>
                        </w:r>
                        <w:r w:rsidRPr="005A4F14">
                          <w:t>)</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Carryover (I</w:t>
                        </w:r>
                        <w:r w:rsidRPr="005A4F14">
                          <w:rPr>
                            <w:rStyle w:val="AERsubscript"/>
                          </w:rPr>
                          <w:t>3</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Carryover (I</w:t>
                        </w:r>
                        <w:r w:rsidRPr="005A4F14">
                          <w:rPr>
                            <w:rStyle w:val="AERsubscript"/>
                          </w:rPr>
                          <w:t>4</w:t>
                        </w:r>
                        <w:r w:rsidRPr="005A4F14">
                          <w:t>)</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Carryover (I</w:t>
                        </w:r>
                        <w:r w:rsidRPr="005A4F14">
                          <w:rPr>
                            <w:rStyle w:val="AERsubscript"/>
                          </w:rPr>
                          <w:t>5</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C54C70" w:rsidRDefault="00426427" w:rsidP="002D10B0">
                        <w:pPr>
                          <w:pStyle w:val="AERtabletextleft"/>
                          <w:rPr>
                            <w:rStyle w:val="AERtextbold"/>
                          </w:rPr>
                        </w:pPr>
                        <w:r w:rsidRPr="00C54C70">
                          <w:rPr>
                            <w:rStyle w:val="AERtextbold"/>
                          </w:rPr>
                          <w:t>Carryover amount (Ct)</w:t>
                        </w:r>
                      </w:p>
                    </w:tc>
                    <w:tc>
                      <w:tcPr>
                        <w:tcW w:w="280"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426427" w:rsidRPr="00C54C70" w:rsidRDefault="00426427" w:rsidP="002D10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 xml:space="preserve">Benefits to </w:t>
                        </w:r>
                        <w:r>
                          <w:t>distributor</w:t>
                        </w:r>
                        <w:r w:rsidRPr="00046B33">
                          <w:t xml:space="preserve">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5A4F14" w:rsidRDefault="00426427" w:rsidP="002D10B0">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426427" w:rsidRPr="00FC3838" w:rsidTr="002D10B0">
                    <w:tc>
                      <w:tcPr>
                        <w:cnfStyle w:val="001000000000" w:firstRow="0" w:lastRow="0" w:firstColumn="1" w:lastColumn="0" w:oddVBand="0" w:evenVBand="0" w:oddHBand="0" w:evenHBand="0" w:firstRowFirstColumn="0" w:firstRowLastColumn="0" w:lastRowFirstColumn="0" w:lastRowLastColumn="0"/>
                        <w:tcW w:w="1861" w:type="pct"/>
                      </w:tcPr>
                      <w:p w:rsidR="00426427" w:rsidRPr="00046B33" w:rsidRDefault="00426427" w:rsidP="002D10B0">
                        <w:pPr>
                          <w:pStyle w:val="AERtabletextleft"/>
                        </w:pPr>
                        <w:r w:rsidRPr="00046B33">
                          <w:t xml:space="preserve">Discounted benefits to </w:t>
                        </w:r>
                        <w:r>
                          <w:t>distributor</w:t>
                        </w:r>
                        <w:r w:rsidRPr="00046B33">
                          <w:t>**</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426427" w:rsidRPr="00046B33" w:rsidRDefault="00426427" w:rsidP="002D10B0">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426427" w:rsidRPr="00FC3838" w:rsidTr="002D1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426427" w:rsidRPr="00046B33" w:rsidRDefault="00426427" w:rsidP="002D10B0">
                        <w:pPr>
                          <w:pStyle w:val="AERtabletextleft"/>
                        </w:pPr>
                        <w:r w:rsidRPr="00046B33">
                          <w:t>Discounted benefits to consumers**</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426427" w:rsidRPr="00046B33" w:rsidRDefault="00426427" w:rsidP="002D10B0">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426427" w:rsidRPr="00046B33" w:rsidRDefault="00426427" w:rsidP="002D10B0">
                  <w:pPr>
                    <w:pStyle w:val="AERtablesource"/>
                  </w:pPr>
                  <w:r w:rsidRPr="00046B33">
                    <w:t>Notes:</w:t>
                  </w:r>
                  <w:r w:rsidRPr="00046B33">
                    <w:tab/>
                    <w:t>* At the time of forecasting opex for the second regulatory period we do</w:t>
                  </w:r>
                  <w:r>
                    <w:t xml:space="preserve"> not</w:t>
                  </w:r>
                  <w:r w:rsidRPr="00046B33">
                    <w:t xml:space="preserve">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426427" w:rsidRPr="00046B33" w:rsidRDefault="00426427" w:rsidP="002D10B0">
                  <w:pPr>
                    <w:pStyle w:val="AERtablesource"/>
                  </w:pPr>
                  <w:r w:rsidRPr="00046B33">
                    <w:tab/>
                    <w:t>** Assumes a real discount rate of 6 per cent.</w:t>
                  </w:r>
                </w:p>
                <w:p w:rsidR="00426427" w:rsidRPr="00046B33" w:rsidRDefault="00426427" w:rsidP="002D10B0">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426427" w:rsidRDefault="00426427" w:rsidP="002D10B0">
                  <w:pPr>
                    <w:pStyle w:val="AERbodytext"/>
                    <w:numPr>
                      <w:ilvl w:val="0"/>
                      <w:numId w:val="0"/>
                    </w:numPr>
                  </w:pPr>
                  <w:r>
                    <w:t>Table 8 sums the discounted benefits to distributors and consumers from the bottom two rows of Table 7. As illustrated below, the benefits of the efficiency improvement are shared approximately 30:70 in perpetuity between the distributor and consumers.</w:t>
                  </w:r>
                </w:p>
                <w:p w:rsidR="00426427" w:rsidRPr="00AE0906" w:rsidRDefault="00426427" w:rsidP="002D10B0">
                  <w:pPr>
                    <w:pStyle w:val="Caption"/>
                  </w:pPr>
                  <w:bookmarkStart w:id="81" w:name="_Ref372276950"/>
                  <w:r w:rsidRPr="000F2EE3">
                    <w:t xml:space="preserve">Table </w:t>
                  </w:r>
                  <w:bookmarkEnd w:id="81"/>
                  <w:r>
                    <w:t>8</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395"/>
                    <w:gridCol w:w="3533"/>
                    <w:gridCol w:w="2974"/>
                  </w:tblGrid>
                  <w:tr w:rsidR="00426427" w:rsidTr="002D10B0">
                    <w:trPr>
                      <w:cnfStyle w:val="100000000000" w:firstRow="1" w:lastRow="0" w:firstColumn="0" w:lastColumn="0" w:oddVBand="0" w:evenVBand="0" w:oddHBand="0" w:evenHBand="0" w:firstRowFirstColumn="0" w:firstRowLastColumn="0" w:lastRowFirstColumn="0" w:lastRowLastColumn="0"/>
                    </w:trPr>
                    <w:tc>
                      <w:tcPr>
                        <w:tcW w:w="2433" w:type="dxa"/>
                      </w:tcPr>
                      <w:p w:rsidR="00426427" w:rsidRDefault="00426427" w:rsidP="00984A79">
                        <w:pPr>
                          <w:pStyle w:val="AERtabletextright"/>
                          <w:jc w:val="both"/>
                        </w:pPr>
                      </w:p>
                    </w:tc>
                    <w:tc>
                      <w:tcPr>
                        <w:tcW w:w="3574" w:type="dxa"/>
                      </w:tcPr>
                      <w:p w:rsidR="00426427" w:rsidRPr="005A4F14" w:rsidRDefault="00426427" w:rsidP="00984A79">
                        <w:pPr>
                          <w:pStyle w:val="AERtabletextright"/>
                          <w:ind w:left="811"/>
                          <w:jc w:val="both"/>
                        </w:pPr>
                        <w:r>
                          <w:t>NPV of benefits of efficiency improvement</w:t>
                        </w:r>
                      </w:p>
                    </w:tc>
                    <w:tc>
                      <w:tcPr>
                        <w:tcW w:w="3004" w:type="dxa"/>
                      </w:tcPr>
                      <w:p w:rsidR="00426427" w:rsidRPr="005A4F14" w:rsidRDefault="00426427" w:rsidP="00984A79">
                        <w:pPr>
                          <w:pStyle w:val="AERtabletextright"/>
                          <w:ind w:left="811"/>
                          <w:jc w:val="both"/>
                        </w:pPr>
                        <w:r>
                          <w:t>Percentage of total benefits</w:t>
                        </w:r>
                      </w:p>
                    </w:tc>
                  </w:tr>
                  <w:tr w:rsidR="00426427" w:rsidTr="002D10B0">
                    <w:tc>
                      <w:tcPr>
                        <w:tcW w:w="2433" w:type="dxa"/>
                      </w:tcPr>
                      <w:p w:rsidR="00426427" w:rsidRPr="005A4F14" w:rsidRDefault="00426427" w:rsidP="00984A79">
                        <w:pPr>
                          <w:pStyle w:val="AERtabletextleft"/>
                          <w:jc w:val="both"/>
                        </w:pPr>
                        <w:r>
                          <w:t>Benefits to distributor</w:t>
                        </w:r>
                      </w:p>
                    </w:tc>
                    <w:tc>
                      <w:tcPr>
                        <w:tcW w:w="3574" w:type="dxa"/>
                      </w:tcPr>
                      <w:p w:rsidR="00426427" w:rsidRPr="005A4F14" w:rsidRDefault="00426427" w:rsidP="00984A79">
                        <w:pPr>
                          <w:pStyle w:val="AERtabletextright"/>
                          <w:ind w:left="811"/>
                          <w:jc w:val="both"/>
                        </w:pPr>
                        <w:r w:rsidRPr="000F2EE3">
                          <w:t>$26.1 million</w:t>
                        </w:r>
                      </w:p>
                    </w:tc>
                    <w:tc>
                      <w:tcPr>
                        <w:tcW w:w="3004" w:type="dxa"/>
                      </w:tcPr>
                      <w:p w:rsidR="00426427" w:rsidRPr="005A4F14" w:rsidRDefault="00426427" w:rsidP="00984A79">
                        <w:pPr>
                          <w:pStyle w:val="AERtabletextright"/>
                          <w:ind w:left="811"/>
                          <w:jc w:val="both"/>
                        </w:pPr>
                        <w:r w:rsidRPr="000F2EE3">
                          <w:t>30 per cent</w:t>
                        </w:r>
                      </w:p>
                    </w:tc>
                  </w:tr>
                  <w:tr w:rsidR="00426427" w:rsidTr="002D10B0">
                    <w:trPr>
                      <w:cnfStyle w:val="000000010000" w:firstRow="0" w:lastRow="0" w:firstColumn="0" w:lastColumn="0" w:oddVBand="0" w:evenVBand="0" w:oddHBand="0" w:evenHBand="1" w:firstRowFirstColumn="0" w:firstRowLastColumn="0" w:lastRowFirstColumn="0" w:lastRowLastColumn="0"/>
                    </w:trPr>
                    <w:tc>
                      <w:tcPr>
                        <w:tcW w:w="2433" w:type="dxa"/>
                      </w:tcPr>
                      <w:p w:rsidR="00426427" w:rsidRPr="005A4F14" w:rsidRDefault="00426427" w:rsidP="00984A79">
                        <w:pPr>
                          <w:pStyle w:val="AERtabletextleft"/>
                          <w:jc w:val="both"/>
                        </w:pPr>
                        <w:r>
                          <w:t>Benefits to consumers</w:t>
                        </w:r>
                      </w:p>
                    </w:tc>
                    <w:tc>
                      <w:tcPr>
                        <w:tcW w:w="3574" w:type="dxa"/>
                      </w:tcPr>
                      <w:p w:rsidR="00426427" w:rsidRPr="005A4F14" w:rsidRDefault="00426427" w:rsidP="00984A79">
                        <w:pPr>
                          <w:pStyle w:val="AERtabletextright"/>
                          <w:ind w:left="811"/>
                          <w:jc w:val="both"/>
                        </w:pPr>
                        <w:r w:rsidRPr="000F2EE3">
                          <w:t>$62.3 million</w:t>
                        </w:r>
                      </w:p>
                    </w:tc>
                    <w:tc>
                      <w:tcPr>
                        <w:tcW w:w="3004" w:type="dxa"/>
                      </w:tcPr>
                      <w:p w:rsidR="00426427" w:rsidRPr="005A4F14" w:rsidRDefault="00426427" w:rsidP="00984A79">
                        <w:pPr>
                          <w:pStyle w:val="AERtabletextright"/>
                          <w:ind w:left="811"/>
                          <w:jc w:val="both"/>
                        </w:pPr>
                        <w:r w:rsidRPr="000F2EE3">
                          <w:t>70 per cent</w:t>
                        </w:r>
                      </w:p>
                    </w:tc>
                  </w:tr>
                  <w:tr w:rsidR="00426427" w:rsidTr="002D10B0">
                    <w:tc>
                      <w:tcPr>
                        <w:tcW w:w="2433" w:type="dxa"/>
                      </w:tcPr>
                      <w:p w:rsidR="00426427" w:rsidRPr="005A4F14" w:rsidRDefault="00426427" w:rsidP="00984A79">
                        <w:pPr>
                          <w:pStyle w:val="AERtabletextleft"/>
                          <w:jc w:val="both"/>
                        </w:pPr>
                        <w:r>
                          <w:t>Total</w:t>
                        </w:r>
                      </w:p>
                    </w:tc>
                    <w:tc>
                      <w:tcPr>
                        <w:tcW w:w="3574" w:type="dxa"/>
                      </w:tcPr>
                      <w:p w:rsidR="00426427" w:rsidRPr="005A4F14" w:rsidRDefault="00426427" w:rsidP="00984A79">
                        <w:pPr>
                          <w:pStyle w:val="AERtabletextright"/>
                          <w:ind w:left="811"/>
                          <w:jc w:val="both"/>
                        </w:pPr>
                        <w:r w:rsidRPr="000F2EE3">
                          <w:t xml:space="preserve">$88.3 </w:t>
                        </w:r>
                        <w:r w:rsidRPr="005A4F14">
                          <w:t>million</w:t>
                        </w:r>
                      </w:p>
                    </w:tc>
                    <w:tc>
                      <w:tcPr>
                        <w:tcW w:w="3004" w:type="dxa"/>
                      </w:tcPr>
                      <w:p w:rsidR="00426427" w:rsidRPr="005A4F14" w:rsidRDefault="00426427" w:rsidP="00984A79">
                        <w:pPr>
                          <w:pStyle w:val="AERtabletextright"/>
                          <w:ind w:left="811"/>
                          <w:jc w:val="both"/>
                        </w:pPr>
                        <w:r>
                          <w:t>1</w:t>
                        </w:r>
                        <w:r w:rsidRPr="000F2EE3">
                          <w:t>00 per cent</w:t>
                        </w:r>
                      </w:p>
                    </w:tc>
                  </w:tr>
                </w:tbl>
                <w:p w:rsidR="00426427" w:rsidRDefault="00426427" w:rsidP="002D10B0"/>
              </w:txbxContent>
            </v:textbox>
            <w10:wrap type="none"/>
            <w10:anchorlock/>
          </v:shape>
        </w:pict>
      </w:r>
    </w:p>
    <w:p w:rsidR="002D10B0" w:rsidRPr="002D10B0" w:rsidRDefault="00211FCA" w:rsidP="00211FCA">
      <w:r w:rsidRPr="00211FCA">
        <w:lastRenderedPageBreak/>
        <w:t>In implementing the EBSS we must also have regard to any incentives distributors may have to capitalise expenditure.</w:t>
      </w:r>
      <w:r w:rsidRPr="00211FCA">
        <w:rPr>
          <w:rStyle w:val="FootnoteReference"/>
        </w:rPr>
        <w:footnoteReference w:id="134"/>
      </w:r>
      <w:r w:rsidRPr="00211FCA">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distributors should not have an incentive to favour opex over capex or vice versa. </w:t>
      </w:r>
      <w:r w:rsidR="002D10B0" w:rsidRPr="002D10B0">
        <w:t>The CESS is discussed further in</w:t>
      </w:r>
      <w:r w:rsidR="005830CB">
        <w:t xml:space="preserve"> section 3.3.</w:t>
      </w:r>
    </w:p>
    <w:p w:rsidR="002D10B0" w:rsidRPr="002D10B0" w:rsidRDefault="002D10B0" w:rsidP="002D10B0">
      <w:r w:rsidRPr="002D10B0">
        <w:t>We must also consider the possible effects of implementing the EBSS on incentives for non-network alternatives:</w:t>
      </w:r>
      <w:r w:rsidRPr="00A75692">
        <w:rPr>
          <w:rStyle w:val="AERsuperscript"/>
        </w:rPr>
        <w:footnoteReference w:id="135"/>
      </w:r>
    </w:p>
    <w:p w:rsidR="002D10B0" w:rsidRPr="002D10B0" w:rsidRDefault="002D10B0" w:rsidP="00A75692">
      <w:pPr>
        <w:pStyle w:val="AERbulletlistfirststyle"/>
      </w:pPr>
      <w:r w:rsidRPr="002D10B0">
        <w:t>Expenditure on non-network alternatives generally takes the form of opex rather than capex. Successful non-network alternatives should result in the distributor spending less on capex than it otherwise would have. Non-network alternatives and demand management incentives are</w:t>
      </w:r>
      <w:r w:rsidR="00A75692">
        <w:t xml:space="preserve"> discussed further in section 3.4</w:t>
      </w:r>
      <w:r w:rsidRPr="002D10B0">
        <w:t>.</w:t>
      </w:r>
    </w:p>
    <w:p w:rsidR="002D10B0" w:rsidRPr="002D10B0" w:rsidRDefault="002D10B0" w:rsidP="002D10B0">
      <w:pPr>
        <w:pStyle w:val="AERbulletlistfirststyle"/>
      </w:pPr>
      <w:r w:rsidRPr="002D10B0">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sidRPr="00A75692">
        <w:rPr>
          <w:rStyle w:val="AERsuperscript"/>
        </w:rPr>
        <w:footnoteReference w:id="136"/>
      </w:r>
      <w:r w:rsidRPr="002D10B0">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sidRPr="00A75692">
        <w:rPr>
          <w:rStyle w:val="AERsuperscript"/>
        </w:rPr>
        <w:footnoteReference w:id="137"/>
      </w:r>
      <w:r w:rsidRPr="002D10B0">
        <w:t xml:space="preserve"> </w:t>
      </w:r>
    </w:p>
    <w:p w:rsidR="00350180" w:rsidRDefault="00350180" w:rsidP="00FF6D4F">
      <w:pPr>
        <w:pStyle w:val="Heading2"/>
      </w:pPr>
      <w:bookmarkStart w:id="82" w:name="_Toc373773994"/>
      <w:r w:rsidRPr="00FF6D4F">
        <w:t>Capital expenditure sharing scheme</w:t>
      </w:r>
      <w:bookmarkEnd w:id="82"/>
    </w:p>
    <w:p w:rsidR="00B6405C" w:rsidRPr="00B6405C" w:rsidRDefault="00B6405C" w:rsidP="00B6405C">
      <w:r w:rsidRPr="00B6405C">
        <w:t>The CESS provides financial rewards for distributors whose capex becomes more efficient and financial penalties for those that become less efficient. Consumers benefit from improved efficiencies through lower regulated prices. This section sets out our proposed approach and reasons on how we intend to apply the CESS to SA Power Networks in the next regulatory control period.</w:t>
      </w:r>
    </w:p>
    <w:p w:rsidR="00B6405C" w:rsidRPr="00B6405C" w:rsidRDefault="00B6405C" w:rsidP="00B6405C">
      <w:r w:rsidRPr="00B6405C">
        <w:t xml:space="preserve">The CESS approximates efficiency gains or efficiency losses by calculating the difference between forecast and actual capex. It shares these gains or losses between distributors and network users. </w:t>
      </w:r>
    </w:p>
    <w:p w:rsidR="00B6405C" w:rsidRPr="00B6405C" w:rsidRDefault="00B6405C" w:rsidP="00B6405C">
      <w:r w:rsidRPr="00B6405C">
        <w:t xml:space="preserve">The CESS will work as follows: </w:t>
      </w:r>
    </w:p>
    <w:p w:rsidR="00B6405C" w:rsidRPr="00B6405C" w:rsidRDefault="00B6405C" w:rsidP="00B6405C">
      <w:pPr>
        <w:pStyle w:val="AERbulletlistfirststyle"/>
      </w:pPr>
      <w:r w:rsidRPr="00B6405C">
        <w:t xml:space="preserve">We calculate the cumulative underspend or overspend for the current regulatory control period in net present value terms. </w:t>
      </w:r>
    </w:p>
    <w:p w:rsidR="00B6405C" w:rsidRPr="00B6405C" w:rsidRDefault="00B6405C" w:rsidP="00B6405C">
      <w:pPr>
        <w:pStyle w:val="AERbulletlistfirststyle"/>
      </w:pPr>
      <w:r w:rsidRPr="00B6405C">
        <w:t>We apply the sharing ratio of 30 per cent to the cumulative underspend or overspend to work out what the distributor's share of the underspend or overspend should be.</w:t>
      </w:r>
    </w:p>
    <w:p w:rsidR="00B6405C" w:rsidRPr="00B6405C" w:rsidRDefault="00B6405C" w:rsidP="00B6405C">
      <w:r w:rsidRPr="00B6405C">
        <w:lastRenderedPageBreak/>
        <w:t>We calculate the CESS payments taking into account the financing benefit or cost to the distributor of the underspends or overspends.</w:t>
      </w:r>
      <w:r w:rsidRPr="00B6405C">
        <w:rPr>
          <w:rStyle w:val="AERsuperscript"/>
        </w:rPr>
        <w:footnoteReference w:id="138"/>
      </w:r>
      <w:r w:rsidRPr="00B6405C">
        <w:t xml:space="preserve"> We can also make further adjustments to account for deferral of capex and ex post exclusions of capex from the RAB. </w:t>
      </w:r>
    </w:p>
    <w:p w:rsidR="00B6405C" w:rsidRPr="00B6405C" w:rsidRDefault="00B6405C" w:rsidP="00B6405C">
      <w:r w:rsidRPr="00B6405C">
        <w:t>The CESS payments will be added or subtracted to the distributor's regulated revenue as a separate building block in the next regulatory control period.</w:t>
      </w:r>
    </w:p>
    <w:p w:rsidR="00B6405C" w:rsidRPr="00B6405C" w:rsidRDefault="00B6405C" w:rsidP="00B6405C">
      <w:r w:rsidRPr="00B6405C">
        <w:t xml:space="preserve">Under the CESS a distributor retains 30 per cent of an underspend or overspend, while consumers retain </w:t>
      </w:r>
      <w:r w:rsidR="00AC0C45">
        <w:t>70 per cent of the underspend or</w:t>
      </w:r>
      <w:r w:rsidRPr="00B6405C">
        <w:t xml:space="preserve"> overspend. This means that for a one dollar saving in capex the distributor keeps 30 cents of the benefit while consumers keep 70 cents of the benefit. </w:t>
      </w:r>
    </w:p>
    <w:p w:rsidR="00B6405C" w:rsidRPr="00B6405C" w:rsidRDefault="00B6405C" w:rsidP="00B6405C">
      <w:pPr>
        <w:pStyle w:val="Heading3"/>
      </w:pPr>
      <w:bookmarkStart w:id="83" w:name="_Toc373500010"/>
      <w:bookmarkStart w:id="84" w:name="_Toc373773995"/>
      <w:r w:rsidRPr="00B6405C">
        <w:t>AER</w:t>
      </w:r>
      <w:r w:rsidR="00F53FCD">
        <w:t>'s</w:t>
      </w:r>
      <w:r w:rsidRPr="00B6405C">
        <w:t xml:space="preserve"> </w:t>
      </w:r>
      <w:bookmarkEnd w:id="83"/>
      <w:r w:rsidR="00F53FCD">
        <w:t>preliminary position</w:t>
      </w:r>
      <w:bookmarkEnd w:id="84"/>
    </w:p>
    <w:p w:rsidR="00B6405C" w:rsidRPr="00B6405C" w:rsidRDefault="00B6405C" w:rsidP="00B6405C">
      <w:r w:rsidRPr="00B6405C">
        <w:t>Our preliminary position is to apply the CESS, as set out in our capex incentives guideline,</w:t>
      </w:r>
      <w:r w:rsidRPr="00B6405C">
        <w:rPr>
          <w:rStyle w:val="AERsuperscript"/>
        </w:rPr>
        <w:footnoteReference w:id="139"/>
      </w:r>
      <w:r w:rsidRPr="00B6405C">
        <w:t xml:space="preserve"> in the next regulatory control period to SA Power Networks.</w:t>
      </w:r>
    </w:p>
    <w:p w:rsidR="00B6405C" w:rsidRPr="00B6405C" w:rsidRDefault="00B6405C" w:rsidP="00B6405C">
      <w:pPr>
        <w:pStyle w:val="Heading3"/>
      </w:pPr>
      <w:bookmarkStart w:id="85" w:name="_Toc373500011"/>
      <w:bookmarkStart w:id="86" w:name="_Toc373773996"/>
      <w:r w:rsidRPr="00B6405C">
        <w:t>AER</w:t>
      </w:r>
      <w:r w:rsidR="00F53FCD">
        <w:t>s</w:t>
      </w:r>
      <w:r w:rsidRPr="00B6405C">
        <w:t xml:space="preserve"> assessment approach</w:t>
      </w:r>
      <w:bookmarkEnd w:id="85"/>
      <w:bookmarkEnd w:id="86"/>
    </w:p>
    <w:p w:rsidR="00B6405C" w:rsidRPr="00B6405C" w:rsidRDefault="00B6405C" w:rsidP="00B6405C">
      <w:r w:rsidRPr="00B6405C">
        <w:t>In deciding whether to apply a CESS to a distributor, and the nature and details of any CESS to apply to a distributor, we must:</w:t>
      </w:r>
      <w:r w:rsidRPr="00B6405C">
        <w:rPr>
          <w:rStyle w:val="AERsuperscript"/>
        </w:rPr>
        <w:footnoteReference w:id="140"/>
      </w:r>
    </w:p>
    <w:p w:rsidR="00B6405C" w:rsidRPr="00B6405C" w:rsidRDefault="00B6405C" w:rsidP="00BF33E2">
      <w:pPr>
        <w:pStyle w:val="AERbulletlistfirststyle"/>
      </w:pPr>
      <w:r w:rsidRPr="00B6405C">
        <w:t>make that decision in a manner that contributes to the capex incentive objective</w:t>
      </w:r>
      <w:r w:rsidRPr="00B6405C">
        <w:rPr>
          <w:rStyle w:val="AERsuperscript"/>
        </w:rPr>
        <w:footnoteReference w:id="141"/>
      </w:r>
    </w:p>
    <w:p w:rsidR="00B6405C" w:rsidRPr="00B6405C" w:rsidRDefault="00B6405C" w:rsidP="00BF33E2">
      <w:pPr>
        <w:pStyle w:val="AERbulletlistfirststyle"/>
      </w:pPr>
      <w:r w:rsidRPr="00B6405C">
        <w:t>consider the CESS principles,</w:t>
      </w:r>
      <w:r w:rsidRPr="00B6405C">
        <w:rPr>
          <w:rStyle w:val="AERsuperscript"/>
        </w:rPr>
        <w:footnoteReference w:id="142"/>
      </w:r>
      <w:r w:rsidRPr="00B6405C">
        <w:t xml:space="preserve"> capex objectives,</w:t>
      </w:r>
      <w:r w:rsidRPr="00B6405C">
        <w:rPr>
          <w:rStyle w:val="AERsuperscript"/>
        </w:rPr>
        <w:footnoteReference w:id="143"/>
      </w:r>
      <w:r w:rsidRPr="00B6405C">
        <w:t xml:space="preserve"> other incentive schemes, and where relevant the opex objectives, as they apply to the particular distributor, and the circumstances of the distributor.</w:t>
      </w:r>
    </w:p>
    <w:p w:rsidR="00B6405C" w:rsidRPr="00B6405C" w:rsidRDefault="00B6405C" w:rsidP="00BF33E2">
      <w:pPr>
        <w:pStyle w:val="AERbodytext"/>
      </w:pPr>
      <w:r w:rsidRPr="00B6405C">
        <w:t>Broadly speaking, the capex incentive objective is to ensure that only capex that meets the capex criteria ente</w:t>
      </w:r>
      <w:r>
        <w:t xml:space="preserve">rs the RAB used to set prices. </w:t>
      </w:r>
      <w:r w:rsidRPr="00B6405C">
        <w:t>Therefore, consumers only fund capex that is efficient and prudent.</w:t>
      </w:r>
    </w:p>
    <w:p w:rsidR="00B6405C" w:rsidRPr="00B6405C" w:rsidRDefault="00B6405C" w:rsidP="00B6405C">
      <w:pPr>
        <w:pStyle w:val="Heading3"/>
      </w:pPr>
      <w:bookmarkStart w:id="87" w:name="_Toc373500012"/>
      <w:bookmarkStart w:id="88" w:name="_Toc373773997"/>
      <w:r w:rsidRPr="00B6405C">
        <w:t xml:space="preserve">Reasons for AER's preliminary </w:t>
      </w:r>
      <w:bookmarkEnd w:id="87"/>
      <w:r w:rsidR="00F53FCD">
        <w:t>position</w:t>
      </w:r>
      <w:bookmarkEnd w:id="88"/>
    </w:p>
    <w:p w:rsidR="00B6405C" w:rsidRPr="00B6405C" w:rsidRDefault="00B6405C" w:rsidP="00B6405C">
      <w:r w:rsidRPr="00B6405C">
        <w:t>We propose to apply the CESS to SA Power Networks in the next regulatory control period as we consider this will contribute to the capex incentive objective.</w:t>
      </w:r>
    </w:p>
    <w:p w:rsidR="00B6405C" w:rsidRPr="00B6405C" w:rsidRDefault="00B6405C" w:rsidP="00B6405C">
      <w:r w:rsidRPr="00B6405C">
        <w:t>SA Power Networks are not currently subject to a CESS. As part of our Better Regulation program we consulted on and published version 1 of the capex incentives guideline which sets out the CESS.</w:t>
      </w:r>
      <w:r w:rsidRPr="00B6405C">
        <w:rPr>
          <w:rStyle w:val="AERsuperscript"/>
        </w:rPr>
        <w:footnoteReference w:id="144"/>
      </w:r>
      <w:r w:rsidRPr="00B6405C">
        <w:t xml:space="preserve"> The guideline specifies that in most circumstances we will apply a CESS, in conjunction with forecast depreciation to roll-forward the RAB.</w:t>
      </w:r>
      <w:r w:rsidRPr="00B6405C">
        <w:rPr>
          <w:rStyle w:val="AERsuperscript"/>
        </w:rPr>
        <w:footnoteReference w:id="145"/>
      </w:r>
      <w:r w:rsidRPr="00B6405C">
        <w:t xml:space="preserve"> We are also proposing to apply forecast depreciation, which is discussed further in attachment </w:t>
      </w:r>
      <w:r>
        <w:t>5</w:t>
      </w:r>
      <w:r w:rsidRPr="00B6405C">
        <w:t xml:space="preserve">. </w:t>
      </w:r>
    </w:p>
    <w:p w:rsidR="00B6405C" w:rsidRPr="00B6405C" w:rsidRDefault="00B6405C" w:rsidP="00B6405C">
      <w:r w:rsidRPr="00B6405C">
        <w:t xml:space="preserve">In developing the CESS we took into account the capex incentive objective, capex criteria, capex objectives, and CESS principles. We also developed the CESS to work alongside other incentive </w:t>
      </w:r>
      <w:r w:rsidRPr="00B6405C">
        <w:lastRenderedPageBreak/>
        <w:t>schemes that apply to distributors including the EBSS, STPIS, and DMIS—which SA Power Networks will be subject to in the next regulatory control period.</w:t>
      </w:r>
    </w:p>
    <w:p w:rsidR="00B6405C" w:rsidRPr="00B6405C" w:rsidRDefault="00B6405C" w:rsidP="00B6405C">
      <w:r w:rsidRPr="00B6405C">
        <w:t xml:space="preserve">For capex, the sharing of underspends and overspends happens at the end of each regulatory period when we update a distributor's RAB to include new capex. If a distributor spent less than its approved forecast, it will benefit within that period. Consumers benefit at the end of the period when the RAB is updated to include less capex compared to if the business had spent the full amount of the capex forecast. This leads to lower prices in the future. </w:t>
      </w:r>
    </w:p>
    <w:p w:rsidR="00B6405C" w:rsidRPr="00B6405C" w:rsidRDefault="00B6405C" w:rsidP="00B6405C">
      <w:r w:rsidRPr="00B6405C">
        <w:t>Without a CESS the incentive for a distributor to spend less than its capex forecast declines throughout the period.</w:t>
      </w:r>
      <w:r w:rsidRPr="00B6405C">
        <w:rPr>
          <w:rStyle w:val="AERsuperscript"/>
        </w:rPr>
        <w:footnoteReference w:id="146"/>
      </w:r>
      <w:r w:rsidRPr="00B6405C">
        <w:t xml:space="preserve"> Because of this a distributor may choose to spend capex earlier, or on capex when it may otherwise have spent on opex, or less on capex at the expense of service quality—even if it may not be efficient to do so.</w:t>
      </w:r>
    </w:p>
    <w:p w:rsidR="00B6405C" w:rsidRPr="00B6405C" w:rsidRDefault="00B6405C" w:rsidP="00B6405C">
      <w:r w:rsidRPr="00B6405C">
        <w:t>With the CESS a distributor faces the same reward and penalty in each year of a regulatory control period for capex underspends or overspends. The CESS will provide distributors with an ex ante incentive to spend only efficient capex. Distributors that make efficiency gains will be rewarded through the CESS. Conversely, distributors that make efficiency losses will be penalised through the CESS. In this way, distributors 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distributor.</w:t>
      </w:r>
    </w:p>
    <w:p w:rsidR="002514D9" w:rsidRPr="002514D9" w:rsidRDefault="00B6405C" w:rsidP="00B6405C">
      <w:r w:rsidRPr="00B6405C">
        <w:t>When the CESS, EBSS and STPIS apply to distributors then incentives for opex, capex and service are balanced. This encourages distributors to make efficient decisions on when and what type of expenditure to incur, and to balance expenditure efficiencies with service quality.</w:t>
      </w:r>
    </w:p>
    <w:p w:rsidR="00350180" w:rsidRDefault="00350180" w:rsidP="00FF6D4F">
      <w:pPr>
        <w:pStyle w:val="Heading2"/>
      </w:pPr>
      <w:bookmarkStart w:id="89" w:name="_Toc373773998"/>
      <w:r w:rsidRPr="00FF6D4F">
        <w:t xml:space="preserve">Demand management </w:t>
      </w:r>
      <w:r w:rsidR="00254F96">
        <w:t>incentive scheme</w:t>
      </w:r>
      <w:bookmarkEnd w:id="89"/>
    </w:p>
    <w:p w:rsidR="00DE7099" w:rsidRPr="00DE7099" w:rsidRDefault="00E0718B" w:rsidP="00DE7099">
      <w:r>
        <w:t>This section</w:t>
      </w:r>
      <w:r w:rsidR="00DE7099" w:rsidRPr="00DE7099">
        <w:t xml:space="preserve"> sets out our preliminary approach and reasons for applying a demand management incentive scheme (DMIS) to SA Power Networks in the next regulatory control period.</w:t>
      </w:r>
      <w:r w:rsidR="00DE7099" w:rsidRPr="00DE7099">
        <w:rPr>
          <w:rStyle w:val="AERsuperscript"/>
        </w:rPr>
        <w:footnoteReference w:id="147"/>
      </w:r>
      <w:r w:rsidR="00DE7099" w:rsidRPr="00DE7099">
        <w:t xml:space="preserve"> </w:t>
      </w:r>
    </w:p>
    <w:p w:rsidR="00DE7099" w:rsidRPr="00DE7099" w:rsidRDefault="00DE7099" w:rsidP="00DE7099">
      <w:r w:rsidRPr="00DE7099">
        <w:t>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latent capacity.</w:t>
      </w:r>
    </w:p>
    <w:p w:rsidR="00DE7099" w:rsidRPr="00DE7099" w:rsidRDefault="00DE7099" w:rsidP="00DE7099">
      <w:r w:rsidRPr="00DE7099">
        <w:t>This underutilisation means that augmentation of network capacity may not always be the most efficient means of catering for increasing peak demand. Demand management refers to any effort by a distributor to lower or shift the demand for standard control services.</w:t>
      </w:r>
      <w:r w:rsidRPr="00DE7099">
        <w:rPr>
          <w:rStyle w:val="AERsuperscript"/>
        </w:rPr>
        <w:footnoteReference w:id="148"/>
      </w:r>
      <w:r w:rsidRPr="00DE7099">
        <w:t xml:space="preserve"> Demand management that effectively alleviates network utilisation during peak usage periods can be an economically efficient way of deferring the need for network augmentation.</w:t>
      </w:r>
    </w:p>
    <w:p w:rsidR="00DE7099" w:rsidRPr="00DE7099" w:rsidRDefault="00DE7099" w:rsidP="00DE7099">
      <w:r w:rsidRPr="00DE7099">
        <w:lastRenderedPageBreak/>
        <w:t>The rules require us to develop and implement mechanisms to incentivise distributors to consider economically efficient alternatives to building more network.</w:t>
      </w:r>
      <w:r w:rsidRPr="00DE7099">
        <w:rPr>
          <w:rStyle w:val="AERsuperscript"/>
        </w:rPr>
        <w:footnoteReference w:id="149"/>
      </w:r>
      <w:r w:rsidRPr="00DE7099">
        <w:t xml:space="preserve"> To meet this requirement, and motivated by the need to improve SA Power Networks' capability in the demand management area, we implemented a DM</w:t>
      </w:r>
      <w:r w:rsidR="00DF6227">
        <w:t>IS in our revenue determination</w:t>
      </w:r>
      <w:r w:rsidRPr="00DE7099">
        <w:t xml:space="preserve"> for the current regulatory period.</w:t>
      </w:r>
    </w:p>
    <w:p w:rsidR="00DE7099" w:rsidRPr="00DE7099" w:rsidRDefault="00DE7099" w:rsidP="00DE7099">
      <w:r w:rsidRPr="00DE7099">
        <w:t xml:space="preserve">The current scheme includes </w:t>
      </w:r>
      <w:r w:rsidR="00DF6227">
        <w:t xml:space="preserve">a </w:t>
      </w:r>
      <w:r w:rsidRPr="00DE7099">
        <w:t>demand management innovation allowance (DMIA)</w:t>
      </w:r>
      <w:r w:rsidRPr="00DE7099">
        <w:rPr>
          <w:rStyle w:val="AERsuperscript"/>
        </w:rPr>
        <w:footnoteReference w:id="150"/>
      </w:r>
      <w:r w:rsidR="00DF6227">
        <w:t>.</w:t>
      </w:r>
      <w:r w:rsidRPr="00DE7099">
        <w:t>The DMIA is a capped allowance for distributors to investigate and conduct broad-based and/or peak demand management projects. It contains two parts:</w:t>
      </w:r>
    </w:p>
    <w:p w:rsidR="00DE7099" w:rsidRPr="00DE7099" w:rsidRDefault="00DE7099" w:rsidP="00DE7099">
      <w:pPr>
        <w:pStyle w:val="AERbulletlistfirststyle"/>
      </w:pPr>
      <w:r w:rsidRPr="00DE7099">
        <w:t>Part A adds an innovation allowance to each distributor's revenue each year of the regulatory control period. Distributors prepare annual reports on their expenditure under the DMIA</w:t>
      </w:r>
      <w:r w:rsidRPr="00DE7099">
        <w:rPr>
          <w:rStyle w:val="AERsuperscript"/>
        </w:rPr>
        <w:footnoteReference w:id="151"/>
      </w:r>
      <w:r w:rsidRPr="00DE7099">
        <w:t xml:space="preserve"> in the previous year, which we then assess and approve under specific criteria.</w:t>
      </w:r>
      <w:r w:rsidRPr="00DE7099">
        <w:rPr>
          <w:rStyle w:val="AERsuperscript"/>
        </w:rPr>
        <w:footnoteReference w:id="152"/>
      </w:r>
      <w:r w:rsidRPr="00DE7099">
        <w:t xml:space="preserve"> </w:t>
      </w:r>
    </w:p>
    <w:p w:rsidR="00DE7099" w:rsidRPr="00DE7099" w:rsidRDefault="00DE7099" w:rsidP="00DE7099">
      <w:pPr>
        <w:pStyle w:val="AERbulletlistfirststyle"/>
        <w:rPr>
          <w:rFonts w:eastAsia="Calibri"/>
        </w:rPr>
      </w:pPr>
      <w:r w:rsidRPr="00DE7099">
        <w:t xml:space="preserve">Part B compensates distributors for any foregone revenue demonstrated to have resulted from demand management initiatives approved under Part A for distributors under a weighted average price cap. </w:t>
      </w:r>
      <w:r w:rsidR="00A45E1D">
        <w:t xml:space="preserve">We applied this to </w:t>
      </w:r>
      <w:r w:rsidRPr="00DE7099">
        <w:t>SA Power Networks in the current regulatory control period. However, our preliminary position is that SA Power Networks will be subject to revenue cap form of control. Therefore, Part B is not relevant to SA Power Networks for the next regulatory control period.</w:t>
      </w:r>
    </w:p>
    <w:p w:rsidR="00DE7099" w:rsidRPr="00F53FCD" w:rsidRDefault="00DE7099" w:rsidP="00F53FCD">
      <w:pPr>
        <w:pStyle w:val="Heading3"/>
      </w:pPr>
      <w:bookmarkStart w:id="90" w:name="_Toc373500014"/>
      <w:bookmarkStart w:id="91" w:name="_Toc373773999"/>
      <w:r w:rsidRPr="00F53FCD">
        <w:t xml:space="preserve">AER's preliminary </w:t>
      </w:r>
      <w:bookmarkEnd w:id="90"/>
      <w:r w:rsidR="00F53FCD" w:rsidRPr="00F53FCD">
        <w:t>position</w:t>
      </w:r>
      <w:bookmarkEnd w:id="91"/>
    </w:p>
    <w:p w:rsidR="00DE7099" w:rsidRPr="00DE7099" w:rsidRDefault="00DE7099" w:rsidP="00DE7099">
      <w:r w:rsidRPr="00DE7099">
        <w:t>Our preliminary position is to continue applying the DMIA to SA Power Networks</w:t>
      </w:r>
      <w:r w:rsidR="002B5CB9">
        <w:t xml:space="preserve"> </w:t>
      </w:r>
      <w:r w:rsidRPr="00DE7099">
        <w:t xml:space="preserve">in the next regulatory </w:t>
      </w:r>
      <w:r w:rsidR="00F57168">
        <w:t>control period.</w:t>
      </w:r>
    </w:p>
    <w:p w:rsidR="00DE7099" w:rsidRPr="00DE7099" w:rsidRDefault="00DE7099" w:rsidP="00DE7099">
      <w:r w:rsidRPr="00DE7099">
        <w:t>We acknowledge the need to reform the existing demand management incentive arrangements in SA. SCER is currently considering a series of rule changes</w:t>
      </w:r>
      <w:r w:rsidRPr="00F73915">
        <w:rPr>
          <w:rStyle w:val="AERsuperscript"/>
        </w:rPr>
        <w:footnoteReference w:id="153"/>
      </w:r>
      <w:r w:rsidRPr="00DE7099">
        <w:t xml:space="preserve"> proposed by the AEMC in its Power of Choice review</w:t>
      </w:r>
      <w:r w:rsidRPr="00DE7099">
        <w:rPr>
          <w:rStyle w:val="AERsuperscript"/>
        </w:rPr>
        <w:footnoteReference w:id="154"/>
      </w:r>
      <w:r w:rsidRPr="00DE7099">
        <w:t xml:space="preserve"> examining distributor incentives to pursue efficient alternatives to network augmentation. This will include new rules and principles guiding the design of a new DMIS. We intend to develop and implement a new DMIS during the next regulatory control period, depending on the progress of the rule change process. For these reasons, we propose not indicating the allowance cap in the F&amp;A.</w:t>
      </w:r>
    </w:p>
    <w:p w:rsidR="00DE7099" w:rsidRPr="00DE7099" w:rsidRDefault="00DE7099" w:rsidP="00F73915">
      <w:pPr>
        <w:pStyle w:val="Heading3"/>
      </w:pPr>
      <w:bookmarkStart w:id="92" w:name="_Toc373500015"/>
      <w:bookmarkStart w:id="93" w:name="_Toc373774000"/>
      <w:r w:rsidRPr="00DE7099">
        <w:t>AER's assessment approach</w:t>
      </w:r>
      <w:bookmarkEnd w:id="92"/>
      <w:bookmarkEnd w:id="93"/>
    </w:p>
    <w:p w:rsidR="00DE7099" w:rsidRPr="00DE7099" w:rsidRDefault="00DE7099" w:rsidP="00DE7099">
      <w:r w:rsidRPr="00DE7099">
        <w:t>The rules require us to have regard to several factors in developing</w:t>
      </w:r>
      <w:r w:rsidR="00E7301E">
        <w:t xml:space="preserve"> and implementing a DMIS for</w:t>
      </w:r>
      <w:r w:rsidRPr="00DE7099">
        <w:t xml:space="preserve"> SA Power Networks.</w:t>
      </w:r>
      <w:r w:rsidRPr="00F73915">
        <w:rPr>
          <w:rStyle w:val="AERsuperscript"/>
        </w:rPr>
        <w:footnoteReference w:id="155"/>
      </w:r>
      <w:r w:rsidRPr="00DE7099">
        <w:t xml:space="preserve"> These are:</w:t>
      </w:r>
    </w:p>
    <w:p w:rsidR="00DE7099" w:rsidRPr="00DE7099" w:rsidRDefault="00DE7099" w:rsidP="00F73915">
      <w:pPr>
        <w:pStyle w:val="AERbulletlistfirststyle"/>
      </w:pPr>
      <w:r w:rsidRPr="00DE7099">
        <w:t>Benefits to consumers</w:t>
      </w:r>
    </w:p>
    <w:p w:rsidR="00DE7099" w:rsidRPr="00DE7099" w:rsidRDefault="00DE7099" w:rsidP="00F73915">
      <w:pPr>
        <w:pStyle w:val="AERbulletlistsecondstyle"/>
      </w:pPr>
      <w:r w:rsidRPr="00DE7099">
        <w:t>the need to ensure that benefits to electricity consumers likely to result from the scheme are sufficient to warrant any reward or penalty under the scheme</w:t>
      </w:r>
    </w:p>
    <w:p w:rsidR="00DE7099" w:rsidRPr="00DE7099" w:rsidRDefault="00DE7099" w:rsidP="00F73915">
      <w:pPr>
        <w:pStyle w:val="AERbulletlistsecondstyle"/>
      </w:pPr>
      <w:r w:rsidRPr="00DE7099">
        <w:t xml:space="preserve">the willingness of customers or end users to pay for increases in costs resulting from implementing </w:t>
      </w:r>
      <w:r w:rsidR="00E7301E">
        <w:t xml:space="preserve">a </w:t>
      </w:r>
      <w:r w:rsidRPr="00DE7099">
        <w:t>DMIS.</w:t>
      </w:r>
    </w:p>
    <w:p w:rsidR="00DE7099" w:rsidRPr="00DE7099" w:rsidRDefault="00DE7099" w:rsidP="00F73915">
      <w:pPr>
        <w:pStyle w:val="AERbulletlistfirststyle"/>
      </w:pPr>
      <w:r w:rsidRPr="00DE7099">
        <w:lastRenderedPageBreak/>
        <w:t>Balanced incentives</w:t>
      </w:r>
    </w:p>
    <w:p w:rsidR="00DE7099" w:rsidRPr="00DE7099" w:rsidRDefault="00DE7099" w:rsidP="00F73915">
      <w:pPr>
        <w:pStyle w:val="AERbulletlistsecondstyle"/>
      </w:pPr>
      <w:r w:rsidRPr="00DE7099">
        <w:t>the effect of a particular control mechanism (that is, price as distinct from revenue regulation) on a distributor's incentives to adopt or implement efficient non-network alternatives</w:t>
      </w:r>
    </w:p>
    <w:p w:rsidR="00DE7099" w:rsidRPr="00DE7099" w:rsidRDefault="00DE7099" w:rsidP="00F73915">
      <w:pPr>
        <w:pStyle w:val="AERbulletlistsecondstyle"/>
      </w:pPr>
      <w:r w:rsidRPr="00DE7099">
        <w:t xml:space="preserve">the effect of classification of services on a distributor's incentive to adopt or implement efficient embedded generator connections </w:t>
      </w:r>
    </w:p>
    <w:p w:rsidR="00DE7099" w:rsidRPr="00DE7099" w:rsidRDefault="00DE7099" w:rsidP="00F73915">
      <w:pPr>
        <w:pStyle w:val="AERbulletlistsecondstyle"/>
      </w:pPr>
      <w:r w:rsidRPr="00DE7099">
        <w:t>the extent the distributor is able to offer efficient pricing structures</w:t>
      </w:r>
    </w:p>
    <w:p w:rsidR="00DE7099" w:rsidRPr="00DE7099" w:rsidRDefault="00DE7099" w:rsidP="00F73915">
      <w:pPr>
        <w:pStyle w:val="AERbulletlistsecondstyle"/>
      </w:pPr>
      <w:r w:rsidRPr="00DE7099">
        <w:t xml:space="preserve">the possible interactions between </w:t>
      </w:r>
      <w:r w:rsidR="00E7301E">
        <w:t xml:space="preserve">the </w:t>
      </w:r>
      <w:r w:rsidRPr="00DE7099">
        <w:t>DMIS and other incentive schemes.</w:t>
      </w:r>
    </w:p>
    <w:p w:rsidR="00DE7099" w:rsidRPr="00DE7099" w:rsidRDefault="00DE7099" w:rsidP="00F73915">
      <w:pPr>
        <w:pStyle w:val="Heading3"/>
      </w:pPr>
      <w:bookmarkStart w:id="94" w:name="_Toc373500016"/>
      <w:bookmarkStart w:id="95" w:name="_Toc373774001"/>
      <w:r w:rsidRPr="00DE7099">
        <w:t xml:space="preserve">Reasons for AER's preliminary </w:t>
      </w:r>
      <w:bookmarkEnd w:id="94"/>
      <w:r w:rsidR="00F53FCD">
        <w:t>position</w:t>
      </w:r>
      <w:bookmarkEnd w:id="95"/>
    </w:p>
    <w:p w:rsidR="00DE7099" w:rsidRPr="00DE7099" w:rsidRDefault="00DE7099" w:rsidP="00DE7099">
      <w:r w:rsidRPr="00DE7099">
        <w:t xml:space="preserve">This section outlines the reasons for our preliminary position to apply the DMIS to SA Power Networks in the next regulatory control period. </w:t>
      </w:r>
    </w:p>
    <w:p w:rsidR="00DE7099" w:rsidRPr="00DE7099" w:rsidRDefault="00DE7099" w:rsidP="00F73915">
      <w:pPr>
        <w:pStyle w:val="HeadingBoldBlue"/>
      </w:pPr>
      <w:r w:rsidRPr="00DE7099">
        <w:t>Benefits to consumers</w:t>
      </w:r>
    </w:p>
    <w:p w:rsidR="00DE7099" w:rsidRPr="00DE7099" w:rsidRDefault="00DE7099" w:rsidP="00DE7099">
      <w:r w:rsidRPr="00DE7099">
        <w:t>Customers ultimately fund the DMIA adjustment to a distributor's annual revenue each year. As such, we are mindful of the potential impact of the DMIS on consumers. Under the rules, we must consider customers' willingness to pay for any higher costs resulting from the scheme so benefits to consumers are sufficient to warrant any penalty or reward.</w:t>
      </w:r>
      <w:r w:rsidRPr="00F73915">
        <w:rPr>
          <w:rStyle w:val="AERsuperscript"/>
        </w:rPr>
        <w:footnoteReference w:id="156"/>
      </w:r>
      <w:r w:rsidRPr="00DE7099">
        <w:t xml:space="preserve"> </w:t>
      </w:r>
    </w:p>
    <w:p w:rsidR="00DE7099" w:rsidRPr="00DE7099" w:rsidRDefault="00DE7099" w:rsidP="00DE7099">
      <w:r w:rsidRPr="00DE7099">
        <w:t>We assess projects for which distributor's apply for DMIA funding under a specific set of criteria.</w:t>
      </w:r>
      <w:r w:rsidRPr="00F57168">
        <w:rPr>
          <w:rStyle w:val="AERsuperscript"/>
        </w:rPr>
        <w:footnoteReference w:id="157"/>
      </w:r>
      <w:r w:rsidRPr="00DE7099">
        <w:t xml:space="preserve"> The DMIA aims to enhance distributors' knowledge and experience with non-network alternatives, therefore improving the consideration of demand management in future decision making. This means the benefits of any higher consumer prices directly caused by the scheme may not be revealed until later periods. Benefits include more efficient utilisation of existing network infrastructure and the deferral of costly network augmentation expenditure. </w:t>
      </w:r>
    </w:p>
    <w:p w:rsidR="00DE7099" w:rsidRPr="00DE7099" w:rsidRDefault="00DE7099" w:rsidP="00DE7099">
      <w:r w:rsidRPr="00DE7099">
        <w:t>We expect the potential long-term efficiency gains resulting from improved distributor capability to undertake demand management initiatives to outweigh short-term price increases. Price impacts will be minimal as adjustments to annual revenue under the DMIA are capped at modest levels and apply only a 'use it or lose it' basis.</w:t>
      </w:r>
    </w:p>
    <w:p w:rsidR="00DE7099" w:rsidRPr="00DE7099" w:rsidRDefault="00DE7099" w:rsidP="00DE7099">
      <w:r w:rsidRPr="00DE7099">
        <w:t>While studies</w:t>
      </w:r>
      <w:r w:rsidRPr="00F73915">
        <w:rPr>
          <w:rStyle w:val="AERsuperscript"/>
        </w:rPr>
        <w:footnoteReference w:id="158"/>
      </w:r>
      <w:r w:rsidRPr="00DE7099">
        <w:t xml:space="preserve"> to date indicate that customers are supportive of demand management initiatives in principle, we know little about their willingness to pay. We consider our proposed application of the DMIS to be suitable in light of this limited information, given that the modest level of the DMIA means potential price increases will be minimal. </w:t>
      </w:r>
    </w:p>
    <w:p w:rsidR="00DE7099" w:rsidRPr="00DE7099" w:rsidRDefault="00DE7099" w:rsidP="00F73915">
      <w:pPr>
        <w:pStyle w:val="HeadingBoldBlue"/>
      </w:pPr>
      <w:r w:rsidRPr="00DE7099">
        <w:t>Balanced incentives</w:t>
      </w:r>
    </w:p>
    <w:p w:rsidR="00DE7099" w:rsidRPr="00DE7099" w:rsidRDefault="00DE7099" w:rsidP="00DE7099">
      <w:r w:rsidRPr="00DE7099">
        <w:t xml:space="preserve">We administer our incentive schemes within a regulatory control period to align distributor incentives with the </w:t>
      </w:r>
      <w:r w:rsidR="00596CF4">
        <w:t>NEO</w:t>
      </w:r>
      <w:r w:rsidRPr="00DE7099">
        <w:t>. In implementing the DMIS, we need to be aware of how the scheme interacts within a distributor's overall incentive environment.</w:t>
      </w:r>
    </w:p>
    <w:p w:rsidR="00DE7099" w:rsidRPr="00DE7099" w:rsidRDefault="00DE7099" w:rsidP="00F73915">
      <w:pPr>
        <w:pStyle w:val="Caption"/>
      </w:pPr>
      <w:r w:rsidRPr="00DE7099">
        <w:lastRenderedPageBreak/>
        <w:t>Control mechanism and service classification</w:t>
      </w:r>
    </w:p>
    <w:p w:rsidR="00DE7099" w:rsidRPr="00DE7099" w:rsidRDefault="00DE7099" w:rsidP="00DE7099">
      <w:r w:rsidRPr="00DE7099">
        <w:t>The rules require we have regard for how a distributor's control mechanism influences its incentives to adopt or implement efficient non-network alternatives to network augmentation.</w:t>
      </w:r>
      <w:r w:rsidRPr="00F73915">
        <w:rPr>
          <w:rStyle w:val="AERsuperscript"/>
        </w:rPr>
        <w:footnoteReference w:id="159"/>
      </w:r>
      <w:r w:rsidRPr="00DE7099">
        <w:t xml:space="preserve"> We consider that a revenue cap form of control does not provide a disincentive for SA Power Networks to reduce the quantity of electricity as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scenario. </w:t>
      </w:r>
    </w:p>
    <w:p w:rsidR="00DE7099" w:rsidRPr="00DE7099" w:rsidRDefault="00DE7099" w:rsidP="00DE7099">
      <w:r w:rsidRPr="00DE7099">
        <w:t>We are also required to consider the effect of service classification on a distributor's incentive to adopt or implement efficient embedded generator connections.</w:t>
      </w:r>
      <w:r w:rsidRPr="00F73915">
        <w:rPr>
          <w:rStyle w:val="AERsuperscript"/>
        </w:rPr>
        <w:footnoteReference w:id="160"/>
      </w:r>
      <w:r w:rsidRPr="00DE7099">
        <w:t xml:space="preserve"> We consider our proposed application of the DMIS meets this requirement as SA Power Networks will be under a revenue cap in the next regulatory control period. </w:t>
      </w:r>
    </w:p>
    <w:p w:rsidR="00DE7099" w:rsidRPr="00DE7099" w:rsidRDefault="00DE7099" w:rsidP="00F73915">
      <w:pPr>
        <w:pStyle w:val="Caption"/>
      </w:pPr>
      <w:r w:rsidRPr="00DE7099">
        <w:t>Distributor's ability to offer efficient pricing structures</w:t>
      </w:r>
    </w:p>
    <w:p w:rsidR="00DE7099" w:rsidRPr="00DE7099" w:rsidRDefault="00DE7099" w:rsidP="00DE7099">
      <w:r w:rsidRPr="00DE7099">
        <w:t>The rules also require we consider the extent to which the distributor is able to offer efficient pricing structures in our design and implementation of a DMIS.</w:t>
      </w:r>
      <w:r w:rsidRPr="00F73915">
        <w:rPr>
          <w:rStyle w:val="AERsuperscript"/>
        </w:rPr>
        <w:footnoteReference w:id="161"/>
      </w:r>
      <w:r w:rsidRPr="00DE7099">
        <w:t xml:space="preserve"> Efficient pricing structures reflect the true costs of supplying electricity at a particular part of the network at any given time. These tariff structures would price electricity highest during peak demand periods, reflecting the high costs of transporting energy when a network utilisation is at its highest. This price signal would discourage grid electricity usage at these times, lowering peak demand and adjusting network utilisation downwards.</w:t>
      </w:r>
    </w:p>
    <w:p w:rsidR="00DE7099" w:rsidRPr="00DE7099" w:rsidRDefault="00DE7099" w:rsidP="00DE7099">
      <w:r w:rsidRPr="00DE7099">
        <w:t xml:space="preserve">At present, SA Power Networks' ability to use efficient price signals is constrained by the low penetration of the required metering and other enabling technologies. We consider that efficient pricing, enabled by 'smarter' grid technologies will have a significant impact on distribution network utilisation in the future. We consider the DMIA incentivises distributors to trial measures that will assist the transition of networks to more efficient pricing.   </w:t>
      </w:r>
    </w:p>
    <w:p w:rsidR="00DE7099" w:rsidRPr="00DE7099" w:rsidRDefault="00DE7099" w:rsidP="00F73915">
      <w:pPr>
        <w:pStyle w:val="Caption"/>
      </w:pPr>
      <w:r w:rsidRPr="00DE7099">
        <w:t>Interaction with our other incentive schemes</w:t>
      </w:r>
    </w:p>
    <w:p w:rsidR="00DE7099" w:rsidRPr="00DE7099" w:rsidRDefault="00DE7099" w:rsidP="00DE7099">
      <w:r w:rsidRPr="00DE7099">
        <w:t>The DMIA intends to encourage businesses to investigate and implement innovative demand management strategies, regardless of their potential efficiency. In developing and implementing the DMIS in SA, we must consider how it could potentially interact with our other incentive schemes.</w:t>
      </w:r>
      <w:r w:rsidRPr="00F73915">
        <w:rPr>
          <w:rStyle w:val="AERsuperscript"/>
        </w:rPr>
        <w:footnoteReference w:id="162"/>
      </w:r>
      <w:r w:rsidRPr="00DE7099">
        <w:t xml:space="preserve"> Neither our expenditure incentive schemes (EBSS and CESS) nor STPIS intend to discourage a distributor from using its DMIA allowance.</w:t>
      </w:r>
    </w:p>
    <w:p w:rsidR="00DE7099" w:rsidRPr="00DE7099" w:rsidRDefault="00DE7099" w:rsidP="00FD6558">
      <w:r w:rsidRPr="00DE7099">
        <w:t>The DMIA allowance is independent of the revenue adjustments that will take place under our other incentive schemes. Any potential substitution between opex and capex resulting from projects approved under the DMIA will be incentive-neutral as our proposed EBSS and CESS provide balanced incentives for opex and capex savings.</w:t>
      </w:r>
    </w:p>
    <w:p w:rsidR="00350180" w:rsidRPr="00596CF4" w:rsidRDefault="00350180" w:rsidP="00596CF4">
      <w:pPr>
        <w:pStyle w:val="Heading1"/>
      </w:pPr>
      <w:bookmarkStart w:id="96" w:name="_Toc373774002"/>
      <w:r w:rsidRPr="00596CF4">
        <w:lastRenderedPageBreak/>
        <w:t>Expenditure forecasting methodology</w:t>
      </w:r>
      <w:bookmarkEnd w:id="96"/>
    </w:p>
    <w:p w:rsidR="00630170" w:rsidRPr="00630170" w:rsidRDefault="00630170" w:rsidP="00630170">
      <w:pPr>
        <w:numPr>
          <w:ilvl w:val="0"/>
          <w:numId w:val="6"/>
        </w:numPr>
      </w:pPr>
      <w:r w:rsidRPr="00630170">
        <w:t>This section sets out our intention to apply our expenditure forecast assessment guideline (guideline)</w:t>
      </w:r>
      <w:r w:rsidRPr="00630170">
        <w:rPr>
          <w:rStyle w:val="AERsuperscript"/>
        </w:rPr>
        <w:footnoteReference w:id="163"/>
      </w:r>
      <w:r w:rsidRPr="00630170">
        <w:t xml:space="preserve"> including the information requirements to SA Power Networks for the 2015–20</w:t>
      </w:r>
      <w:r w:rsidR="00A01EB6">
        <w:t>20</w:t>
      </w:r>
      <w:r w:rsidRPr="00630170">
        <w:t xml:space="preserve"> regulatory control period. We propose applying the guideline as it sets out our enhanced expenditure assessment approach. It outlines to the distributors and interested stakeholders the types of assessments we will do to determine efficient expenditure allowances, and the information we require from the businesses to do so. </w:t>
      </w:r>
    </w:p>
    <w:p w:rsidR="00630170" w:rsidRPr="00630170" w:rsidRDefault="00630170" w:rsidP="00630170">
      <w:r w:rsidRPr="00630170">
        <w:t>We were required to develop the guideline under the rules.</w:t>
      </w:r>
      <w:r w:rsidRPr="00630170">
        <w:rPr>
          <w:rStyle w:val="AERsuperscript"/>
        </w:rPr>
        <w:footnoteReference w:id="164"/>
      </w:r>
      <w:r w:rsidRPr="00630170">
        <w:t xml:space="preserve"> The guideline is based on a nationally consistent reporting framework allowing us to compare the relative efficiencies of distributors and decide on efficient expenditure allowances. The rules required SA Power Networks to advise us by 30 November 2013 of the methodology they propose to use to prepare forecasts.</w:t>
      </w:r>
      <w:r w:rsidRPr="00630170">
        <w:rPr>
          <w:rStyle w:val="AERsuperscript"/>
        </w:rPr>
        <w:footnoteReference w:id="165"/>
      </w:r>
      <w:r w:rsidRPr="00630170">
        <w:t xml:space="preserve"> In the F&amp;A we must advise whether we will deviate from the guideline.</w:t>
      </w:r>
      <w:r w:rsidRPr="00630170">
        <w:rPr>
          <w:rStyle w:val="AERsuperscript"/>
        </w:rPr>
        <w:footnoteReference w:id="166"/>
      </w:r>
      <w:r w:rsidRPr="00630170">
        <w:t xml:space="preserve"> This will provide clarity to the distributors on how we will apply the guideline and the information they should include in their regulatory proposals. </w:t>
      </w:r>
    </w:p>
    <w:p w:rsidR="00630170" w:rsidRPr="00630170" w:rsidRDefault="00630170" w:rsidP="00630170">
      <w:r w:rsidRPr="00630170">
        <w:t>The guideline contains a suite of assessment/analytical tools and techniques to assist our review of regulatory proposals by network service providers. We intend to apply all the assessment tools set out in the guideline. The tool kit consists of:</w:t>
      </w:r>
    </w:p>
    <w:p w:rsidR="00630170" w:rsidRPr="00630170" w:rsidRDefault="00630170" w:rsidP="00630170">
      <w:pPr>
        <w:pStyle w:val="AERbulletlistfirststyle"/>
      </w:pPr>
      <w:r w:rsidRPr="00630170">
        <w:t>models for assessing proposed replacement and augmentation capex</w:t>
      </w:r>
    </w:p>
    <w:p w:rsidR="00630170" w:rsidRPr="00630170" w:rsidRDefault="00630170" w:rsidP="00630170">
      <w:pPr>
        <w:pStyle w:val="AERbulletlistfirststyle"/>
      </w:pPr>
      <w:r w:rsidRPr="00630170">
        <w:t>benchmarking (including broad economic techniques and more specific analysis of expenditure categories)</w:t>
      </w:r>
    </w:p>
    <w:p w:rsidR="00630170" w:rsidRPr="00630170" w:rsidRDefault="00630170" w:rsidP="00630170">
      <w:pPr>
        <w:pStyle w:val="AERbulletlistfirststyle"/>
      </w:pPr>
      <w:r w:rsidRPr="00630170">
        <w:t>methodology, governance and policy reviews</w:t>
      </w:r>
    </w:p>
    <w:p w:rsidR="00630170" w:rsidRPr="00630170" w:rsidRDefault="00630170" w:rsidP="00630170">
      <w:pPr>
        <w:pStyle w:val="AERbulletlistfirststyle"/>
      </w:pPr>
      <w:r w:rsidRPr="00630170">
        <w:t>predictive modelling and trend analysis</w:t>
      </w:r>
    </w:p>
    <w:p w:rsidR="00630170" w:rsidRPr="00630170" w:rsidRDefault="00630170" w:rsidP="00630170">
      <w:pPr>
        <w:pStyle w:val="AERbulletlistfirststyle"/>
      </w:pPr>
      <w:r w:rsidRPr="00630170">
        <w:t>cost benefit analysis and detailed project reviews.</w:t>
      </w:r>
      <w:r w:rsidRPr="00630170">
        <w:rPr>
          <w:rStyle w:val="AERsuperscript"/>
        </w:rPr>
        <w:footnoteReference w:id="167"/>
      </w:r>
    </w:p>
    <w:p w:rsidR="00630170" w:rsidRPr="00630170" w:rsidRDefault="00630170" w:rsidP="00630170">
      <w:r w:rsidRPr="00630170">
        <w:t>We developed the guideline to apply broadly to all electricity transmission and distribution businesses. However, some customisation of the data requirements contained in the 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or indeed the guideline itself does not explicitly require these distributors to submit or justify inputs to such models. We expect that these data customisation issues would be addressed through the Regulatory Information N</w:t>
      </w:r>
      <w:r w:rsidR="00E7301E">
        <w:t xml:space="preserve">otice that we will issue to </w:t>
      </w:r>
      <w:r w:rsidRPr="00630170">
        <w:t xml:space="preserve">SA Power Networks for the next regulatory control period. This should occur after we have finalised our decisions on classification and form of control. </w:t>
      </w:r>
    </w:p>
    <w:p w:rsidR="00AC0017" w:rsidRDefault="00AC0017" w:rsidP="00350180">
      <w:pPr>
        <w:pStyle w:val="Heading1"/>
      </w:pPr>
      <w:bookmarkStart w:id="97" w:name="_Toc373774003"/>
      <w:r>
        <w:lastRenderedPageBreak/>
        <w:t>Depreciation</w:t>
      </w:r>
      <w:bookmarkEnd w:id="97"/>
    </w:p>
    <w:p w:rsidR="00AE3A42" w:rsidRPr="00AE3A42" w:rsidRDefault="00AE3A42" w:rsidP="00AE3A42">
      <w:pPr>
        <w:pStyle w:val="AERbodytext"/>
      </w:pPr>
      <w:r w:rsidRPr="00AE3A42">
        <w:t>As part of the roll forward methodology, when the RAB is updated from forecast capex to actual capex at the end of a regulatory control period, it is also adjusted for depreciation. This attachment sets out our preliminary approach to calculating depreciation when the RAB is rolled forward to the commencement of the 2020–</w:t>
      </w:r>
      <w:r w:rsidR="00A01EB6">
        <w:t>20</w:t>
      </w:r>
      <w:r w:rsidRPr="00AE3A42">
        <w:t xml:space="preserve">25 regulatory control period. </w:t>
      </w:r>
    </w:p>
    <w:p w:rsidR="00AE3A42" w:rsidRPr="00AE3A42" w:rsidRDefault="00AE3A42" w:rsidP="00AE3A42">
      <w:pPr>
        <w:pStyle w:val="AERbodytext"/>
      </w:pPr>
      <w:r w:rsidRPr="00AE3A42">
        <w:t>The depreciation we use to roll forward the RAB can be based on either:</w:t>
      </w:r>
    </w:p>
    <w:p w:rsidR="00AE3A42" w:rsidRPr="00AE3A42" w:rsidRDefault="00A01EB6" w:rsidP="00AE3A42">
      <w:pPr>
        <w:pStyle w:val="AERbulletlistfirststyle"/>
      </w:pPr>
      <w:r>
        <w:t>a</w:t>
      </w:r>
      <w:r w:rsidR="00AE3A42" w:rsidRPr="00AE3A42">
        <w:t>ctual capex incurred during the regulatory control period (actual depreciation). We roll forward the RAB based on actual capex less the depreciation on the actual capex incurred by the distributor; or</w:t>
      </w:r>
    </w:p>
    <w:p w:rsidR="00AE3A42" w:rsidRPr="00AE3A42" w:rsidRDefault="00A01EB6" w:rsidP="00AE3A42">
      <w:pPr>
        <w:pStyle w:val="AERbulletlistfirststyle"/>
      </w:pPr>
      <w:r>
        <w:t>t</w:t>
      </w:r>
      <w:r w:rsidR="00AE3A42" w:rsidRPr="00AE3A42">
        <w:t>he capex allowance forecast at the start of the regulatory control period (forecast depreciation). We roll forward the RAB based on actual capex less the depreciation on the forecast capex approved for the regulatory control period.</w:t>
      </w:r>
    </w:p>
    <w:p w:rsidR="00AE3A42" w:rsidRPr="00AE3A42" w:rsidRDefault="00AE3A42" w:rsidP="00AE3A42">
      <w:pPr>
        <w:pStyle w:val="AERbodytext"/>
      </w:pPr>
      <w:r w:rsidRPr="00AE3A42">
        <w:t xml:space="preserve">The choice of depreciation approach is one part of the overall capex incentive framework. </w:t>
      </w:r>
    </w:p>
    <w:p w:rsidR="00AE3A42" w:rsidRPr="00AE3A42" w:rsidRDefault="00AE3A42" w:rsidP="00AE3A42">
      <w:pPr>
        <w:pStyle w:val="AERbodytext"/>
      </w:pPr>
      <w:r w:rsidRPr="00AE3A42">
        <w:t>Consumers benefit 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  In summary:</w:t>
      </w:r>
    </w:p>
    <w:p w:rsidR="00AE3A42" w:rsidRPr="00AE3A42" w:rsidRDefault="00AE3A42" w:rsidP="00AE3A42">
      <w:pPr>
        <w:pStyle w:val="AERbulletlistfirststyle"/>
      </w:pPr>
      <w:r w:rsidRPr="00AE3A42">
        <w:t>If there is a capex overspend, actual depreciation will be higher than forecast depreciation. This means that the RAB will increase by a lesser amount than if forecast depreciation were used. So, the distributor will earn less revenue into the future (i.e. it will bear more of the cost of the overspend into the future) than if forecast depreciation had been used to roll forward the RAB.</w:t>
      </w:r>
    </w:p>
    <w:p w:rsidR="00AE3A42" w:rsidRPr="00AE3A42" w:rsidRDefault="00AE3A42" w:rsidP="00AE3A42">
      <w:pPr>
        <w:pStyle w:val="AERbulletlistfirststyle"/>
      </w:pPr>
      <w:r w:rsidRPr="00AE3A42">
        <w:t>If there is a capex underspend, actual depreciation will be lower than forecast depreciation. This means that the RAB will increase by a greater amount than if forecast depreciation were used. Hence, the distributor will earn greater revenue into the future (i.e. it will retain more of the benefit of an underspend into the future) than if forecast depreciation had been used to roll forward the RAB.</w:t>
      </w:r>
    </w:p>
    <w:p w:rsidR="00AE3A42" w:rsidRPr="00AE3A42" w:rsidRDefault="00AE3A42" w:rsidP="00AE3A42">
      <w:pPr>
        <w:pStyle w:val="AERbodytext"/>
      </w:pPr>
      <w:r w:rsidRPr="00AE3A42">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AE3A42" w:rsidRPr="00AE3A42" w:rsidRDefault="00AE3A42" w:rsidP="00AE3A42">
      <w:pPr>
        <w:pStyle w:val="Heading2"/>
      </w:pPr>
      <w:bookmarkStart w:id="98" w:name="_Toc373500019"/>
      <w:bookmarkStart w:id="99" w:name="_Toc373774004"/>
      <w:r w:rsidRPr="00AE3A42">
        <w:t xml:space="preserve">AER's preliminary </w:t>
      </w:r>
      <w:bookmarkEnd w:id="98"/>
      <w:r w:rsidR="00D416AA">
        <w:t>position</w:t>
      </w:r>
      <w:bookmarkEnd w:id="99"/>
    </w:p>
    <w:p w:rsidR="00AE3A42" w:rsidRPr="00AE3A42" w:rsidRDefault="00AE3A42" w:rsidP="00AE3A42">
      <w:pPr>
        <w:pStyle w:val="AERbodytext"/>
      </w:pPr>
      <w:r w:rsidRPr="00AE3A42">
        <w:t>Our preliminary approach is to use the forecast depreciation approach to establish the RAB at the commencement of the 2020–</w:t>
      </w:r>
      <w:r w:rsidR="00A01EB6">
        <w:t>20</w:t>
      </w:r>
      <w:r w:rsidRPr="00AE3A42">
        <w:t>25 regulatory control period for SA Power Networks. We consider this approach will provide sufficient incentives for the distributors to achieve capex efficiency gains over the 2015–</w:t>
      </w:r>
      <w:r w:rsidR="00A01EB6">
        <w:t>20</w:t>
      </w:r>
      <w:r w:rsidRPr="00AE3A42">
        <w:t xml:space="preserve">20 regulatory control period. </w:t>
      </w:r>
    </w:p>
    <w:p w:rsidR="00AE3A42" w:rsidRPr="00AE3A42" w:rsidRDefault="00AE3A42" w:rsidP="00AE3A42">
      <w:pPr>
        <w:pStyle w:val="Heading2"/>
      </w:pPr>
      <w:bookmarkStart w:id="100" w:name="_Toc373500020"/>
      <w:bookmarkStart w:id="101" w:name="_Toc373774005"/>
      <w:r w:rsidRPr="00AE3A42">
        <w:t>AER's assessment approach</w:t>
      </w:r>
      <w:bookmarkEnd w:id="100"/>
      <w:bookmarkEnd w:id="101"/>
    </w:p>
    <w:p w:rsidR="00AE3A42" w:rsidRPr="00AE3A42" w:rsidRDefault="00AE3A42" w:rsidP="00AE3A42">
      <w:pPr>
        <w:pStyle w:val="AERbodytext"/>
      </w:pPr>
      <w:r w:rsidRPr="00AE3A42">
        <w:t xml:space="preserve">We must decide at our determination whether we will use actual or forecast depreciation to establish a distributor's RAB at the commencement of the following regulatory control period. </w:t>
      </w:r>
    </w:p>
    <w:p w:rsidR="00AE3A42" w:rsidRPr="00AE3A42" w:rsidRDefault="00AE3A42" w:rsidP="00AE3A42">
      <w:pPr>
        <w:pStyle w:val="AERbodytext"/>
      </w:pPr>
      <w:r w:rsidRPr="00AE3A42">
        <w:lastRenderedPageBreak/>
        <w:t xml:space="preserve">We are required to set out in our capex incentives guideline our process for determining which form of depreciation we propose to use in the RAB roll forward process.  Our decision on whether to use actual or forecast depreciation must be consistent with the capex incentive objective. We must have regard to: </w:t>
      </w:r>
    </w:p>
    <w:p w:rsidR="00AE3A42" w:rsidRPr="00AE3A42" w:rsidRDefault="00AE3A42" w:rsidP="00AE3A42">
      <w:pPr>
        <w:pStyle w:val="AERbulletlistfirststyle"/>
      </w:pPr>
      <w:r w:rsidRPr="00AE3A42">
        <w:t>any other incentives the service provider has to undertake efficient capex</w:t>
      </w:r>
    </w:p>
    <w:p w:rsidR="00AE3A42" w:rsidRPr="00AE3A42" w:rsidRDefault="00AE3A42" w:rsidP="00AE3A42">
      <w:pPr>
        <w:pStyle w:val="AERbulletlistfirststyle"/>
      </w:pPr>
      <w:r w:rsidRPr="00AE3A42">
        <w:t>substitution possibilities between assets with different lives</w:t>
      </w:r>
    </w:p>
    <w:p w:rsidR="00AE3A42" w:rsidRPr="00AE3A42" w:rsidRDefault="00AE3A42" w:rsidP="00AE3A42">
      <w:pPr>
        <w:pStyle w:val="AERbulletlistfirststyle"/>
      </w:pPr>
      <w:r w:rsidRPr="00AE3A42">
        <w:t>the extent of overspending and inefficient overspending relative to the allowed forecast</w:t>
      </w:r>
    </w:p>
    <w:p w:rsidR="00AE3A42" w:rsidRPr="00AE3A42" w:rsidRDefault="00AE3A42" w:rsidP="00AE3A42">
      <w:pPr>
        <w:pStyle w:val="AERbulletlistfirststyle"/>
      </w:pPr>
      <w:r w:rsidRPr="00AE3A42">
        <w:t>the capex incentive guidelines</w:t>
      </w:r>
    </w:p>
    <w:p w:rsidR="00AE3A42" w:rsidRPr="00AE3A42" w:rsidRDefault="00AE3A42" w:rsidP="00AE3A42">
      <w:pPr>
        <w:pStyle w:val="AERbulletlistfirststyle"/>
      </w:pPr>
      <w:r w:rsidRPr="00AE3A42">
        <w:t>the capital expenditure factors.</w:t>
      </w:r>
    </w:p>
    <w:p w:rsidR="00AE3A42" w:rsidRPr="00AE3A42" w:rsidRDefault="00AE3A42" w:rsidP="00AE3A42">
      <w:pPr>
        <w:pStyle w:val="Heading2"/>
      </w:pPr>
      <w:bookmarkStart w:id="102" w:name="_Toc373500021"/>
      <w:bookmarkStart w:id="103" w:name="_Toc373774006"/>
      <w:r w:rsidRPr="00AE3A42">
        <w:t xml:space="preserve">Reasons for AER's preliminary </w:t>
      </w:r>
      <w:bookmarkEnd w:id="102"/>
      <w:r w:rsidR="00596CF4">
        <w:t>position</w:t>
      </w:r>
      <w:bookmarkEnd w:id="103"/>
    </w:p>
    <w:p w:rsidR="00AE3A42" w:rsidRPr="00AE3A42" w:rsidRDefault="00AE3A42" w:rsidP="00AE3A42">
      <w:pPr>
        <w:pStyle w:val="AERbodytext"/>
      </w:pPr>
      <w:r w:rsidRPr="00AE3A42">
        <w:t>Consistent with our capex incentives guideline, we propose to use the forecast depreciation approach to establish the RAB at the commencement of the 2020–25 regulatory control period.</w:t>
      </w:r>
    </w:p>
    <w:p w:rsidR="00AE3A42" w:rsidRPr="00AE3A42" w:rsidRDefault="00AE3A42" w:rsidP="00AE3A42">
      <w:pPr>
        <w:pStyle w:val="AERbodytext"/>
      </w:pPr>
      <w:r w:rsidRPr="00AE3A42">
        <w:t xml:space="preserve">We had regard to the relevant factors in the rules in developing the approach to choosing depreciation set out in our capex incentives guideline.  </w:t>
      </w:r>
    </w:p>
    <w:p w:rsidR="00AE3A42" w:rsidRPr="00AE3A42" w:rsidRDefault="00AE3A42" w:rsidP="00AE3A42">
      <w:pPr>
        <w:pStyle w:val="AERbodytext"/>
      </w:pPr>
      <w:r w:rsidRPr="00AE3A42">
        <w:t xml:space="preserve">Our approach is to apply forecast depreciation except where: </w:t>
      </w:r>
    </w:p>
    <w:p w:rsidR="00AE3A42" w:rsidRPr="00AE3A42" w:rsidRDefault="00AE3A42" w:rsidP="00AE3A42">
      <w:pPr>
        <w:pStyle w:val="AERbulletlistfirststyle"/>
      </w:pPr>
      <w:r w:rsidRPr="00AE3A42">
        <w:t>there is no CESS in place and therefore the power of the capex incentive may need to be strengthened, or</w:t>
      </w:r>
    </w:p>
    <w:p w:rsidR="00AE3A42" w:rsidRPr="00AE3A42" w:rsidRDefault="00AE3A42" w:rsidP="00AE3A42">
      <w:pPr>
        <w:pStyle w:val="AERbulletlistfirststyle"/>
      </w:pPr>
      <w:r w:rsidRPr="00AE3A42">
        <w:t>a distributor's past capex performance demonstrates evidence of persistent overspending or inefficiency, thus requiring a higher powered incentive.</w:t>
      </w:r>
    </w:p>
    <w:p w:rsidR="00AE3A42" w:rsidRPr="00AE3A42" w:rsidRDefault="00AE3A42" w:rsidP="00AE3A42">
      <w:pPr>
        <w:pStyle w:val="AERbodytext"/>
      </w:pPr>
      <w:r w:rsidRPr="00AE3A42">
        <w:t>In making our decision on whether to use actual depreciation in either of these circumstances we will consider:</w:t>
      </w:r>
    </w:p>
    <w:p w:rsidR="00AE3A42" w:rsidRPr="00AE3A42" w:rsidRDefault="00AE3A42" w:rsidP="00AE3A42">
      <w:pPr>
        <w:pStyle w:val="AERbulletlistfirststyle"/>
      </w:pPr>
      <w:r w:rsidRPr="00AE3A42">
        <w:t>the substitutability between capex and opex and the balance of incentives between these</w:t>
      </w:r>
    </w:p>
    <w:p w:rsidR="00AE3A42" w:rsidRPr="00AE3A42" w:rsidRDefault="00AE3A42" w:rsidP="00AE3A42">
      <w:pPr>
        <w:pStyle w:val="AERbulletlistfirststyle"/>
      </w:pPr>
      <w:r w:rsidRPr="00AE3A42">
        <w:t>the balance of incentives with service</w:t>
      </w:r>
    </w:p>
    <w:p w:rsidR="00AE3A42" w:rsidRPr="00AE3A42" w:rsidRDefault="00AE3A42" w:rsidP="00AE3A42">
      <w:pPr>
        <w:pStyle w:val="AERbulletlistfirststyle"/>
      </w:pPr>
      <w:r w:rsidRPr="00AE3A42">
        <w:t>the substitutability of assets of different asset lives.</w:t>
      </w:r>
    </w:p>
    <w:p w:rsidR="00AE3A42" w:rsidRPr="00AE3A42" w:rsidRDefault="00AE3A42" w:rsidP="00AE3A42">
      <w:pPr>
        <w:pStyle w:val="AERbodytext"/>
      </w:pPr>
      <w:r w:rsidRPr="00AE3A42">
        <w:t xml:space="preserve">We have chosen forecast depreciation as our default approach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distributor to achieve efficiency gains over the regulatory control period in most circumstances. </w:t>
      </w:r>
    </w:p>
    <w:p w:rsidR="00AE3A42" w:rsidRPr="00AE3A42" w:rsidRDefault="00AE3A42" w:rsidP="00AE3A42">
      <w:pPr>
        <w:pStyle w:val="AERbodytext"/>
      </w:pPr>
      <w:r w:rsidRPr="00AE3A42">
        <w:t xml:space="preserve">SA Power Networks is not currently subject to a CESS but we propose to apply the CESS in the next regulatory control period. </w:t>
      </w:r>
      <w:r w:rsidR="00F57168">
        <w:t>We discuss this further in</w:t>
      </w:r>
      <w:r w:rsidR="0097475C">
        <w:t xml:space="preserve"> section 3.3.</w:t>
      </w:r>
    </w:p>
    <w:p w:rsidR="00AE3A42" w:rsidRPr="00AE3A42" w:rsidRDefault="00AE3A42" w:rsidP="00AE3A42">
      <w:pPr>
        <w:pStyle w:val="AERbodytext"/>
      </w:pPr>
      <w:r w:rsidRPr="00AE3A42">
        <w:t>For SA Power Networks, at this stage, we consider the incentive provided by the application of the CESS in combination with the use of forecast depreciation and our other ex post capex measures should be sufficient to achieve the capex incentive objective.  Therefore, we do not see the need to apply actual depreciation at this time.</w:t>
      </w:r>
    </w:p>
    <w:p w:rsidR="00350180" w:rsidRDefault="00AC0017" w:rsidP="00350180">
      <w:pPr>
        <w:pStyle w:val="Heading1"/>
      </w:pPr>
      <w:bookmarkStart w:id="104" w:name="_Toc373774007"/>
      <w:r>
        <w:lastRenderedPageBreak/>
        <w:t>Other matters</w:t>
      </w:r>
      <w:bookmarkEnd w:id="104"/>
      <w:r>
        <w:t xml:space="preserve"> </w:t>
      </w:r>
    </w:p>
    <w:p w:rsidR="00BD541B" w:rsidRDefault="00BD541B" w:rsidP="00AC0017">
      <w:pPr>
        <w:pStyle w:val="Heading2"/>
      </w:pPr>
      <w:bookmarkStart w:id="105" w:name="_Toc373774008"/>
      <w:r>
        <w:t xml:space="preserve">Jurisdictional derogations </w:t>
      </w:r>
      <w:r w:rsidR="00556F59">
        <w:t xml:space="preserve">– </w:t>
      </w:r>
      <w:r w:rsidR="00491584">
        <w:t>s</w:t>
      </w:r>
      <w:r w:rsidR="00556F59">
        <w:t>ide constraint to fix</w:t>
      </w:r>
      <w:r w:rsidR="00491584">
        <w:t>ed</w:t>
      </w:r>
      <w:r w:rsidR="00556F59">
        <w:t xml:space="preserve"> supply charge for small customers</w:t>
      </w:r>
      <w:bookmarkEnd w:id="105"/>
    </w:p>
    <w:p w:rsidR="00D62AA6" w:rsidRPr="00556F59" w:rsidRDefault="00D62AA6" w:rsidP="00D62AA6">
      <w:pPr>
        <w:pStyle w:val="AERbodytext"/>
      </w:pPr>
      <w:r>
        <w:t xml:space="preserve">Under the provision of </w:t>
      </w:r>
      <w:r w:rsidR="00A36E64">
        <w:t>clause</w:t>
      </w:r>
      <w:r>
        <w:t xml:space="preserve"> 9.29.5 (d) of the rules, we applied the </w:t>
      </w:r>
      <w:r w:rsidRPr="00556F59">
        <w:t xml:space="preserve">following side constraint </w:t>
      </w:r>
      <w:r>
        <w:t xml:space="preserve">to distribution </w:t>
      </w:r>
      <w:r w:rsidRPr="00556F59">
        <w:t xml:space="preserve">tariffs for small customers for the </w:t>
      </w:r>
      <w:r>
        <w:t>2010–</w:t>
      </w:r>
      <w:r w:rsidR="00A01EB6">
        <w:t>20</w:t>
      </w:r>
      <w:r>
        <w:t xml:space="preserve">15 </w:t>
      </w:r>
      <w:r w:rsidRPr="00556F59">
        <w:t>regulatory control period</w:t>
      </w:r>
      <w:r>
        <w:t>:</w:t>
      </w:r>
    </w:p>
    <w:p w:rsidR="00D62AA6" w:rsidRPr="00556F59" w:rsidRDefault="00D62AA6" w:rsidP="00D62AA6">
      <w:pPr>
        <w:pStyle w:val="AERquote"/>
      </w:pPr>
      <w:r w:rsidRPr="00556F59">
        <w:t>The fixed supply charge component of the tari</w:t>
      </w:r>
      <w:r>
        <w:t>ff must not increase by more tha</w:t>
      </w:r>
      <w:r w:rsidRPr="00556F59">
        <w:t>n $10 from one regulatory year to the next.</w:t>
      </w:r>
    </w:p>
    <w:p w:rsidR="00D62AA6" w:rsidRPr="00D62AA6" w:rsidRDefault="00D62AA6" w:rsidP="00D62AA6">
      <w:pPr>
        <w:pStyle w:val="AERbodytext"/>
      </w:pPr>
      <w:r>
        <w:t xml:space="preserve">However, </w:t>
      </w:r>
      <w:r w:rsidR="00A36E64">
        <w:t>clause</w:t>
      </w:r>
      <w:r>
        <w:t xml:space="preserve"> 9.29.5 </w:t>
      </w:r>
      <w:r w:rsidRPr="00D62AA6">
        <w:t xml:space="preserve">(e) allows us to reconsider whether the above side constraint should continue with or without modification in preparing the framework and approach paper for the 2015–2020 distribution determination. </w:t>
      </w:r>
    </w:p>
    <w:p w:rsidR="00D62AA6" w:rsidRPr="00D62AA6" w:rsidRDefault="00D62AA6" w:rsidP="00D62AA6">
      <w:pPr>
        <w:pStyle w:val="AERbodytext"/>
      </w:pPr>
      <w:r>
        <w:t>The s</w:t>
      </w:r>
      <w:r w:rsidRPr="00D62AA6">
        <w:t>ide constraint to the fixed supply charge for small customers under the jurisdictional derogation is in addition to the 2% tariff basket side constraints under clause 6.18.6 of the rules.</w:t>
      </w:r>
      <w:r w:rsidRPr="00D62AA6">
        <w:rPr>
          <w:rStyle w:val="FootnoteReference"/>
        </w:rPr>
        <w:footnoteReference w:id="168"/>
      </w:r>
    </w:p>
    <w:p w:rsidR="00D62AA6" w:rsidRDefault="00D62AA6" w:rsidP="00D62AA6">
      <w:pPr>
        <w:pStyle w:val="Heading3"/>
      </w:pPr>
      <w:bookmarkStart w:id="106" w:name="_Toc373500024"/>
      <w:bookmarkStart w:id="107" w:name="_Toc373774009"/>
      <w:r>
        <w:t>AER's preliminary position</w:t>
      </w:r>
      <w:bookmarkEnd w:id="106"/>
      <w:bookmarkEnd w:id="107"/>
    </w:p>
    <w:p w:rsidR="00D62AA6" w:rsidRPr="00C24070" w:rsidRDefault="00D62AA6" w:rsidP="00D62AA6">
      <w:pPr>
        <w:pStyle w:val="AERbodytext"/>
      </w:pPr>
      <w:r>
        <w:t>We consider that a national approach to pricing structures should be adopted rather than a jurisdictional specific requirement that may inhibit adjustment towards more efficient pricing. Pricing is being considered more broadly by the AEMC through changes to the network pricing arrangements arising from the Power of Choice Review.</w:t>
      </w:r>
      <w:r w:rsidRPr="00D62AA6" w:rsidDel="009F03D5">
        <w:rPr>
          <w:rFonts w:eastAsia="Calibri"/>
        </w:rPr>
        <w:t xml:space="preserve"> </w:t>
      </w:r>
    </w:p>
    <w:p w:rsidR="00D62AA6" w:rsidRPr="00D62AA6" w:rsidRDefault="00D62AA6" w:rsidP="00D62AA6">
      <w:pPr>
        <w:pStyle w:val="Heading3"/>
      </w:pPr>
      <w:bookmarkStart w:id="108" w:name="_Toc373500025"/>
      <w:bookmarkStart w:id="109" w:name="_Toc373774010"/>
      <w:r w:rsidRPr="00D62AA6">
        <w:t>Reasons for AER's preliminary position</w:t>
      </w:r>
      <w:bookmarkEnd w:id="108"/>
      <w:bookmarkEnd w:id="109"/>
    </w:p>
    <w:p w:rsidR="00D62AA6" w:rsidRDefault="00D62AA6" w:rsidP="00D62AA6">
      <w:pPr>
        <w:pStyle w:val="AERbodytext"/>
      </w:pPr>
      <w:r>
        <w:t xml:space="preserve">The likely purpose of </w:t>
      </w:r>
      <w:r w:rsidRPr="00150CD5">
        <w:t xml:space="preserve">the restriction on increases to </w:t>
      </w:r>
      <w:r>
        <w:t xml:space="preserve">the </w:t>
      </w:r>
      <w:r w:rsidRPr="00150CD5">
        <w:t>small customer fixed supply charge component is to offer more protection to low</w:t>
      </w:r>
      <w:r>
        <w:t xml:space="preserve"> energy consumption customers. However, c</w:t>
      </w:r>
      <w:r w:rsidRPr="00150CD5">
        <w:t xml:space="preserve">onstraints such as this could potentially hinder </w:t>
      </w:r>
      <w:r>
        <w:t xml:space="preserve">the flexibility of </w:t>
      </w:r>
      <w:r w:rsidRPr="00150CD5">
        <w:t xml:space="preserve">network businesses </w:t>
      </w:r>
      <w:r>
        <w:t>in responding to new requirements to price efficiently and also conceivably recovering their required revenue. T</w:t>
      </w:r>
      <w:r w:rsidRPr="00150CD5">
        <w:t xml:space="preserve">here is no clear indication that this is likely to </w:t>
      </w:r>
      <w:r>
        <w:t xml:space="preserve">be </w:t>
      </w:r>
      <w:r w:rsidRPr="00150CD5">
        <w:t>the case for SA</w:t>
      </w:r>
      <w:r>
        <w:t xml:space="preserve"> </w:t>
      </w:r>
      <w:r w:rsidRPr="00150CD5">
        <w:t>P</w:t>
      </w:r>
      <w:r>
        <w:t xml:space="preserve">ower </w:t>
      </w:r>
      <w:r w:rsidRPr="00150CD5">
        <w:t>N</w:t>
      </w:r>
      <w:r>
        <w:t>etworks</w:t>
      </w:r>
      <w:r w:rsidRPr="00150CD5">
        <w:t xml:space="preserve"> as </w:t>
      </w:r>
      <w:r>
        <w:t>no issues have arisen in relation to this constraint in pricing proposals to date</w:t>
      </w:r>
      <w:r w:rsidRPr="00150CD5">
        <w:t xml:space="preserve">. </w:t>
      </w:r>
      <w:r>
        <w:t>I</w:t>
      </w:r>
      <w:r w:rsidRPr="00150CD5">
        <w:t xml:space="preserve">n the </w:t>
      </w:r>
      <w:r>
        <w:t>current regulatory control period</w:t>
      </w:r>
      <w:r w:rsidRPr="00150CD5">
        <w:t xml:space="preserve"> increases to the fixed supply charge component </w:t>
      </w:r>
      <w:r>
        <w:t>for small customers have risen but remain below the side constraint</w:t>
      </w:r>
      <w:r w:rsidRPr="00150CD5">
        <w:t xml:space="preserve">, starting from approximately $5 in 2010–11 to $9 in 2013–14. </w:t>
      </w:r>
    </w:p>
    <w:p w:rsidR="00D62AA6" w:rsidRDefault="00D62AA6" w:rsidP="00D62AA6">
      <w:r>
        <w:t>The composition of the network and its use is changing and is likely to undergo further changes over the next regulatory period. Customers are seeking ways to reduce their exposure to energy costs and this is evident in recent years with the significant uptake of solar photovoltaic generation in South Australia. The pricing of energy delivery also needs to adapt as the distribution network is still required to deliver energy to customers at peak periods that occur on infrequent occasions during the year.</w:t>
      </w:r>
    </w:p>
    <w:p w:rsidR="00D62AA6" w:rsidRDefault="00D62AA6" w:rsidP="00D62AA6">
      <w:r>
        <w:t xml:space="preserve">Cost reflective pricing is not a new concept but in considering appropriate structures for cost recovery, governments have expressed concerns with pricing impacts on disadvantaged customers. This has </w:t>
      </w:r>
      <w:r>
        <w:lastRenderedPageBreak/>
        <w:t xml:space="preserve">led to restrictions on pricing for equity reasons. </w:t>
      </w:r>
      <w:r w:rsidR="00A45E1D">
        <w:t>The Productivity Commission recently highlighted this intervention</w:t>
      </w:r>
      <w:r w:rsidR="00596CF4">
        <w:t>:</w:t>
      </w:r>
      <w:r>
        <w:rPr>
          <w:rStyle w:val="FootnoteReference"/>
        </w:rPr>
        <w:footnoteReference w:id="169"/>
      </w:r>
    </w:p>
    <w:p w:rsidR="00D62AA6" w:rsidRDefault="00D62AA6" w:rsidP="00D62AA6">
      <w:pPr>
        <w:pStyle w:val="AERquote"/>
      </w:pPr>
      <w:r>
        <w:t>And of direct relevance to time-based pricing are instances of jurisdictional governments intervening implicitly or explicitly to modify charging regimes for equity reasons, such as:</w:t>
      </w:r>
    </w:p>
    <w:p w:rsidR="00D62AA6" w:rsidRDefault="00D62AA6" w:rsidP="00D62AA6">
      <w:pPr>
        <w:pStyle w:val="AERquote"/>
      </w:pPr>
      <w:r>
        <w:t>South Australian legislation setting out derogations from the Rules for the 2010 distribution determination, and requiring that fixed supply charges not increase by more than $10 per year</w:t>
      </w:r>
    </w:p>
    <w:p w:rsidR="00D62AA6" w:rsidRPr="00886E7A" w:rsidRDefault="00D62AA6" w:rsidP="00D62AA6">
      <w:pPr>
        <w:pStyle w:val="AERquote"/>
      </w:pPr>
      <w:r>
        <w:t xml:space="preserve">Such instances are in conflict with the principle endorsed by all Australian governments that support for low-income or disadvantaged consumers should be provided through targeted and transparent instruments. </w:t>
      </w:r>
    </w:p>
    <w:p w:rsidR="00D62AA6" w:rsidRDefault="00D62AA6" w:rsidP="00D62AA6">
      <w:r>
        <w:t xml:space="preserve">Distribution pricing is currently being considered by the AEMC. On 14 November 2013, the AEMC released for consultation a </w:t>
      </w:r>
      <w:r w:rsidRPr="00592054">
        <w:t xml:space="preserve">SCER rule change proposal seeking amendments to </w:t>
      </w:r>
      <w:r>
        <w:t xml:space="preserve">the distribution </w:t>
      </w:r>
      <w:r w:rsidRPr="00592054">
        <w:t>pricing principles</w:t>
      </w:r>
      <w:r w:rsidR="000B6EF5" w:rsidRPr="00592054">
        <w:t>.</w:t>
      </w:r>
      <w:r>
        <w:rPr>
          <w:rStyle w:val="FootnoteReference"/>
        </w:rPr>
        <w:footnoteReference w:id="170"/>
      </w:r>
      <w:r w:rsidRPr="00592054">
        <w:t xml:space="preserve"> </w:t>
      </w:r>
      <w:r>
        <w:t>This rule change is the outcome of the AEMC's Power of Choice Review.</w:t>
      </w:r>
      <w:r>
        <w:rPr>
          <w:rStyle w:val="FootnoteReference"/>
        </w:rPr>
        <w:footnoteReference w:id="171"/>
      </w:r>
      <w:r>
        <w:t xml:space="preserve"> The AEMC concluded that efficient and flexible pricing options are important tools to help consumers to adapt their consumption patterns and hence manage expenditure. The AEMC recommended to SCER a package of rule changes to address identified deficiencies in the current distribution network pricing arrangements, these included amongst other things:</w:t>
      </w:r>
    </w:p>
    <w:p w:rsidR="00D62AA6" w:rsidRDefault="00596CF4" w:rsidP="00D62AA6">
      <w:pPr>
        <w:pStyle w:val="AERbulletlistfirststyle"/>
      </w:pPr>
      <w:r>
        <w:t>c</w:t>
      </w:r>
      <w:r w:rsidR="00D62AA6">
        <w:t>hanges to the distribution prici</w:t>
      </w:r>
      <w:r w:rsidR="00530CB0">
        <w:t>ng principles to facilitate distributor</w:t>
      </w:r>
      <w:r w:rsidR="00D62AA6">
        <w:t>s to set efficient and flexible network tariffs</w:t>
      </w:r>
    </w:p>
    <w:p w:rsidR="00D62AA6" w:rsidRDefault="00596CF4" w:rsidP="00D62AA6">
      <w:pPr>
        <w:pStyle w:val="AERbulletlistfirststyle"/>
      </w:pPr>
      <w:r>
        <w:t>p</w:t>
      </w:r>
      <w:r w:rsidR="00D62AA6">
        <w:t>ossible changes to the network pricing side constraints that prohibit price changes from one year to the next.</w:t>
      </w:r>
      <w:r w:rsidR="00D62AA6">
        <w:rPr>
          <w:rStyle w:val="FootnoteReference"/>
        </w:rPr>
        <w:footnoteReference w:id="172"/>
      </w:r>
    </w:p>
    <w:p w:rsidR="00D62AA6" w:rsidRPr="00592054" w:rsidRDefault="00D62AA6" w:rsidP="00D62AA6">
      <w:r w:rsidRPr="00592054">
        <w:t>T</w:t>
      </w:r>
      <w:r>
        <w:t>he proposed rules would</w:t>
      </w:r>
      <w:r w:rsidRPr="00592054">
        <w:t xml:space="preserve"> require </w:t>
      </w:r>
      <w:r>
        <w:t>distributor</w:t>
      </w:r>
      <w:r w:rsidRPr="00592054">
        <w:t>s to have a m</w:t>
      </w:r>
      <w:r>
        <w:t>ore efficient pricing structure, for example,</w:t>
      </w:r>
      <w:r w:rsidRPr="00592054">
        <w:t xml:space="preserve"> to better align t</w:t>
      </w:r>
      <w:r>
        <w:t>heir price structure with costs</w:t>
      </w:r>
      <w:r w:rsidRPr="00592054">
        <w:t>. T</w:t>
      </w:r>
      <w:r>
        <w:t>his may</w:t>
      </w:r>
      <w:r w:rsidRPr="00592054">
        <w:t xml:space="preserve"> mean that the fixed charge component of distribution tariffs may increase more than in the past to reflect the fact that network costs are largely fixed. </w:t>
      </w:r>
      <w:r>
        <w:t>This means the constraint on</w:t>
      </w:r>
      <w:r w:rsidRPr="00592054">
        <w:t xml:space="preserve"> </w:t>
      </w:r>
      <w:r>
        <w:t xml:space="preserve">the </w:t>
      </w:r>
      <w:r w:rsidRPr="00592054">
        <w:t>fix</w:t>
      </w:r>
      <w:r>
        <w:t>ed</w:t>
      </w:r>
      <w:r w:rsidRPr="00592054">
        <w:t xml:space="preserve"> supply charge for small customers may hinder SA</w:t>
      </w:r>
      <w:r>
        <w:t xml:space="preserve"> </w:t>
      </w:r>
      <w:r w:rsidRPr="00592054">
        <w:t>P</w:t>
      </w:r>
      <w:r>
        <w:t xml:space="preserve">ower </w:t>
      </w:r>
      <w:r w:rsidRPr="00592054">
        <w:t>N</w:t>
      </w:r>
      <w:r>
        <w:t>etwork</w:t>
      </w:r>
      <w:r w:rsidRPr="00592054">
        <w:t>s</w:t>
      </w:r>
      <w:r>
        <w:t>’</w:t>
      </w:r>
      <w:r w:rsidRPr="00592054">
        <w:t xml:space="preserve"> ability to rebalance its tariff structure</w:t>
      </w:r>
      <w:r>
        <w:t>s</w:t>
      </w:r>
      <w:r w:rsidRPr="00592054">
        <w:t xml:space="preserve"> </w:t>
      </w:r>
      <w:r>
        <w:t>to achieve a more efficient pricing outcome</w:t>
      </w:r>
      <w:r w:rsidRPr="00592054">
        <w:t xml:space="preserve">.  </w:t>
      </w:r>
    </w:p>
    <w:p w:rsidR="00D62AA6" w:rsidRPr="00592054" w:rsidRDefault="00D62AA6" w:rsidP="00D62AA6">
      <w:r w:rsidRPr="00592054">
        <w:t>Further and more broadly, some elemen</w:t>
      </w:r>
      <w:r>
        <w:t>ts of the SCER rule change may</w:t>
      </w:r>
      <w:r w:rsidRPr="00592054">
        <w:t xml:space="preserve"> negate</w:t>
      </w:r>
      <w:r>
        <w:t xml:space="preserve"> the need for quantitative </w:t>
      </w:r>
      <w:r w:rsidRPr="00592054">
        <w:t>constrai</w:t>
      </w:r>
      <w:r>
        <w:t>nts as a means of providing</w:t>
      </w:r>
      <w:r w:rsidRPr="00592054">
        <w:t xml:space="preserve"> stability </w:t>
      </w:r>
      <w:r>
        <w:t xml:space="preserve">and certainty </w:t>
      </w:r>
      <w:r w:rsidRPr="00592054">
        <w:t>in network tariffs. This includes such things as:</w:t>
      </w:r>
    </w:p>
    <w:p w:rsidR="00D62AA6" w:rsidRPr="00592054" w:rsidRDefault="00596CF4" w:rsidP="00D62AA6">
      <w:pPr>
        <w:pStyle w:val="AERbulletlistfirststyle"/>
      </w:pPr>
      <w:r>
        <w:t>r</w:t>
      </w:r>
      <w:r w:rsidR="00D62AA6" w:rsidRPr="00592054">
        <w:t xml:space="preserve">equiring </w:t>
      </w:r>
      <w:r w:rsidR="00D62AA6">
        <w:t>distributor</w:t>
      </w:r>
      <w:r w:rsidR="00D62AA6" w:rsidRPr="00592054">
        <w:t>s to prepare a tariff structures statement in consultation with consumers and to which they will be bound on an annual basis – therefore they will not be able to change tariff structures yea</w:t>
      </w:r>
      <w:r w:rsidR="00D62AA6">
        <w:t>r on year, without consultation and justifying the greater efficiency of the modifications</w:t>
      </w:r>
      <w:r w:rsidR="00D62AA6" w:rsidRPr="00592054">
        <w:t xml:space="preserve"> </w:t>
      </w:r>
    </w:p>
    <w:p w:rsidR="00D62AA6" w:rsidRDefault="00596CF4" w:rsidP="00D62AA6">
      <w:pPr>
        <w:pStyle w:val="AERbulletlistfirststyle"/>
      </w:pPr>
      <w:r>
        <w:t>i</w:t>
      </w:r>
      <w:r w:rsidR="00D62AA6" w:rsidRPr="00592054">
        <w:t xml:space="preserve">n preparing their tariff structures statement, </w:t>
      </w:r>
      <w:r w:rsidR="00D62AA6">
        <w:t>distributor</w:t>
      </w:r>
      <w:r w:rsidR="00D62AA6" w:rsidRPr="00592054">
        <w:t xml:space="preserve">s would also need to comply with a new pricing principle that requires them to consider consumer impacts of tariffs. </w:t>
      </w:r>
    </w:p>
    <w:p w:rsidR="00D62AA6" w:rsidRPr="00574402" w:rsidRDefault="00D62AA6" w:rsidP="00D62AA6">
      <w:pPr>
        <w:pStyle w:val="AERbodytext"/>
      </w:pPr>
      <w:r>
        <w:t xml:space="preserve">Restrictions may also inhibit innovative tariff design that charges higher prices for customers who consume more energy at peak times through, for example, greater air-conditioner use. Such </w:t>
      </w:r>
      <w:r>
        <w:lastRenderedPageBreak/>
        <w:t>innovative tariff structures would require such customers to pay their fair share of the costs</w:t>
      </w:r>
      <w:r w:rsidRPr="00574402">
        <w:t>. SA</w:t>
      </w:r>
      <w:r>
        <w:t xml:space="preserve"> </w:t>
      </w:r>
      <w:r w:rsidRPr="00574402">
        <w:t>P</w:t>
      </w:r>
      <w:r>
        <w:t xml:space="preserve">ower </w:t>
      </w:r>
      <w:r w:rsidRPr="00574402">
        <w:t>N</w:t>
      </w:r>
      <w:r>
        <w:t>etworks</w:t>
      </w:r>
      <w:r w:rsidRPr="00574402">
        <w:t xml:space="preserve"> has commenced a small scale pilot of capacity pricing, for small customers equipped with interval meters</w:t>
      </w:r>
      <w:r w:rsidR="00596CF4">
        <w:t>.</w:t>
      </w:r>
      <w:r w:rsidRPr="00574402">
        <w:rPr>
          <w:rStyle w:val="FootnoteReference"/>
        </w:rPr>
        <w:footnoteReference w:id="173"/>
      </w:r>
      <w:r w:rsidRPr="00574402">
        <w:t xml:space="preserve"> Capacity pricing uses a pre-determined capacity price component based on the customers’ </w:t>
      </w:r>
      <w:r>
        <w:t xml:space="preserve">maximum </w:t>
      </w:r>
      <w:r w:rsidRPr="00574402">
        <w:t>demand for electricity</w:t>
      </w:r>
      <w:r w:rsidRPr="00D62AA6">
        <w:t xml:space="preserve"> </w:t>
      </w:r>
      <w:r w:rsidRPr="00574402">
        <w:t xml:space="preserve">rather than relying principally on </w:t>
      </w:r>
      <w:r>
        <w:t xml:space="preserve">total </w:t>
      </w:r>
      <w:r w:rsidRPr="00574402">
        <w:t>energy</w:t>
      </w:r>
      <w:r>
        <w:t xml:space="preserve"> consumed</w:t>
      </w:r>
      <w:r w:rsidRPr="00574402">
        <w:t>. This ongoing trial includes incentives for the trial participants to manage their demand during summer, particularly in the afternoon and early evening when residential demands are at their highest. If the trial demonstrates the tariff options to be effective in reducing peak network demand levels or growth, SA</w:t>
      </w:r>
      <w:r>
        <w:t xml:space="preserve"> </w:t>
      </w:r>
      <w:r w:rsidRPr="00574402">
        <w:t>P</w:t>
      </w:r>
      <w:r>
        <w:t xml:space="preserve">ower </w:t>
      </w:r>
      <w:r w:rsidRPr="00574402">
        <w:t>N</w:t>
      </w:r>
      <w:r>
        <w:t>etworks</w:t>
      </w:r>
      <w:r w:rsidRPr="00574402">
        <w:t xml:space="preserve"> may propose to introduce some form of capacity based tariff as an option for small customers in the immediate future.</w:t>
      </w:r>
    </w:p>
    <w:p w:rsidR="00D62AA6" w:rsidRPr="00D62AA6" w:rsidRDefault="00D62AA6" w:rsidP="00D62AA6">
      <w:pPr>
        <w:pStyle w:val="Heading3"/>
      </w:pPr>
      <w:bookmarkStart w:id="110" w:name="_Toc373500026"/>
      <w:bookmarkStart w:id="111" w:name="_Toc373774011"/>
      <w:r w:rsidRPr="00D62AA6">
        <w:t>Conclusion</w:t>
      </w:r>
      <w:bookmarkEnd w:id="110"/>
      <w:bookmarkEnd w:id="111"/>
    </w:p>
    <w:p w:rsidR="00D62AA6" w:rsidRDefault="00D62AA6" w:rsidP="004F2623">
      <w:r>
        <w:t>We consider that a national approach to pricing structures should be adopted. This does not mean that price stability through constraints on tariff movements or other consumer protection measures should not be adopted. Rather, they should be considered and applied consistently. On this basis we seek stakeholder comments on whether the $10 cap on fixed supply charge price increases should continue, with or without modification.</w:t>
      </w:r>
    </w:p>
    <w:p w:rsidR="00A606C6" w:rsidRDefault="00A606C6" w:rsidP="00A606C6">
      <w:pPr>
        <w:pStyle w:val="Heading2"/>
      </w:pPr>
      <w:bookmarkStart w:id="112" w:name="_Toc373774012"/>
      <w:r>
        <w:t>Dual function assets</w:t>
      </w:r>
      <w:bookmarkEnd w:id="112"/>
    </w:p>
    <w:p w:rsidR="00A606C6" w:rsidRDefault="00A606C6" w:rsidP="00A606C6">
      <w:pPr>
        <w:pStyle w:val="AERbodytext"/>
      </w:pPr>
      <w:r>
        <w:t>The rules</w:t>
      </w:r>
      <w:r w:rsidR="000B6EF5">
        <w:t xml:space="preserve"> state</w:t>
      </w:r>
      <w:r w:rsidRPr="00E52D6E">
        <w:t xml:space="preserve"> that the F&amp;</w:t>
      </w:r>
      <w:r>
        <w:t>A must include our</w:t>
      </w:r>
      <w:r w:rsidRPr="00E52D6E">
        <w:t xml:space="preserve"> determination under clause 6.25(b) as to whether or not Part J of chapter 6A is to be applied to determine the pricing of any transmission standard control services provided by any dual function assets owned, </w:t>
      </w:r>
      <w:r>
        <w:t>controlled or operated by a distributor.</w:t>
      </w:r>
      <w:r>
        <w:rPr>
          <w:rStyle w:val="FootnoteReference"/>
        </w:rPr>
        <w:footnoteReference w:id="174"/>
      </w:r>
    </w:p>
    <w:p w:rsidR="00A606C6" w:rsidRDefault="00A606C6" w:rsidP="00A606C6">
      <w:pPr>
        <w:pStyle w:val="AERbodytext"/>
      </w:pPr>
      <w:r w:rsidRPr="00E52D6E">
        <w:t>Under clause</w:t>
      </w:r>
      <w:r>
        <w:t xml:space="preserve"> 6.25(a) of the rules, if SA Power Networks</w:t>
      </w:r>
      <w:r w:rsidR="00F57168">
        <w:t xml:space="preserve"> </w:t>
      </w:r>
      <w:r w:rsidRPr="00E52D6E">
        <w:t>owns, operates or controls dual function assets it mus</w:t>
      </w:r>
      <w:r>
        <w:t>t inform us by 30 June 2013</w:t>
      </w:r>
      <w:r w:rsidRPr="00E52D6E">
        <w:t>. After reviewing t</w:t>
      </w:r>
      <w:r>
        <w:t>he information provided, we</w:t>
      </w:r>
      <w:r w:rsidRPr="00E52D6E">
        <w:t xml:space="preserve"> must make a determination as to whether Part </w:t>
      </w:r>
      <w:r>
        <w:t>J of chapter 6A of the rules</w:t>
      </w:r>
      <w:r w:rsidRPr="00E52D6E">
        <w:t xml:space="preserve"> should apply to transmission standard control services provided by these dual function assets.</w:t>
      </w:r>
    </w:p>
    <w:p w:rsidR="00A606C6" w:rsidRPr="00E52D6E" w:rsidRDefault="00A606C6" w:rsidP="00A606C6">
      <w:pPr>
        <w:pStyle w:val="AERbodytext"/>
      </w:pPr>
      <w:r w:rsidRPr="00E52D6E">
        <w:t>A dual function asset is:</w:t>
      </w:r>
    </w:p>
    <w:p w:rsidR="00A606C6" w:rsidRPr="00E52D6E" w:rsidRDefault="00A606C6" w:rsidP="00A606C6">
      <w:pPr>
        <w:pStyle w:val="AERquote"/>
      </w:pPr>
      <w:r w:rsidRPr="00E52D6E">
        <w:t>any part of a network owned, operated or controlled by a DNSP which operates between 66 kV and 220 kV and which operates in parallel, and provides support, to the higher voltage transmission network which is deemed by clause 6.24.2(a) to be a dual function asset. For the avoidance of doubt:</w:t>
      </w:r>
    </w:p>
    <w:p w:rsidR="00A606C6" w:rsidRPr="00E52D6E" w:rsidRDefault="00A606C6" w:rsidP="00A606C6">
      <w:pPr>
        <w:pStyle w:val="AERquote"/>
      </w:pPr>
      <w:r w:rsidRPr="00E52D6E">
        <w:t>(a) a dual function asset can only be an asset which forms part of a network that is predominantly a distribution network; and</w:t>
      </w:r>
    </w:p>
    <w:p w:rsidR="00A606C6" w:rsidRDefault="00A606C6" w:rsidP="00A606C6">
      <w:pPr>
        <w:pStyle w:val="AERquote"/>
      </w:pPr>
      <w:r w:rsidRPr="00E52D6E">
        <w:t>(b) an asset which forms part of a network which is predominantly a transmission network cannot be characterised as a dual function asset, through the operation of clause 6.24.2(a).</w:t>
      </w:r>
    </w:p>
    <w:p w:rsidR="00A606C6" w:rsidRPr="00A606C6" w:rsidRDefault="00A606C6" w:rsidP="00B461DA">
      <w:pPr>
        <w:pStyle w:val="AERbodytext"/>
      </w:pPr>
      <w:r>
        <w:t>SA Power Networks has advised us that it does not have any dual function assets</w:t>
      </w:r>
      <w:r w:rsidR="00A01EB6">
        <w:t>.</w:t>
      </w:r>
      <w:r w:rsidR="00F021D7">
        <w:rPr>
          <w:rStyle w:val="FootnoteReference"/>
        </w:rPr>
        <w:footnoteReference w:id="175"/>
      </w:r>
      <w:r>
        <w:t xml:space="preserve"> We will therefore not make any determination under clause 6.25(b) of the rules for the purposes of this F&amp;A. </w:t>
      </w:r>
    </w:p>
    <w:p w:rsidR="00217C53" w:rsidRPr="00630170" w:rsidRDefault="00596CF4" w:rsidP="00F57168">
      <w:pPr>
        <w:pStyle w:val="UnnumberedHeading"/>
        <w:rPr>
          <w:rStyle w:val="AERtextbold"/>
          <w:rFonts w:eastAsia="Calibri"/>
          <w:b/>
          <w:bCs w:val="0"/>
          <w:color w:val="auto"/>
          <w:sz w:val="20"/>
          <w:szCs w:val="20"/>
        </w:rPr>
      </w:pPr>
      <w:bookmarkStart w:id="113" w:name="_Toc351730030"/>
      <w:bookmarkStart w:id="114" w:name="_Toc373774013"/>
      <w:bookmarkStart w:id="115" w:name="Appendix_Relevant_Rules"/>
      <w:r w:rsidRPr="00596CF4">
        <w:rPr>
          <w:rStyle w:val="AERtextbold"/>
          <w:b/>
        </w:rPr>
        <w:lastRenderedPageBreak/>
        <w:t>Appendix A:</w:t>
      </w:r>
      <w:r>
        <w:rPr>
          <w:rStyle w:val="AERtextbold"/>
        </w:rPr>
        <w:t xml:space="preserve"> </w:t>
      </w:r>
      <w:r w:rsidR="00217C53" w:rsidRPr="00630170">
        <w:rPr>
          <w:rStyle w:val="AERtextbold"/>
          <w:b/>
        </w:rPr>
        <w:t>Rule requirements for classification</w:t>
      </w:r>
      <w:bookmarkEnd w:id="113"/>
      <w:bookmarkEnd w:id="114"/>
    </w:p>
    <w:p w:rsidR="00FA2DC0" w:rsidRPr="00217C53" w:rsidRDefault="00FA2DC0" w:rsidP="00F57168">
      <w:pPr>
        <w:pStyle w:val="Heading8"/>
        <w:numPr>
          <w:ilvl w:val="0"/>
          <w:numId w:val="0"/>
        </w:numPr>
      </w:pPr>
      <w:r w:rsidRPr="00217C53">
        <w:t>Distribution service or unregulated service</w:t>
      </w:r>
    </w:p>
    <w:p w:rsidR="00FA2DC0" w:rsidRDefault="00FA2DC0" w:rsidP="00FA2DC0">
      <w:pPr>
        <w:pStyle w:val="AERbodytext"/>
      </w:pPr>
      <w:r>
        <w:t xml:space="preserve">We must consider whether the service meets the rules definition of a distribution service, which is </w:t>
      </w:r>
      <w:r w:rsidR="00596CF4">
        <w:t>'</w:t>
      </w:r>
      <w:r>
        <w:t>a</w:t>
      </w:r>
      <w:r w:rsidRPr="00F95387">
        <w:t xml:space="preserve"> service provided by means of, or in connection with, a distribution system</w:t>
      </w:r>
      <w:r w:rsidR="00596CF4">
        <w:t>'</w:t>
      </w:r>
      <w:r w:rsidRPr="00F95387">
        <w:t>.</w:t>
      </w:r>
      <w:r>
        <w:rPr>
          <w:rStyle w:val="FootnoteReference"/>
        </w:rPr>
        <w:footnoteReference w:id="176"/>
      </w:r>
    </w:p>
    <w:p w:rsidR="00FA2DC0" w:rsidRPr="00217C53" w:rsidRDefault="00FA2DC0" w:rsidP="00FA2DC0">
      <w:pPr>
        <w:pStyle w:val="AERbodytext"/>
      </w:pPr>
      <w:r w:rsidRPr="00217C53">
        <w:t>'Distributi</w:t>
      </w:r>
      <w:r>
        <w:t>on system' is defined in the rules</w:t>
      </w:r>
      <w:r w:rsidRPr="00217C53">
        <w:t xml:space="preserve"> as a 'distribution network, together with the connection assets associated with the distribution network, which is connected to another transmission or distribution system. Connection assets on their own do not constitute a distribution system'. </w:t>
      </w:r>
    </w:p>
    <w:p w:rsidR="00FA2DC0" w:rsidRPr="00F95387" w:rsidRDefault="00FA2DC0" w:rsidP="00FA2DC0">
      <w:pPr>
        <w:pStyle w:val="AERbodytext"/>
      </w:pPr>
      <w:r>
        <w:t>Chapter 10 of the rules</w:t>
      </w:r>
      <w:r w:rsidRPr="00217C53">
        <w:t xml:space="preserve"> further expands distribution services to include services provided by means of, or in connection with, the apparatus, equipment, plant or buildings used to convey, and control the conveyance of, electricity to customers (whether wholesale or retail), where these assets are owned, co</w:t>
      </w:r>
      <w:r>
        <w:t>ntrolled or operated by the distributor</w:t>
      </w:r>
      <w:r w:rsidRPr="00217C53">
        <w:t>, but excluding services provided over a transmission network</w:t>
      </w:r>
      <w:r>
        <w:t>.</w:t>
      </w:r>
    </w:p>
    <w:p w:rsidR="00FA2DC0" w:rsidRPr="00217C53" w:rsidRDefault="00FA2DC0" w:rsidP="00F57168">
      <w:pPr>
        <w:pStyle w:val="Heading8"/>
        <w:numPr>
          <w:ilvl w:val="0"/>
          <w:numId w:val="0"/>
        </w:numPr>
      </w:pPr>
      <w:r w:rsidRPr="00217C53">
        <w:t>Direct control or negotiated service</w:t>
      </w:r>
    </w:p>
    <w:p w:rsidR="00FA2DC0" w:rsidRDefault="00FA2DC0" w:rsidP="00FA2DC0">
      <w:pPr>
        <w:pStyle w:val="AERbodytext"/>
      </w:pPr>
      <w:r>
        <w:t>We must have regard to four factors when classifying distribution services as either direct control services or negotiated distribution services.</w:t>
      </w:r>
      <w:r>
        <w:rPr>
          <w:rStyle w:val="FootnoteReference"/>
        </w:rPr>
        <w:footnoteReference w:id="177"/>
      </w:r>
      <w:r>
        <w:t xml:space="preserve"> </w:t>
      </w:r>
    </w:p>
    <w:p w:rsidR="00FA2DC0" w:rsidRDefault="00FA2DC0" w:rsidP="00FA2DC0">
      <w:pPr>
        <w:pStyle w:val="AERnumberedlistfirststyle"/>
      </w:pPr>
      <w:r>
        <w:t>the form of regulation factors in section 2F of the NEL:</w:t>
      </w:r>
    </w:p>
    <w:p w:rsidR="00FA2DC0" w:rsidRPr="005334E6" w:rsidRDefault="00FA2DC0" w:rsidP="00FA2DC0">
      <w:pPr>
        <w:pStyle w:val="AERbulletlistsecondstyle"/>
      </w:pPr>
      <w:r w:rsidRPr="005334E6">
        <w:t>the presence and extent of any barriers to entry in a market for electricity network services</w:t>
      </w:r>
    </w:p>
    <w:p w:rsidR="00FA2DC0" w:rsidRPr="005334E6" w:rsidRDefault="00FA2DC0" w:rsidP="00FA2DC0">
      <w:pPr>
        <w:pStyle w:val="AERbulletlistsecondstyle"/>
      </w:pPr>
      <w:r w:rsidRPr="005334E6">
        <w:t>the presence and extent of any network externalities (that is, interdependencies) between an electricity network service provided by a network service provider and any other electricity network service provided by the network service provider</w:t>
      </w:r>
    </w:p>
    <w:p w:rsidR="00FA2DC0" w:rsidRPr="005334E6" w:rsidRDefault="00FA2DC0" w:rsidP="00FA2DC0">
      <w:pPr>
        <w:pStyle w:val="AERbulletlistsecondstyle"/>
      </w:pPr>
      <w:r w:rsidRPr="005334E6">
        <w:t>the presence and extent of any network externalities (that is, interdependencies) between an electricity network service provided by a network service provider and any other service provided by the network service provider in any other market</w:t>
      </w:r>
    </w:p>
    <w:p w:rsidR="00FA2DC0" w:rsidRPr="005334E6" w:rsidRDefault="00FA2DC0" w:rsidP="00FA2DC0">
      <w:pPr>
        <w:pStyle w:val="AERbulletlistsecondstyle"/>
      </w:pPr>
      <w:r w:rsidRPr="005334E6">
        <w:t>the extent to which any market power possessed by a network service provider is, or is likely to be, mitigated by any countervailing market power possessed by a network service user or prospective network service user</w:t>
      </w:r>
    </w:p>
    <w:p w:rsidR="00FA2DC0" w:rsidRPr="005334E6" w:rsidRDefault="00FA2DC0" w:rsidP="00FA2DC0">
      <w:pPr>
        <w:pStyle w:val="AERbulletlistsecondstyle"/>
      </w:pPr>
      <w:r w:rsidRPr="005334E6">
        <w:t>the presence and extent of any substitute, and the elasticity of demand, in a market for an electricity network service in which a network service provider provides that service</w:t>
      </w:r>
    </w:p>
    <w:p w:rsidR="00FA2DC0" w:rsidRPr="005334E6" w:rsidRDefault="00FA2DC0" w:rsidP="00FA2DC0">
      <w:pPr>
        <w:pStyle w:val="AERbulletlistsecondstyle"/>
      </w:pPr>
      <w:r w:rsidRPr="005334E6">
        <w:t>the presence and extent of any substitute for, and the elasticity of demand in a market for, elasticity or gas (as the case may be)</w:t>
      </w:r>
    </w:p>
    <w:p w:rsidR="00FA2DC0" w:rsidRPr="00361871" w:rsidRDefault="00FA2DC0" w:rsidP="00FA2DC0">
      <w:pPr>
        <w:pStyle w:val="AERbulletlistsecondstyle"/>
      </w:pPr>
      <w:r w:rsidRPr="005334E6">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361871">
        <w:rPr>
          <w:rStyle w:val="FootnoteReference"/>
        </w:rPr>
        <w:footnoteReference w:id="178"/>
      </w:r>
    </w:p>
    <w:p w:rsidR="00FA2DC0" w:rsidRPr="00361871" w:rsidRDefault="00FA2DC0" w:rsidP="00FA2DC0">
      <w:pPr>
        <w:pStyle w:val="AERnumberedlistfirststyle"/>
      </w:pPr>
      <w:r>
        <w:lastRenderedPageBreak/>
        <w:t>the form of regulation (if any) previously applicable to the relevant service or services, and, in particular, any previous classification under the present system of classification or under the present regulatory system (as the case requires)</w:t>
      </w:r>
      <w:r w:rsidRPr="00361871">
        <w:rPr>
          <w:rStyle w:val="FootnoteReference"/>
        </w:rPr>
        <w:footnoteReference w:id="179"/>
      </w:r>
    </w:p>
    <w:p w:rsidR="00FA2DC0" w:rsidRPr="00361871" w:rsidRDefault="00FA2DC0" w:rsidP="00FA2DC0">
      <w:pPr>
        <w:pStyle w:val="AERnumberedlistfirststyle"/>
      </w:pPr>
      <w:r>
        <w:t>the desirability of consistency in the form of regulation for similar services (both within and beyond the relevant jurisdiction)</w:t>
      </w:r>
      <w:r w:rsidRPr="00361871">
        <w:rPr>
          <w:rStyle w:val="FootnoteReference"/>
        </w:rPr>
        <w:footnoteReference w:id="180"/>
      </w:r>
    </w:p>
    <w:p w:rsidR="00FA2DC0" w:rsidRPr="00361871" w:rsidRDefault="00FA2DC0" w:rsidP="00FA2DC0">
      <w:pPr>
        <w:pStyle w:val="AERnumberedlistfirststyle"/>
      </w:pPr>
      <w:r>
        <w:t>any other relevant factor.</w:t>
      </w:r>
      <w:r w:rsidRPr="00361871">
        <w:rPr>
          <w:rStyle w:val="FootnoteReference"/>
        </w:rPr>
        <w:footnoteReference w:id="181"/>
      </w:r>
    </w:p>
    <w:p w:rsidR="00FA2DC0" w:rsidRDefault="00FA2DC0" w:rsidP="00FA2DC0">
      <w:pPr>
        <w:pStyle w:val="AERbodytext"/>
      </w:pPr>
      <w:r>
        <w:t>The rules specify additional requirements for services we have regulated before.</w:t>
      </w:r>
      <w:r>
        <w:rPr>
          <w:rStyle w:val="FootnoteReference"/>
        </w:rPr>
        <w:footnoteReference w:id="182"/>
      </w:r>
      <w:r>
        <w:t xml:space="preserve"> We</w:t>
      </w:r>
      <w:r w:rsidRPr="008C6504">
        <w:t xml:space="preserve"> must act on the basis that, unless a different classification is clearly more appropriate:</w:t>
      </w:r>
    </w:p>
    <w:p w:rsidR="00FA2DC0" w:rsidRDefault="00FA2DC0" w:rsidP="00FA2DC0">
      <w:pPr>
        <w:pStyle w:val="AERnumberedlistfirststyle"/>
      </w:pPr>
      <w:r>
        <w:t>There should be no departure from a previous classification (if the services have been previously classified); and</w:t>
      </w:r>
    </w:p>
    <w:p w:rsidR="00FA2DC0" w:rsidRDefault="00FA2DC0" w:rsidP="00FA2DC0">
      <w:pPr>
        <w:pStyle w:val="AERnumberedlistfirststyle"/>
      </w:pPr>
      <w:r>
        <w:t xml:space="preserve">If there has been no previous classification - the classification should be consistent with the previously applicable regulatory approach. </w:t>
      </w:r>
    </w:p>
    <w:p w:rsidR="00FA2DC0" w:rsidRPr="00217C53" w:rsidRDefault="00FA2DC0" w:rsidP="00F57168">
      <w:pPr>
        <w:pStyle w:val="Heading8"/>
        <w:numPr>
          <w:ilvl w:val="0"/>
          <w:numId w:val="0"/>
        </w:numPr>
      </w:pPr>
      <w:r w:rsidRPr="00217C53">
        <w:t>Standard control or alternative control</w:t>
      </w:r>
    </w:p>
    <w:p w:rsidR="00FA2DC0" w:rsidRDefault="00FA2DC0" w:rsidP="00FA2DC0">
      <w:pPr>
        <w:pStyle w:val="AERbodytext"/>
      </w:pPr>
      <w:r>
        <w:t>We must have regard to six factors when classifying direct control services as either standard control or alternative control services:</w:t>
      </w:r>
      <w:r>
        <w:rPr>
          <w:rStyle w:val="FootnoteReference"/>
        </w:rPr>
        <w:footnoteReference w:id="183"/>
      </w:r>
      <w:r>
        <w:t xml:space="preserve"> </w:t>
      </w:r>
    </w:p>
    <w:p w:rsidR="00FA2DC0" w:rsidRDefault="00FA2DC0" w:rsidP="00FA2DC0">
      <w:pPr>
        <w:pStyle w:val="AERnumberedlistfirststyle"/>
      </w:pPr>
      <w:r>
        <w:t>the potential for development of competition in the relevant market and how the classification might influence that potential</w:t>
      </w:r>
    </w:p>
    <w:p w:rsidR="00FA2DC0" w:rsidRDefault="00FA2DC0" w:rsidP="00FA2DC0">
      <w:pPr>
        <w:pStyle w:val="AERnumberedlistfirststyle"/>
      </w:pPr>
      <w:r>
        <w:t>the possible effects of the classification on administrative costs of us, the distributor and users or potential users</w:t>
      </w:r>
    </w:p>
    <w:p w:rsidR="00FA2DC0" w:rsidRDefault="00FA2DC0" w:rsidP="00FA2DC0">
      <w:pPr>
        <w:pStyle w:val="AERnumberedlistfirststyle"/>
      </w:pPr>
      <w:r>
        <w:t>the regulatory approach (if any) applicable to the relevant service immediately before the commencement of the distribution determination for which the classification is made</w:t>
      </w:r>
    </w:p>
    <w:p w:rsidR="00FA2DC0" w:rsidRDefault="00FA2DC0" w:rsidP="00FA2DC0">
      <w:pPr>
        <w:pStyle w:val="AERnumberedlistfirststyle"/>
      </w:pPr>
      <w:r>
        <w:t>the desirability of a consistent regulatory approach to similar services (both within and beyond the relevant jurisdiction)</w:t>
      </w:r>
    </w:p>
    <w:p w:rsidR="00FA2DC0" w:rsidRDefault="00FA2DC0" w:rsidP="00FA2DC0">
      <w:pPr>
        <w:pStyle w:val="AERnumberedlistfirststyle"/>
      </w:pPr>
      <w:r>
        <w:t>the extent that costs of providing the relevant service are directly attributable to the customer to whom the service is provided, and</w:t>
      </w:r>
    </w:p>
    <w:p w:rsidR="00FA2DC0" w:rsidRPr="00361871" w:rsidRDefault="00FA2DC0" w:rsidP="00FA2DC0">
      <w:pPr>
        <w:pStyle w:val="AERnumberedlistfirststyle"/>
      </w:pPr>
      <w:r>
        <w:t>any other relevant factor.</w:t>
      </w:r>
      <w:r w:rsidRPr="00361871">
        <w:rPr>
          <w:rStyle w:val="FootnoteReference"/>
        </w:rPr>
        <w:footnoteReference w:id="184"/>
      </w:r>
    </w:p>
    <w:p w:rsidR="001060A9" w:rsidRPr="001060A9" w:rsidRDefault="00FA2DC0" w:rsidP="00FA2DC0">
      <w:pPr>
        <w:pStyle w:val="AERbodytext"/>
      </w:pPr>
      <w:r>
        <w:t>In classifying direct control services that have previously been subject to regulation under the present or earlier legislation, we must also follow the requirements of clause 6.2.2(d) of the rules.</w:t>
      </w:r>
    </w:p>
    <w:p w:rsidR="000E0034" w:rsidRDefault="00596CF4" w:rsidP="00F57168">
      <w:pPr>
        <w:pStyle w:val="UnnumberedHeading"/>
      </w:pPr>
      <w:bookmarkStart w:id="116" w:name="_Toc373774014"/>
      <w:bookmarkEnd w:id="115"/>
      <w:r>
        <w:lastRenderedPageBreak/>
        <w:t xml:space="preserve">Appendix B: </w:t>
      </w:r>
      <w:r w:rsidR="0040478C" w:rsidRPr="00217C53">
        <w:t>C</w:t>
      </w:r>
      <w:r w:rsidR="00117D41" w:rsidRPr="00217C53">
        <w:t>lassification of distribution services</w:t>
      </w:r>
      <w:r w:rsidR="00FA2DC0">
        <w:t xml:space="preserve"> in 2015</w:t>
      </w:r>
      <w:r>
        <w:rPr>
          <w:rFonts w:cs="Gautami"/>
        </w:rPr>
        <w:t>–</w:t>
      </w:r>
      <w:r w:rsidR="00FA2DC0">
        <w:t>20</w:t>
      </w:r>
      <w:r w:rsidR="0040478C" w:rsidRPr="00217C53">
        <w:t xml:space="preserve"> regulatory control period</w:t>
      </w:r>
      <w:bookmarkEnd w:id="116"/>
    </w:p>
    <w:p w:rsidR="00D71890" w:rsidRPr="00117D41" w:rsidRDefault="00D71890" w:rsidP="00D71890">
      <w:pPr>
        <w:pStyle w:val="AERbodytext"/>
      </w:pPr>
      <w:r>
        <w:t>This appendix sets out our</w:t>
      </w:r>
      <w:r w:rsidRPr="00117D41">
        <w:t xml:space="preserve"> classification of </w:t>
      </w:r>
      <w:r>
        <w:t>SA Power Networks' (formerly ETSA Utilities')</w:t>
      </w:r>
      <w:r w:rsidRPr="00117D41">
        <w:t xml:space="preserve"> distribution services for the </w:t>
      </w:r>
      <w:r>
        <w:t>2015</w:t>
      </w:r>
      <w:r w:rsidR="00596CF4">
        <w:rPr>
          <w:rFonts w:cs="Gautami"/>
        </w:rPr>
        <w:t>–</w:t>
      </w:r>
      <w:r>
        <w:t>2020</w:t>
      </w:r>
      <w:r w:rsidRPr="00117D41">
        <w:t xml:space="preserve"> regulatory control period. Italici</w:t>
      </w:r>
      <w:r>
        <w:t>sed terms are defined in the rules</w:t>
      </w:r>
      <w:r w:rsidRPr="00117D41">
        <w:t>.</w:t>
      </w:r>
    </w:p>
    <w:p w:rsidR="00D71890" w:rsidRPr="00D71890" w:rsidRDefault="00D71890" w:rsidP="00F57168">
      <w:pPr>
        <w:pStyle w:val="Heading8"/>
        <w:numPr>
          <w:ilvl w:val="0"/>
          <w:numId w:val="0"/>
        </w:numPr>
      </w:pPr>
      <w:r w:rsidRPr="00117D41">
        <w:t>Direct control (standard control) services</w:t>
      </w:r>
    </w:p>
    <w:p w:rsidR="00D71890" w:rsidRPr="00117D41" w:rsidRDefault="00D71890" w:rsidP="00D71890">
      <w:pPr>
        <w:pStyle w:val="HeadingBoldBlue"/>
      </w:pPr>
      <w:r>
        <w:t>B.1</w:t>
      </w:r>
      <w:r>
        <w:tab/>
      </w:r>
      <w:r w:rsidRPr="00117D41">
        <w:t>Standard network services</w:t>
      </w:r>
    </w:p>
    <w:p w:rsidR="00D71890" w:rsidRPr="00117D41" w:rsidRDefault="00D71890" w:rsidP="00D71890">
      <w:pPr>
        <w:pStyle w:val="AERnumberedlistsecondstyle"/>
      </w:pPr>
      <w:r w:rsidRPr="00117D41">
        <w:t xml:space="preserve">All </w:t>
      </w:r>
      <w:r w:rsidRPr="001616C2">
        <w:rPr>
          <w:rStyle w:val="AERtextitalic"/>
        </w:rPr>
        <w:t>network services</w:t>
      </w:r>
      <w:r w:rsidRPr="00117D41">
        <w:t xml:space="preserve"> except:</w:t>
      </w:r>
    </w:p>
    <w:p w:rsidR="00D71890" w:rsidRPr="00117D41" w:rsidRDefault="00D71890" w:rsidP="00D71890">
      <w:pPr>
        <w:pStyle w:val="AERnumberedlistthirdstyle"/>
      </w:pPr>
      <w:r w:rsidRPr="001616C2">
        <w:rPr>
          <w:rStyle w:val="AERtextitalic"/>
        </w:rPr>
        <w:t>network services</w:t>
      </w:r>
      <w:r w:rsidRPr="00117D41">
        <w:t xml:space="preserve"> provided at the request of a </w:t>
      </w:r>
      <w:r w:rsidRPr="001616C2">
        <w:rPr>
          <w:rStyle w:val="AERtextitalic"/>
        </w:rPr>
        <w:t>distribution network user</w:t>
      </w:r>
      <w:r w:rsidRPr="00117D41">
        <w:t>:</w:t>
      </w:r>
    </w:p>
    <w:p w:rsidR="00D71890" w:rsidRPr="00117D41" w:rsidRDefault="00D71890" w:rsidP="00D71890">
      <w:pPr>
        <w:pStyle w:val="AERnumberedlist2third"/>
      </w:pPr>
      <w:r w:rsidRPr="00117D41">
        <w:t xml:space="preserve">with higher quality or reliability standards, or lower quality or reliability standards (where permissible), than are required by the </w:t>
      </w:r>
      <w:r w:rsidR="00596CF4">
        <w:t>rules</w:t>
      </w:r>
      <w:r w:rsidR="00596CF4" w:rsidRPr="00117D41">
        <w:t xml:space="preserve"> </w:t>
      </w:r>
      <w:r w:rsidRPr="00117D41">
        <w:t>or any other applicable regulatory instruments, or</w:t>
      </w:r>
    </w:p>
    <w:p w:rsidR="00D71890" w:rsidRPr="00117D41" w:rsidRDefault="00D71890" w:rsidP="00D71890">
      <w:pPr>
        <w:pStyle w:val="AERnumberedlist2third"/>
      </w:pPr>
      <w:r w:rsidRPr="00117D41">
        <w:t xml:space="preserve">in excess of levels of service or plant ratings required to be provided by </w:t>
      </w:r>
      <w:r>
        <w:t xml:space="preserve">SA Power Networks' </w:t>
      </w:r>
      <w:r w:rsidRPr="00117D41">
        <w:t>assets, or</w:t>
      </w:r>
    </w:p>
    <w:p w:rsidR="00D71890" w:rsidRPr="00117D41" w:rsidRDefault="00D71890" w:rsidP="00D71890">
      <w:pPr>
        <w:pStyle w:val="AERnumberedlistthirdstyle"/>
      </w:pPr>
      <w:r w:rsidRPr="00117D41">
        <w:t xml:space="preserve">extension or augmentation of the </w:t>
      </w:r>
      <w:r w:rsidRPr="001616C2">
        <w:rPr>
          <w:rStyle w:val="AERtextitalic"/>
        </w:rPr>
        <w:t>distribution network</w:t>
      </w:r>
      <w:r w:rsidRPr="00117D41">
        <w:t xml:space="preserve"> associated with the provision of a new </w:t>
      </w:r>
      <w:r w:rsidRPr="001616C2">
        <w:rPr>
          <w:rStyle w:val="AERtextitalic"/>
        </w:rPr>
        <w:t>connection point</w:t>
      </w:r>
      <w:r w:rsidRPr="00117D41">
        <w:t xml:space="preserve"> or upgrading of the capability of a </w:t>
      </w:r>
      <w:r w:rsidRPr="001616C2">
        <w:rPr>
          <w:rStyle w:val="AERtextitalic"/>
        </w:rPr>
        <w:t>connection point</w:t>
      </w:r>
      <w:r w:rsidRPr="00117D41">
        <w:t xml:space="preserve"> to the extent that a </w:t>
      </w:r>
      <w:r w:rsidRPr="001616C2">
        <w:rPr>
          <w:rStyle w:val="AERtextitalic"/>
        </w:rPr>
        <w:t>distribution network user</w:t>
      </w:r>
      <w:r w:rsidRPr="00117D41">
        <w:t xml:space="preserve"> is required to make a financial contribution in accordance with the</w:t>
      </w:r>
      <w:r>
        <w:t xml:space="preserve"> </w:t>
      </w:r>
      <w:r w:rsidR="00596CF4">
        <w:t>rules</w:t>
      </w:r>
      <w:r w:rsidRPr="00117D41">
        <w:t>, or</w:t>
      </w:r>
    </w:p>
    <w:p w:rsidR="00D71890" w:rsidRPr="00117D41" w:rsidRDefault="00D71890" w:rsidP="00D71890">
      <w:pPr>
        <w:pStyle w:val="AERnumberedlistthirdstyle"/>
      </w:pPr>
      <w:r w:rsidRPr="00117D41">
        <w:t xml:space="preserve">other </w:t>
      </w:r>
      <w:r w:rsidRPr="001616C2">
        <w:rPr>
          <w:rStyle w:val="AERtextitalic"/>
        </w:rPr>
        <w:t>network services</w:t>
      </w:r>
      <w:r w:rsidRPr="00117D41">
        <w:t xml:space="preserve"> that are classified as </w:t>
      </w:r>
      <w:r w:rsidRPr="001616C2">
        <w:rPr>
          <w:rStyle w:val="AERtextitalic"/>
        </w:rPr>
        <w:t>negotiated distribution services</w:t>
      </w:r>
      <w:r w:rsidRPr="00117D41">
        <w:t xml:space="preserve"> in section</w:t>
      </w:r>
      <w:r>
        <w:t>s B.</w:t>
      </w:r>
      <w:r w:rsidR="00A310A6">
        <w:t>6</w:t>
      </w:r>
      <w:r>
        <w:t xml:space="preserve"> to B.1</w:t>
      </w:r>
      <w:r w:rsidR="00A310A6">
        <w:t>5</w:t>
      </w:r>
      <w:r>
        <w:t xml:space="preserve"> of this appendix B</w:t>
      </w:r>
      <w:r w:rsidRPr="00117D41">
        <w:t>.</w:t>
      </w:r>
    </w:p>
    <w:p w:rsidR="00D71890" w:rsidRPr="00117D41" w:rsidRDefault="00D71890" w:rsidP="00D71890">
      <w:pPr>
        <w:pStyle w:val="HeadingBoldBlue"/>
      </w:pPr>
      <w:r>
        <w:t>B.2</w:t>
      </w:r>
      <w:r>
        <w:tab/>
      </w:r>
      <w:r w:rsidRPr="00117D41">
        <w:t>Standard connection services</w:t>
      </w:r>
    </w:p>
    <w:p w:rsidR="00D71890" w:rsidRPr="00117D41" w:rsidRDefault="00D71890" w:rsidP="00D71890">
      <w:pPr>
        <w:pStyle w:val="AERnumberedlistsecondstyle"/>
      </w:pPr>
      <w:r w:rsidRPr="00117D41">
        <w:t xml:space="preserve">All </w:t>
      </w:r>
      <w:r w:rsidRPr="001616C2">
        <w:rPr>
          <w:rStyle w:val="AERtextitalic"/>
        </w:rPr>
        <w:t>connection services</w:t>
      </w:r>
      <w:r w:rsidRPr="00117D41">
        <w:t xml:space="preserve"> except:</w:t>
      </w:r>
    </w:p>
    <w:p w:rsidR="00D71890" w:rsidRPr="00117D41" w:rsidRDefault="00D71890" w:rsidP="00D71890">
      <w:pPr>
        <w:pStyle w:val="AERnumberedlistthirdstyle"/>
      </w:pPr>
      <w:r w:rsidRPr="001616C2">
        <w:rPr>
          <w:rStyle w:val="AERtextitalic"/>
        </w:rPr>
        <w:t>connection services</w:t>
      </w:r>
      <w:r w:rsidRPr="00117D41">
        <w:t xml:space="preserve"> provided at the request of a </w:t>
      </w:r>
      <w:r w:rsidRPr="001616C2">
        <w:rPr>
          <w:rStyle w:val="AERtextitalic"/>
        </w:rPr>
        <w:t>distribution network user</w:t>
      </w:r>
      <w:r w:rsidRPr="00117D41">
        <w:t>:</w:t>
      </w:r>
    </w:p>
    <w:p w:rsidR="00D71890" w:rsidRPr="00117D41" w:rsidRDefault="00D71890" w:rsidP="00D71890">
      <w:pPr>
        <w:pStyle w:val="AERnumberedlist2third"/>
      </w:pPr>
      <w:r w:rsidRPr="00117D41">
        <w:t>with higher quality or reliability standards, or lower quality or reliability standards (where permissible), than are required by the</w:t>
      </w:r>
      <w:r w:rsidR="00111AFD">
        <w:t xml:space="preserve"> rules</w:t>
      </w:r>
      <w:r w:rsidRPr="00117D41">
        <w:t xml:space="preserve"> or any other applicable regulatory instruments, or</w:t>
      </w:r>
    </w:p>
    <w:p w:rsidR="00D71890" w:rsidRPr="00117D41" w:rsidRDefault="00D71890" w:rsidP="00D71890">
      <w:pPr>
        <w:pStyle w:val="AERnumberedlist2third"/>
      </w:pPr>
      <w:r w:rsidRPr="00117D41">
        <w:t xml:space="preserve">in excess of levels of service or plant ratings required to be provided by </w:t>
      </w:r>
      <w:r>
        <w:t xml:space="preserve">SA Power Networks </w:t>
      </w:r>
      <w:r w:rsidRPr="00117D41">
        <w:t>assets, or</w:t>
      </w:r>
    </w:p>
    <w:p w:rsidR="00D71890" w:rsidRPr="00117D41" w:rsidRDefault="00D71890" w:rsidP="00D71890">
      <w:pPr>
        <w:pStyle w:val="AERnumberedlistthirdstyle"/>
      </w:pPr>
      <w:r>
        <w:t>t</w:t>
      </w:r>
      <w:r w:rsidRPr="00117D41">
        <w:t xml:space="preserve">he provision of a new </w:t>
      </w:r>
      <w:r w:rsidRPr="001616C2">
        <w:rPr>
          <w:rStyle w:val="AERtextitalic"/>
        </w:rPr>
        <w:t>connection point</w:t>
      </w:r>
      <w:r w:rsidRPr="00117D41">
        <w:t xml:space="preserve"> or upgrading of the capability of a </w:t>
      </w:r>
      <w:r w:rsidRPr="001616C2">
        <w:rPr>
          <w:rStyle w:val="AERtextitalic"/>
        </w:rPr>
        <w:t>connection point</w:t>
      </w:r>
      <w:r w:rsidRPr="00117D41">
        <w:t xml:space="preserve"> to the extent that a </w:t>
      </w:r>
      <w:r w:rsidRPr="001616C2">
        <w:rPr>
          <w:rStyle w:val="AERtextitalic"/>
        </w:rPr>
        <w:t>distribution network user</w:t>
      </w:r>
      <w:r w:rsidRPr="00117D41">
        <w:t xml:space="preserve"> is required to make a financial contribution in accordance with the</w:t>
      </w:r>
      <w:r>
        <w:t xml:space="preserve"> </w:t>
      </w:r>
      <w:r w:rsidR="00111AFD">
        <w:t>rules</w:t>
      </w:r>
      <w:r w:rsidRPr="00117D41">
        <w:t>, or</w:t>
      </w:r>
    </w:p>
    <w:p w:rsidR="00D71890" w:rsidRPr="00117D41" w:rsidRDefault="00D71890" w:rsidP="00D71890">
      <w:pPr>
        <w:pStyle w:val="AERnumberedlistthirdstyle"/>
      </w:pPr>
      <w:r w:rsidRPr="00117D41">
        <w:t xml:space="preserve">other </w:t>
      </w:r>
      <w:r w:rsidRPr="001616C2">
        <w:rPr>
          <w:rStyle w:val="AERtextitalic"/>
        </w:rPr>
        <w:t>connection services</w:t>
      </w:r>
      <w:r w:rsidRPr="00117D41">
        <w:t xml:space="preserve"> that are classified as </w:t>
      </w:r>
      <w:r w:rsidRPr="001616C2">
        <w:rPr>
          <w:rStyle w:val="AERtextitalic"/>
        </w:rPr>
        <w:t>negotiated distribution services</w:t>
      </w:r>
      <w:r>
        <w:t xml:space="preserve"> in sections B.</w:t>
      </w:r>
      <w:r w:rsidR="00A310A6">
        <w:t>6</w:t>
      </w:r>
      <w:r>
        <w:t xml:space="preserve"> to B.1</w:t>
      </w:r>
      <w:r w:rsidR="00A310A6">
        <w:t>5</w:t>
      </w:r>
      <w:r>
        <w:t xml:space="preserve"> of this appendix B</w:t>
      </w:r>
      <w:r w:rsidRPr="00117D41">
        <w:t>.</w:t>
      </w:r>
    </w:p>
    <w:p w:rsidR="00D71890" w:rsidRPr="00117D41" w:rsidRDefault="00D71890" w:rsidP="00D71890">
      <w:pPr>
        <w:pStyle w:val="HeadingBoldBlue"/>
      </w:pPr>
      <w:r>
        <w:lastRenderedPageBreak/>
        <w:t>B.</w:t>
      </w:r>
      <w:r w:rsidR="00A310A6">
        <w:t>3</w:t>
      </w:r>
      <w:r>
        <w:tab/>
      </w:r>
      <w:r w:rsidRPr="00117D41">
        <w:t>Unmetered metering services</w:t>
      </w:r>
    </w:p>
    <w:p w:rsidR="00D71890" w:rsidRPr="00117D41" w:rsidRDefault="00D71890" w:rsidP="00D71890">
      <w:pPr>
        <w:pStyle w:val="AERnumberedlistsecondstyle"/>
      </w:pPr>
      <w:r w:rsidRPr="00117D41">
        <w:t xml:space="preserve">The provision of </w:t>
      </w:r>
      <w:r w:rsidRPr="001616C2">
        <w:rPr>
          <w:rStyle w:val="AERbody"/>
        </w:rPr>
        <w:t>metering services</w:t>
      </w:r>
      <w:r w:rsidRPr="00117D41">
        <w:t xml:space="preserve"> in respect of meters meeting the requirements of a </w:t>
      </w:r>
      <w:r w:rsidRPr="001616C2">
        <w:rPr>
          <w:rStyle w:val="AERtextitalic"/>
        </w:rPr>
        <w:t>metering installation</w:t>
      </w:r>
      <w:r w:rsidRPr="00117D41">
        <w:t xml:space="preserve"> type 7.</w:t>
      </w:r>
    </w:p>
    <w:p w:rsidR="00D71890" w:rsidRPr="00D71890" w:rsidRDefault="00D71890" w:rsidP="00F57168">
      <w:pPr>
        <w:pStyle w:val="Heading8"/>
        <w:numPr>
          <w:ilvl w:val="0"/>
          <w:numId w:val="0"/>
        </w:numPr>
      </w:pPr>
      <w:r w:rsidRPr="00117D41">
        <w:t>Direct control (alternative control) services</w:t>
      </w:r>
    </w:p>
    <w:p w:rsidR="00D71890" w:rsidRPr="00117D41" w:rsidRDefault="00D71890" w:rsidP="00D71890">
      <w:pPr>
        <w:pStyle w:val="HeadingBoldBlue"/>
      </w:pPr>
      <w:r>
        <w:t>B.</w:t>
      </w:r>
      <w:r w:rsidR="00A310A6">
        <w:t>4</w:t>
      </w:r>
      <w:r>
        <w:tab/>
      </w:r>
      <w:r w:rsidR="00961E36">
        <w:t>Standard small</w:t>
      </w:r>
      <w:r w:rsidRPr="00117D41">
        <w:t xml:space="preserve"> customer metering services</w:t>
      </w:r>
    </w:p>
    <w:p w:rsidR="00D71890" w:rsidRPr="00117D41" w:rsidRDefault="00D71890" w:rsidP="00D71890">
      <w:pPr>
        <w:pStyle w:val="AERnumberedlistsecondstyle"/>
      </w:pPr>
      <w:r w:rsidRPr="00117D41">
        <w:t>The provision of:</w:t>
      </w:r>
    </w:p>
    <w:p w:rsidR="00D71890" w:rsidRDefault="00D71890" w:rsidP="00D71890">
      <w:pPr>
        <w:pStyle w:val="AERnumberedlistthirdstyle"/>
      </w:pPr>
      <w:r w:rsidRPr="00117D41">
        <w:t xml:space="preserve">meter provision services in respect of meters meeting the requirements of a </w:t>
      </w:r>
      <w:r w:rsidRPr="001616C2">
        <w:rPr>
          <w:rStyle w:val="AERtextitalic"/>
        </w:rPr>
        <w:t>metering installation</w:t>
      </w:r>
      <w:r w:rsidRPr="00117D41">
        <w:t xml:space="preserve"> type 6</w:t>
      </w:r>
    </w:p>
    <w:p w:rsidR="00810339" w:rsidRPr="00117D41" w:rsidRDefault="00810339" w:rsidP="00810339">
      <w:pPr>
        <w:pStyle w:val="AERnumberedlistthirdstyle"/>
      </w:pPr>
      <w:r>
        <w:t xml:space="preserve">meter </w:t>
      </w:r>
      <w:r w:rsidRPr="00810339">
        <w:t xml:space="preserve">installation services in respect of meters meeting the requirements of a </w:t>
      </w:r>
      <w:r w:rsidRPr="00810339">
        <w:rPr>
          <w:rStyle w:val="AERtextitalic"/>
        </w:rPr>
        <w:t>metering installation</w:t>
      </w:r>
      <w:r w:rsidRPr="00810339">
        <w:t xml:space="preserve"> type 6</w:t>
      </w:r>
    </w:p>
    <w:p w:rsidR="00D71890" w:rsidRDefault="00D71890" w:rsidP="00D71890">
      <w:pPr>
        <w:pStyle w:val="AERnumberedlistthirdstyle"/>
      </w:pPr>
      <w:r w:rsidRPr="00117D41">
        <w:t>quarterly meter read</w:t>
      </w:r>
      <w:r w:rsidR="00A310A6">
        <w:t xml:space="preserve"> </w:t>
      </w:r>
      <w:r w:rsidRPr="00117D41">
        <w:t xml:space="preserve">services in respect of meters meeting the requirements of a </w:t>
      </w:r>
      <w:r w:rsidRPr="001616C2">
        <w:rPr>
          <w:rStyle w:val="AERtextitalic"/>
        </w:rPr>
        <w:t xml:space="preserve">metering installation </w:t>
      </w:r>
      <w:r w:rsidRPr="00117D41">
        <w:t>type 6</w:t>
      </w:r>
      <w:r w:rsidR="00A310A6">
        <w:t>, and</w:t>
      </w:r>
    </w:p>
    <w:p w:rsidR="00A310A6" w:rsidRPr="00117D41" w:rsidRDefault="00A310A6" w:rsidP="00D71890">
      <w:pPr>
        <w:pStyle w:val="AERnumberedlistthirdstyle"/>
      </w:pPr>
      <w:r>
        <w:t>energy data and storage services, unscheduled meter reading and metering investigation.</w:t>
      </w:r>
    </w:p>
    <w:p w:rsidR="00D71890" w:rsidRPr="00117D41" w:rsidRDefault="00D71890" w:rsidP="00D71890">
      <w:pPr>
        <w:pStyle w:val="AERnumberedlistsecondstyle"/>
      </w:pPr>
      <w:r w:rsidRPr="00117D41">
        <w:t xml:space="preserve">For the purposes of this clause, meter provision services include, but are not necessarily limited to, any asset related and administrative costs associated </w:t>
      </w:r>
      <w:r w:rsidR="00810339">
        <w:t>with the provision</w:t>
      </w:r>
      <w:r w:rsidRPr="00117D41">
        <w:t xml:space="preserve">, maintenance, and replacement of the meter (including circumstances in which </w:t>
      </w:r>
      <w:r>
        <w:t xml:space="preserve">SA Power Networks' </w:t>
      </w:r>
      <w:r w:rsidRPr="00117D41">
        <w:t>meter is replaced by that of another meter provider).</w:t>
      </w:r>
    </w:p>
    <w:p w:rsidR="00D71890" w:rsidRPr="00117D41" w:rsidRDefault="00D71890" w:rsidP="00D71890">
      <w:pPr>
        <w:pStyle w:val="HeadingBoldBlue"/>
      </w:pPr>
      <w:r>
        <w:t>B.</w:t>
      </w:r>
      <w:r w:rsidR="00A310A6">
        <w:t>5</w:t>
      </w:r>
      <w:r>
        <w:tab/>
      </w:r>
      <w:r w:rsidRPr="00117D41">
        <w:t>Exceptional large customer metering services</w:t>
      </w:r>
    </w:p>
    <w:p w:rsidR="00D71890" w:rsidRPr="00117D41" w:rsidRDefault="00D71890" w:rsidP="00D71890">
      <w:pPr>
        <w:pStyle w:val="AERnumberedlistsecondstyle"/>
      </w:pPr>
      <w:r w:rsidRPr="00117D41">
        <w:t xml:space="preserve">Meter provision services provided in respect of meters meeting the requirements of a </w:t>
      </w:r>
      <w:r w:rsidRPr="001616C2">
        <w:rPr>
          <w:rStyle w:val="AERtextitalic"/>
        </w:rPr>
        <w:t>metering installation</w:t>
      </w:r>
      <w:r w:rsidRPr="00117D41">
        <w:t xml:space="preserve"> type 1, </w:t>
      </w:r>
      <w:r w:rsidRPr="001616C2">
        <w:rPr>
          <w:rStyle w:val="AERtextitalic"/>
        </w:rPr>
        <w:t>metering installation</w:t>
      </w:r>
      <w:r w:rsidRPr="00117D41">
        <w:t xml:space="preserve"> type 2, </w:t>
      </w:r>
      <w:r w:rsidRPr="001616C2">
        <w:rPr>
          <w:rStyle w:val="AERtextitalic"/>
        </w:rPr>
        <w:t>metering installation</w:t>
      </w:r>
      <w:r w:rsidRPr="00117D41">
        <w:t xml:space="preserve"> type 3 or </w:t>
      </w:r>
      <w:r w:rsidRPr="001616C2">
        <w:rPr>
          <w:rStyle w:val="AERtextitalic"/>
        </w:rPr>
        <w:t>metering installation</w:t>
      </w:r>
      <w:r w:rsidRPr="00117D41">
        <w:t xml:space="preserve"> type 4 installed prior to 1 July 2000.</w:t>
      </w:r>
    </w:p>
    <w:p w:rsidR="00D71890" w:rsidRPr="00117D41" w:rsidRDefault="00D71890" w:rsidP="00D71890">
      <w:pPr>
        <w:pStyle w:val="AERnumberedlistsecondstyle"/>
      </w:pPr>
      <w:r w:rsidRPr="00117D41">
        <w:t xml:space="preserve">Meter provision services provided in accordance with the requirement of clause 27 of </w:t>
      </w:r>
      <w:r>
        <w:t xml:space="preserve">SA Power Networks </w:t>
      </w:r>
      <w:r w:rsidRPr="00117D41">
        <w:t>distribution licence as in force at 30 June 2005.</w:t>
      </w:r>
    </w:p>
    <w:p w:rsidR="00D71890" w:rsidRPr="00117D41" w:rsidRDefault="00D71890" w:rsidP="00D71890">
      <w:pPr>
        <w:pStyle w:val="AERnumberedlistsecondstyle"/>
      </w:pPr>
      <w:r w:rsidRPr="00117D41">
        <w:t xml:space="preserve">For the purposes of this clause, meter provision services include, but are not necessarily limited to, any asset related and administrative costs associated with the provision, installation, maintenance, and replacement of the meter (including circumstances in which </w:t>
      </w:r>
      <w:r>
        <w:t>SA Power Networks'</w:t>
      </w:r>
      <w:r w:rsidRPr="00117D41">
        <w:t xml:space="preserve"> meter is replaced by that of another meter provider).</w:t>
      </w:r>
    </w:p>
    <w:p w:rsidR="00D71890" w:rsidRPr="00D71890" w:rsidRDefault="00D71890" w:rsidP="00F57168">
      <w:pPr>
        <w:pStyle w:val="Heading8"/>
        <w:numPr>
          <w:ilvl w:val="0"/>
          <w:numId w:val="0"/>
        </w:numPr>
      </w:pPr>
      <w:r w:rsidRPr="00117D41">
        <w:t>Negotiated distribution services</w:t>
      </w:r>
    </w:p>
    <w:p w:rsidR="00D71890" w:rsidRPr="00117D41" w:rsidRDefault="00D71890" w:rsidP="00D71890">
      <w:pPr>
        <w:pStyle w:val="HeadingBoldBlue"/>
      </w:pPr>
      <w:r>
        <w:t>B.</w:t>
      </w:r>
      <w:r w:rsidR="00A310A6">
        <w:t>6</w:t>
      </w:r>
      <w:r>
        <w:tab/>
      </w:r>
      <w:r w:rsidRPr="00117D41">
        <w:t>Non-standard network services</w:t>
      </w:r>
    </w:p>
    <w:p w:rsidR="00D71890" w:rsidRPr="00117D41" w:rsidRDefault="00D71890" w:rsidP="00D71890">
      <w:pPr>
        <w:pStyle w:val="AERnumberedlistsecondstyle"/>
      </w:pPr>
      <w:r w:rsidRPr="00117D41">
        <w:t xml:space="preserve">a. </w:t>
      </w:r>
      <w:r w:rsidRPr="00875C6F">
        <w:rPr>
          <w:rStyle w:val="AERtextitalic"/>
        </w:rPr>
        <w:t>Network services</w:t>
      </w:r>
      <w:r w:rsidRPr="00117D41">
        <w:t xml:space="preserve"> provided at the request of a </w:t>
      </w:r>
      <w:r w:rsidRPr="00875C6F">
        <w:rPr>
          <w:rStyle w:val="AERtextitalic"/>
        </w:rPr>
        <w:t>distribution network user</w:t>
      </w:r>
      <w:r w:rsidRPr="00117D41">
        <w:t>:</w:t>
      </w:r>
    </w:p>
    <w:p w:rsidR="00D71890" w:rsidRPr="00117D41" w:rsidRDefault="00D71890" w:rsidP="00D71890">
      <w:pPr>
        <w:pStyle w:val="AERnumberedlistthirdstyle"/>
      </w:pPr>
      <w:r w:rsidRPr="00117D41">
        <w:t xml:space="preserve">with higher quality or reliability standards, or lower quality or reliability standards (where permissible), than are required by the </w:t>
      </w:r>
      <w:r w:rsidR="00111AFD">
        <w:t>rules</w:t>
      </w:r>
      <w:r w:rsidR="00111AFD" w:rsidRPr="00117D41">
        <w:t xml:space="preserve"> </w:t>
      </w:r>
      <w:r w:rsidRPr="00117D41">
        <w:t>or any other applicable regulatory instruments, or</w:t>
      </w:r>
    </w:p>
    <w:p w:rsidR="00D71890" w:rsidRPr="00117D41" w:rsidRDefault="00D71890" w:rsidP="00D71890">
      <w:pPr>
        <w:pStyle w:val="AERnumberedlistthirdstyle"/>
      </w:pPr>
      <w:r w:rsidRPr="00117D41">
        <w:t xml:space="preserve">in excess of levels of service or plant ratings required to be provided by </w:t>
      </w:r>
      <w:r>
        <w:t xml:space="preserve">SA Power Networks' </w:t>
      </w:r>
      <w:r w:rsidRPr="00117D41">
        <w:t>assets</w:t>
      </w:r>
      <w:r w:rsidR="002B5CB9">
        <w:t>.</w:t>
      </w:r>
    </w:p>
    <w:p w:rsidR="00D71890" w:rsidRPr="00117D41" w:rsidRDefault="00D71890" w:rsidP="00D71890">
      <w:pPr>
        <w:pStyle w:val="HeadingBoldBlue"/>
      </w:pPr>
      <w:r>
        <w:lastRenderedPageBreak/>
        <w:t>B.</w:t>
      </w:r>
      <w:r w:rsidR="00A310A6">
        <w:t>7</w:t>
      </w:r>
      <w:r>
        <w:tab/>
      </w:r>
      <w:r w:rsidRPr="00117D41">
        <w:t>Non-standard connection services</w:t>
      </w:r>
    </w:p>
    <w:p w:rsidR="00D71890" w:rsidRPr="00117D41" w:rsidRDefault="00D71890" w:rsidP="00D71890">
      <w:pPr>
        <w:pStyle w:val="AERnumberedlistsecondstyle"/>
      </w:pPr>
      <w:r w:rsidRPr="002C59A7">
        <w:rPr>
          <w:rStyle w:val="AERtextitalic"/>
        </w:rPr>
        <w:t>Connection services</w:t>
      </w:r>
      <w:r w:rsidRPr="00117D41">
        <w:t xml:space="preserve"> provided at the request of a </w:t>
      </w:r>
      <w:r w:rsidRPr="002C59A7">
        <w:rPr>
          <w:rStyle w:val="AERtextitalic"/>
        </w:rPr>
        <w:t>distribution network user</w:t>
      </w:r>
      <w:r w:rsidRPr="00117D41">
        <w:t>:</w:t>
      </w:r>
    </w:p>
    <w:p w:rsidR="00D71890" w:rsidRPr="00117D41" w:rsidRDefault="00D71890" w:rsidP="00D71890">
      <w:pPr>
        <w:pStyle w:val="AERnumberedlistthirdstyle"/>
      </w:pPr>
      <w:r w:rsidRPr="00117D41">
        <w:t xml:space="preserve">with higher quality or reliability standards, or lower quality or reliability standards (where permissible), than are required by the </w:t>
      </w:r>
      <w:r w:rsidR="00111AFD">
        <w:t>rules</w:t>
      </w:r>
      <w:r w:rsidR="00111AFD" w:rsidRPr="00117D41">
        <w:t xml:space="preserve"> </w:t>
      </w:r>
      <w:r w:rsidRPr="00117D41">
        <w:t>or any other applicable regulatory instruments, or</w:t>
      </w:r>
    </w:p>
    <w:p w:rsidR="00D71890" w:rsidRPr="00117D41" w:rsidRDefault="00D71890" w:rsidP="00D71890">
      <w:pPr>
        <w:pStyle w:val="AERnumberedlistthirdstyle"/>
      </w:pPr>
      <w:r w:rsidRPr="00117D41">
        <w:t xml:space="preserve">in excess of levels of service or plant ratings required to be provided by </w:t>
      </w:r>
      <w:r>
        <w:t>SA Power Networks'</w:t>
      </w:r>
      <w:r w:rsidR="002B5CB9">
        <w:t xml:space="preserve"> </w:t>
      </w:r>
      <w:r w:rsidRPr="00117D41">
        <w:t>assets.</w:t>
      </w:r>
    </w:p>
    <w:p w:rsidR="00D71890" w:rsidRPr="00117D41" w:rsidRDefault="00D71890" w:rsidP="00D71890">
      <w:pPr>
        <w:pStyle w:val="HeadingBoldBlue"/>
      </w:pPr>
      <w:r>
        <w:t>B.</w:t>
      </w:r>
      <w:r w:rsidR="00A310A6">
        <w:t>8</w:t>
      </w:r>
      <w:r>
        <w:tab/>
      </w:r>
      <w:r w:rsidRPr="00117D41">
        <w:t>New and upgraded connection point services</w:t>
      </w:r>
    </w:p>
    <w:p w:rsidR="00D71890" w:rsidRPr="00117D41" w:rsidRDefault="00D71890" w:rsidP="00D71890">
      <w:pPr>
        <w:pStyle w:val="AERnumberedlistsecondstyle"/>
      </w:pPr>
      <w:r w:rsidRPr="00117D41">
        <w:t xml:space="preserve">Extension or augmentation of the </w:t>
      </w:r>
      <w:r w:rsidRPr="001616C2">
        <w:rPr>
          <w:rStyle w:val="AERtextitalic"/>
        </w:rPr>
        <w:t>distribution network</w:t>
      </w:r>
      <w:r w:rsidRPr="00117D41">
        <w:t xml:space="preserve"> associated with the provision of a new </w:t>
      </w:r>
      <w:r w:rsidRPr="001616C2">
        <w:rPr>
          <w:rStyle w:val="AERtextitalic"/>
        </w:rPr>
        <w:t>connection point</w:t>
      </w:r>
      <w:r w:rsidRPr="00117D41">
        <w:t xml:space="preserve"> or upgrading of the capability of a </w:t>
      </w:r>
      <w:r w:rsidRPr="001616C2">
        <w:rPr>
          <w:rStyle w:val="AERtextitalic"/>
        </w:rPr>
        <w:t>connection point</w:t>
      </w:r>
      <w:r w:rsidRPr="00117D41">
        <w:t xml:space="preserve"> to the extent that a </w:t>
      </w:r>
      <w:r w:rsidRPr="001616C2">
        <w:rPr>
          <w:rStyle w:val="AERtextitalic"/>
        </w:rPr>
        <w:t>distribution network user</w:t>
      </w:r>
      <w:r w:rsidRPr="00117D41">
        <w:t xml:space="preserve"> is required to make a financial contribution in accordance with the</w:t>
      </w:r>
      <w:r>
        <w:t xml:space="preserve"> </w:t>
      </w:r>
      <w:r w:rsidR="00111AFD">
        <w:t>rules</w:t>
      </w:r>
      <w:r w:rsidRPr="00117D41">
        <w:t>.</w:t>
      </w:r>
    </w:p>
    <w:p w:rsidR="00D71890" w:rsidRPr="00117D41" w:rsidRDefault="00D71890" w:rsidP="00D71890">
      <w:pPr>
        <w:pStyle w:val="AERnumberedlistsecondstyle"/>
      </w:pPr>
      <w:r w:rsidRPr="00117D41">
        <w:t xml:space="preserve">The provision of a new </w:t>
      </w:r>
      <w:r w:rsidRPr="001616C2">
        <w:rPr>
          <w:rStyle w:val="AERtextitalic"/>
        </w:rPr>
        <w:t>connection point</w:t>
      </w:r>
      <w:r w:rsidRPr="00117D41">
        <w:t xml:space="preserve"> or upgrading of the capability of a </w:t>
      </w:r>
      <w:r w:rsidRPr="001616C2">
        <w:rPr>
          <w:rStyle w:val="AERtextitalic"/>
        </w:rPr>
        <w:t>connection point</w:t>
      </w:r>
      <w:r w:rsidRPr="00117D41">
        <w:t xml:space="preserve"> to the extent that a </w:t>
      </w:r>
      <w:r w:rsidRPr="001616C2">
        <w:rPr>
          <w:rStyle w:val="AERtextitalic"/>
        </w:rPr>
        <w:t>distribution network user</w:t>
      </w:r>
      <w:r w:rsidRPr="00117D41">
        <w:t xml:space="preserve"> is required to make a financial contribution in accordance with the</w:t>
      </w:r>
      <w:r>
        <w:t xml:space="preserve"> </w:t>
      </w:r>
      <w:r w:rsidR="00111AFD">
        <w:t>rules</w:t>
      </w:r>
      <w:r w:rsidRPr="00117D41">
        <w:t>.</w:t>
      </w:r>
    </w:p>
    <w:p w:rsidR="00D71890" w:rsidRPr="00117D41" w:rsidRDefault="00D71890" w:rsidP="00D71890">
      <w:pPr>
        <w:pStyle w:val="AERnumberedlistsecondstyle"/>
      </w:pPr>
      <w:r w:rsidRPr="00117D41">
        <w:t xml:space="preserve">Responding to an enquiry in relation to the provision of a new </w:t>
      </w:r>
      <w:r w:rsidRPr="001616C2">
        <w:rPr>
          <w:rStyle w:val="AERtextitalic"/>
        </w:rPr>
        <w:t>connection point</w:t>
      </w:r>
      <w:r>
        <w:t xml:space="preserve"> referred to in paragraph B</w:t>
      </w:r>
      <w:r w:rsidRPr="00117D41">
        <w:t>.</w:t>
      </w:r>
      <w:r w:rsidR="00A310A6">
        <w:t>8</w:t>
      </w:r>
      <w:r w:rsidRPr="00117D41">
        <w:t>(a) or (b).</w:t>
      </w:r>
    </w:p>
    <w:p w:rsidR="00D71890" w:rsidRPr="00117D41" w:rsidRDefault="00D71890" w:rsidP="00D71890">
      <w:pPr>
        <w:pStyle w:val="AERnumberedlistsecondstyle"/>
      </w:pPr>
      <w:r w:rsidRPr="00117D41">
        <w:t xml:space="preserve">The provision of technical specifications in relation to the upgrading of the capability of a </w:t>
      </w:r>
      <w:r w:rsidRPr="001616C2">
        <w:rPr>
          <w:rStyle w:val="AERtextitalic"/>
        </w:rPr>
        <w:t>connection point</w:t>
      </w:r>
      <w:r>
        <w:t xml:space="preserve"> referred to in paragraph B</w:t>
      </w:r>
      <w:r w:rsidRPr="00117D41">
        <w:t>.</w:t>
      </w:r>
      <w:r w:rsidR="00A310A6">
        <w:t>8</w:t>
      </w:r>
      <w:r w:rsidRPr="00117D41">
        <w:t>(a) or (b).</w:t>
      </w:r>
    </w:p>
    <w:p w:rsidR="00D71890" w:rsidRPr="00117D41" w:rsidRDefault="00D71890" w:rsidP="00D71890">
      <w:pPr>
        <w:pStyle w:val="AERnumberedlistsecondstyle"/>
      </w:pPr>
      <w:r w:rsidRPr="00117D41">
        <w:t xml:space="preserve">Preliminary communications with a customer, being an existing or potential </w:t>
      </w:r>
      <w:r w:rsidRPr="001616C2">
        <w:rPr>
          <w:rStyle w:val="AERtextitalic"/>
        </w:rPr>
        <w:t xml:space="preserve">distribution network user </w:t>
      </w:r>
      <w:r w:rsidRPr="00117D41">
        <w:t>where more than 6 hours work is required.</w:t>
      </w:r>
    </w:p>
    <w:p w:rsidR="00D71890" w:rsidRPr="00117D41" w:rsidRDefault="00D71890" w:rsidP="00D71890">
      <w:pPr>
        <w:pStyle w:val="HeadingBoldBlue"/>
      </w:pPr>
      <w:r>
        <w:t>B.</w:t>
      </w:r>
      <w:r w:rsidR="00A310A6">
        <w:t>9</w:t>
      </w:r>
      <w:r>
        <w:tab/>
      </w:r>
      <w:r w:rsidRPr="00117D41">
        <w:t>Non-standard small customer metering services</w:t>
      </w:r>
    </w:p>
    <w:p w:rsidR="00D71890" w:rsidRPr="00117D41" w:rsidRDefault="00D71890" w:rsidP="00D71890">
      <w:pPr>
        <w:pStyle w:val="AERnumberedlistsecondstyle"/>
      </w:pPr>
      <w:r w:rsidRPr="00117D41">
        <w:t xml:space="preserve">In relation to ‘small’ </w:t>
      </w:r>
      <w:r w:rsidRPr="001616C2">
        <w:rPr>
          <w:rStyle w:val="AERtextitalic"/>
        </w:rPr>
        <w:t>distribution network users</w:t>
      </w:r>
      <w:r w:rsidRPr="00117D41">
        <w:t xml:space="preserve"> (at present, those consuming less than 160MWh per annum), the provision of metering services:</w:t>
      </w:r>
    </w:p>
    <w:p w:rsidR="00D71890" w:rsidRPr="00117D41" w:rsidRDefault="00D71890" w:rsidP="00D71890">
      <w:pPr>
        <w:pStyle w:val="AERnumberedlistthirdstyle"/>
      </w:pPr>
      <w:r w:rsidRPr="00117D41">
        <w:t xml:space="preserve">at all first tier </w:t>
      </w:r>
      <w:r w:rsidRPr="001616C2">
        <w:rPr>
          <w:rStyle w:val="AERtextitalic"/>
        </w:rPr>
        <w:t>connection points</w:t>
      </w:r>
      <w:r w:rsidRPr="00117D41">
        <w:t xml:space="preserve"> and second tier </w:t>
      </w:r>
      <w:r w:rsidRPr="001616C2">
        <w:rPr>
          <w:rStyle w:val="AERtextitalic"/>
        </w:rPr>
        <w:t>connection points</w:t>
      </w:r>
      <w:r w:rsidRPr="00117D41">
        <w:t xml:space="preserve"> where a meter meeting the requirements of a </w:t>
      </w:r>
      <w:r w:rsidRPr="001616C2">
        <w:rPr>
          <w:rStyle w:val="AERtextitalic"/>
        </w:rPr>
        <w:t>metering installation</w:t>
      </w:r>
      <w:r w:rsidRPr="00117D41">
        <w:t xml:space="preserve"> type 1, </w:t>
      </w:r>
      <w:r w:rsidRPr="001616C2">
        <w:rPr>
          <w:rStyle w:val="AERtextitalic"/>
        </w:rPr>
        <w:t>metering installation</w:t>
      </w:r>
      <w:r w:rsidRPr="00117D41">
        <w:t xml:space="preserve"> type 2, </w:t>
      </w:r>
      <w:r w:rsidRPr="001616C2">
        <w:rPr>
          <w:rStyle w:val="AERtextitalic"/>
        </w:rPr>
        <w:t xml:space="preserve">metering installation </w:t>
      </w:r>
      <w:r w:rsidRPr="00117D41">
        <w:t xml:space="preserve">type 3, </w:t>
      </w:r>
      <w:r w:rsidRPr="001616C2">
        <w:rPr>
          <w:rStyle w:val="AERtextitalic"/>
        </w:rPr>
        <w:t>metering installation</w:t>
      </w:r>
      <w:r w:rsidRPr="00117D41">
        <w:t xml:space="preserve"> type 4 or </w:t>
      </w:r>
      <w:r w:rsidRPr="001616C2">
        <w:rPr>
          <w:rStyle w:val="AERtextitalic"/>
        </w:rPr>
        <w:t>metering installation</w:t>
      </w:r>
      <w:r w:rsidRPr="00117D41">
        <w:t xml:space="preserve"> type 5 is or is to be installed, or</w:t>
      </w:r>
    </w:p>
    <w:p w:rsidR="00D71890" w:rsidRPr="00117D41" w:rsidRDefault="00D71890" w:rsidP="00D71890">
      <w:pPr>
        <w:pStyle w:val="AERnumberedlistthirdstyle"/>
      </w:pPr>
      <w:r w:rsidRPr="00117D41">
        <w:t xml:space="preserve">in respect of meters meeting the requirements of a </w:t>
      </w:r>
      <w:r w:rsidRPr="001616C2">
        <w:rPr>
          <w:rStyle w:val="AERtextitalic"/>
        </w:rPr>
        <w:t>metering installation</w:t>
      </w:r>
      <w:r w:rsidRPr="00117D41">
        <w:t xml:space="preserve"> type 6 and </w:t>
      </w:r>
      <w:r w:rsidRPr="001616C2">
        <w:rPr>
          <w:rStyle w:val="AERtextitalic"/>
        </w:rPr>
        <w:t>metering installation</w:t>
      </w:r>
      <w:r w:rsidRPr="00117D41">
        <w:t xml:space="preserve"> type 7 containing a meter different to the type of meter </w:t>
      </w:r>
      <w:r>
        <w:t xml:space="preserve">SA Power Networks </w:t>
      </w:r>
      <w:r w:rsidRPr="00117D41">
        <w:t xml:space="preserve">would ordinarily install (including prepayment meter systems), which is installed at the request of a retailer or a </w:t>
      </w:r>
      <w:r w:rsidRPr="001616C2">
        <w:rPr>
          <w:rStyle w:val="AERtextitalic"/>
        </w:rPr>
        <w:t>distribution network user</w:t>
      </w:r>
      <w:r w:rsidRPr="00117D41">
        <w:t>.</w:t>
      </w:r>
    </w:p>
    <w:p w:rsidR="00D71890" w:rsidRPr="00117D41" w:rsidRDefault="00D71890" w:rsidP="00D71890">
      <w:pPr>
        <w:pStyle w:val="AERnumberedlistsecondstyle"/>
      </w:pPr>
      <w:r w:rsidRPr="00117D41">
        <w:t>In relation to energy data services, the provision of special meter readings and associated services.</w:t>
      </w:r>
    </w:p>
    <w:p w:rsidR="00D71890" w:rsidRPr="00117D41" w:rsidRDefault="00D71890" w:rsidP="00D71890">
      <w:pPr>
        <w:pStyle w:val="HeadingBoldBlue"/>
      </w:pPr>
      <w:r>
        <w:t>B.1</w:t>
      </w:r>
      <w:r w:rsidR="00A310A6">
        <w:t>0</w:t>
      </w:r>
      <w:r>
        <w:tab/>
      </w:r>
      <w:r w:rsidRPr="00117D41">
        <w:t>Large customer metering services</w:t>
      </w:r>
    </w:p>
    <w:p w:rsidR="00D71890" w:rsidRPr="00117D41" w:rsidRDefault="00D71890" w:rsidP="00D71890">
      <w:pPr>
        <w:pStyle w:val="AERnumberedlistsecondstyle"/>
      </w:pPr>
      <w:r w:rsidRPr="00117D41">
        <w:t xml:space="preserve">The provision of </w:t>
      </w:r>
      <w:r w:rsidRPr="001616C2">
        <w:rPr>
          <w:rStyle w:val="AERtextitalic"/>
        </w:rPr>
        <w:t>metering services</w:t>
      </w:r>
      <w:r w:rsidRPr="00117D41">
        <w:t xml:space="preserve"> to ‘large’ customers (at present, those consuming more than 160MWh per annum), except for:</w:t>
      </w:r>
    </w:p>
    <w:p w:rsidR="00D71890" w:rsidRPr="00117D41" w:rsidRDefault="00D71890" w:rsidP="00D71890">
      <w:pPr>
        <w:pStyle w:val="AERnumberedlistthirdstyle"/>
      </w:pPr>
      <w:r w:rsidRPr="00117D41">
        <w:lastRenderedPageBreak/>
        <w:t xml:space="preserve">meter provision services provided in respect of meters meeting the requirements of a </w:t>
      </w:r>
      <w:r w:rsidRPr="001616C2">
        <w:rPr>
          <w:rStyle w:val="AERtextitalic"/>
        </w:rPr>
        <w:t>metering installation</w:t>
      </w:r>
      <w:r w:rsidRPr="00117D41">
        <w:t xml:space="preserve"> type 1, </w:t>
      </w:r>
      <w:r w:rsidRPr="001616C2">
        <w:rPr>
          <w:rStyle w:val="AERtextitalic"/>
        </w:rPr>
        <w:t>metering installation</w:t>
      </w:r>
      <w:r w:rsidRPr="00117D41">
        <w:t xml:space="preserve"> type 2, </w:t>
      </w:r>
      <w:r w:rsidRPr="001616C2">
        <w:rPr>
          <w:rStyle w:val="AERtextitalic"/>
        </w:rPr>
        <w:t>metering installation</w:t>
      </w:r>
      <w:r w:rsidRPr="00117D41">
        <w:t xml:space="preserve"> type 3 or </w:t>
      </w:r>
      <w:r w:rsidRPr="001616C2">
        <w:rPr>
          <w:rStyle w:val="AERtextitalic"/>
        </w:rPr>
        <w:t>metering installation</w:t>
      </w:r>
      <w:r w:rsidRPr="00117D41">
        <w:t xml:space="preserve"> type 4 installed prior to 1 July 2000, or</w:t>
      </w:r>
    </w:p>
    <w:p w:rsidR="00D71890" w:rsidRPr="00117D41" w:rsidRDefault="00D71890" w:rsidP="00D71890">
      <w:pPr>
        <w:pStyle w:val="AERnumberedlistthirdstyle"/>
      </w:pPr>
      <w:r w:rsidRPr="00117D41">
        <w:t xml:space="preserve">meter provision services provided in accordance with the requirement of clause 27 of </w:t>
      </w:r>
      <w:r w:rsidR="000B6EF5">
        <w:t>SA P</w:t>
      </w:r>
      <w:r>
        <w:t>ower Networks</w:t>
      </w:r>
      <w:r w:rsidR="002B5CB9">
        <w:t>'</w:t>
      </w:r>
      <w:r>
        <w:t xml:space="preserve"> </w:t>
      </w:r>
      <w:r w:rsidRPr="00117D41">
        <w:t>distribution licence as in force at 30 June 2005.</w:t>
      </w:r>
    </w:p>
    <w:p w:rsidR="00D71890" w:rsidRPr="00117D41" w:rsidRDefault="00D71890" w:rsidP="00D71890">
      <w:pPr>
        <w:pStyle w:val="HeadingBoldBlue"/>
      </w:pPr>
      <w:r>
        <w:t>B.1</w:t>
      </w:r>
      <w:r w:rsidR="00A310A6">
        <w:t>1</w:t>
      </w:r>
      <w:r>
        <w:tab/>
      </w:r>
      <w:r w:rsidRPr="00117D41">
        <w:t>Public lighting services</w:t>
      </w:r>
    </w:p>
    <w:p w:rsidR="00D71890" w:rsidRPr="00117D41" w:rsidRDefault="00D71890" w:rsidP="00D71890">
      <w:pPr>
        <w:pStyle w:val="AERnumberedlistsecondstyle"/>
      </w:pPr>
      <w:r w:rsidRPr="00117D41">
        <w:t>Street lighting use of system services</w:t>
      </w:r>
    </w:p>
    <w:p w:rsidR="00D71890" w:rsidRPr="00117D41" w:rsidRDefault="00D71890" w:rsidP="00D71890">
      <w:pPr>
        <w:pStyle w:val="AERnumberedlistthirdstyle"/>
      </w:pPr>
      <w:r w:rsidRPr="00117D41">
        <w:t xml:space="preserve">The provision of public lighting assets, and the operation and maintenance of those assets where </w:t>
      </w:r>
      <w:r>
        <w:t xml:space="preserve">SA Power Networks </w:t>
      </w:r>
      <w:r w:rsidRPr="00117D41">
        <w:t>retains ownership of the assets.</w:t>
      </w:r>
    </w:p>
    <w:p w:rsidR="00D71890" w:rsidRPr="00117D41" w:rsidRDefault="00D71890" w:rsidP="00D71890">
      <w:pPr>
        <w:pStyle w:val="AERnumberedlistsecondstyle"/>
      </w:pPr>
      <w:r w:rsidRPr="00117D41">
        <w:t>Customer lighting equipment rate services</w:t>
      </w:r>
    </w:p>
    <w:p w:rsidR="00D71890" w:rsidRPr="00117D41" w:rsidRDefault="00D71890" w:rsidP="00D71890">
      <w:pPr>
        <w:pStyle w:val="AERnumberedlistthirdstyle"/>
      </w:pPr>
      <w:r w:rsidRPr="00117D41">
        <w:t>The replacement of failed lamps in customer-owned streetlights where the customer retains ownership of the assets and is responsible for all other maintenance.</w:t>
      </w:r>
    </w:p>
    <w:p w:rsidR="00D71890" w:rsidRPr="00117D41" w:rsidRDefault="00D71890" w:rsidP="00D71890">
      <w:pPr>
        <w:pStyle w:val="AERnumberedlistsecondstyle"/>
      </w:pPr>
      <w:r w:rsidRPr="00117D41">
        <w:t>Energy only services</w:t>
      </w:r>
    </w:p>
    <w:p w:rsidR="00D71890" w:rsidRPr="00117D41" w:rsidRDefault="00D71890" w:rsidP="00D71890">
      <w:pPr>
        <w:pStyle w:val="AERnumberedlistthirdstyle"/>
      </w:pPr>
      <w:r w:rsidRPr="00117D41">
        <w:t xml:space="preserve">The maintenance of a database relating to street lights, and recording and informing customers of streetlight faults reported to </w:t>
      </w:r>
      <w:r>
        <w:t>SA Power Networks</w:t>
      </w:r>
      <w:r w:rsidRPr="00117D41">
        <w:t xml:space="preserve"> where customers retain ownership of the assets and are responsible for all maintenance (including replacement of failed lamps).</w:t>
      </w:r>
    </w:p>
    <w:p w:rsidR="00D71890" w:rsidRPr="00117D41" w:rsidRDefault="00D71890" w:rsidP="00D71890">
      <w:pPr>
        <w:pStyle w:val="HeadingBoldBlue"/>
      </w:pPr>
      <w:r>
        <w:t>B.1</w:t>
      </w:r>
      <w:r w:rsidR="00A310A6">
        <w:t>2</w:t>
      </w:r>
      <w:r>
        <w:tab/>
      </w:r>
      <w:r w:rsidRPr="00117D41">
        <w:t>Stand-by and temporary supply services</w:t>
      </w:r>
    </w:p>
    <w:p w:rsidR="00D71890" w:rsidRPr="00117D41" w:rsidRDefault="00D71890" w:rsidP="00D71890">
      <w:pPr>
        <w:pStyle w:val="AERnumberedlistsecondstyle"/>
      </w:pPr>
      <w:r w:rsidRPr="00117D41">
        <w:t>The following services associated with stand-by and temporary supply:</w:t>
      </w:r>
    </w:p>
    <w:p w:rsidR="00D71890" w:rsidRPr="00117D41" w:rsidRDefault="00D71890" w:rsidP="00D71890">
      <w:pPr>
        <w:pStyle w:val="AERnumberedlistthirdstyle"/>
      </w:pPr>
      <w:r w:rsidRPr="00117D41">
        <w:t>provision of electric plant or stand-by generator for the specific purpose of enabling the provision of top-up or stand-by supplies or sales of electricity</w:t>
      </w:r>
    </w:p>
    <w:p w:rsidR="00D71890" w:rsidRPr="00117D41" w:rsidRDefault="00D71890" w:rsidP="00D71890">
      <w:pPr>
        <w:pStyle w:val="AERnumberedlistthirdstyle"/>
      </w:pPr>
      <w:r w:rsidRPr="00117D41">
        <w:t xml:space="preserve">provision of </w:t>
      </w:r>
      <w:r w:rsidRPr="001616C2">
        <w:rPr>
          <w:rStyle w:val="AERtextitalic"/>
        </w:rPr>
        <w:t>network services</w:t>
      </w:r>
      <w:r w:rsidRPr="00117D41">
        <w:t xml:space="preserve"> for a </w:t>
      </w:r>
      <w:r w:rsidRPr="001616C2">
        <w:rPr>
          <w:rStyle w:val="AERtextitalic"/>
        </w:rPr>
        <w:t>connection point</w:t>
      </w:r>
      <w:r w:rsidRPr="00117D41">
        <w:t xml:space="preserve"> where a </w:t>
      </w:r>
      <w:r w:rsidRPr="001616C2">
        <w:rPr>
          <w:rStyle w:val="AERtextitalic"/>
        </w:rPr>
        <w:t>distribution network user</w:t>
      </w:r>
      <w:r w:rsidRPr="00117D41">
        <w:t xml:space="preserve"> operates parallel generation requiring a stand-by supply</w:t>
      </w:r>
    </w:p>
    <w:p w:rsidR="00D71890" w:rsidRPr="00117D41" w:rsidRDefault="00D71890" w:rsidP="00D71890">
      <w:pPr>
        <w:pStyle w:val="AERnumberedlistthirdstyle"/>
      </w:pPr>
      <w:r w:rsidRPr="00117D41">
        <w:t>provisio</w:t>
      </w:r>
      <w:r>
        <w:t xml:space="preserve">n of temporary supplies, and </w:t>
      </w:r>
    </w:p>
    <w:p w:rsidR="00D71890" w:rsidRPr="00117D41" w:rsidRDefault="00D71890" w:rsidP="00D71890">
      <w:pPr>
        <w:pStyle w:val="AERnumberedlistthirdstyle"/>
      </w:pPr>
      <w:r w:rsidRPr="00117D41">
        <w:t>provision of reserve (duplicate) supply.</w:t>
      </w:r>
    </w:p>
    <w:p w:rsidR="00D71890" w:rsidRPr="00117D41" w:rsidRDefault="00D71890" w:rsidP="00D71890">
      <w:pPr>
        <w:pStyle w:val="HeadingBoldBlue"/>
      </w:pPr>
      <w:r>
        <w:t>B.1</w:t>
      </w:r>
      <w:r w:rsidR="00A310A6">
        <w:t>3</w:t>
      </w:r>
      <w:r>
        <w:tab/>
      </w:r>
      <w:r w:rsidRPr="00117D41">
        <w:t>Asset relocation, temporary disconnection and temporary line insulation services</w:t>
      </w:r>
    </w:p>
    <w:p w:rsidR="00D71890" w:rsidRPr="00117D41" w:rsidRDefault="00D71890" w:rsidP="00D71890">
      <w:pPr>
        <w:pStyle w:val="AERnumberedlistsecondstyle"/>
      </w:pPr>
      <w:r w:rsidRPr="00117D41">
        <w:t xml:space="preserve">Moving mains, services or meters forming part of the </w:t>
      </w:r>
      <w:r w:rsidRPr="001616C2">
        <w:rPr>
          <w:rStyle w:val="AERtextitalic"/>
        </w:rPr>
        <w:t>distribution system</w:t>
      </w:r>
      <w:r w:rsidRPr="00117D41">
        <w:t xml:space="preserve">, providing temporary disconnection, or temporary line insulation to accommodate extensions, re-design or re-development of any premises or otherwise as requested by a </w:t>
      </w:r>
      <w:r w:rsidRPr="001616C2">
        <w:rPr>
          <w:rStyle w:val="AERtextitalic"/>
        </w:rPr>
        <w:t>distribution network user</w:t>
      </w:r>
      <w:r w:rsidRPr="00117D41">
        <w:t>.</w:t>
      </w:r>
    </w:p>
    <w:p w:rsidR="00D71890" w:rsidRPr="00117D41" w:rsidRDefault="00D71890" w:rsidP="00D71890">
      <w:pPr>
        <w:pStyle w:val="AERnumberedlistsecondstyle"/>
      </w:pPr>
      <w:r w:rsidRPr="00117D41">
        <w:t>Provision of network access management services for a distribution network user or external party.</w:t>
      </w:r>
    </w:p>
    <w:p w:rsidR="00D71890" w:rsidRPr="00117D41" w:rsidRDefault="00D71890" w:rsidP="00D71890">
      <w:pPr>
        <w:pStyle w:val="HeadingBoldBlue"/>
      </w:pPr>
      <w:r>
        <w:t>B.1</w:t>
      </w:r>
      <w:r w:rsidR="00A310A6">
        <w:t>4</w:t>
      </w:r>
      <w:r>
        <w:tab/>
      </w:r>
      <w:r w:rsidRPr="00117D41">
        <w:t>Embedded generation services</w:t>
      </w:r>
    </w:p>
    <w:p w:rsidR="00D71890" w:rsidRPr="00117D41" w:rsidRDefault="00D71890" w:rsidP="00D71890">
      <w:pPr>
        <w:pStyle w:val="AERnumberedlistsecondstyle"/>
      </w:pPr>
      <w:r w:rsidRPr="00117D41">
        <w:t xml:space="preserve">Services and system augmentation or extension required to receive energy from an embedded generator and meet the requirements of the </w:t>
      </w:r>
      <w:r w:rsidR="00111AFD">
        <w:t>rules</w:t>
      </w:r>
      <w:r w:rsidRPr="00117D41">
        <w:t>.</w:t>
      </w:r>
    </w:p>
    <w:p w:rsidR="00D71890" w:rsidRPr="00117D41" w:rsidRDefault="00D71890" w:rsidP="00D71890">
      <w:pPr>
        <w:pStyle w:val="AERnumberedlistsecondstyle"/>
      </w:pPr>
      <w:r w:rsidRPr="00117D41">
        <w:lastRenderedPageBreak/>
        <w:t xml:space="preserve">Services associated with non-compliance of the embedded generator with the </w:t>
      </w:r>
      <w:r w:rsidRPr="001616C2">
        <w:rPr>
          <w:rStyle w:val="AERtextitalic"/>
        </w:rPr>
        <w:t>connection agreement</w:t>
      </w:r>
      <w:r w:rsidRPr="00117D41">
        <w:t>, including but not limited to reactive power, power factor, harmonics, voltage dips and test supply arrangements.</w:t>
      </w:r>
    </w:p>
    <w:p w:rsidR="00D71890" w:rsidRPr="00117D41" w:rsidRDefault="00D71890" w:rsidP="00D71890">
      <w:pPr>
        <w:pStyle w:val="HeadingBoldBlue"/>
      </w:pPr>
      <w:r>
        <w:t>B.1</w:t>
      </w:r>
      <w:r w:rsidR="00A310A6">
        <w:t>5</w:t>
      </w:r>
      <w:r>
        <w:tab/>
      </w:r>
      <w:r w:rsidRPr="00117D41">
        <w:t>Other Services</w:t>
      </w:r>
    </w:p>
    <w:p w:rsidR="00D71890" w:rsidRPr="00117D41" w:rsidRDefault="00D71890" w:rsidP="00D71890">
      <w:pPr>
        <w:pStyle w:val="AERnumberedlistsecondstyle"/>
      </w:pPr>
      <w:r w:rsidRPr="00117D41">
        <w:t xml:space="preserve">The following services provided in connection with the </w:t>
      </w:r>
      <w:r w:rsidRPr="001616C2">
        <w:rPr>
          <w:rStyle w:val="AERtextitalic"/>
        </w:rPr>
        <w:t>Electricity Metering Code</w:t>
      </w:r>
      <w:r w:rsidRPr="00117D41">
        <w:t xml:space="preserve"> or the </w:t>
      </w:r>
      <w:r w:rsidR="00111AFD">
        <w:t>rules</w:t>
      </w:r>
      <w:r w:rsidRPr="00117D41">
        <w:t>:</w:t>
      </w:r>
    </w:p>
    <w:p w:rsidR="00D71890" w:rsidRPr="00117D41" w:rsidRDefault="00D71890" w:rsidP="00D71890">
      <w:pPr>
        <w:pStyle w:val="AERnumberedlistthirdstyle"/>
      </w:pPr>
      <w:r w:rsidRPr="00117D41">
        <w:t>application for an account or new supply</w:t>
      </w:r>
    </w:p>
    <w:p w:rsidR="00D71890" w:rsidRPr="00117D41" w:rsidRDefault="00D71890" w:rsidP="00D71890">
      <w:pPr>
        <w:pStyle w:val="AERnumberedlistthirdstyle"/>
      </w:pPr>
      <w:r w:rsidRPr="00117D41">
        <w:t xml:space="preserve">provision of a copy of </w:t>
      </w:r>
      <w:r>
        <w:t>various codes</w:t>
      </w:r>
    </w:p>
    <w:p w:rsidR="00D71890" w:rsidRPr="00117D41" w:rsidRDefault="00D71890" w:rsidP="00D71890">
      <w:pPr>
        <w:pStyle w:val="AERnumberedlistthirdstyle"/>
      </w:pPr>
      <w:r w:rsidRPr="00117D41">
        <w:t>provision of old billing data</w:t>
      </w:r>
    </w:p>
    <w:p w:rsidR="00D71890" w:rsidRPr="00117D41" w:rsidRDefault="00D71890" w:rsidP="00D71890">
      <w:pPr>
        <w:pStyle w:val="AERnumberedlistthirdstyle"/>
      </w:pPr>
      <w:r w:rsidRPr="00117D41">
        <w:t>meter testing at the request of a distribution network user</w:t>
      </w:r>
    </w:p>
    <w:p w:rsidR="00D71890" w:rsidRPr="00117D41" w:rsidRDefault="00D71890" w:rsidP="00D71890">
      <w:pPr>
        <w:pStyle w:val="AERnumberedlistthirdstyle"/>
      </w:pPr>
      <w:r w:rsidRPr="00117D41">
        <w:t>after-hours reconnection</w:t>
      </w:r>
    </w:p>
    <w:p w:rsidR="00D71890" w:rsidRPr="00117D41" w:rsidRDefault="00D71890" w:rsidP="00D71890">
      <w:pPr>
        <w:pStyle w:val="AERnumberedlistthirdstyle"/>
      </w:pPr>
      <w:r w:rsidRPr="00117D41">
        <w:t>reconnection due to a distribution network users’ fault, and</w:t>
      </w:r>
    </w:p>
    <w:p w:rsidR="00D71890" w:rsidRPr="00117D41" w:rsidRDefault="00D71890" w:rsidP="00D71890">
      <w:pPr>
        <w:pStyle w:val="AERnumberedlistthirdstyle"/>
      </w:pPr>
      <w:r w:rsidRPr="00117D41">
        <w:t>disconnection services provided to a retailer, or a distribution network user.</w:t>
      </w:r>
    </w:p>
    <w:p w:rsidR="00D71890" w:rsidRPr="00117D41" w:rsidRDefault="00D71890" w:rsidP="00D71890">
      <w:pPr>
        <w:pStyle w:val="AERnumberedlistsecondstyle"/>
      </w:pPr>
      <w:r w:rsidRPr="00117D41">
        <w:t xml:space="preserve">Provision of reactive power and energy to a </w:t>
      </w:r>
      <w:r w:rsidRPr="001616C2">
        <w:rPr>
          <w:rStyle w:val="AERtextitalic"/>
        </w:rPr>
        <w:t>connection point</w:t>
      </w:r>
      <w:r w:rsidRPr="00117D41">
        <w:t xml:space="preserve"> or receipt of reactive power and energy from a distribution </w:t>
      </w:r>
      <w:r w:rsidRPr="001616C2">
        <w:rPr>
          <w:rStyle w:val="AERtextitalic"/>
        </w:rPr>
        <w:t>connection point</w:t>
      </w:r>
      <w:r w:rsidRPr="00117D41">
        <w:t>.</w:t>
      </w:r>
    </w:p>
    <w:p w:rsidR="00D71890" w:rsidRPr="00117D41" w:rsidRDefault="00D71890" w:rsidP="00D71890">
      <w:pPr>
        <w:pStyle w:val="AERnumberedlistsecondstyle"/>
      </w:pPr>
      <w:r w:rsidRPr="00117D41">
        <w:t>Investigation and testing services.</w:t>
      </w:r>
    </w:p>
    <w:p w:rsidR="00D71890" w:rsidRPr="00117D41" w:rsidRDefault="00D71890" w:rsidP="00D71890">
      <w:pPr>
        <w:pStyle w:val="AERnumberedlistsecondstyle"/>
      </w:pPr>
      <w:r w:rsidRPr="00117D41">
        <w:t>Asset location and identification services.</w:t>
      </w:r>
    </w:p>
    <w:p w:rsidR="00D71890" w:rsidRPr="00117D41" w:rsidRDefault="00D71890" w:rsidP="00D71890">
      <w:pPr>
        <w:pStyle w:val="AERnumberedlistsecondstyle"/>
      </w:pPr>
      <w:r w:rsidRPr="00117D41">
        <w:t xml:space="preserve">The transportation of electricity not consumed in the </w:t>
      </w:r>
      <w:r w:rsidRPr="001616C2">
        <w:rPr>
          <w:rStyle w:val="AERtextitalic"/>
        </w:rPr>
        <w:t>distribution system</w:t>
      </w:r>
      <w:r w:rsidRPr="00117D41">
        <w:t>.</w:t>
      </w:r>
    </w:p>
    <w:p w:rsidR="00D71890" w:rsidRPr="00117D41" w:rsidRDefault="00D71890" w:rsidP="00D71890">
      <w:pPr>
        <w:pStyle w:val="AERnumberedlistsecondstyle"/>
      </w:pPr>
      <w:r w:rsidRPr="00117D41">
        <w:t xml:space="preserve">The transportation of electricity to </w:t>
      </w:r>
      <w:r w:rsidRPr="001616C2">
        <w:rPr>
          <w:rStyle w:val="AERtextitalic"/>
        </w:rPr>
        <w:t>distribution network users</w:t>
      </w:r>
      <w:r w:rsidRPr="00117D41">
        <w:t xml:space="preserve"> connected to the </w:t>
      </w:r>
      <w:r w:rsidRPr="001616C2">
        <w:rPr>
          <w:rStyle w:val="AERtextitalic"/>
        </w:rPr>
        <w:t xml:space="preserve">distribution system </w:t>
      </w:r>
      <w:r w:rsidRPr="00117D41">
        <w:t xml:space="preserve">adjacent to the </w:t>
      </w:r>
      <w:r w:rsidRPr="001616C2">
        <w:rPr>
          <w:rStyle w:val="AERtextitalic"/>
        </w:rPr>
        <w:t>transmission system</w:t>
      </w:r>
      <w:r w:rsidRPr="00117D41">
        <w:t>.</w:t>
      </w:r>
    </w:p>
    <w:p w:rsidR="00D71890" w:rsidRPr="00117D41" w:rsidRDefault="00D71890" w:rsidP="00D71890">
      <w:pPr>
        <w:pStyle w:val="AERnumberedlistsecondstyle"/>
      </w:pPr>
      <w:r w:rsidRPr="00117D41">
        <w:t xml:space="preserve">Repair of equipment damaged by a </w:t>
      </w:r>
      <w:r w:rsidRPr="001616C2">
        <w:rPr>
          <w:rStyle w:val="AERtextitalic"/>
        </w:rPr>
        <w:t>distribution network user</w:t>
      </w:r>
      <w:r w:rsidRPr="00117D41">
        <w:t xml:space="preserve"> or a third party.</w:t>
      </w:r>
    </w:p>
    <w:p w:rsidR="00D71890" w:rsidRPr="00117D41" w:rsidRDefault="00D71890" w:rsidP="00D71890">
      <w:pPr>
        <w:pStyle w:val="AERnumberedlistsecondstyle"/>
      </w:pPr>
      <w:r w:rsidRPr="00117D41">
        <w:t>Provision of:</w:t>
      </w:r>
    </w:p>
    <w:p w:rsidR="00D71890" w:rsidRPr="00117D41" w:rsidRDefault="00D71890" w:rsidP="00D71890">
      <w:pPr>
        <w:pStyle w:val="AERnumberedlistthirdstyle"/>
      </w:pPr>
      <w:r w:rsidRPr="00117D41">
        <w:t>high load escorts</w:t>
      </w:r>
    </w:p>
    <w:p w:rsidR="00D71890" w:rsidRPr="00117D41" w:rsidRDefault="00D71890" w:rsidP="00D71890">
      <w:pPr>
        <w:pStyle w:val="AERnumberedlistthirdstyle"/>
      </w:pPr>
      <w:r w:rsidRPr="00117D41">
        <w:t>measurement devices</w:t>
      </w:r>
    </w:p>
    <w:p w:rsidR="00D71890" w:rsidRPr="00117D41" w:rsidRDefault="00D71890" w:rsidP="00D71890">
      <w:pPr>
        <w:pStyle w:val="AERnumberedlistthirdstyle"/>
      </w:pPr>
      <w:r w:rsidRPr="00117D41">
        <w:t>protection systems, and</w:t>
      </w:r>
    </w:p>
    <w:p w:rsidR="00D71890" w:rsidRPr="00117D41" w:rsidRDefault="00D71890" w:rsidP="00D71890">
      <w:pPr>
        <w:pStyle w:val="AERnumberedlistthirdstyle"/>
      </w:pPr>
      <w:r w:rsidRPr="00117D41">
        <w:t>pole attachments, ducts or conduits (excluding for the provision of telecommunications services).</w:t>
      </w:r>
    </w:p>
    <w:p w:rsidR="00D71890" w:rsidRPr="00117D41" w:rsidRDefault="00D71890" w:rsidP="00D71890">
      <w:pPr>
        <w:pStyle w:val="AERnumberedlistsecondstyle"/>
      </w:pPr>
      <w:r w:rsidRPr="00117D41">
        <w:t xml:space="preserve">Costs incurred by </w:t>
      </w:r>
      <w:r>
        <w:t xml:space="preserve">SA Power Networks </w:t>
      </w:r>
      <w:r w:rsidRPr="00117D41">
        <w:t>as a result of a customer not complying with</w:t>
      </w:r>
      <w:r>
        <w:t xml:space="preserve"> SA Power Networks</w:t>
      </w:r>
      <w:r w:rsidRPr="00117D41">
        <w:t>’ standard connection and supply contract or other obligation.</w:t>
      </w:r>
    </w:p>
    <w:p w:rsidR="00D71890" w:rsidRPr="00117D41" w:rsidRDefault="00D71890" w:rsidP="00D71890">
      <w:pPr>
        <w:pStyle w:val="AERnumberedlistsecondstyle"/>
      </w:pPr>
      <w:r w:rsidRPr="00117D41">
        <w:t xml:space="preserve">Additional costs incurred by </w:t>
      </w:r>
      <w:r>
        <w:t xml:space="preserve">SA Power Networks </w:t>
      </w:r>
      <w:r w:rsidRPr="00117D41">
        <w:t>where service provision could not be undertaken and/or completed as planned due to the actions, or inaction, of a customer or their agent.</w:t>
      </w:r>
    </w:p>
    <w:p w:rsidR="00D71890" w:rsidRPr="00117D41" w:rsidRDefault="00D71890" w:rsidP="00D71890">
      <w:pPr>
        <w:pStyle w:val="AERnumberedlistsecondstyle"/>
      </w:pPr>
      <w:r w:rsidRPr="00117D41">
        <w:t>Provision of a television or radio interference investigation where it is determined that the distribution system is not the cause of the interference.</w:t>
      </w:r>
    </w:p>
    <w:p w:rsidR="00D71890" w:rsidRPr="00117D41" w:rsidRDefault="00D71890" w:rsidP="00D71890">
      <w:pPr>
        <w:pStyle w:val="AERnumberedlistsecondstyle"/>
      </w:pPr>
      <w:r w:rsidRPr="00117D41">
        <w:lastRenderedPageBreak/>
        <w:t>Provision of a supply interruption investigation where it is determined that the distribution system was not the cause of the interruption.</w:t>
      </w:r>
    </w:p>
    <w:p w:rsidR="00D71890" w:rsidRDefault="00D71890" w:rsidP="00D71890">
      <w:pPr>
        <w:pStyle w:val="AERnumberedlistsecondstyle"/>
      </w:pPr>
      <w:r w:rsidRPr="00117D41">
        <w:t xml:space="preserve">Provision of information to </w:t>
      </w:r>
      <w:r w:rsidRPr="001616C2">
        <w:rPr>
          <w:rStyle w:val="AERtextitalic"/>
        </w:rPr>
        <w:t>distribution network users</w:t>
      </w:r>
      <w:r w:rsidRPr="00117D41">
        <w:t xml:space="preserve"> or third parties not related to connection enquiries.</w:t>
      </w:r>
    </w:p>
    <w:p w:rsidR="00D71890" w:rsidRDefault="00D71890" w:rsidP="00D71890">
      <w:pPr>
        <w:pStyle w:val="AERnumberedlistsecondstyle"/>
      </w:pPr>
      <w:r>
        <w:t>Recovery of costs associated with the larceny of supply, including the costs associated with repairing or replacing damaged equipment and investigation costs where SA Power Networks determines that larceny of supply has occurred.</w:t>
      </w:r>
    </w:p>
    <w:p w:rsidR="00D71890" w:rsidRDefault="00D71890" w:rsidP="00D71890">
      <w:pPr>
        <w:pStyle w:val="AERnumberedlistsecondstyle"/>
      </w:pPr>
      <w:r>
        <w:t>Emergency recoverable works, including the repair of damage caused to the distribution network by a third party, where costs are recovered.</w:t>
      </w:r>
    </w:p>
    <w:p w:rsidR="00D71890" w:rsidRDefault="00D71890" w:rsidP="00D71890">
      <w:pPr>
        <w:pStyle w:val="AERnumberedlistsecondstyle"/>
      </w:pPr>
      <w:r>
        <w:t>Third party connection works charges, for work not undertaken by SA Power Networks, this includes, but is not limited to:</w:t>
      </w:r>
    </w:p>
    <w:p w:rsidR="00D71890" w:rsidRDefault="00D71890" w:rsidP="00D71890">
      <w:pPr>
        <w:pStyle w:val="AERnumberedlistthirdstyle"/>
      </w:pPr>
      <w:r>
        <w:t>Specification services</w:t>
      </w:r>
    </w:p>
    <w:p w:rsidR="00D71890" w:rsidRDefault="00D71890" w:rsidP="00D71890">
      <w:pPr>
        <w:pStyle w:val="AERnumberedlistthirdstyle"/>
      </w:pPr>
      <w:r>
        <w:t>Works design compliance</w:t>
      </w:r>
    </w:p>
    <w:p w:rsidR="00D71890" w:rsidRDefault="00D71890" w:rsidP="00D71890">
      <w:pPr>
        <w:pStyle w:val="AERnumberedlistthirdstyle"/>
      </w:pPr>
      <w:r>
        <w:t>Works reinspection.</w:t>
      </w:r>
    </w:p>
    <w:p w:rsidR="00D71890" w:rsidRDefault="00D71890" w:rsidP="00D71890">
      <w:pPr>
        <w:pStyle w:val="AERnumberedlistsecondstyle"/>
      </w:pPr>
      <w:r>
        <w:t>Provision of access permits or clearance to work on or near the distribution system.</w:t>
      </w:r>
    </w:p>
    <w:p w:rsidR="00D71890" w:rsidRDefault="00D71890" w:rsidP="00D71890">
      <w:pPr>
        <w:pStyle w:val="AERnumberedlistsecondstyle"/>
      </w:pPr>
      <w:r>
        <w:t>Off-peak conversion services.</w:t>
      </w:r>
    </w:p>
    <w:p w:rsidR="00D71890" w:rsidRDefault="00D71890" w:rsidP="00D71890">
      <w:pPr>
        <w:pStyle w:val="AERnumberedlistsecondstyle"/>
      </w:pPr>
      <w:r>
        <w:t>Carrying out planning studies and analysis relating to distribution, including sub-transmission and dual function asset connection applications.</w:t>
      </w:r>
    </w:p>
    <w:p w:rsidR="00D71890" w:rsidRDefault="00D71890" w:rsidP="00D71890">
      <w:pPr>
        <w:pStyle w:val="AERnumberedlistsecondstyle"/>
      </w:pPr>
      <w:r>
        <w:t>Work required for network tariff change requests.</w:t>
      </w:r>
    </w:p>
    <w:p w:rsidR="00D71890" w:rsidRDefault="00D71890" w:rsidP="00D71890">
      <w:pPr>
        <w:pStyle w:val="AERnumberedlistsecondstyle"/>
      </w:pPr>
      <w:r>
        <w:t>Recovery of debt collection costs.</w:t>
      </w:r>
    </w:p>
    <w:p w:rsidR="00D71890" w:rsidRDefault="00D71890" w:rsidP="00D71890">
      <w:pPr>
        <w:pStyle w:val="AERnumberedlistsecondstyle"/>
      </w:pPr>
      <w:r>
        <w:t>Negotiation for the provision of services.</w:t>
      </w:r>
    </w:p>
    <w:p w:rsidR="00D71890" w:rsidRDefault="00D71890" w:rsidP="00D71890">
      <w:pPr>
        <w:pStyle w:val="AERnumberedlistsecondstyle"/>
      </w:pPr>
      <w:r>
        <w:t>Attendance at the customer's premises to perform a statutory right where access is prevented.</w:t>
      </w:r>
    </w:p>
    <w:p w:rsidR="001331FA" w:rsidRPr="001331FA" w:rsidRDefault="001331FA" w:rsidP="001331FA">
      <w:pPr>
        <w:pStyle w:val="AERbodytext"/>
      </w:pPr>
    </w:p>
    <w:p w:rsidR="001240BE" w:rsidRDefault="00596CF4" w:rsidP="00F57168">
      <w:pPr>
        <w:pStyle w:val="UnnumberedHeading"/>
      </w:pPr>
      <w:bookmarkStart w:id="117" w:name="_Toc373774015"/>
      <w:r>
        <w:lastRenderedPageBreak/>
        <w:t xml:space="preserve">Appendix C: </w:t>
      </w:r>
      <w:r w:rsidR="001240BE" w:rsidRPr="001240BE">
        <w:t>Efficient pricing</w:t>
      </w:r>
      <w:bookmarkEnd w:id="117"/>
      <w:r w:rsidR="001240BE" w:rsidRPr="001240BE">
        <w:t xml:space="preserve"> </w:t>
      </w:r>
    </w:p>
    <w:p w:rsidR="000021C1" w:rsidRPr="001240BE" w:rsidRDefault="0063462C" w:rsidP="000021C1">
      <w:r>
        <w:t>This a</w:t>
      </w:r>
      <w:r w:rsidR="000021C1" w:rsidRPr="001240BE">
        <w:t xml:space="preserve">ppendix provides high level considerations about efficient pricing structures and analyses pricing efficiency under the WAPC in the current and previous regulatory period. </w:t>
      </w:r>
    </w:p>
    <w:p w:rsidR="000021C1" w:rsidRPr="001240BE" w:rsidRDefault="000021C1" w:rsidP="000021C1">
      <w:r w:rsidRPr="001240BE">
        <w:t xml:space="preserve">Broadly, we consider that efficient prices will incorporate two key characteristics: </w:t>
      </w:r>
    </w:p>
    <w:p w:rsidR="000021C1" w:rsidRPr="001240BE" w:rsidRDefault="000021C1" w:rsidP="000021C1">
      <w:pPr>
        <w:pStyle w:val="AERbulletlistfirststyle"/>
      </w:pPr>
      <w:r w:rsidRPr="001240BE">
        <w:t>the underlying cost of supply</w:t>
      </w:r>
    </w:p>
    <w:p w:rsidR="000021C1" w:rsidRPr="001240BE" w:rsidRDefault="000021C1" w:rsidP="000021C1">
      <w:pPr>
        <w:pStyle w:val="AERbulletlistfirststyle"/>
      </w:pPr>
      <w:r w:rsidRPr="001240BE">
        <w:t>customers willingness to pay</w:t>
      </w:r>
      <w:r>
        <w:t>.</w:t>
      </w:r>
    </w:p>
    <w:p w:rsidR="000021C1" w:rsidRPr="001240BE" w:rsidRDefault="000021C1" w:rsidP="000021C1">
      <w:pPr>
        <w:pStyle w:val="AERbodytext"/>
      </w:pPr>
      <w:r w:rsidRPr="001240BE">
        <w:t>While there are a variety of methods of incorporating these characteristics, we consider that the resulting prices from each will include many of the same features. First</w:t>
      </w:r>
      <w:r>
        <w:t>ly, because the majority of distributor</w:t>
      </w:r>
      <w:r w:rsidRPr="001240BE">
        <w:t>s cost of supply are fixed or related to peak demand, efficient prices will be structured around fixed or peak prices.</w:t>
      </w:r>
      <w:r w:rsidRPr="001240BE">
        <w:rPr>
          <w:rStyle w:val="FootnoteReference"/>
        </w:rPr>
        <w:footnoteReference w:id="185"/>
      </w:r>
      <w:r w:rsidRPr="001240BE">
        <w:t xml:space="preserve"> Secondly, </w:t>
      </w:r>
      <w:r>
        <w:t>as</w:t>
      </w:r>
      <w:r w:rsidRPr="001240BE">
        <w:t xml:space="preserve"> customers’ willingness to pay for connection to the network is generally higher than for electricity consumption, where the price must be set above the cost of supply</w:t>
      </w:r>
      <w:r>
        <w:t>,</w:t>
      </w:r>
      <w:r w:rsidRPr="001240BE">
        <w:t xml:space="preserve"> the largest margin is likely to be applied to fixed (connection) prices. </w:t>
      </w:r>
    </w:p>
    <w:p w:rsidR="000021C1" w:rsidRPr="001240BE" w:rsidRDefault="000021C1" w:rsidP="000021C1">
      <w:pPr>
        <w:pStyle w:val="AERbodytext"/>
      </w:pPr>
      <w:r w:rsidRPr="001240BE">
        <w:t>Our analysis of pricing efficiency</w:t>
      </w:r>
      <w:r>
        <w:rPr>
          <w:rStyle w:val="FootnoteReference"/>
        </w:rPr>
        <w:footnoteReference w:id="186"/>
      </w:r>
      <w:r w:rsidRPr="001240BE">
        <w:t xml:space="preserve"> under the WAPC in the current and previous regulatory period demonstrates: </w:t>
      </w:r>
    </w:p>
    <w:p w:rsidR="000021C1" w:rsidRPr="001240BE" w:rsidRDefault="000021C1" w:rsidP="000021C1">
      <w:pPr>
        <w:pStyle w:val="AERbulletlistfirststyle"/>
      </w:pPr>
      <w:r w:rsidRPr="001240BE">
        <w:t>insufficient eviden</w:t>
      </w:r>
      <w:r>
        <w:t>ce</w:t>
      </w:r>
      <w:r w:rsidRPr="001240BE">
        <w:t xml:space="preserve"> indicating SA</w:t>
      </w:r>
      <w:r>
        <w:t xml:space="preserve"> </w:t>
      </w:r>
      <w:r w:rsidRPr="001240BE">
        <w:t>P</w:t>
      </w:r>
      <w:r>
        <w:t xml:space="preserve">ower </w:t>
      </w:r>
      <w:r w:rsidRPr="001240BE">
        <w:t>N</w:t>
      </w:r>
      <w:r>
        <w:t>etwork</w:t>
      </w:r>
      <w:r w:rsidRPr="001240BE">
        <w:t>s</w:t>
      </w:r>
      <w:r>
        <w:t>’</w:t>
      </w:r>
      <w:r w:rsidRPr="001240BE">
        <w:t xml:space="preserve"> revenue recovered under efficient charging parameters relative to inefficient charging parameters ha</w:t>
      </w:r>
      <w:r>
        <w:t>s</w:t>
      </w:r>
      <w:r w:rsidRPr="001240BE">
        <w:t xml:space="preserve"> increased over the current regulatory control period</w:t>
      </w:r>
    </w:p>
    <w:p w:rsidR="000021C1" w:rsidRPr="001240BE" w:rsidRDefault="000021C1" w:rsidP="000021C1">
      <w:pPr>
        <w:pStyle w:val="AERbulletlistfirststyle"/>
      </w:pPr>
      <w:r w:rsidRPr="001240BE">
        <w:t xml:space="preserve">revenue recovered by the NSW and Victorian </w:t>
      </w:r>
      <w:r>
        <w:t>distributors</w:t>
      </w:r>
      <w:r w:rsidRPr="001240BE">
        <w:t>' under efficient charging parameters relative to inefficient charging parameters did not increase over the period</w:t>
      </w:r>
    </w:p>
    <w:p w:rsidR="000021C1" w:rsidRPr="001240BE" w:rsidRDefault="000021C1" w:rsidP="000021C1">
      <w:pPr>
        <w:pStyle w:val="AERbulletlistfirststyle"/>
      </w:pPr>
      <w:r w:rsidRPr="001240BE">
        <w:t xml:space="preserve">the NSW </w:t>
      </w:r>
      <w:r>
        <w:t>distributors’</w:t>
      </w:r>
      <w:r w:rsidRPr="001240BE">
        <w:t xml:space="preserve"> joint submission </w:t>
      </w:r>
      <w:r>
        <w:t xml:space="preserve">to the NSW Stage 1 F&amp;A paper </w:t>
      </w:r>
      <w:r w:rsidRPr="001240BE">
        <w:t>does not demonstrate that the WAPC has resulted in an overall</w:t>
      </w:r>
      <w:r w:rsidR="000B6EF5">
        <w:t xml:space="preserve"> increase in pricing efficiency</w:t>
      </w:r>
      <w:r>
        <w:rPr>
          <w:rStyle w:val="FootnoteReference"/>
        </w:rPr>
        <w:footnoteReference w:id="187"/>
      </w:r>
      <w:r w:rsidRPr="001240BE">
        <w:t xml:space="preserve"> </w:t>
      </w:r>
    </w:p>
    <w:p w:rsidR="000021C1" w:rsidRPr="001240BE" w:rsidRDefault="000021C1" w:rsidP="000021C1">
      <w:pPr>
        <w:pStyle w:val="AERbulletlistfirststyle"/>
      </w:pPr>
      <w:r w:rsidRPr="001240BE">
        <w:t xml:space="preserve">the tariffs the NSW </w:t>
      </w:r>
      <w:r>
        <w:t>distributors</w:t>
      </w:r>
      <w:r w:rsidRPr="001240BE">
        <w:t>' utilise most have not increased in efficiency over the period</w:t>
      </w:r>
      <w:r>
        <w:t>.</w:t>
      </w:r>
    </w:p>
    <w:p w:rsidR="000021C1" w:rsidRPr="001240BE" w:rsidRDefault="000021C1" w:rsidP="000021C1">
      <w:r w:rsidRPr="001240BE">
        <w:t xml:space="preserve">On this basis, </w:t>
      </w:r>
      <w:r>
        <w:t>we</w:t>
      </w:r>
      <w:r w:rsidRPr="001240BE">
        <w:t xml:space="preserve"> consider there has not been an increase in pricing efficiency across the </w:t>
      </w:r>
      <w:r>
        <w:t>distributors</w:t>
      </w:r>
      <w:r w:rsidRPr="001240BE">
        <w:t xml:space="preserve"> subject to </w:t>
      </w:r>
      <w:r>
        <w:t xml:space="preserve">the </w:t>
      </w:r>
      <w:r w:rsidRPr="001240BE">
        <w:t>WAPC.</w:t>
      </w:r>
    </w:p>
    <w:p w:rsidR="000021C1" w:rsidRPr="000021C1" w:rsidRDefault="000021C1" w:rsidP="00634B79">
      <w:pPr>
        <w:pStyle w:val="HeadingBoldBlue"/>
      </w:pPr>
      <w:r w:rsidRPr="009669A5">
        <w:t>Charging parameter revenue recovery</w:t>
      </w:r>
    </w:p>
    <w:p w:rsidR="000021C1" w:rsidRPr="001240BE" w:rsidRDefault="000021C1" w:rsidP="000021C1">
      <w:r w:rsidRPr="001240BE">
        <w:t xml:space="preserve">Broadly, we consider that efficient pricing would match prices to cost drivers. </w:t>
      </w:r>
      <w:r>
        <w:t>The distributors</w:t>
      </w:r>
      <w:r w:rsidRPr="001240BE">
        <w:t>' costs are primarily fixed or linked to peak demand</w:t>
      </w:r>
      <w:r>
        <w:t xml:space="preserve"> and t</w:t>
      </w:r>
      <w:r w:rsidRPr="001240BE">
        <w:t xml:space="preserve">herefore, charges for peak usage, peak demand/capacity and fixed charges are generally efficient. While energy based charges that are unrelated to the networks peak periods and capacity are generally not efficient. </w:t>
      </w:r>
    </w:p>
    <w:p w:rsidR="000021C1" w:rsidRPr="001240BE" w:rsidRDefault="000021C1" w:rsidP="000021C1">
      <w:r w:rsidRPr="001240BE">
        <w:t xml:space="preserve">On this basis, we consider that high proportions of revenue recovered from peak usage, peak demand/capacity and fixed charges are likely to represent efficient pricing. While high proportions of </w:t>
      </w:r>
      <w:r w:rsidRPr="001240BE">
        <w:lastRenderedPageBreak/>
        <w:t>revenue recovered from flat, inclining block and off peak charges are likely to represent inefficient pricing.</w:t>
      </w:r>
    </w:p>
    <w:p w:rsidR="000021C1" w:rsidRPr="001240BE" w:rsidRDefault="000021C1" w:rsidP="000021C1">
      <w:r w:rsidRPr="001240BE">
        <w:t xml:space="preserve">Given the recent introduction of </w:t>
      </w:r>
      <w:r>
        <w:t>the WAPC form of control for SA Power Networks,</w:t>
      </w:r>
      <w:r w:rsidRPr="001240BE">
        <w:t xml:space="preserve"> only three years of data is available for the analysis (from 2009–10 to 2011–12). </w:t>
      </w:r>
    </w:p>
    <w:p w:rsidR="000021C1" w:rsidRPr="001240BE" w:rsidRDefault="000021C1" w:rsidP="000021C1">
      <w:r w:rsidRPr="001240BE">
        <w:t xml:space="preserve">Charts </w:t>
      </w:r>
      <w:r>
        <w:t>C</w:t>
      </w:r>
      <w:r w:rsidRPr="001240BE">
        <w:t xml:space="preserve">.1 and </w:t>
      </w:r>
      <w:r>
        <w:t>C</w:t>
      </w:r>
      <w:r w:rsidRPr="001240BE">
        <w:t>.2 compares the revenue recovery by tariff type for SA</w:t>
      </w:r>
      <w:r>
        <w:t xml:space="preserve"> </w:t>
      </w:r>
      <w:r w:rsidRPr="001240BE">
        <w:t>P</w:t>
      </w:r>
      <w:r>
        <w:t xml:space="preserve">ower </w:t>
      </w:r>
      <w:r w:rsidRPr="001240BE">
        <w:t>N</w:t>
      </w:r>
      <w:r>
        <w:t>etworks</w:t>
      </w:r>
      <w:r w:rsidRPr="001240BE">
        <w:t xml:space="preserve"> at the beginning of the regulatory control period to the most recent year where audited data is available under the WAPC.</w:t>
      </w:r>
    </w:p>
    <w:p w:rsidR="000021C1" w:rsidRPr="001240BE" w:rsidRDefault="000021C1" w:rsidP="000021C1">
      <w:pPr>
        <w:pStyle w:val="Caption"/>
      </w:pPr>
      <w:r w:rsidRPr="001240BE">
        <w:t xml:space="preserve">Chart </w:t>
      </w:r>
      <w:r>
        <w:t>C</w:t>
      </w:r>
      <w:r w:rsidRPr="001240BE">
        <w:t xml:space="preserve">.1: SAPN revenue by tariff type 2009-10 Chart </w:t>
      </w:r>
      <w:r>
        <w:t>C</w:t>
      </w:r>
      <w:r w:rsidRPr="001240BE">
        <w:t>.2: SAPN revenue by tariff type 2011-12</w:t>
      </w:r>
    </w:p>
    <w:p w:rsidR="000021C1" w:rsidRPr="001240BE" w:rsidRDefault="000021C1" w:rsidP="000021C1">
      <w:r w:rsidRPr="000021C1">
        <w:rPr>
          <w:noProof/>
          <w:lang w:eastAsia="en-AU"/>
        </w:rPr>
        <w:drawing>
          <wp:inline distT="0" distB="0" distL="0" distR="0" wp14:anchorId="01A53318" wp14:editId="39A5E3D4">
            <wp:extent cx="2708694"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1240BE">
        <w:t xml:space="preserve">  </w:t>
      </w:r>
      <w:r w:rsidRPr="000021C1">
        <w:rPr>
          <w:noProof/>
          <w:lang w:eastAsia="en-AU"/>
        </w:rPr>
        <w:drawing>
          <wp:inline distT="0" distB="0" distL="0" distR="0" wp14:anchorId="2C221A21" wp14:editId="33512853">
            <wp:extent cx="2794958" cy="2743200"/>
            <wp:effectExtent l="0" t="0" r="5715"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021C1" w:rsidRPr="001240BE" w:rsidRDefault="000021C1" w:rsidP="000021C1">
      <w:r w:rsidRPr="001240BE">
        <w:t xml:space="preserve">We found that there appears to be some moderate improvement in efficient pricing as the revenue recovered from </w:t>
      </w:r>
      <w:r>
        <w:t xml:space="preserve">the </w:t>
      </w:r>
      <w:r w:rsidRPr="001240BE">
        <w:t xml:space="preserve">fixed charge, peak energy and demand/capacity increased by approximately 3% over the three year period. However, revenues collected from </w:t>
      </w:r>
      <w:r w:rsidR="0063462C">
        <w:t>energy based tariffs still form</w:t>
      </w:r>
      <w:r w:rsidRPr="001240BE">
        <w:t xml:space="preserve"> </w:t>
      </w:r>
      <w:r>
        <w:t xml:space="preserve">a </w:t>
      </w:r>
      <w:r w:rsidRPr="001240BE">
        <w:t>vas</w:t>
      </w:r>
      <w:r>
        <w:t>t majority of SA Power Networks’ revenue.</w:t>
      </w:r>
    </w:p>
    <w:p w:rsidR="000021C1" w:rsidRPr="001240BE" w:rsidRDefault="000021C1" w:rsidP="000021C1">
      <w:r>
        <w:t>T</w:t>
      </w:r>
      <w:r w:rsidRPr="001240BE">
        <w:t>his compar</w:t>
      </w:r>
      <w:r>
        <w:t>at</w:t>
      </w:r>
      <w:r w:rsidRPr="001240BE">
        <w:t>i</w:t>
      </w:r>
      <w:r>
        <w:t>ve</w:t>
      </w:r>
      <w:r w:rsidRPr="001240BE">
        <w:t xml:space="preserve"> analysis should be treated with caution as it is based on data over a short timeframe. Given this limitation, we consider it is appropriate to broaden the analysis to include other jurisdictions where longer term data is available. </w:t>
      </w:r>
    </w:p>
    <w:p w:rsidR="000021C1" w:rsidRPr="001240BE" w:rsidRDefault="000021C1" w:rsidP="000021C1">
      <w:r w:rsidRPr="001240BE">
        <w:t xml:space="preserve">Charts </w:t>
      </w:r>
      <w:r>
        <w:t>C</w:t>
      </w:r>
      <w:r w:rsidRPr="001240BE">
        <w:t xml:space="preserve">.3 to </w:t>
      </w:r>
      <w:r>
        <w:t>C</w:t>
      </w:r>
      <w:r w:rsidRPr="001240BE">
        <w:t>.10 present</w:t>
      </w:r>
      <w:r>
        <w:t>s</w:t>
      </w:r>
      <w:r w:rsidRPr="001240BE">
        <w:t xml:space="preserve"> revenue recovery by tariff type for the NSW and Victorian </w:t>
      </w:r>
      <w:r>
        <w:t>distributors</w:t>
      </w:r>
      <w:r w:rsidRPr="001240BE">
        <w:t xml:space="preserve"> over the period where reliable data is available under the WAPC.</w:t>
      </w:r>
    </w:p>
    <w:p w:rsidR="000021C1" w:rsidRPr="000021C1" w:rsidRDefault="000021C1" w:rsidP="009119D8">
      <w:pPr>
        <w:pStyle w:val="Caption"/>
      </w:pPr>
      <w:r w:rsidRPr="001240BE">
        <w:br w:type="page"/>
      </w:r>
      <w:r w:rsidR="009119D8">
        <w:lastRenderedPageBreak/>
        <w:t xml:space="preserve">      </w:t>
      </w:r>
      <w:r w:rsidRPr="001240BE">
        <w:t xml:space="preserve">Chart </w:t>
      </w:r>
      <w:r w:rsidRPr="000021C1">
        <w:t xml:space="preserve">C.3: Victorian DNSPs revenue by </w:t>
      </w:r>
      <w:r w:rsidR="009119D8">
        <w:t xml:space="preserve">   </w:t>
      </w:r>
      <w:r w:rsidR="009119D8">
        <w:tab/>
        <w:t xml:space="preserve">            Chart C.4: Victorian DNSPs revenue by </w:t>
      </w:r>
      <w:r w:rsidRPr="000021C1">
        <w:t>tariff type 200</w:t>
      </w:r>
      <w:r w:rsidR="009119D8">
        <w:t>6</w:t>
      </w:r>
      <w:r w:rsidRPr="000021C1">
        <w:t xml:space="preserve">  </w:t>
      </w:r>
      <w:r w:rsidRPr="000021C1">
        <w:tab/>
      </w:r>
      <w:r w:rsidR="009119D8">
        <w:t xml:space="preserve">                                             tariff type 2010</w:t>
      </w:r>
    </w:p>
    <w:p w:rsidR="000021C1" w:rsidRPr="000021C1" w:rsidRDefault="000021C1" w:rsidP="000021C1">
      <w:pPr>
        <w:pStyle w:val="AERbulletlistfirststyle"/>
      </w:pPr>
      <w:r w:rsidRPr="000021C1">
        <w:rPr>
          <w:noProof/>
          <w:lang w:eastAsia="en-AU"/>
        </w:rPr>
        <w:drawing>
          <wp:inline distT="0" distB="0" distL="0" distR="0" wp14:anchorId="4B84C4CE" wp14:editId="3F7EE5B5">
            <wp:extent cx="2476800" cy="33516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76800" cy="3351600"/>
                    </a:xfrm>
                    <a:prstGeom prst="rect">
                      <a:avLst/>
                    </a:prstGeom>
                    <a:noFill/>
                    <a:ln>
                      <a:noFill/>
                    </a:ln>
                  </pic:spPr>
                </pic:pic>
              </a:graphicData>
            </a:graphic>
          </wp:inline>
        </w:drawing>
      </w:r>
      <w:r w:rsidRPr="000021C1">
        <w:rPr>
          <w:noProof/>
          <w:lang w:eastAsia="en-AU"/>
        </w:rPr>
        <w:drawing>
          <wp:inline distT="0" distB="0" distL="0" distR="0" wp14:anchorId="023F268D" wp14:editId="4BB6A1E0">
            <wp:extent cx="2430000" cy="324720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30000" cy="3247200"/>
                    </a:xfrm>
                    <a:prstGeom prst="rect">
                      <a:avLst/>
                    </a:prstGeom>
                    <a:noFill/>
                    <a:ln>
                      <a:noFill/>
                    </a:ln>
                  </pic:spPr>
                </pic:pic>
              </a:graphicData>
            </a:graphic>
          </wp:inline>
        </w:drawing>
      </w:r>
    </w:p>
    <w:p w:rsidR="000021C1" w:rsidRPr="000021C1" w:rsidRDefault="000021C1" w:rsidP="000021C1">
      <w:pPr>
        <w:pStyle w:val="Caption"/>
      </w:pPr>
      <w:r>
        <w:t xml:space="preserve">      </w:t>
      </w:r>
      <w:r w:rsidRPr="000021C1">
        <w:t>Chart C.5: NSW DNSPs revenue by          Chart C.6: NSW DNSPs revenue by tariff           tariff type 2004-05</w:t>
      </w:r>
      <w:r w:rsidRPr="000021C1">
        <w:tab/>
      </w:r>
      <w:r w:rsidRPr="000021C1">
        <w:tab/>
      </w:r>
      <w:r w:rsidRPr="000021C1">
        <w:tab/>
      </w:r>
      <w:r w:rsidRPr="000021C1">
        <w:tab/>
        <w:t xml:space="preserve">  </w:t>
      </w:r>
      <w:r w:rsidR="009119D8">
        <w:t xml:space="preserve">   </w:t>
      </w:r>
      <w:r w:rsidRPr="000021C1">
        <w:t>type 2008-09</w:t>
      </w:r>
      <w:r w:rsidRPr="000021C1">
        <w:tab/>
      </w:r>
    </w:p>
    <w:p w:rsidR="000021C1" w:rsidRPr="000021C1" w:rsidRDefault="000021C1" w:rsidP="000021C1">
      <w:pPr>
        <w:pStyle w:val="AERbulletlistfirststyle"/>
      </w:pPr>
      <w:r w:rsidRPr="000021C1">
        <w:rPr>
          <w:noProof/>
          <w:lang w:eastAsia="en-AU"/>
        </w:rPr>
        <w:drawing>
          <wp:inline distT="0" distB="0" distL="0" distR="0" wp14:anchorId="386CE020" wp14:editId="43DEFC9F">
            <wp:extent cx="2538000" cy="282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38000" cy="2822400"/>
                    </a:xfrm>
                    <a:prstGeom prst="rect">
                      <a:avLst/>
                    </a:prstGeom>
                    <a:noFill/>
                    <a:ln>
                      <a:noFill/>
                    </a:ln>
                  </pic:spPr>
                </pic:pic>
              </a:graphicData>
            </a:graphic>
          </wp:inline>
        </w:drawing>
      </w:r>
      <w:r w:rsidRPr="000021C1">
        <w:rPr>
          <w:noProof/>
          <w:lang w:eastAsia="en-AU"/>
        </w:rPr>
        <w:drawing>
          <wp:inline distT="0" distB="0" distL="0" distR="0" wp14:anchorId="5C8E4729" wp14:editId="594CE335">
            <wp:extent cx="2541600" cy="2959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1600" cy="2959200"/>
                    </a:xfrm>
                    <a:prstGeom prst="rect">
                      <a:avLst/>
                    </a:prstGeom>
                    <a:noFill/>
                    <a:ln>
                      <a:noFill/>
                    </a:ln>
                  </pic:spPr>
                </pic:pic>
              </a:graphicData>
            </a:graphic>
          </wp:inline>
        </w:drawing>
      </w:r>
    </w:p>
    <w:p w:rsidR="000021C1" w:rsidRPr="001240BE" w:rsidRDefault="000021C1" w:rsidP="000021C1">
      <w:pPr>
        <w:pStyle w:val="AERbodytext"/>
      </w:pPr>
      <w:r w:rsidRPr="001240BE">
        <w:rPr>
          <w:rStyle w:val="AERtextbold"/>
        </w:rPr>
        <w:lastRenderedPageBreak/>
        <w:t xml:space="preserve">Chart </w:t>
      </w:r>
      <w:r>
        <w:rPr>
          <w:rStyle w:val="AERtextbold"/>
        </w:rPr>
        <w:t>C</w:t>
      </w:r>
      <w:r w:rsidRPr="001240BE">
        <w:rPr>
          <w:rStyle w:val="AERtextbold"/>
        </w:rPr>
        <w:t>.7: Essent</w:t>
      </w:r>
      <w:r>
        <w:rPr>
          <w:rStyle w:val="AERtextbold"/>
        </w:rPr>
        <w:t>ial and Endeavour Energy</w:t>
      </w:r>
      <w:r>
        <w:rPr>
          <w:rStyle w:val="AERtextbold"/>
        </w:rPr>
        <w:tab/>
      </w:r>
      <w:r>
        <w:rPr>
          <w:rStyle w:val="AERtextbold"/>
        </w:rPr>
        <w:tab/>
        <w:t>Chart C</w:t>
      </w:r>
      <w:r w:rsidRPr="001240BE">
        <w:rPr>
          <w:rStyle w:val="AERtextbold"/>
        </w:rPr>
        <w:t xml:space="preserve">.8: Essential and Endeavour </w:t>
      </w:r>
      <w:r w:rsidR="009119D8">
        <w:rPr>
          <w:rStyle w:val="AERtextbold"/>
        </w:rPr>
        <w:t xml:space="preserve">   </w:t>
      </w:r>
      <w:r w:rsidRPr="001240BE">
        <w:rPr>
          <w:rStyle w:val="AERtextbold"/>
        </w:rPr>
        <w:t>Energy revenue by tariff type 2004-05</w:t>
      </w:r>
      <w:r w:rsidRPr="001240BE">
        <w:rPr>
          <w:rStyle w:val="AERtextbold"/>
        </w:rPr>
        <w:tab/>
      </w:r>
      <w:r w:rsidRPr="001240BE">
        <w:rPr>
          <w:rStyle w:val="AERtextbold"/>
        </w:rPr>
        <w:tab/>
      </w:r>
      <w:r w:rsidRPr="001240BE">
        <w:rPr>
          <w:rStyle w:val="AERtextbold"/>
        </w:rPr>
        <w:tab/>
        <w:t>revenue by tariff type 2008-09</w:t>
      </w:r>
      <w:r w:rsidRPr="001240BE">
        <w:tab/>
      </w:r>
      <w:r w:rsidRPr="000021C1">
        <w:rPr>
          <w:noProof/>
          <w:lang w:eastAsia="en-AU"/>
        </w:rPr>
        <w:drawing>
          <wp:inline distT="0" distB="0" distL="0" distR="0" wp14:anchorId="75B556FF" wp14:editId="48D7604F">
            <wp:extent cx="2562109" cy="36429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61733" cy="3642436"/>
                    </a:xfrm>
                    <a:prstGeom prst="rect">
                      <a:avLst/>
                    </a:prstGeom>
                    <a:noFill/>
                    <a:ln>
                      <a:noFill/>
                    </a:ln>
                  </pic:spPr>
                </pic:pic>
              </a:graphicData>
            </a:graphic>
          </wp:inline>
        </w:drawing>
      </w:r>
      <w:r w:rsidRPr="000021C1">
        <w:rPr>
          <w:noProof/>
          <w:lang w:eastAsia="en-AU"/>
        </w:rPr>
        <w:drawing>
          <wp:inline distT="0" distB="0" distL="0" distR="0" wp14:anchorId="0996914B" wp14:editId="70508E82">
            <wp:extent cx="2551885" cy="36063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53793" cy="3609090"/>
                    </a:xfrm>
                    <a:prstGeom prst="rect">
                      <a:avLst/>
                    </a:prstGeom>
                    <a:noFill/>
                    <a:ln>
                      <a:noFill/>
                    </a:ln>
                  </pic:spPr>
                </pic:pic>
              </a:graphicData>
            </a:graphic>
          </wp:inline>
        </w:drawing>
      </w:r>
    </w:p>
    <w:p w:rsidR="000021C1" w:rsidRPr="001240BE" w:rsidRDefault="000021C1" w:rsidP="000021C1">
      <w:pPr>
        <w:pStyle w:val="Caption"/>
      </w:pPr>
      <w:r w:rsidRPr="001240BE">
        <w:t xml:space="preserve">Chart </w:t>
      </w:r>
      <w:r>
        <w:t>C</w:t>
      </w:r>
      <w:r w:rsidRPr="001240BE">
        <w:t>.9: Ausgrid revenue by tariff type 2004-05</w:t>
      </w:r>
      <w:r w:rsidRPr="001240BE">
        <w:tab/>
        <w:t xml:space="preserve">Chart </w:t>
      </w:r>
      <w:r>
        <w:t>C</w:t>
      </w:r>
      <w:r w:rsidRPr="001240BE">
        <w:t xml:space="preserve">.10: Ausgrid revenue by tariff type </w:t>
      </w:r>
      <w:r w:rsidRPr="001240BE">
        <w:tab/>
      </w:r>
      <w:r w:rsidRPr="001240BE">
        <w:tab/>
      </w:r>
      <w:r w:rsidRPr="001240BE">
        <w:tab/>
      </w:r>
      <w:r w:rsidRPr="001240BE">
        <w:tab/>
      </w:r>
      <w:r w:rsidRPr="001240BE">
        <w:tab/>
        <w:t>2008-09</w:t>
      </w:r>
    </w:p>
    <w:p w:rsidR="000021C1" w:rsidRPr="000021C1" w:rsidRDefault="000021C1" w:rsidP="000021C1">
      <w:pPr>
        <w:pStyle w:val="AERbulletlistfirststyle"/>
      </w:pPr>
      <w:r w:rsidRPr="000021C1">
        <w:rPr>
          <w:noProof/>
          <w:lang w:eastAsia="en-AU"/>
        </w:rPr>
        <w:drawing>
          <wp:inline distT="0" distB="0" distL="0" distR="0" wp14:anchorId="5D780E21" wp14:editId="61C30065">
            <wp:extent cx="2555936" cy="337230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57482" cy="3374347"/>
                    </a:xfrm>
                    <a:prstGeom prst="rect">
                      <a:avLst/>
                    </a:prstGeom>
                    <a:noFill/>
                    <a:ln>
                      <a:noFill/>
                    </a:ln>
                  </pic:spPr>
                </pic:pic>
              </a:graphicData>
            </a:graphic>
          </wp:inline>
        </w:drawing>
      </w:r>
      <w:r w:rsidRPr="000021C1">
        <w:t xml:space="preserve"> </w:t>
      </w:r>
      <w:r w:rsidRPr="000021C1">
        <w:rPr>
          <w:noProof/>
          <w:lang w:eastAsia="en-AU"/>
        </w:rPr>
        <w:drawing>
          <wp:inline distT="0" distB="0" distL="0" distR="0" wp14:anchorId="10F31EED" wp14:editId="59F623B7">
            <wp:extent cx="2551946" cy="34161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53226" cy="3417912"/>
                    </a:xfrm>
                    <a:prstGeom prst="rect">
                      <a:avLst/>
                    </a:prstGeom>
                    <a:noFill/>
                    <a:ln>
                      <a:noFill/>
                    </a:ln>
                  </pic:spPr>
                </pic:pic>
              </a:graphicData>
            </a:graphic>
          </wp:inline>
        </w:drawing>
      </w:r>
    </w:p>
    <w:p w:rsidR="000021C1" w:rsidRPr="001240BE" w:rsidRDefault="000021C1" w:rsidP="000021C1">
      <w:pPr>
        <w:pStyle w:val="AERbodytext"/>
      </w:pPr>
      <w:r w:rsidRPr="001240BE">
        <w:t xml:space="preserve">Charts </w:t>
      </w:r>
      <w:r>
        <w:t>C</w:t>
      </w:r>
      <w:r w:rsidRPr="001240BE">
        <w:t>.</w:t>
      </w:r>
      <w:r>
        <w:t>3</w:t>
      </w:r>
      <w:r w:rsidRPr="001240BE">
        <w:t xml:space="preserve"> to </w:t>
      </w:r>
      <w:r>
        <w:t>C</w:t>
      </w:r>
      <w:r w:rsidRPr="001240BE">
        <w:t>.10 demonstrate that</w:t>
      </w:r>
      <w:r>
        <w:t>,</w:t>
      </w:r>
      <w:r w:rsidRPr="001240BE">
        <w:t xml:space="preserve"> with the exception of Ausgrid</w:t>
      </w:r>
      <w:r>
        <w:t>,</w:t>
      </w:r>
      <w:r w:rsidRPr="001240BE">
        <w:t xml:space="preserve"> NSW and Victorian </w:t>
      </w:r>
      <w:r>
        <w:t>distributors</w:t>
      </w:r>
      <w:r w:rsidRPr="001240BE">
        <w:t xml:space="preserve"> did not increase the proportion of revenue derived from efficient tariff types over the period. For the Victorian </w:t>
      </w:r>
      <w:r>
        <w:t>distributors</w:t>
      </w:r>
      <w:r w:rsidRPr="001240BE">
        <w:t xml:space="preserve"> very little changed over the period. Slight increases in other energy, peak energy and capacity were offset by a drop in fixed charges. For Essential and Endeavour Energy the </w:t>
      </w:r>
      <w:r w:rsidRPr="001240BE">
        <w:lastRenderedPageBreak/>
        <w:t>proportion of revenue from other energy tariffs increased over the period. Simultaneously, the proportion of revenue from fixed and demand/capacity charges decreased.</w:t>
      </w:r>
    </w:p>
    <w:p w:rsidR="000021C1" w:rsidRPr="001240BE" w:rsidRDefault="000021C1" w:rsidP="000021C1">
      <w:pPr>
        <w:pStyle w:val="AERbodytext"/>
      </w:pPr>
      <w:r w:rsidRPr="001240BE">
        <w:t>One observation we draw from the analysis i</w:t>
      </w:r>
      <w:r>
        <w:t xml:space="preserve">s that distributors, including SA Power Networks, </w:t>
      </w:r>
      <w:r w:rsidRPr="001240BE">
        <w:t xml:space="preserve">under WAPCs have generally utilised inclining block tariffs while </w:t>
      </w:r>
      <w:r>
        <w:t>distributors</w:t>
      </w:r>
      <w:r w:rsidRPr="001240BE">
        <w:t xml:space="preserve"> under other control mechanisms have utilised two-part tariffs. Table </w:t>
      </w:r>
      <w:r>
        <w:t>C</w:t>
      </w:r>
      <w:r w:rsidRPr="001240BE">
        <w:t>.1 provides the DUOS tariff structure for each distributor within the NEM.</w:t>
      </w:r>
      <w:r w:rsidRPr="001240BE">
        <w:rPr>
          <w:rStyle w:val="FootnoteReference"/>
        </w:rPr>
        <w:footnoteReference w:id="188"/>
      </w:r>
      <w:r w:rsidRPr="001240BE">
        <w:t xml:space="preserve"> </w:t>
      </w:r>
    </w:p>
    <w:p w:rsidR="000021C1" w:rsidRPr="00D67E86" w:rsidRDefault="000021C1" w:rsidP="000021C1">
      <w:pPr>
        <w:rPr>
          <w:rStyle w:val="AERtextbold"/>
        </w:rPr>
      </w:pPr>
      <w:r w:rsidRPr="00D67E86">
        <w:rPr>
          <w:rStyle w:val="AERtextbold"/>
        </w:rPr>
        <w:t xml:space="preserve">Table </w:t>
      </w:r>
      <w:r>
        <w:rPr>
          <w:rStyle w:val="AERtextbold"/>
        </w:rPr>
        <w:t>C</w:t>
      </w:r>
      <w:r w:rsidRPr="00D67E86">
        <w:rPr>
          <w:rStyle w:val="AERtextbold"/>
        </w:rPr>
        <w:t>.1 Most utilised residential customer tariff type by control mechanism</w:t>
      </w:r>
    </w:p>
    <w:tbl>
      <w:tblPr>
        <w:tblW w:w="9039" w:type="dxa"/>
        <w:tblBorders>
          <w:bottom w:val="single" w:sz="4" w:space="0" w:color="365F91"/>
        </w:tblBorders>
        <w:tblLook w:val="01E0" w:firstRow="1" w:lastRow="1" w:firstColumn="1" w:lastColumn="1" w:noHBand="0" w:noVBand="0"/>
      </w:tblPr>
      <w:tblGrid>
        <w:gridCol w:w="1809"/>
        <w:gridCol w:w="2308"/>
        <w:gridCol w:w="1641"/>
        <w:gridCol w:w="1640"/>
        <w:gridCol w:w="1641"/>
      </w:tblGrid>
      <w:tr w:rsidR="000021C1" w:rsidRPr="00E26D19" w:rsidTr="007A0935">
        <w:trPr>
          <w:trHeight w:val="537"/>
          <w:tblHeader/>
        </w:trPr>
        <w:tc>
          <w:tcPr>
            <w:tcW w:w="1809" w:type="dxa"/>
            <w:shd w:val="clear" w:color="auto" w:fill="365F91"/>
            <w:vAlign w:val="center"/>
          </w:tcPr>
          <w:p w:rsidR="000021C1" w:rsidRPr="000021C1" w:rsidRDefault="000021C1" w:rsidP="000021C1">
            <w:pPr>
              <w:pStyle w:val="AERtabletextleft"/>
            </w:pPr>
            <w:r w:rsidRPr="009669A5">
              <w:t>Control mechanism</w:t>
            </w:r>
          </w:p>
        </w:tc>
        <w:tc>
          <w:tcPr>
            <w:tcW w:w="2308" w:type="dxa"/>
            <w:shd w:val="clear" w:color="auto" w:fill="365F91"/>
            <w:vAlign w:val="center"/>
          </w:tcPr>
          <w:p w:rsidR="000021C1" w:rsidRPr="000021C1" w:rsidRDefault="000021C1" w:rsidP="000021C1">
            <w:pPr>
              <w:pStyle w:val="AERtabletextleft"/>
              <w:rPr>
                <w:rStyle w:val="AERtextbold"/>
              </w:rPr>
            </w:pPr>
            <w:r w:rsidRPr="00B76CE7">
              <w:rPr>
                <w:rStyle w:val="AERtextbold"/>
              </w:rPr>
              <w:t>Distributor</w:t>
            </w:r>
          </w:p>
        </w:tc>
        <w:tc>
          <w:tcPr>
            <w:tcW w:w="1641" w:type="dxa"/>
            <w:shd w:val="clear" w:color="auto" w:fill="365F91"/>
            <w:vAlign w:val="center"/>
          </w:tcPr>
          <w:p w:rsidR="000021C1" w:rsidRPr="000021C1" w:rsidRDefault="000021C1" w:rsidP="000021C1">
            <w:pPr>
              <w:pStyle w:val="AERtabletextleft"/>
            </w:pPr>
            <w:r w:rsidRPr="009669A5">
              <w:t>Two-part tariff</w:t>
            </w:r>
          </w:p>
        </w:tc>
        <w:tc>
          <w:tcPr>
            <w:tcW w:w="1640" w:type="dxa"/>
            <w:shd w:val="clear" w:color="auto" w:fill="365F91"/>
            <w:vAlign w:val="center"/>
          </w:tcPr>
          <w:p w:rsidR="000021C1" w:rsidRPr="000021C1" w:rsidRDefault="000021C1" w:rsidP="000021C1">
            <w:pPr>
              <w:pStyle w:val="AERtabletextleft"/>
            </w:pPr>
            <w:r w:rsidRPr="009669A5">
              <w:t>Inclining block tariff</w:t>
            </w:r>
          </w:p>
        </w:tc>
        <w:tc>
          <w:tcPr>
            <w:tcW w:w="1641" w:type="dxa"/>
            <w:shd w:val="clear" w:color="auto" w:fill="365F91"/>
            <w:vAlign w:val="center"/>
          </w:tcPr>
          <w:p w:rsidR="000021C1" w:rsidRPr="000021C1" w:rsidRDefault="000021C1" w:rsidP="000021C1">
            <w:pPr>
              <w:pStyle w:val="AERtabletextleft"/>
            </w:pPr>
            <w:r w:rsidRPr="009669A5">
              <w:t>Declining block tariff</w:t>
            </w:r>
          </w:p>
        </w:tc>
      </w:tr>
      <w:tr w:rsidR="000021C1" w:rsidRPr="00E26D19" w:rsidTr="007A0935">
        <w:trPr>
          <w:trHeight w:val="480"/>
        </w:trPr>
        <w:tc>
          <w:tcPr>
            <w:tcW w:w="1809" w:type="dxa"/>
            <w:vMerge w:val="restart"/>
            <w:vAlign w:val="center"/>
          </w:tcPr>
          <w:p w:rsidR="000021C1" w:rsidRPr="000021C1" w:rsidRDefault="000021C1" w:rsidP="000021C1">
            <w:pPr>
              <w:pStyle w:val="AERtabletextleft"/>
              <w:rPr>
                <w:rStyle w:val="AERtextbold"/>
              </w:rPr>
            </w:pPr>
            <w:r w:rsidRPr="009669A5">
              <w:rPr>
                <w:rStyle w:val="AERtextbold"/>
              </w:rPr>
              <w:t>Weighted Average Price Cap</w:t>
            </w:r>
          </w:p>
        </w:tc>
        <w:tc>
          <w:tcPr>
            <w:tcW w:w="2308" w:type="dxa"/>
            <w:vAlign w:val="center"/>
          </w:tcPr>
          <w:p w:rsidR="000021C1" w:rsidRPr="000021C1" w:rsidRDefault="000021C1" w:rsidP="000021C1">
            <w:pPr>
              <w:pStyle w:val="AERtabletextleft"/>
            </w:pPr>
            <w:r w:rsidRPr="00452538">
              <w:t>Ausgrid</w:t>
            </w:r>
          </w:p>
        </w:tc>
        <w:tc>
          <w:tcPr>
            <w:tcW w:w="1641" w:type="dxa"/>
            <w:vAlign w:val="center"/>
          </w:tcPr>
          <w:p w:rsidR="000021C1" w:rsidRPr="00452538" w:rsidRDefault="000021C1" w:rsidP="000021C1">
            <w:pPr>
              <w:pStyle w:val="AERtabletextleft"/>
            </w:pPr>
          </w:p>
        </w:tc>
        <w:tc>
          <w:tcPr>
            <w:tcW w:w="1640" w:type="dxa"/>
            <w:vAlign w:val="center"/>
          </w:tcPr>
          <w:p w:rsidR="000021C1" w:rsidRPr="00452538" w:rsidRDefault="000021C1" w:rsidP="000021C1">
            <w:pPr>
              <w:pStyle w:val="AERtabletextleft"/>
            </w:pPr>
          </w:p>
        </w:tc>
        <w:tc>
          <w:tcPr>
            <w:tcW w:w="1641" w:type="dxa"/>
            <w:vAlign w:val="center"/>
          </w:tcPr>
          <w:p w:rsidR="000021C1" w:rsidRPr="000021C1" w:rsidRDefault="00FC7F42" w:rsidP="000021C1">
            <w:pPr>
              <w:pStyle w:val="AERtabletextleft"/>
            </w:pPr>
            <w:r>
              <w:pict>
                <v:shape id="Multiply 10" o:spid="_x0000_s1038"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Oy3wEAAA8EAAAOAAAAZHJzL2Uyb0RvYy54bWysU8tu2zAQvBfoPxC816SdOmgFyzk0aC9p&#10;GzTpBzDU0iLKF0jGsv6+S0pWHylyCKoDIXJ3ZmeHy93VyRpyhJi0dy1drzgl4KTvtDu09Pv9xzfv&#10;KElZuE4Y76ClIyR6tX/9ajeEBja+96aDSJDEpWYILe1zDg1jSfZgRVr5AA6DykcrMm7jgXVRDMhu&#10;DdtwfskGH7sQvYSU8PR6CtJ95VcKZP6qVIJMTEtRW65rrOtDWdl+J5pDFKHXcpYhXqDCCu2w6EJ1&#10;LbIgj1E/obJaRp+8yivpLfNKaQm1B+xmzf/q5q4XAWovaE4Ki03p/9HKL8fbSHSHd0eJExav6POj&#10;yTqYkayrPUNIDWbdhdtYGkzhxssfCX1jf0TKJs05JxVtycX2yKl6PS5ewykTiYdb/pZfYE2JoS2/&#10;uOTvy10w0ZzBIab8Cbwl5aeleP/9WVl1WhxvUp4g59RZ0ySjCsqjgaLEuG+gsE0svKnoOmDwwURy&#10;FDgaQkpweT2FetHBdLzl+M26FkRVWQkLs9LGLNwzQRnep9yT1jm/QKHO5wLmzwmbwAuiVvYuL2Cr&#10;nY//IjDY1Vx5yj+bNFlTXHrw3YhDIJzsPT4NmWNFlBBOXW13fiFlrH/fV65f73j/EwAA//8DAFBL&#10;AwQUAAYACAAAACEAFJ+lSNkAAAADAQAADwAAAGRycy9kb3ducmV2LnhtbEyPzU7DQAyE70i8w8pI&#10;3OgmBBCEbKqqUqnEjfBzdrImich6o+ymDW+P4UIvHlljzXwu1osb1IGm0Hs2kK4SUMSNtz23Bt5e&#10;d1f3oEJEtjh4JgPfFGBdnp8VmFt/5Bc6VLFVEsIhRwNdjGOudWg6chhWfiQW79NPDqOsU6vthEcJ&#10;d4O+TpI77bBnaehwpG1HzVc1OwPD86ZKs/cZk136tN3XHxlldm/M5cWyeQQVaYn/x/CLL+hQClPt&#10;Z7ZBDQbkkfg3xbvJHkDVoukt6LLQp+zlDwAAAP//AwBQSwECLQAUAAYACAAAACEAtoM4kv4AAADh&#10;AQAAEwAAAAAAAAAAAAAAAAAAAAAAW0NvbnRlbnRfVHlwZXNdLnhtbFBLAQItABQABgAIAAAAIQA4&#10;/SH/1gAAAJQBAAALAAAAAAAAAAAAAAAAAC8BAABfcmVscy8ucmVsc1BLAQItABQABgAIAAAAIQCG&#10;jtOy3wEAAA8EAAAOAAAAAAAAAAAAAAAAAC4CAABkcnMvZTJvRG9jLnhtbFBLAQItABQABgAIAAAA&#10;IQAUn6VI2QAAAAMBAAAPAAAAAAAAAAAAAAAAADkEAABkcnMvZG93bnJldi54bWxQSwUGAAAAAAQA&#10;BADzAAAAPwU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r>
      <w:tr w:rsidR="000021C1" w:rsidRPr="00E26D19" w:rsidTr="007A0935">
        <w:trPr>
          <w:trHeight w:val="480"/>
        </w:trPr>
        <w:tc>
          <w:tcPr>
            <w:tcW w:w="1809" w:type="dxa"/>
            <w:vMerge/>
            <w:shd w:val="clear" w:color="auto" w:fill="DBE5F1"/>
            <w:vAlign w:val="center"/>
          </w:tcPr>
          <w:p w:rsidR="000021C1" w:rsidRPr="00452538" w:rsidRDefault="000021C1" w:rsidP="000021C1">
            <w:pPr>
              <w:pStyle w:val="AERtabletextleft"/>
            </w:pPr>
          </w:p>
        </w:tc>
        <w:tc>
          <w:tcPr>
            <w:tcW w:w="2308" w:type="dxa"/>
            <w:shd w:val="clear" w:color="auto" w:fill="DBE5F1"/>
            <w:vAlign w:val="center"/>
          </w:tcPr>
          <w:p w:rsidR="000021C1" w:rsidRPr="000021C1" w:rsidRDefault="000021C1" w:rsidP="000021C1">
            <w:pPr>
              <w:pStyle w:val="AERtabletextleft"/>
            </w:pPr>
            <w:r w:rsidRPr="00452538">
              <w:t xml:space="preserve">Endeavour Energy </w:t>
            </w:r>
          </w:p>
        </w:tc>
        <w:tc>
          <w:tcPr>
            <w:tcW w:w="1641" w:type="dxa"/>
            <w:shd w:val="clear" w:color="auto" w:fill="DBE5F1"/>
            <w:vAlign w:val="center"/>
          </w:tcPr>
          <w:p w:rsidR="000021C1" w:rsidRPr="00452538" w:rsidRDefault="000021C1" w:rsidP="000021C1">
            <w:pPr>
              <w:pStyle w:val="AERtabletextleft"/>
            </w:pPr>
          </w:p>
        </w:tc>
        <w:tc>
          <w:tcPr>
            <w:tcW w:w="1640" w:type="dxa"/>
            <w:shd w:val="clear" w:color="auto" w:fill="DBE5F1"/>
            <w:vAlign w:val="center"/>
          </w:tcPr>
          <w:p w:rsidR="000021C1" w:rsidRPr="000021C1" w:rsidRDefault="00FC7F42" w:rsidP="000021C1">
            <w:pPr>
              <w:pStyle w:val="AERtabletextleft"/>
            </w:pPr>
            <w:r>
              <w:pict>
                <v:shape id="_x0000_s1037"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FA4AEAAA8EAAAOAAAAZHJzL2Uyb0RvYy54bWysU01v1DAQvSPxHyzf2Ti7bEWjzfZABZcC&#10;FS0/wHXGG6v+ku1uNv+esZMNpUUcEDlYsWfemzfP493VyWhyhBCVsy2tV4wSsMJ1yh5a+uP+07sP&#10;lMTEbce1s9DSESK92r99sxt8A2vXO91BIEhiYzP4lvYp+aaqoujB8LhyHiwGpQuGJ9yGQ9UFPiC7&#10;0dWasYtqcKHzwQmIEU+vpyDdF34pQaRvUkZIRLcUtaWyhrI+5LXa73hzCNz3Sswy+D+oMFxZLLpQ&#10;XfPEyVNQr6iMEsFFJ9NKOFM5KZWA0gN2U7MX3dz13EPpBc2JfrEp/j9a8fV4G4jqWrqhxHKDV/Tl&#10;SSfl9UjqYs/gY4NZd/425Aajv3HiMaJv1W+RvIlzzkkGk3OxPXIqXo+L13BKRODhlr1nm5oSgaEt&#10;21ywy3wXFW/OYB9i+gzOkPzTUrz//qysOM2PNzFNkHPqrGmSUQSlUUNWou13kNgmFl4XdBkw+KgD&#10;OXIcDS4E2FRPoZ53MB1vGX6zrgVRVBbCzCyV1gv3TJCH9zX3pHXOz1Ao87mA2d+ETeAFUSo7mxaw&#10;UdaFPxFo7GquPOWfTZqsyS49uG7EIeBW9A6fhkihIHIIp660O7+QPNbP94Xr1zve/wQAAP//AwBQ&#10;SwMEFAAGAAgAAAAhABSfpUjZAAAAAwEAAA8AAABkcnMvZG93bnJldi54bWxMj81Ow0AMhO9IvMPK&#10;SNzoJgQQhGyqqlKpxI3wc3ayJonIeqPspg1vj+FCLx5ZY818LtaLG9SBptB7NpCuElDEjbc9twbe&#10;XndX96BCRLY4eCYD3xRgXZ6fFZhbf+QXOlSxVRLCIUcDXYxjrnVoOnIYVn4kFu/TTw6jrFOr7YRH&#10;CXeDvk6SO+2wZ2nocKRtR81XNTsDw/OmSrP3GZNd+rTd1x8ZZXZvzOXFsnkEFWmJ/8fwiy/oUApT&#10;7We2QQ0G5JH4N8W7yR5A1aLpLeiy0Kfs5Q8AAAD//wMAUEsBAi0AFAAGAAgAAAAhALaDOJL+AAAA&#10;4QEAABMAAAAAAAAAAAAAAAAAAAAAAFtDb250ZW50X1R5cGVzXS54bWxQSwECLQAUAAYACAAAACEA&#10;OP0h/9YAAACUAQAACwAAAAAAAAAAAAAAAAAvAQAAX3JlbHMvLnJlbHNQSwECLQAUAAYACAAAACEA&#10;YHpRQOABAAAPBAAADgAAAAAAAAAAAAAAAAAuAgAAZHJzL2Uyb0RvYy54bWxQSwECLQAUAAYACAAA&#10;ACEAFJ+lSNkAAAADAQAADwAAAAAAAAAAAAAAAAA6BAAAZHJzL2Rvd25yZXYueG1sUEsFBgAAAAAE&#10;AAQA8wAAAEAFA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480"/>
        </w:trPr>
        <w:tc>
          <w:tcPr>
            <w:tcW w:w="1809" w:type="dxa"/>
            <w:vMerge/>
            <w:vAlign w:val="center"/>
          </w:tcPr>
          <w:p w:rsidR="000021C1" w:rsidRPr="00452538" w:rsidRDefault="000021C1" w:rsidP="000021C1">
            <w:pPr>
              <w:pStyle w:val="AERtabletextleft"/>
            </w:pPr>
          </w:p>
        </w:tc>
        <w:tc>
          <w:tcPr>
            <w:tcW w:w="2308" w:type="dxa"/>
            <w:vAlign w:val="center"/>
          </w:tcPr>
          <w:p w:rsidR="000021C1" w:rsidRPr="000021C1" w:rsidRDefault="000021C1" w:rsidP="000021C1">
            <w:pPr>
              <w:pStyle w:val="AERtabletextleft"/>
            </w:pPr>
            <w:r w:rsidRPr="00452538">
              <w:t xml:space="preserve">Essential Energy </w:t>
            </w:r>
          </w:p>
        </w:tc>
        <w:tc>
          <w:tcPr>
            <w:tcW w:w="1641" w:type="dxa"/>
            <w:vAlign w:val="center"/>
          </w:tcPr>
          <w:p w:rsidR="000021C1" w:rsidRPr="000021C1" w:rsidRDefault="00FC7F42" w:rsidP="000021C1">
            <w:pPr>
              <w:pStyle w:val="AERtabletextleft"/>
            </w:pPr>
            <w:r>
              <w:pict>
                <v:shape id="_x0000_s1036"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K04QEAABAEAAAOAAAAZHJzL2Uyb0RvYy54bWysU01v1DAQvSPxHyzf2ThbtrTRZnuggkuB&#10;ipYf4DrjjYW/ZLubzb9n7GRDoRUH1Bys2DPvzZvn8fbqaDQ5QIjK2ZbWK0YJWOE6Zfct/XH/6d0F&#10;JTFx23HtLLR0hEivdm/fbAffwNr1TncQCJLY2Ay+pX1KvqmqKHowPK6cB4tB6YLhCbdhX3WBD8hu&#10;dLVm7LwaXOh8cAJixNPrKUh3hV9KEOmblBES0S1FbamsoawPea12W97sA/e9ErMM/h8qDFcWiy5U&#10;1zxx8hjUMyqjRHDRybQSzlROSiWg9IDd1Oyvbu567qH0guZEv9gUX49WfD3cBqI6vLsPlFhu8I6+&#10;POqkvB5JXfwZfGww7c7fhtxh9DdO/IxoXPVHJG/inHOUweRc7I8ci9njYjYcExF4uGHv2VlNicDQ&#10;hp2ds8t8GRVvTmAfYvoMzpD801IcgP6krFjNDzcxTZBT6qxpklEEpVFDVqLtd5DYJxZeF3SZMPio&#10;AzlwnA0uBNhUT6GedzAdbxh+s64FUVQWwswsldYL90yQp/c596R1zs9QKAO6gNm/hE3gBVEqO5sW&#10;sFHWhZcINHY1V57yTyZN1mSXHlw34hRwK3qHb0OkUBA5hGNX2p2fSJ7rp/vC9fsh734B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B9zwrT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0" w:type="dxa"/>
            <w:vAlign w:val="center"/>
          </w:tcPr>
          <w:p w:rsidR="000021C1" w:rsidRPr="00452538" w:rsidRDefault="000021C1" w:rsidP="000021C1">
            <w:pPr>
              <w:pStyle w:val="AERtabletextleft"/>
            </w:pPr>
          </w:p>
        </w:tc>
        <w:tc>
          <w:tcPr>
            <w:tcW w:w="1641" w:type="dxa"/>
            <w:vAlign w:val="center"/>
          </w:tcPr>
          <w:p w:rsidR="000021C1" w:rsidRPr="00452538" w:rsidRDefault="000021C1" w:rsidP="000021C1">
            <w:pPr>
              <w:pStyle w:val="AERtabletextleft"/>
            </w:pPr>
          </w:p>
        </w:tc>
      </w:tr>
      <w:tr w:rsidR="000021C1" w:rsidRPr="00E26D19" w:rsidTr="007A0935">
        <w:trPr>
          <w:trHeight w:val="480"/>
        </w:trPr>
        <w:tc>
          <w:tcPr>
            <w:tcW w:w="1809" w:type="dxa"/>
            <w:vMerge/>
            <w:shd w:val="clear" w:color="auto" w:fill="DBE5F1"/>
            <w:vAlign w:val="center"/>
          </w:tcPr>
          <w:p w:rsidR="000021C1" w:rsidRPr="00452538" w:rsidRDefault="000021C1" w:rsidP="000021C1">
            <w:pPr>
              <w:pStyle w:val="AERtabletextleft"/>
            </w:pPr>
          </w:p>
        </w:tc>
        <w:tc>
          <w:tcPr>
            <w:tcW w:w="2308" w:type="dxa"/>
            <w:shd w:val="clear" w:color="auto" w:fill="DBE5F1"/>
            <w:vAlign w:val="center"/>
          </w:tcPr>
          <w:p w:rsidR="000021C1" w:rsidRPr="000021C1" w:rsidRDefault="000021C1" w:rsidP="000021C1">
            <w:pPr>
              <w:pStyle w:val="AERtabletextleft"/>
            </w:pPr>
            <w:r w:rsidRPr="00452538">
              <w:t xml:space="preserve">CitiPower </w:t>
            </w:r>
          </w:p>
        </w:tc>
        <w:tc>
          <w:tcPr>
            <w:tcW w:w="1641" w:type="dxa"/>
            <w:shd w:val="clear" w:color="auto" w:fill="DBE5F1"/>
            <w:vAlign w:val="center"/>
          </w:tcPr>
          <w:p w:rsidR="000021C1" w:rsidRPr="00452538" w:rsidRDefault="000021C1" w:rsidP="000021C1">
            <w:pPr>
              <w:pStyle w:val="AERtabletextleft"/>
            </w:pPr>
          </w:p>
        </w:tc>
        <w:tc>
          <w:tcPr>
            <w:tcW w:w="1640" w:type="dxa"/>
            <w:shd w:val="clear" w:color="auto" w:fill="DBE5F1"/>
            <w:vAlign w:val="center"/>
          </w:tcPr>
          <w:p w:rsidR="000021C1" w:rsidRPr="000021C1" w:rsidRDefault="00FC7F42" w:rsidP="000021C1">
            <w:pPr>
              <w:pStyle w:val="AERtabletextleft"/>
            </w:pPr>
            <w:r>
              <w:pict>
                <v:shape id="_x0000_s1035"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14AEAAA8EAAAOAAAAZHJzL2Uyb0RvYy54bWysU01v1DAQvSPxHyzfu3G23QqizfbQCi4F&#10;Kgo/wHXGG6v+ku1uNv+esZMNlFY9IHKwYs+8N2+ex9uro9HkACEqZ1tarxglYIXrlN239OePT2cf&#10;KImJ245rZ6GlI0R6tXv/bjv4Btaud7qDQJDExmbwLe1T8k1VRdGD4XHlPFgMShcMT7gN+6oLfEB2&#10;o6s1Y5fV4ELngxMQI57eTEG6K/xSgkjfpIyQiG4paktlDWV9yGu12/JmH7jvlZhl8H9QYbiyWHSh&#10;uuGJk6egXlAZJYKLTqaVcKZyUioBpQfspmZ/dXPfcw+lFzQn+sWm+P9oxdfDXSCqa+kFJZYbvKIv&#10;Tzopr0dSF3sGHxvMuvd3ITcY/a0TjxF9q55F8ibOOUcZTM7F9sixeD0uXsMxEYGHG3bBzmtKBIY2&#10;7PySfcx3UfHmBPYhps/gDMk/LcX770/KitP8cBvTBDmlzpomGUVQGjVkJdp+B4ltYuF1QZcBg2sd&#10;yIHjaHAhwKZ6CvW8g+l4w/CbdS2IorIQZmaptF64Z4I8vC+5J61zfoZCmc8FzN4SNoEXRKnsbFrA&#10;RlkXXiPQ2NVceco/mTRZk116cN2IQ8Ct6B0+DZFCQeQQTl1pd34heaz/3Beu3+949wsAAP//AwBQ&#10;SwMEFAAGAAgAAAAhABSfpUjZAAAAAwEAAA8AAABkcnMvZG93bnJldi54bWxMj81Ow0AMhO9IvMPK&#10;SNzoJgQQhGyqqlKpxI3wc3ayJonIeqPspg1vj+FCLx5ZY818LtaLG9SBptB7NpCuElDEjbc9twbe&#10;XndX96BCRLY4eCYD3xRgXZ6fFZhbf+QXOlSxVRLCIUcDXYxjrnVoOnIYVn4kFu/TTw6jrFOr7YRH&#10;CXeDvk6SO+2wZ2nocKRtR81XNTsDw/OmSrP3GZNd+rTd1x8ZZXZvzOXFsnkEFWmJ/8fwiy/oUApT&#10;7We2QQ0G5JH4N8W7yR5A1aLpLeiy0Kfs5Q8AAAD//wMAUEsBAi0AFAAGAAgAAAAhALaDOJL+AAAA&#10;4QEAABMAAAAAAAAAAAAAAAAAAAAAAFtDb250ZW50X1R5cGVzXS54bWxQSwECLQAUAAYACAAAACEA&#10;OP0h/9YAAACUAQAACwAAAAAAAAAAAAAAAAAvAQAAX3JlbHMvLnJlbHNQSwECLQAUAAYACAAAACEA&#10;eBvm9eABAAAPBAAADgAAAAAAAAAAAAAAAAAuAgAAZHJzL2Uyb0RvYy54bWxQSwECLQAUAAYACAAA&#10;ACEAFJ+lSNkAAAADAQAADwAAAAAAAAAAAAAAAAA6BAAAZHJzL2Rvd25yZXYueG1sUEsFBgAAAAAE&#10;AAQA8wAAAEAFA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480"/>
        </w:trPr>
        <w:tc>
          <w:tcPr>
            <w:tcW w:w="1809" w:type="dxa"/>
            <w:vMerge/>
            <w:vAlign w:val="center"/>
          </w:tcPr>
          <w:p w:rsidR="000021C1" w:rsidRPr="00452538" w:rsidRDefault="000021C1" w:rsidP="000021C1">
            <w:pPr>
              <w:pStyle w:val="AERtabletextleft"/>
            </w:pPr>
          </w:p>
        </w:tc>
        <w:tc>
          <w:tcPr>
            <w:tcW w:w="2308" w:type="dxa"/>
            <w:vAlign w:val="center"/>
          </w:tcPr>
          <w:p w:rsidR="000021C1" w:rsidRPr="000021C1" w:rsidRDefault="000021C1" w:rsidP="000021C1">
            <w:pPr>
              <w:pStyle w:val="AERtabletextleft"/>
            </w:pPr>
            <w:r w:rsidRPr="00452538">
              <w:t xml:space="preserve">Powercor </w:t>
            </w:r>
          </w:p>
        </w:tc>
        <w:tc>
          <w:tcPr>
            <w:tcW w:w="1641" w:type="dxa"/>
            <w:vAlign w:val="center"/>
          </w:tcPr>
          <w:p w:rsidR="000021C1" w:rsidRPr="00452538" w:rsidRDefault="000021C1" w:rsidP="000021C1">
            <w:pPr>
              <w:pStyle w:val="AERtabletextleft"/>
            </w:pPr>
          </w:p>
        </w:tc>
        <w:tc>
          <w:tcPr>
            <w:tcW w:w="1640" w:type="dxa"/>
            <w:vAlign w:val="center"/>
          </w:tcPr>
          <w:p w:rsidR="000021C1" w:rsidRPr="000021C1" w:rsidRDefault="00FC7F42" w:rsidP="000021C1">
            <w:pPr>
              <w:pStyle w:val="AERtabletextleft"/>
            </w:pPr>
            <w:r>
              <w:pict>
                <v:shape id="_x0000_s1034"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QH4AEAAA8EAAAOAAAAZHJzL2Uyb0RvYy54bWysU01v1DAQvSPxHyzf2ThbdgXRZnugai8F&#10;Klp+gOuMN1b9JdvdbP49YycbCkUcEDlYsWfemzfP493lyWhyhBCVsy2tV4wSsMJ1yh5a+v3h+t0H&#10;SmLituPaWWjpCJFe7t++2Q2+gbXrne4gECSxsRl8S/uUfFNVUfRgeFw5DxaD0gXDE27DoeoCH5Dd&#10;6GrN2LYaXOh8cAJixNOrKUj3hV9KEOmrlBES0S1FbamsoayPea32O94cAve9ErMM/g8qDFcWiy5U&#10;Vzxx8hzUKyqjRHDRybQSzlROSiWg9IDd1Oy3bu577qH0guZEv9gU/x+t+HK8C0R1Ld1SYrnBK/r8&#10;rJPyeiR1sWfwscGse38XcoPR3zrxFNG36pdI3sQ55ySDybnYHjkVr8fFazglIvBww96zi5oSgaEN&#10;u9iyj/kuKt6cwT7EdAPOkPzTUrz//qysOM2PtzFNkHPqrGmSUQSlUUNWou03kNgmFl4XdBkw+KQD&#10;OXIcDS4E2FRPoZ53MB1vGH6zrgVRVBbCzCyV1gv3TJCH9zX3pHXOz1Ao87mA2d+ETeAFUSo7mxaw&#10;UdaFPxFo7GquPOWfTZqsyS49um7EIeBW9A6fhkihIHIIp660O7+QPNYv94Xr5zve/wAAAP//AwBQ&#10;SwMEFAAGAAgAAAAhABSfpUjZAAAAAwEAAA8AAABkcnMvZG93bnJldi54bWxMj81Ow0AMhO9IvMPK&#10;SNzoJgQQhGyqqlKpxI3wc3ayJonIeqPspg1vj+FCLx5ZY818LtaLG9SBptB7NpCuElDEjbc9twbe&#10;XndX96BCRLY4eCYD3xRgXZ6fFZhbf+QXOlSxVRLCIUcDXYxjrnVoOnIYVn4kFu/TTw6jrFOr7YRH&#10;CXeDvk6SO+2wZ2nocKRtR81XNTsDw/OmSrP3GZNd+rTd1x8ZZXZvzOXFsnkEFWmJ/8fwiy/oUApT&#10;7We2QQ0G5JH4N8W7yR5A1aLpLeiy0Kfs5Q8AAAD//wMAUEsBAi0AFAAGAAgAAAAhALaDOJL+AAAA&#10;4QEAABMAAAAAAAAAAAAAAAAAAAAAAFtDb250ZW50X1R5cGVzXS54bWxQSwECLQAUAAYACAAAACEA&#10;OP0h/9YAAACUAQAACwAAAAAAAAAAAAAAAAAvAQAAX3JlbHMvLnJlbHNQSwECLQAUAAYACAAAACEA&#10;nu9kB+ABAAAPBAAADgAAAAAAAAAAAAAAAAAuAgAAZHJzL2Uyb0RvYy54bWxQSwECLQAUAAYACAAA&#10;ACEAFJ+lSNkAAAADAQAADwAAAAAAAAAAAAAAAAA6BAAAZHJzL2Rvd25yZXYueG1sUEsFBgAAAAAE&#10;AAQA8wAAAEAFA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vAlign w:val="center"/>
          </w:tcPr>
          <w:p w:rsidR="000021C1" w:rsidRPr="00452538" w:rsidRDefault="000021C1" w:rsidP="000021C1">
            <w:pPr>
              <w:pStyle w:val="AERtabletextleft"/>
            </w:pPr>
          </w:p>
        </w:tc>
      </w:tr>
      <w:tr w:rsidR="000021C1" w:rsidRPr="00E26D19" w:rsidTr="007A0935">
        <w:trPr>
          <w:trHeight w:val="395"/>
        </w:trPr>
        <w:tc>
          <w:tcPr>
            <w:tcW w:w="1809" w:type="dxa"/>
            <w:vMerge/>
            <w:shd w:val="clear" w:color="auto" w:fill="DBE5F1"/>
            <w:vAlign w:val="center"/>
          </w:tcPr>
          <w:p w:rsidR="000021C1" w:rsidRPr="00452538" w:rsidRDefault="000021C1" w:rsidP="000021C1">
            <w:pPr>
              <w:pStyle w:val="AERtabletextleft"/>
            </w:pPr>
          </w:p>
        </w:tc>
        <w:tc>
          <w:tcPr>
            <w:tcW w:w="2308" w:type="dxa"/>
            <w:shd w:val="clear" w:color="auto" w:fill="DBE5F1"/>
            <w:vAlign w:val="center"/>
          </w:tcPr>
          <w:p w:rsidR="000021C1" w:rsidRPr="000021C1" w:rsidRDefault="000021C1" w:rsidP="000021C1">
            <w:pPr>
              <w:pStyle w:val="AERtabletextleft"/>
            </w:pPr>
            <w:r w:rsidRPr="00452538">
              <w:t xml:space="preserve">SP Ausnet </w:t>
            </w:r>
          </w:p>
        </w:tc>
        <w:tc>
          <w:tcPr>
            <w:tcW w:w="1641" w:type="dxa"/>
            <w:shd w:val="clear" w:color="auto" w:fill="DBE5F1"/>
            <w:vAlign w:val="center"/>
          </w:tcPr>
          <w:p w:rsidR="000021C1" w:rsidRPr="00452538" w:rsidRDefault="000021C1" w:rsidP="000021C1">
            <w:pPr>
              <w:pStyle w:val="AERtabletextleft"/>
            </w:pPr>
          </w:p>
        </w:tc>
        <w:tc>
          <w:tcPr>
            <w:tcW w:w="1640" w:type="dxa"/>
            <w:shd w:val="clear" w:color="auto" w:fill="DBE5F1"/>
            <w:vAlign w:val="center"/>
          </w:tcPr>
          <w:p w:rsidR="000021C1" w:rsidRPr="000021C1" w:rsidRDefault="00FC7F42" w:rsidP="000021C1">
            <w:pPr>
              <w:pStyle w:val="AERtabletextleft"/>
            </w:pPr>
            <w:r>
              <w:pict>
                <v:shape id="_x0000_s1033"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w04QEAABAEAAAOAAAAZHJzL2Uyb0RvYy54bWysU8tu2zAQvBfoPxC816KcOk0Eyzk0aC9p&#10;GzTpBzDU0iLKF0jGsv6+S0pW0ybooYgPhMndGc6Mlturo9HkACEqZ1tarxglYIXrlN239Mf9p3cX&#10;lMTEbce1s9DSESK92r19sx18A2vXO91BIEhiYzP4lvYp+aaqoujB8LhyHiwWpQuGJ9yGfdUFPiC7&#10;0dWasfNqcKHzwQmIEU+vpyLdFX4pQaRvUkZIRLcUtaWyhrI+5LXabXmzD9z3Sswy+H+oMFxZvHSh&#10;uuaJk8egnlEZJYKLTqaVcKZyUioBxQO6qdlfbu567qF4wXCiX2KKr0crvh5uA1FdS9cfKLHc4Df6&#10;8qiT8nokdcln8LHBtjt/G7LD6G+c+BkxuOqPSt7Euecog8m96I8cS9jjEjYcExF4uGHv2VlNicDS&#10;hp2ds8v8MSrenMA+xPQZnCH5T0txAPqTshI1P9zENEFOrbOmSUYRlEYNWYm230GiT7x4XdBlwuCj&#10;DuTAcTa4EGBTPZV63sF0vGH4m3UtiKKyEGZmqbReuGeCPL3PuSetc3+GQhnQBcz+JWwCL4hys7Np&#10;ARtlXXiJQKOr+eap/xTSFE1O6cF1I04Bt6J3+DZECgWRSzh2xe78RPJcP90Xrt8PefcL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FrXLDT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480"/>
        </w:trPr>
        <w:tc>
          <w:tcPr>
            <w:tcW w:w="1809" w:type="dxa"/>
            <w:vMerge/>
            <w:vAlign w:val="center"/>
          </w:tcPr>
          <w:p w:rsidR="000021C1" w:rsidRPr="00452538" w:rsidRDefault="000021C1" w:rsidP="000021C1">
            <w:pPr>
              <w:pStyle w:val="AERtabletextleft"/>
            </w:pPr>
          </w:p>
        </w:tc>
        <w:tc>
          <w:tcPr>
            <w:tcW w:w="2308" w:type="dxa"/>
            <w:vAlign w:val="center"/>
          </w:tcPr>
          <w:p w:rsidR="000021C1" w:rsidRPr="000021C1" w:rsidRDefault="000021C1" w:rsidP="000021C1">
            <w:pPr>
              <w:pStyle w:val="AERtabletextleft"/>
            </w:pPr>
            <w:r w:rsidRPr="00452538">
              <w:t xml:space="preserve">Jemena </w:t>
            </w:r>
          </w:p>
        </w:tc>
        <w:tc>
          <w:tcPr>
            <w:tcW w:w="1641" w:type="dxa"/>
            <w:vAlign w:val="center"/>
          </w:tcPr>
          <w:p w:rsidR="000021C1" w:rsidRPr="00452538" w:rsidRDefault="000021C1" w:rsidP="000021C1">
            <w:pPr>
              <w:pStyle w:val="AERtabletextleft"/>
            </w:pPr>
          </w:p>
        </w:tc>
        <w:tc>
          <w:tcPr>
            <w:tcW w:w="1640" w:type="dxa"/>
            <w:vAlign w:val="center"/>
          </w:tcPr>
          <w:p w:rsidR="000021C1" w:rsidRPr="000021C1" w:rsidRDefault="00FC7F42" w:rsidP="000021C1">
            <w:pPr>
              <w:pStyle w:val="AERtabletextleft"/>
            </w:pPr>
            <w:r>
              <w:pict>
                <v:shape id="_x0000_s1032"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L94QEAABAEAAAOAAAAZHJzL2Uyb0RvYy54bWysU01v1DAQvSPxHyzf2ThbtoJosz20gkuB&#10;ipYf4DrjjVV/yXY3m3/P2MmGlqIeKnKwYs+8N2+ex9uLo9HkACEqZ1tarxglYIXrlN239Nfdlw+f&#10;KImJ245rZ6GlI0R6sXv/bjv4Btaud7qDQJDExmbwLe1T8k1VRdGD4XHlPFgMShcMT7gN+6oLfEB2&#10;o6s1Y+fV4ELngxMQI55eTUG6K/xSgkg/pIyQiG4paktlDWW9z2u12/JmH7jvlZhl8DeoMFxZLLpQ&#10;XfHEyWNQL6iMEsFFJ9NKOFM5KZWA0gN2U7O/urntuYfSC5oT/WJT/H+04vvhJhDVtXSNN2W5wTv6&#10;9qiT8nokdfFn8LHBtFt/E3KH0V878RDRuOpZJG/inHOUweRc7I8ci9njYjYcExF4uGEf2VlNicDQ&#10;hp2ds8/5MirenMA+xPQVnCH5p6U4AP1JWbGaH65jmiCn1FnTJKMISqOGrETbnyCxTyy8LugyYXCp&#10;AzlwnA0uBNhUT6GedzAdbxh+s64FUVQWwswsldYL90yQp/cl96R1zs9QKAO6gNlrwibwgiiVnU0L&#10;2Cjrwr8INHY1V57yTyZN1mSX7l034hRwK3qHb0OkUBA5hGNX2p2fSJ7rp/vC9ech734D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Fhpcv3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vAlign w:val="center"/>
          </w:tcPr>
          <w:p w:rsidR="000021C1" w:rsidRPr="00452538" w:rsidRDefault="000021C1" w:rsidP="000021C1">
            <w:pPr>
              <w:pStyle w:val="AERtabletextleft"/>
            </w:pPr>
          </w:p>
        </w:tc>
      </w:tr>
      <w:tr w:rsidR="000021C1" w:rsidRPr="00E26D19" w:rsidTr="007A0935">
        <w:trPr>
          <w:trHeight w:val="480"/>
        </w:trPr>
        <w:tc>
          <w:tcPr>
            <w:tcW w:w="1809" w:type="dxa"/>
            <w:vMerge/>
            <w:shd w:val="clear" w:color="auto" w:fill="DBE5F1"/>
            <w:vAlign w:val="center"/>
          </w:tcPr>
          <w:p w:rsidR="000021C1" w:rsidRPr="00452538" w:rsidRDefault="000021C1" w:rsidP="000021C1">
            <w:pPr>
              <w:pStyle w:val="AERtabletextleft"/>
            </w:pPr>
          </w:p>
        </w:tc>
        <w:tc>
          <w:tcPr>
            <w:tcW w:w="2308" w:type="dxa"/>
            <w:shd w:val="clear" w:color="auto" w:fill="DBE5F1"/>
            <w:vAlign w:val="center"/>
          </w:tcPr>
          <w:p w:rsidR="000021C1" w:rsidRPr="000021C1" w:rsidRDefault="000021C1" w:rsidP="000021C1">
            <w:pPr>
              <w:pStyle w:val="AERtabletextleft"/>
            </w:pPr>
            <w:r w:rsidRPr="00452538">
              <w:t xml:space="preserve">UED </w:t>
            </w:r>
          </w:p>
        </w:tc>
        <w:tc>
          <w:tcPr>
            <w:tcW w:w="1641" w:type="dxa"/>
            <w:shd w:val="clear" w:color="auto" w:fill="DBE5F1"/>
            <w:vAlign w:val="center"/>
          </w:tcPr>
          <w:p w:rsidR="000021C1" w:rsidRPr="00452538" w:rsidRDefault="000021C1" w:rsidP="000021C1">
            <w:pPr>
              <w:pStyle w:val="AERtabletextleft"/>
            </w:pPr>
          </w:p>
        </w:tc>
        <w:tc>
          <w:tcPr>
            <w:tcW w:w="1640" w:type="dxa"/>
            <w:shd w:val="clear" w:color="auto" w:fill="DBE5F1"/>
            <w:vAlign w:val="center"/>
          </w:tcPr>
          <w:p w:rsidR="000021C1" w:rsidRPr="000021C1" w:rsidRDefault="00FC7F42" w:rsidP="000021C1">
            <w:pPr>
              <w:pStyle w:val="AERtabletextleft"/>
            </w:pPr>
            <w:r>
              <w:pict>
                <v:shape id="_x0000_s1031"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OE4QEAABAEAAAOAAAAZHJzL2Uyb0RvYy54bWysU8tu2zAQvBfoPxC816KcOmgEyzkkaC9p&#10;GzTNBzDU0iLKF0jGsv6+S0pWmwdyKOoDYXJ3hjOj5fbyaDQ5QIjK2ZbWK0YJWOE6Zfctvf/5+cMn&#10;SmLituPaWWjpCJFe7t6/2w6+gbXrne4gECSxsRl8S/uUfFNVUfRgeFw5DxaL0gXDE27DvuoCH5Dd&#10;6GrN2Hk1uND54ATEiKfXU5HuCr+UINJ3KSMkoluK2lJZQ1kf8lrttrzZB+57JWYZ/B9UGK4sXrpQ&#10;XfPEyWNQL6iMEsFFJ9NKOFM5KZWA4gHd1OyZm7ueeyheMJzol5ji/6MV3w63gaiupesLSiw3+I2+&#10;PuqkvB5JXfIZfGyw7c7fhuww+hsnfkUMrnpSyZs49xxlMLkX/ZFjCXtcwoZjIgIPN+wjO6spEVja&#10;sLNzdpE/RsWbE9iHmL6AMyT/aSkOQH9SVqLmh5uYJsipddY0ySiC0qghK9H2B0j0iRevC7pMGFzp&#10;QA4cZ4MLATbVU6nnHUzHG4a/WdeCKCoLYWaWSuuFeybI0/uSe9I692colAFdwOwtYRN4QZSbnU0L&#10;2CjrwmsEGl3NN0/9p5CmaHJKD64bcQq4Fb3DtyFSKIhcwrErducnkuf6733h+vOQd78B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CsTM4T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190"/>
        </w:trPr>
        <w:tc>
          <w:tcPr>
            <w:tcW w:w="1809" w:type="dxa"/>
            <w:vMerge/>
            <w:vAlign w:val="center"/>
          </w:tcPr>
          <w:p w:rsidR="000021C1" w:rsidRPr="00452538" w:rsidRDefault="000021C1" w:rsidP="000021C1">
            <w:pPr>
              <w:pStyle w:val="AERtabletextleft"/>
            </w:pPr>
          </w:p>
        </w:tc>
        <w:tc>
          <w:tcPr>
            <w:tcW w:w="2308" w:type="dxa"/>
            <w:vAlign w:val="center"/>
          </w:tcPr>
          <w:p w:rsidR="000021C1" w:rsidRPr="000021C1" w:rsidRDefault="000021C1" w:rsidP="000021C1">
            <w:pPr>
              <w:pStyle w:val="AERtabletextleft"/>
            </w:pPr>
            <w:r w:rsidRPr="00452538">
              <w:t>SA Power Networks</w:t>
            </w:r>
          </w:p>
        </w:tc>
        <w:tc>
          <w:tcPr>
            <w:tcW w:w="1641" w:type="dxa"/>
            <w:vAlign w:val="center"/>
          </w:tcPr>
          <w:p w:rsidR="000021C1" w:rsidRPr="00452538" w:rsidRDefault="000021C1" w:rsidP="000021C1">
            <w:pPr>
              <w:pStyle w:val="AERtabletextleft"/>
            </w:pPr>
          </w:p>
        </w:tc>
        <w:tc>
          <w:tcPr>
            <w:tcW w:w="1640" w:type="dxa"/>
            <w:vAlign w:val="center"/>
          </w:tcPr>
          <w:p w:rsidR="000021C1" w:rsidRPr="000021C1" w:rsidRDefault="00FC7F42" w:rsidP="000021C1">
            <w:pPr>
              <w:pStyle w:val="AERtabletextleft"/>
            </w:pPr>
            <w:r>
              <w:pict>
                <v:shape id="_x0000_s1030"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4QEAABAEAAAOAAAAZHJzL2Uyb0RvYy54bWysU8tu2zAQvBfoPxC816LsOmgEyzk0aC9p&#10;GzTpBzDU0iLCF0jGsv6+S0pW06TooagPhMndGc6Mlrurk9HkCCEqZ1tarxglYIXrlD209Mf9p3cf&#10;KImJ245rZ6GlI0R6tX/7Zjf4Btaud7qDQJDExmbwLe1T8k1VRdGD4XHlPFgsShcMT7gNh6oLfEB2&#10;o6s1YxfV4ELngxMQI55eT0W6L/xSgkjfpIyQiG4paktlDWV9yGu13/HmELjvlZhl8H9QYbiyeOlC&#10;dc0TJ09BvaIySgQXnUwr4UzlpFQCigd0U7MXbu567qF4wXCiX2KK/49WfD3eBqK6lm4wHssNfqMv&#10;Tzopr0dSl3wGHxtsu/O3ITuM/saJx4jBVb9V8ibOPScZTO5Ff+RUwh6XsOGUiMDDLXvPNjUlAktb&#10;trlgl/ljVLw5g32I6TM4Q/KfluIA9GdlJWp+vIlpgpxbZ02TjCIojRqyEm2/g0SfePG6oMuEwUcd&#10;yJHjbHAhwKZ6KvW8g+l4y/A361oQRWUhzMxSab1wzwR5el9zT1rn/gyFMqALmP1N2AReEOVmZ9MC&#10;Nsq68CcCja7mm6f+c0hTNDmlB9eNOAXcit7h2xApFEQu4dgVu/MTyXP9fF+4fj3k/U8A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L7X7kj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1" w:type="dxa"/>
            <w:vAlign w:val="center"/>
          </w:tcPr>
          <w:p w:rsidR="000021C1" w:rsidRPr="00452538" w:rsidRDefault="000021C1" w:rsidP="000021C1">
            <w:pPr>
              <w:pStyle w:val="AERtabletextleft"/>
            </w:pPr>
          </w:p>
        </w:tc>
      </w:tr>
      <w:tr w:rsidR="000021C1" w:rsidRPr="00E26D19" w:rsidTr="007A0935">
        <w:trPr>
          <w:trHeight w:val="480"/>
        </w:trPr>
        <w:tc>
          <w:tcPr>
            <w:tcW w:w="1809" w:type="dxa"/>
            <w:vMerge w:val="restart"/>
            <w:shd w:val="clear" w:color="auto" w:fill="DBE5F1"/>
            <w:vAlign w:val="center"/>
          </w:tcPr>
          <w:p w:rsidR="000021C1" w:rsidRPr="000021C1" w:rsidRDefault="000021C1" w:rsidP="000021C1">
            <w:pPr>
              <w:pStyle w:val="AERtabletextleft"/>
              <w:rPr>
                <w:rStyle w:val="AERtextbold"/>
              </w:rPr>
            </w:pPr>
            <w:r w:rsidRPr="009669A5">
              <w:rPr>
                <w:rStyle w:val="AERtextbold"/>
              </w:rPr>
              <w:t>Revenue Cap</w:t>
            </w:r>
          </w:p>
        </w:tc>
        <w:tc>
          <w:tcPr>
            <w:tcW w:w="2308" w:type="dxa"/>
            <w:shd w:val="clear" w:color="auto" w:fill="DBE5F1"/>
            <w:vAlign w:val="center"/>
          </w:tcPr>
          <w:p w:rsidR="000021C1" w:rsidRPr="000021C1" w:rsidRDefault="000021C1" w:rsidP="000021C1">
            <w:pPr>
              <w:pStyle w:val="AERtabletextleft"/>
            </w:pPr>
            <w:r w:rsidRPr="00452538">
              <w:t>Aurora</w:t>
            </w:r>
          </w:p>
        </w:tc>
        <w:tc>
          <w:tcPr>
            <w:tcW w:w="1641" w:type="dxa"/>
            <w:shd w:val="clear" w:color="auto" w:fill="DBE5F1"/>
            <w:vAlign w:val="center"/>
          </w:tcPr>
          <w:p w:rsidR="000021C1" w:rsidRPr="000021C1" w:rsidRDefault="00FC7F42" w:rsidP="000021C1">
            <w:pPr>
              <w:pStyle w:val="AERtabletextleft"/>
            </w:pPr>
            <w:r>
              <w:pict>
                <v:shape id="_x0000_s1029"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8x4AEAABAEAAAOAAAAZHJzL2Uyb0RvYy54bWysU01v1DAQvSPxHyzf2ThbtoJosz20gkuB&#10;ipYf4DrjjVV/yXY3m3/P2MmGlqIeKnKwYs+8N2+ex9uLo9HkACEqZ1tarxglYIXrlN239Nfdlw+f&#10;KImJ245rZ6GlI0R6sXv/bjv4Btaud7qDQJDExmbwLe1T8k1VRdGD4XHlPFgMShcMT7gN+6oLfEB2&#10;o6s1Y+fV4ELngxMQI55eTUG6K/xSgkg/pIyQiG4paktlDWW9z2u12/JmH7jvlZhl8DeoMFxZLLpQ&#10;XfHEyWNQL6iMEsFFJ9NKOFM5KZWA0gN2U7O/urntuYfSC5oT/WJT/H+04vvhJhDVtfSspsRyg3f0&#10;7VEn5fVI6uLP4GODabf+JuQOo7924iGicdWzSN7EOecog8m52B85FrPHxWw4JiLwcMM+slxTYGjD&#10;zs7Z53wZFW9OYB9i+grOkPzTUhyA/qSsWM0P1zFNkFPqrGmSUQSlUUNWou1PkNgnFl4XdJkwuNSB&#10;HDjOBhcCbKqnUM87mI43DL9Z14IoKgthZpZK64V7JsjT+5J70jrnZyiUAV3A7DVhE3hBlMrOpgVs&#10;lHXhXwQau5orT/knkyZrskv3rhtxCrgVvcO3IVIoiBzCsSvtzk8kz/XTfeH685B3vwEAAP//AwBQ&#10;SwMEFAAGAAgAAAAhABSfpUjZAAAAAwEAAA8AAABkcnMvZG93bnJldi54bWxMj81Ow0AMhO9IvMPK&#10;SNzoJgQQhGyqqlKpxI3wc3ayJonIeqPspg1vj+FCLx5ZY818LtaLG9SBptB7NpCuElDEjbc9twbe&#10;XndX96BCRLY4eCYD3xRgXZ6fFZhbf+QXOlSxVRLCIUcDXYxjrnVoOnIYVn4kFu/TTw6jrFOr7YRH&#10;CXeDvk6SO+2wZ2nocKRtR81XNTsDw/OmSrP3GZNd+rTd1x8ZZXZvzOXFsnkEFWmJ/8fwiy/oUApT&#10;7We2QQ0G5JH4N8W7yR5A1aLpLeiy0Kfs5Q8AAAD//wMAUEsBAi0AFAAGAAgAAAAhALaDOJL+AAAA&#10;4QEAABMAAAAAAAAAAAAAAAAAAAAAAFtDb250ZW50X1R5cGVzXS54bWxQSwECLQAUAAYACAAAACEA&#10;OP0h/9YAAACUAQAACwAAAAAAAAAAAAAAAAAvAQAAX3JlbHMvLnJlbHNQSwECLQAUAAYACAAAACEA&#10;za2vMeABAAAQBAAADgAAAAAAAAAAAAAAAAAuAgAAZHJzL2Uyb0RvYy54bWxQSwECLQAUAAYACAAA&#10;ACEAFJ+lSNkAAAADAQAADwAAAAAAAAAAAAAAAAA6BAAAZHJzL2Rvd25yZXYueG1sUEsFBgAAAAAE&#10;AAQA8wAAAEAFA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0" w:type="dxa"/>
            <w:shd w:val="clear" w:color="auto" w:fill="DBE5F1"/>
            <w:vAlign w:val="center"/>
          </w:tcPr>
          <w:p w:rsidR="000021C1" w:rsidRPr="00452538" w:rsidRDefault="000021C1" w:rsidP="000021C1">
            <w:pPr>
              <w:pStyle w:val="AERtabletextleft"/>
            </w:pP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480"/>
        </w:trPr>
        <w:tc>
          <w:tcPr>
            <w:tcW w:w="1809" w:type="dxa"/>
            <w:vMerge/>
            <w:vAlign w:val="center"/>
          </w:tcPr>
          <w:p w:rsidR="000021C1" w:rsidRPr="00452538" w:rsidRDefault="000021C1" w:rsidP="000021C1">
            <w:pPr>
              <w:pStyle w:val="AERtabletextleft"/>
            </w:pPr>
          </w:p>
        </w:tc>
        <w:tc>
          <w:tcPr>
            <w:tcW w:w="2308" w:type="dxa"/>
            <w:vAlign w:val="center"/>
          </w:tcPr>
          <w:p w:rsidR="000021C1" w:rsidRPr="000021C1" w:rsidRDefault="000021C1" w:rsidP="000021C1">
            <w:pPr>
              <w:pStyle w:val="AERtabletextleft"/>
            </w:pPr>
            <w:r w:rsidRPr="00452538">
              <w:t>Energex</w:t>
            </w:r>
          </w:p>
        </w:tc>
        <w:tc>
          <w:tcPr>
            <w:tcW w:w="1641" w:type="dxa"/>
            <w:vAlign w:val="center"/>
          </w:tcPr>
          <w:p w:rsidR="000021C1" w:rsidRPr="000021C1" w:rsidRDefault="00FC7F42" w:rsidP="000021C1">
            <w:pPr>
              <w:pStyle w:val="AERtabletextleft"/>
            </w:pPr>
            <w:r>
              <w:pict>
                <v:shape id="_x0000_s1028"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y64QEAABAEAAAOAAAAZHJzL2Uyb0RvYy54bWysU8tu2zAQvBfoPxC816LsOmgEyzk0aC9p&#10;GzTpBzDU0iLCF0jGsv6+S0pW06TooagPhMndGc6Mlrurk9HkCCEqZ1tarxglYIXrlD209Mf9p3cf&#10;KImJ245rZ6GlI0R6tX/7Zjf4Btaud7qDQJDExmbwLe1T8k1VRdGD4XHlPFgsShcMT7gNh6oLfEB2&#10;o6s1YxfV4ELngxMQI55eT0W6L/xSgkjfpIyQiG4paktlDWV9yGu13/HmELjvlZhl8H9QYbiyeOlC&#10;dc0TJ09BvaIySgQXnUwr4UzlpFQCigd0U7MXbu567qF4wXCiX2KK/49WfD3eBqK6lm7WlFhu8Bt9&#10;edJJeT2SuuQz+Nhg252/Ddlh9DdOPEYMrvqtkjdx7jnJYHIv+iOnEva4hA2nRAQebtl7tqkpEVja&#10;ss0Fu8wfo+LNGexDTJ/BGZL/tBQHoD8rK1Hz401ME+TcOmuaZBRBadSQlWj7HST6xIvXBV0mDD7q&#10;QI4cZ4MLATbVU6nnHUzHW4a/WdeCKCoLYWaWSuuFeybI0/uae9I692colAFdwOxvwibwgig3O5sW&#10;sFHWhT8RaHQ13zz1n0OaoskpPbhuxCngVvQO34ZIoSByCceu2J2fSJ7r5/vC9esh738C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FgjbLr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0" w:type="dxa"/>
            <w:vAlign w:val="center"/>
          </w:tcPr>
          <w:p w:rsidR="000021C1" w:rsidRPr="00452538" w:rsidRDefault="000021C1" w:rsidP="000021C1">
            <w:pPr>
              <w:pStyle w:val="AERtabletextleft"/>
            </w:pPr>
          </w:p>
        </w:tc>
        <w:tc>
          <w:tcPr>
            <w:tcW w:w="1641" w:type="dxa"/>
            <w:vAlign w:val="center"/>
          </w:tcPr>
          <w:p w:rsidR="000021C1" w:rsidRPr="00452538" w:rsidRDefault="000021C1" w:rsidP="000021C1">
            <w:pPr>
              <w:pStyle w:val="AERtabletextleft"/>
            </w:pPr>
          </w:p>
        </w:tc>
      </w:tr>
      <w:tr w:rsidR="000021C1" w:rsidRPr="00E26D19" w:rsidTr="007A0935">
        <w:trPr>
          <w:trHeight w:val="480"/>
        </w:trPr>
        <w:tc>
          <w:tcPr>
            <w:tcW w:w="1809" w:type="dxa"/>
            <w:vMerge/>
            <w:shd w:val="clear" w:color="auto" w:fill="DBE5F1"/>
            <w:vAlign w:val="center"/>
          </w:tcPr>
          <w:p w:rsidR="000021C1" w:rsidRPr="00452538" w:rsidRDefault="000021C1" w:rsidP="000021C1">
            <w:pPr>
              <w:pStyle w:val="AERtabletextleft"/>
            </w:pPr>
          </w:p>
        </w:tc>
        <w:tc>
          <w:tcPr>
            <w:tcW w:w="2308" w:type="dxa"/>
            <w:shd w:val="clear" w:color="auto" w:fill="DBE5F1"/>
            <w:vAlign w:val="center"/>
          </w:tcPr>
          <w:p w:rsidR="000021C1" w:rsidRPr="000021C1" w:rsidRDefault="000021C1" w:rsidP="000021C1">
            <w:pPr>
              <w:pStyle w:val="AERtabletextleft"/>
            </w:pPr>
            <w:r w:rsidRPr="00452538">
              <w:t>Ergon</w:t>
            </w:r>
            <w:r w:rsidRPr="000021C1">
              <w:t xml:space="preserve"> Energy</w:t>
            </w:r>
          </w:p>
        </w:tc>
        <w:tc>
          <w:tcPr>
            <w:tcW w:w="1641" w:type="dxa"/>
            <w:shd w:val="clear" w:color="auto" w:fill="DBE5F1"/>
            <w:vAlign w:val="center"/>
          </w:tcPr>
          <w:p w:rsidR="000021C1" w:rsidRPr="000021C1" w:rsidRDefault="00FC7F42" w:rsidP="000021C1">
            <w:pPr>
              <w:pStyle w:val="AERtabletextleft"/>
            </w:pPr>
            <w:r>
              <w:pict>
                <v:shape id="_x0000_s1027"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3D4QEAABAEAAAOAAAAZHJzL2Uyb0RvYy54bWysU8tu2zAQvBfoPxC816LsOmgEyzk0aC9p&#10;GzTpBzDU0iLCF0jGsv6+S0pW06TooagPhMndGc6Mlrurk9HkCCEqZ1tarxglYIXrlD209Mf9p3cf&#10;KImJ245rZ6GlI0R6tX/7Zjf4Btaud7qDQJDExmbwLe1T8k1VRdGD4XHlPFgsShcMT7gNh6oLfEB2&#10;o6s1YxfV4ELngxMQI55eT0W6L/xSgkjfpIyQiG4paktlDWV9yGu13/HmELjvlZhl8H9QYbiyeOlC&#10;dc0TJ09BvaIySgQXnUwr4UzlpFQCigd0U7MXbu567qF4wXCiX2KK/49WfD3eBqK6lm42lFhu8Bt9&#10;edJJeT2SuuQz+Nhg252/Ddlh9DdOPEYMrvqtkjdx7jnJYHIv+iOnEva4hA2nRAQebtl7tqkpEVja&#10;ss0Fu8wfo+LNGexDTJ/BGZL/tBQHoD8rK1Hz401ME+TcOmuaZBRBadSQlWj7HST6xIvXBV0mDD7q&#10;QI4cZ4MLATbVU6nnHUzHW4a/WdeCKCoLYWaWSuuFeybI0/uae9I692colAFdwOxvwibwgig3O5sW&#10;sFHWhT8RaHQ13zz1n0OaoskpPbhuxCngVvQO34ZIoSByCceu2J2fSJ7r5/vC9esh738C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CtZLcP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0" w:type="dxa"/>
            <w:shd w:val="clear" w:color="auto" w:fill="DBE5F1"/>
            <w:vAlign w:val="center"/>
          </w:tcPr>
          <w:p w:rsidR="000021C1" w:rsidRPr="00452538" w:rsidRDefault="000021C1" w:rsidP="000021C1">
            <w:pPr>
              <w:pStyle w:val="AERtabletextleft"/>
            </w:pPr>
          </w:p>
        </w:tc>
        <w:tc>
          <w:tcPr>
            <w:tcW w:w="1641" w:type="dxa"/>
            <w:shd w:val="clear" w:color="auto" w:fill="DBE5F1"/>
            <w:vAlign w:val="center"/>
          </w:tcPr>
          <w:p w:rsidR="000021C1" w:rsidRPr="00452538" w:rsidRDefault="000021C1" w:rsidP="000021C1">
            <w:pPr>
              <w:pStyle w:val="AERtabletextleft"/>
            </w:pPr>
          </w:p>
        </w:tc>
      </w:tr>
      <w:tr w:rsidR="000021C1" w:rsidRPr="00E26D19" w:rsidTr="007A0935">
        <w:trPr>
          <w:trHeight w:val="480"/>
        </w:trPr>
        <w:tc>
          <w:tcPr>
            <w:tcW w:w="1809" w:type="dxa"/>
            <w:vAlign w:val="center"/>
          </w:tcPr>
          <w:p w:rsidR="000021C1" w:rsidRPr="000021C1" w:rsidRDefault="000021C1" w:rsidP="000021C1">
            <w:pPr>
              <w:pStyle w:val="AERtabletextleft"/>
              <w:rPr>
                <w:rStyle w:val="AERtextbold"/>
              </w:rPr>
            </w:pPr>
            <w:r w:rsidRPr="009669A5">
              <w:rPr>
                <w:rStyle w:val="AERtextbold"/>
              </w:rPr>
              <w:t>Average Revenue Cap</w:t>
            </w:r>
          </w:p>
        </w:tc>
        <w:tc>
          <w:tcPr>
            <w:tcW w:w="2308" w:type="dxa"/>
            <w:vAlign w:val="center"/>
          </w:tcPr>
          <w:p w:rsidR="000021C1" w:rsidRPr="000021C1" w:rsidRDefault="000021C1" w:rsidP="000021C1">
            <w:pPr>
              <w:pStyle w:val="AERtabletextleft"/>
            </w:pPr>
            <w:r w:rsidRPr="00452538">
              <w:t>ActewAGL</w:t>
            </w:r>
          </w:p>
        </w:tc>
        <w:tc>
          <w:tcPr>
            <w:tcW w:w="1641" w:type="dxa"/>
            <w:vAlign w:val="center"/>
          </w:tcPr>
          <w:p w:rsidR="000021C1" w:rsidRPr="000021C1" w:rsidRDefault="00FC7F42" w:rsidP="000021C1">
            <w:pPr>
              <w:pStyle w:val="AERtabletextleft"/>
            </w:pPr>
            <w:r>
              <w:pict>
                <v:shape id="_x0000_s1026" style="width:21.95pt;height:20.75pt;visibility:visible;mso-wrap-style:square;mso-left-percent:-10001;mso-top-percent:-10001;mso-position-horizontal:absolute;mso-position-horizontal-relative:char;mso-position-vertical:absolute;mso-position-vertical-relative:line;mso-left-percent:-10001;mso-top-percent:-10001;v-text-anchor:middle" coordsize="504031,5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24QEAABAEAAAOAAAAZHJzL2Uyb0RvYy54bWysU8tu2zAQvBfoPxC816LsOGgFyzk0aC9p&#10;GzTNBzDU0iLCF0jGsv6+S0pWm6TooagPhMndGc6Mlrurk9HkCCEqZ1tarxglYIXrlD209P7Hp3fv&#10;KYmJ245rZ6GlI0R6tX/7Zjf4Btaud7qDQJDExmbwLe1T8k1VRdGD4XHlPFgsShcMT7gNh6oLfEB2&#10;o6s1Y5fV4ELngxMQI55eT0W6L/xSgkjfpIyQiG4paktlDWV9yGu13/HmELjvlZhl8H9QYbiyeOlC&#10;dc0TJ09BvaIySgQXnUwr4UzlpFQCigd0U7MXbu567qF4wXCiX2KK/49WfD3eBqK6lm4uKLHc4Df6&#10;8qST8nokdcln8LHBtjt/G7LD6G+ceIwYXPWskjdx7jnJYHIv+iOnEva4hA2nRAQebtkF29SUCCxt&#10;2eaSfcgfo+LNGexDTJ/BGZL/tBQHoD8rK1Hz401ME+TcOmuaZBRBadSQlWj7HST6xIvXBV0mDD7q&#10;QI4cZ4MLATbVU6nnHUzHW4a/WdeCKCoLYWaWSuuFeybI0/uae9I692colAFdwOxvwibwgig3O5sW&#10;sFHWhT8RaHQ13zz1n0OaoskpPbhuxCngVvQO34ZIoSByCceu2J2fSJ7r3/eF69dD3v8EAAD//wMA&#10;UEsDBBQABgAIAAAAIQAUn6VI2QAAAAMBAAAPAAAAZHJzL2Rvd25yZXYueG1sTI/NTsNADITvSLzD&#10;ykjc6CYEEIRsqqpSqcSN8HN2siaJyHqj7KYNb4/hQi8eWWPNfC7WixvUgabQezaQrhJQxI23PbcG&#10;3l53V/egQkS2OHgmA98UYF2enxWYW3/kFzpUsVUSwiFHA12MY651aDpyGFZ+JBbv008Oo6xTq+2E&#10;Rwl3g75OkjvtsGdp6HCkbUfNVzU7A8Pzpkqz9xmTXfq03dcfGWV2b8zlxbJ5BBVpif/H8Isv6FAK&#10;U+1ntkENBuSR+DfFu8keQNWi6S3ostCn7OUPAAAA//8DAFBLAQItABQABgAIAAAAIQC2gziS/gAA&#10;AOEBAAATAAAAAAAAAAAAAAAAAAAAAABbQ29udGVudF9UeXBlc10ueG1sUEsBAi0AFAAGAAgAAAAh&#10;ADj9If/WAAAAlAEAAAsAAAAAAAAAAAAAAAAALwEAAF9yZWxzLy5yZWxzUEsBAi0AFAAGAAgAAAAh&#10;ADM4mnbhAQAAEAQAAA4AAAAAAAAAAAAAAAAALgIAAGRycy9lMm9Eb2MueG1sUEsBAi0AFAAGAAgA&#10;AAAhABSfpUjZAAAAAwEAAA8AAAAAAAAAAAAAAAAAOwQAAGRycy9kb3ducmV2LnhtbFBLBQYAAAAA&#10;BAAEAPMAAABBBQAAAAA=&#10;" path="m79195,162850l162916,79059r89100,89025l341115,79059r83721,83791l335807,251805r89029,88954l341115,424550,252016,335525r-89100,89025l79195,340759r89029,-88954l79195,162850xe" fillcolor="#4f81bd [3204]" strokecolor="#243f60 [1604]" strokeweight="2pt">
                  <v:path arrowok="t" o:connecttype="custom" o:connectlocs="79195,162850;162916,79059;252016,168084;341115,79059;424836,162850;335807,251805;424836,340759;341115,424550;252016,335525;162916,424550;79195,340759;168224,251805;79195,162850" o:connectangles="0,0,0,0,0,0,0,0,0,0,0,0,0"/>
                  <w10:wrap type="none"/>
                  <w10:anchorlock/>
                </v:shape>
              </w:pict>
            </w:r>
          </w:p>
        </w:tc>
        <w:tc>
          <w:tcPr>
            <w:tcW w:w="1640" w:type="dxa"/>
            <w:vAlign w:val="center"/>
          </w:tcPr>
          <w:p w:rsidR="000021C1" w:rsidRPr="00452538" w:rsidRDefault="000021C1" w:rsidP="000021C1">
            <w:pPr>
              <w:pStyle w:val="AERtabletextleft"/>
            </w:pPr>
          </w:p>
        </w:tc>
        <w:tc>
          <w:tcPr>
            <w:tcW w:w="1641" w:type="dxa"/>
            <w:vAlign w:val="center"/>
          </w:tcPr>
          <w:p w:rsidR="000021C1" w:rsidRPr="00452538" w:rsidRDefault="000021C1" w:rsidP="000021C1">
            <w:pPr>
              <w:pStyle w:val="AERtabletextleft"/>
            </w:pPr>
          </w:p>
        </w:tc>
      </w:tr>
    </w:tbl>
    <w:p w:rsidR="000021C1" w:rsidRPr="00452538" w:rsidRDefault="000021C1" w:rsidP="00834435">
      <w:pPr>
        <w:pStyle w:val="AERtablesource"/>
      </w:pPr>
      <w:r w:rsidRPr="00452538">
        <w:t>Source: AER analysis</w:t>
      </w:r>
    </w:p>
    <w:p w:rsidR="000021C1" w:rsidRPr="007745BC" w:rsidRDefault="000021C1" w:rsidP="000021C1">
      <w:pPr>
        <w:pStyle w:val="AERbodytext"/>
      </w:pPr>
      <w:r>
        <w:t>W</w:t>
      </w:r>
      <w:r w:rsidRPr="007745BC">
        <w:t xml:space="preserve">e consider this is evidence of less efficient pricing under the WAPC. We consider that block tariffs are less efficient pricing structures than two-part tariffs. </w:t>
      </w:r>
    </w:p>
    <w:p w:rsidR="000021C1" w:rsidRPr="007745BC" w:rsidRDefault="000021C1" w:rsidP="000021C1">
      <w:pPr>
        <w:pStyle w:val="AERbodytext"/>
      </w:pPr>
      <w:r w:rsidRPr="007745BC">
        <w:lastRenderedPageBreak/>
        <w:t xml:space="preserve">Under block tariff structures, </w:t>
      </w:r>
      <w:r>
        <w:t>distributors</w:t>
      </w:r>
      <w:r w:rsidRPr="007745BC">
        <w:t xml:space="preserve"> charge consumers different prices for different levels of consumption at a given point in time. The marginal cost of a consumers' consumption is constant at a given point in time. Therefore, prices under inclining block tariffs cannot be set at marginal cost because there is one marginal cost while </w:t>
      </w:r>
      <w:r>
        <w:t>distributors</w:t>
      </w:r>
      <w:r w:rsidRPr="007745BC">
        <w:t xml:space="preserve"> charge multiple prices. This reduces allocative efficiency because consumers face prices that do not reflect the cost of providing the service. Alternatively, prices can be set efficiently under two-part tariffs because </w:t>
      </w:r>
      <w:r>
        <w:t>distributors</w:t>
      </w:r>
      <w:r w:rsidRPr="007745BC">
        <w:t xml:space="preserve"> can set the consumption charge at the marginal cost of consumption. Recent economic literature has measured losses in allocative efficiency from block tariff structures, finding that losses are often significant.</w:t>
      </w:r>
      <w:r w:rsidRPr="007745BC">
        <w:rPr>
          <w:rStyle w:val="FootnoteReference"/>
        </w:rPr>
        <w:footnoteReference w:id="189"/>
      </w:r>
      <w:r w:rsidRPr="007745BC">
        <w:t xml:space="preserve"> We therefore consider the predominant use of block tariff structures under the WAPC is evidence of less efficient pricing under the WAPC.</w:t>
      </w:r>
    </w:p>
    <w:p w:rsidR="000021C1" w:rsidRDefault="000021C1" w:rsidP="000021C1">
      <w:pPr>
        <w:pStyle w:val="AERbodytext"/>
      </w:pPr>
      <w:r w:rsidRPr="007745BC">
        <w:t>In addition to inefficiencies caused by a lack of cost reflectivity, block structure tariffs create substantial information asymmetries due to their complexity. That is, because the price varies as consumption increases, it is difficult for customers to determine the price they are being charged for electricity usage. A customer on a block tariff needs to know their households quarterly consumption at every point in time to be able to determine the price. In practice, this requires customers to have detailed information regarding their household consumption profile. Given the lack of customer</w:t>
      </w:r>
      <w:r>
        <w:t xml:space="preserve"> awareness</w:t>
      </w:r>
      <w:r w:rsidRPr="007745BC">
        <w:t xml:space="preserve"> in this area, we consider it is more likely that block tariff structures will send a blunt signal of higher use costing more (inclining block tariff) or less (declining block tariff). We consider these signals are not efficient, as they do not reflect the cost of providing the service.</w:t>
      </w:r>
    </w:p>
    <w:p w:rsidR="000021C1" w:rsidRPr="007745BC" w:rsidRDefault="000021C1" w:rsidP="000021C1">
      <w:pPr>
        <w:pStyle w:val="AERbodytext"/>
      </w:pPr>
      <w:r>
        <w:t>We understand that block structure tariffs may</w:t>
      </w:r>
      <w:r w:rsidRPr="00D744DC">
        <w:t xml:space="preserve"> provide equity benefits. That is, lower bills for low income customers. </w:t>
      </w:r>
      <w:r>
        <w:t>I</w:t>
      </w:r>
      <w:r w:rsidRPr="00D744DC">
        <w:t>n jurisdictions outside of Australia that have introduced inclining block tariffs, equity has often been a primary consideration. We do not consider this is a benefit of block structure tariffs in the NEM. First</w:t>
      </w:r>
      <w:r>
        <w:t>ly, equity is not one of the rules</w:t>
      </w:r>
      <w:r w:rsidRPr="00D744DC">
        <w:t xml:space="preserve"> criteria for determining the form of control mechanism. Secondly, the economic literature provides that the equity benefits from block structure tariffs are often minor relative to efficiency detriments and other (non-price based) equity schemes.</w:t>
      </w:r>
      <w:r w:rsidRPr="00D744DC">
        <w:rPr>
          <w:rStyle w:val="FootnoteReference"/>
        </w:rPr>
        <w:footnoteReference w:id="190"/>
      </w:r>
    </w:p>
    <w:p w:rsidR="000021C1" w:rsidRPr="000021C1" w:rsidRDefault="000021C1" w:rsidP="007A0935">
      <w:pPr>
        <w:pStyle w:val="HeadingBoldBlue"/>
      </w:pPr>
      <w:r w:rsidRPr="00923F9C">
        <w:t>Specific tariff analysis</w:t>
      </w:r>
    </w:p>
    <w:p w:rsidR="000021C1" w:rsidRPr="000054EF" w:rsidRDefault="000021C1" w:rsidP="000021C1">
      <w:r w:rsidRPr="000054EF">
        <w:t>The following section analyse</w:t>
      </w:r>
      <w:r>
        <w:t>s SA Power Networks’ most common</w:t>
      </w:r>
      <w:r w:rsidRPr="000054EF">
        <w:t xml:space="preserve"> tariffs. It looks at the structure, relative size of prices, and changes made by the SA</w:t>
      </w:r>
      <w:r>
        <w:t xml:space="preserve"> </w:t>
      </w:r>
      <w:r w:rsidRPr="000054EF">
        <w:t>P</w:t>
      </w:r>
      <w:r>
        <w:t xml:space="preserve">ower </w:t>
      </w:r>
      <w:r w:rsidRPr="000054EF">
        <w:t>N</w:t>
      </w:r>
      <w:r>
        <w:t>etworks</w:t>
      </w:r>
      <w:r w:rsidRPr="000054EF">
        <w:t xml:space="preserve"> throughout the period.</w:t>
      </w:r>
    </w:p>
    <w:p w:rsidR="000021C1" w:rsidRDefault="000021C1" w:rsidP="000021C1">
      <w:pPr>
        <w:pStyle w:val="AERbodytext"/>
      </w:pPr>
      <w:r>
        <w:t>The i</w:t>
      </w:r>
      <w:r w:rsidRPr="000054EF">
        <w:t>nclining tariff block based on usage is SA</w:t>
      </w:r>
      <w:r>
        <w:t xml:space="preserve"> </w:t>
      </w:r>
      <w:r w:rsidRPr="000054EF">
        <w:t>P</w:t>
      </w:r>
      <w:r>
        <w:t xml:space="preserve">ower </w:t>
      </w:r>
      <w:r w:rsidRPr="000054EF">
        <w:t>N</w:t>
      </w:r>
      <w:r>
        <w:t>etwork</w:t>
      </w:r>
      <w:r w:rsidRPr="000054EF">
        <w:t>s</w:t>
      </w:r>
      <w:r>
        <w:t>’</w:t>
      </w:r>
      <w:r w:rsidRPr="000054EF">
        <w:t xml:space="preserve"> most used residential customer tariff. It consists of one fix</w:t>
      </w:r>
      <w:r w:rsidR="000B6EF5">
        <w:t>ed</w:t>
      </w:r>
      <w:r w:rsidRPr="000054EF">
        <w:t xml:space="preserve"> charge component and 4 variable charge components based on usage level. T</w:t>
      </w:r>
      <w:r w:rsidR="000B6EF5">
        <w:t>he movements for each component</w:t>
      </w:r>
      <w:r w:rsidRPr="000054EF">
        <w:t xml:space="preserve"> of the tariff over the current control regulatory period is set out in </w:t>
      </w:r>
      <w:r w:rsidR="007A0935">
        <w:t xml:space="preserve">Table </w:t>
      </w:r>
      <w:r>
        <w:t>C.2</w:t>
      </w:r>
      <w:r w:rsidR="00A01EB6">
        <w:t xml:space="preserve"> below.</w:t>
      </w:r>
    </w:p>
    <w:p w:rsidR="000021C1" w:rsidRPr="000021C1" w:rsidRDefault="000021C1" w:rsidP="000021C1">
      <w:r>
        <w:br w:type="page"/>
      </w:r>
    </w:p>
    <w:p w:rsidR="000021C1" w:rsidRPr="000021C1" w:rsidRDefault="000021C1" w:rsidP="000021C1">
      <w:pPr>
        <w:pStyle w:val="AERbodytext"/>
        <w:rPr>
          <w:rStyle w:val="AERtextbold"/>
        </w:rPr>
      </w:pPr>
      <w:r w:rsidRPr="000054EF">
        <w:rPr>
          <w:rStyle w:val="AERtextbold"/>
        </w:rPr>
        <w:lastRenderedPageBreak/>
        <w:t xml:space="preserve">Table </w:t>
      </w:r>
      <w:r>
        <w:rPr>
          <w:rStyle w:val="AERtextbold"/>
        </w:rPr>
        <w:t>C</w:t>
      </w:r>
      <w:r w:rsidRPr="000054EF">
        <w:rPr>
          <w:rStyle w:val="AERtextbold"/>
        </w:rPr>
        <w:t>.2 SAPN standard residential customer tariff</w:t>
      </w:r>
    </w:p>
    <w:tbl>
      <w:tblPr>
        <w:tblW w:w="9549" w:type="dxa"/>
        <w:jc w:val="right"/>
        <w:tblInd w:w="505" w:type="dxa"/>
        <w:tblBorders>
          <w:bottom w:val="single" w:sz="4" w:space="0" w:color="365F91"/>
        </w:tblBorders>
        <w:tblLook w:val="04A0" w:firstRow="1" w:lastRow="0" w:firstColumn="1" w:lastColumn="0" w:noHBand="0" w:noVBand="1"/>
      </w:tblPr>
      <w:tblGrid>
        <w:gridCol w:w="812"/>
        <w:gridCol w:w="830"/>
        <w:gridCol w:w="1136"/>
        <w:gridCol w:w="881"/>
        <w:gridCol w:w="892"/>
        <w:gridCol w:w="789"/>
        <w:gridCol w:w="892"/>
        <w:gridCol w:w="789"/>
        <w:gridCol w:w="892"/>
        <w:gridCol w:w="837"/>
        <w:gridCol w:w="892"/>
      </w:tblGrid>
      <w:tr w:rsidR="000021C1" w:rsidRPr="00124BE0" w:rsidTr="007A0935">
        <w:trPr>
          <w:trHeight w:val="300"/>
          <w:jc w:val="right"/>
        </w:trPr>
        <w:tc>
          <w:tcPr>
            <w:tcW w:w="812" w:type="dxa"/>
            <w:shd w:val="clear" w:color="auto" w:fill="365F91"/>
            <w:noWrap/>
            <w:vAlign w:val="center"/>
            <w:hideMark/>
          </w:tcPr>
          <w:p w:rsidR="000021C1" w:rsidRPr="000054EF" w:rsidRDefault="000021C1" w:rsidP="000021C1">
            <w:pPr>
              <w:pStyle w:val="AERtabletextleft"/>
              <w:rPr>
                <w:rStyle w:val="AERtextbold"/>
              </w:rPr>
            </w:pPr>
          </w:p>
        </w:tc>
        <w:tc>
          <w:tcPr>
            <w:tcW w:w="737" w:type="dxa"/>
            <w:shd w:val="clear" w:color="auto" w:fill="365F91"/>
            <w:noWrap/>
            <w:vAlign w:val="center"/>
            <w:hideMark/>
          </w:tcPr>
          <w:p w:rsidR="000021C1" w:rsidRPr="000021C1" w:rsidRDefault="000021C1" w:rsidP="000021C1">
            <w:pPr>
              <w:pStyle w:val="AERtabletextleft"/>
              <w:rPr>
                <w:rStyle w:val="AERtextbold"/>
              </w:rPr>
            </w:pPr>
            <w:r w:rsidRPr="000054EF">
              <w:rPr>
                <w:rStyle w:val="AERtextbold"/>
              </w:rPr>
              <w:t>Fixed charges ($ per year)</w:t>
            </w:r>
          </w:p>
        </w:tc>
        <w:tc>
          <w:tcPr>
            <w:tcW w:w="1136"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Changes in fixed charge from previous year (%)</w:t>
            </w:r>
          </w:p>
        </w:tc>
        <w:tc>
          <w:tcPr>
            <w:tcW w:w="881"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Block 1 usage rate c/kWh</w:t>
            </w:r>
          </w:p>
        </w:tc>
        <w:tc>
          <w:tcPr>
            <w:tcW w:w="892"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Changes in block 1 usage rate from previous year (%)</w:t>
            </w:r>
          </w:p>
        </w:tc>
        <w:tc>
          <w:tcPr>
            <w:tcW w:w="789"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Block 2 usage rate c/kWh</w:t>
            </w:r>
          </w:p>
        </w:tc>
        <w:tc>
          <w:tcPr>
            <w:tcW w:w="892"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 xml:space="preserve">Changes in block 2 </w:t>
            </w:r>
            <w:r w:rsidRPr="000021C1">
              <w:rPr>
                <w:rStyle w:val="AERtextbold"/>
              </w:rPr>
              <w:t>usage rate from previous year (%)</w:t>
            </w:r>
          </w:p>
        </w:tc>
        <w:tc>
          <w:tcPr>
            <w:tcW w:w="789"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Block 3 usage rate c/kWh</w:t>
            </w:r>
          </w:p>
        </w:tc>
        <w:tc>
          <w:tcPr>
            <w:tcW w:w="892"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Changes in block 3 usage rate from previous year (%)</w:t>
            </w:r>
          </w:p>
        </w:tc>
        <w:tc>
          <w:tcPr>
            <w:tcW w:w="837"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Block 4 usage rate c/kWh</w:t>
            </w:r>
          </w:p>
        </w:tc>
        <w:tc>
          <w:tcPr>
            <w:tcW w:w="892" w:type="dxa"/>
            <w:shd w:val="clear" w:color="auto" w:fill="365F91"/>
            <w:noWrap/>
            <w:vAlign w:val="center"/>
          </w:tcPr>
          <w:p w:rsidR="000021C1" w:rsidRPr="000021C1" w:rsidRDefault="000021C1" w:rsidP="000021C1">
            <w:pPr>
              <w:pStyle w:val="AERtabletextleft"/>
              <w:rPr>
                <w:rStyle w:val="AERtextbold"/>
              </w:rPr>
            </w:pPr>
            <w:r w:rsidRPr="000054EF">
              <w:rPr>
                <w:rStyle w:val="AERtextbold"/>
              </w:rPr>
              <w:t>Changes in block 4 usage rate from previous year (%)</w:t>
            </w:r>
          </w:p>
        </w:tc>
      </w:tr>
      <w:tr w:rsidR="000021C1" w:rsidRPr="00F61024" w:rsidTr="007A0935">
        <w:trPr>
          <w:trHeight w:val="300"/>
          <w:jc w:val="right"/>
        </w:trPr>
        <w:tc>
          <w:tcPr>
            <w:tcW w:w="812" w:type="dxa"/>
            <w:shd w:val="clear" w:color="auto" w:fill="DBE5F1"/>
            <w:noWrap/>
            <w:vAlign w:val="center"/>
            <w:hideMark/>
          </w:tcPr>
          <w:p w:rsidR="000021C1" w:rsidRPr="00CB57E4" w:rsidRDefault="000021C1" w:rsidP="000021C1">
            <w:pPr>
              <w:pStyle w:val="AERtabletextleft"/>
              <w:rPr>
                <w:rStyle w:val="AERtextbold"/>
              </w:rPr>
            </w:pPr>
          </w:p>
          <w:p w:rsidR="000021C1" w:rsidRPr="000021C1" w:rsidRDefault="000021C1" w:rsidP="000021C1">
            <w:pPr>
              <w:pStyle w:val="AERtabletextleft"/>
              <w:rPr>
                <w:rStyle w:val="AERtextbold"/>
              </w:rPr>
            </w:pPr>
            <w:r w:rsidRPr="00CB57E4">
              <w:rPr>
                <w:rStyle w:val="AERtextbold"/>
              </w:rPr>
              <w:t>2010-11</w:t>
            </w:r>
          </w:p>
        </w:tc>
        <w:tc>
          <w:tcPr>
            <w:tcW w:w="737" w:type="dxa"/>
            <w:shd w:val="clear" w:color="auto" w:fill="DBE5F1"/>
            <w:noWrap/>
            <w:vAlign w:val="bottom"/>
          </w:tcPr>
          <w:p w:rsidR="000021C1" w:rsidRPr="007A0935" w:rsidRDefault="000021C1" w:rsidP="007A0935">
            <w:pPr>
              <w:pStyle w:val="AERtabletextleft"/>
            </w:pPr>
            <w:r w:rsidRPr="007A0935">
              <w:t>81.37</w:t>
            </w:r>
          </w:p>
        </w:tc>
        <w:tc>
          <w:tcPr>
            <w:tcW w:w="1136" w:type="dxa"/>
            <w:shd w:val="clear" w:color="auto" w:fill="DBE5F1"/>
            <w:noWrap/>
            <w:vAlign w:val="bottom"/>
          </w:tcPr>
          <w:p w:rsidR="000021C1" w:rsidRPr="007A0935" w:rsidRDefault="000021C1" w:rsidP="007A0935">
            <w:pPr>
              <w:pStyle w:val="AERtabletextleft"/>
            </w:pPr>
          </w:p>
        </w:tc>
        <w:tc>
          <w:tcPr>
            <w:tcW w:w="881" w:type="dxa"/>
            <w:shd w:val="clear" w:color="auto" w:fill="DBE5F1"/>
            <w:noWrap/>
            <w:vAlign w:val="bottom"/>
          </w:tcPr>
          <w:p w:rsidR="000021C1" w:rsidRPr="007A0935" w:rsidRDefault="000021C1" w:rsidP="007A0935">
            <w:pPr>
              <w:pStyle w:val="AERtabletextleft"/>
            </w:pPr>
            <w:r w:rsidRPr="007A0935">
              <w:t>5.42</w:t>
            </w:r>
          </w:p>
        </w:tc>
        <w:tc>
          <w:tcPr>
            <w:tcW w:w="892" w:type="dxa"/>
            <w:shd w:val="clear" w:color="auto" w:fill="DBE5F1"/>
            <w:noWrap/>
            <w:vAlign w:val="bottom"/>
          </w:tcPr>
          <w:p w:rsidR="000021C1" w:rsidRPr="007A0935" w:rsidRDefault="000021C1" w:rsidP="007A0935">
            <w:pPr>
              <w:pStyle w:val="AERtabletextleft"/>
            </w:pPr>
          </w:p>
        </w:tc>
        <w:tc>
          <w:tcPr>
            <w:tcW w:w="789" w:type="dxa"/>
            <w:shd w:val="clear" w:color="auto" w:fill="DBE5F1"/>
            <w:noWrap/>
            <w:vAlign w:val="bottom"/>
          </w:tcPr>
          <w:p w:rsidR="000021C1" w:rsidRPr="007A0935" w:rsidRDefault="000021C1" w:rsidP="007A0935">
            <w:pPr>
              <w:pStyle w:val="AERtabletextleft"/>
            </w:pPr>
            <w:r w:rsidRPr="007A0935">
              <w:t>7.62</w:t>
            </w:r>
          </w:p>
        </w:tc>
        <w:tc>
          <w:tcPr>
            <w:tcW w:w="892" w:type="dxa"/>
            <w:shd w:val="clear" w:color="auto" w:fill="DBE5F1"/>
            <w:noWrap/>
            <w:vAlign w:val="bottom"/>
          </w:tcPr>
          <w:p w:rsidR="000021C1" w:rsidRPr="007A0935" w:rsidRDefault="000021C1" w:rsidP="007A0935">
            <w:pPr>
              <w:pStyle w:val="AERtabletextleft"/>
            </w:pPr>
          </w:p>
        </w:tc>
        <w:tc>
          <w:tcPr>
            <w:tcW w:w="789" w:type="dxa"/>
            <w:shd w:val="clear" w:color="auto" w:fill="DBE5F1"/>
            <w:noWrap/>
            <w:vAlign w:val="bottom"/>
            <w:hideMark/>
          </w:tcPr>
          <w:p w:rsidR="000021C1" w:rsidRPr="007A0935" w:rsidRDefault="000021C1" w:rsidP="007A0935">
            <w:pPr>
              <w:pStyle w:val="AERtabletextleft"/>
            </w:pPr>
            <w:r w:rsidRPr="007A0935">
              <w:t>9.07</w:t>
            </w:r>
          </w:p>
        </w:tc>
        <w:tc>
          <w:tcPr>
            <w:tcW w:w="892" w:type="dxa"/>
            <w:shd w:val="clear" w:color="auto" w:fill="DBE5F1"/>
            <w:noWrap/>
            <w:vAlign w:val="bottom"/>
            <w:hideMark/>
          </w:tcPr>
          <w:p w:rsidR="000021C1" w:rsidRPr="007A0935" w:rsidRDefault="000021C1" w:rsidP="007A0935">
            <w:pPr>
              <w:pStyle w:val="AERtabletextleft"/>
            </w:pPr>
          </w:p>
        </w:tc>
        <w:tc>
          <w:tcPr>
            <w:tcW w:w="837" w:type="dxa"/>
            <w:shd w:val="clear" w:color="auto" w:fill="DBE5F1"/>
            <w:noWrap/>
            <w:vAlign w:val="bottom"/>
            <w:hideMark/>
          </w:tcPr>
          <w:p w:rsidR="000021C1" w:rsidRPr="007A0935" w:rsidRDefault="000021C1" w:rsidP="007A0935">
            <w:pPr>
              <w:pStyle w:val="AERtabletextleft"/>
            </w:pPr>
            <w:r w:rsidRPr="007A0935">
              <w:t>9.07</w:t>
            </w:r>
          </w:p>
        </w:tc>
        <w:tc>
          <w:tcPr>
            <w:tcW w:w="892" w:type="dxa"/>
            <w:shd w:val="clear" w:color="auto" w:fill="DBE5F1"/>
            <w:noWrap/>
            <w:vAlign w:val="bottom"/>
            <w:hideMark/>
          </w:tcPr>
          <w:p w:rsidR="000021C1" w:rsidRPr="007A0935" w:rsidRDefault="000021C1" w:rsidP="007A0935">
            <w:pPr>
              <w:pStyle w:val="AERtabletextleft"/>
            </w:pPr>
          </w:p>
        </w:tc>
      </w:tr>
      <w:tr w:rsidR="000021C1" w:rsidRPr="00F61024" w:rsidTr="007A0935">
        <w:trPr>
          <w:trHeight w:val="300"/>
          <w:jc w:val="right"/>
        </w:trPr>
        <w:tc>
          <w:tcPr>
            <w:tcW w:w="812" w:type="dxa"/>
            <w:noWrap/>
            <w:vAlign w:val="center"/>
            <w:hideMark/>
          </w:tcPr>
          <w:p w:rsidR="000021C1" w:rsidRPr="00CB57E4" w:rsidRDefault="000021C1" w:rsidP="000021C1">
            <w:pPr>
              <w:pStyle w:val="AERtabletextleft"/>
              <w:rPr>
                <w:rStyle w:val="AERtextbold"/>
              </w:rPr>
            </w:pPr>
          </w:p>
          <w:p w:rsidR="000021C1" w:rsidRPr="000021C1" w:rsidRDefault="000021C1" w:rsidP="000021C1">
            <w:pPr>
              <w:pStyle w:val="AERtabletextleft"/>
              <w:rPr>
                <w:rStyle w:val="AERtextbold"/>
              </w:rPr>
            </w:pPr>
            <w:r w:rsidRPr="00CB57E4">
              <w:rPr>
                <w:rStyle w:val="AERtextbold"/>
              </w:rPr>
              <w:t>2011-12</w:t>
            </w:r>
          </w:p>
        </w:tc>
        <w:tc>
          <w:tcPr>
            <w:tcW w:w="737" w:type="dxa"/>
            <w:noWrap/>
            <w:vAlign w:val="bottom"/>
          </w:tcPr>
          <w:p w:rsidR="000021C1" w:rsidRPr="007A0935" w:rsidRDefault="000021C1" w:rsidP="007A0935">
            <w:pPr>
              <w:pStyle w:val="AERtabletextleft"/>
            </w:pPr>
            <w:r w:rsidRPr="007A0935">
              <w:t>88.91</w:t>
            </w:r>
          </w:p>
        </w:tc>
        <w:tc>
          <w:tcPr>
            <w:tcW w:w="1136" w:type="dxa"/>
            <w:noWrap/>
            <w:vAlign w:val="bottom"/>
          </w:tcPr>
          <w:p w:rsidR="000021C1" w:rsidRPr="007A0935" w:rsidRDefault="000021C1" w:rsidP="007A0935">
            <w:pPr>
              <w:pStyle w:val="AERtabletextleft"/>
            </w:pPr>
            <w:r w:rsidRPr="007A0935">
              <w:t>9.26</w:t>
            </w:r>
          </w:p>
        </w:tc>
        <w:tc>
          <w:tcPr>
            <w:tcW w:w="881" w:type="dxa"/>
            <w:noWrap/>
            <w:vAlign w:val="bottom"/>
          </w:tcPr>
          <w:p w:rsidR="000021C1" w:rsidRPr="007A0935" w:rsidRDefault="000021C1" w:rsidP="007A0935">
            <w:pPr>
              <w:pStyle w:val="AERtabletextleft"/>
            </w:pPr>
            <w:r w:rsidRPr="007A0935">
              <w:t>6.58</w:t>
            </w:r>
          </w:p>
        </w:tc>
        <w:tc>
          <w:tcPr>
            <w:tcW w:w="892" w:type="dxa"/>
            <w:noWrap/>
            <w:vAlign w:val="bottom"/>
          </w:tcPr>
          <w:p w:rsidR="000021C1" w:rsidRPr="007A0935" w:rsidRDefault="000021C1" w:rsidP="007A0935">
            <w:pPr>
              <w:pStyle w:val="AERtabletextleft"/>
            </w:pPr>
            <w:r w:rsidRPr="007A0935">
              <w:t>21.38</w:t>
            </w:r>
          </w:p>
        </w:tc>
        <w:tc>
          <w:tcPr>
            <w:tcW w:w="789" w:type="dxa"/>
            <w:noWrap/>
            <w:vAlign w:val="bottom"/>
          </w:tcPr>
          <w:p w:rsidR="000021C1" w:rsidRPr="007A0935" w:rsidRDefault="000021C1" w:rsidP="007A0935">
            <w:pPr>
              <w:pStyle w:val="AERtabletextleft"/>
            </w:pPr>
            <w:r w:rsidRPr="007A0935">
              <w:t>9.25</w:t>
            </w:r>
          </w:p>
        </w:tc>
        <w:tc>
          <w:tcPr>
            <w:tcW w:w="892" w:type="dxa"/>
            <w:noWrap/>
            <w:vAlign w:val="bottom"/>
          </w:tcPr>
          <w:p w:rsidR="000021C1" w:rsidRPr="007A0935" w:rsidRDefault="000021C1" w:rsidP="007A0935">
            <w:pPr>
              <w:pStyle w:val="AERtabletextleft"/>
            </w:pPr>
            <w:r w:rsidRPr="007A0935">
              <w:t>21.37</w:t>
            </w:r>
          </w:p>
        </w:tc>
        <w:tc>
          <w:tcPr>
            <w:tcW w:w="789" w:type="dxa"/>
            <w:noWrap/>
            <w:vAlign w:val="bottom"/>
            <w:hideMark/>
          </w:tcPr>
          <w:p w:rsidR="000021C1" w:rsidRPr="007A0935" w:rsidRDefault="000021C1" w:rsidP="007A0935">
            <w:pPr>
              <w:pStyle w:val="AERtabletextleft"/>
            </w:pPr>
            <w:r w:rsidRPr="007A0935">
              <w:t>11.01</w:t>
            </w:r>
          </w:p>
        </w:tc>
        <w:tc>
          <w:tcPr>
            <w:tcW w:w="892" w:type="dxa"/>
            <w:noWrap/>
            <w:vAlign w:val="bottom"/>
            <w:hideMark/>
          </w:tcPr>
          <w:p w:rsidR="000021C1" w:rsidRPr="007A0935" w:rsidRDefault="000021C1" w:rsidP="007A0935">
            <w:pPr>
              <w:pStyle w:val="AERtabletextleft"/>
            </w:pPr>
            <w:r w:rsidRPr="007A0935">
              <w:t>21.39</w:t>
            </w:r>
          </w:p>
        </w:tc>
        <w:tc>
          <w:tcPr>
            <w:tcW w:w="837" w:type="dxa"/>
            <w:noWrap/>
            <w:vAlign w:val="bottom"/>
            <w:hideMark/>
          </w:tcPr>
          <w:p w:rsidR="000021C1" w:rsidRPr="007A0935" w:rsidRDefault="000021C1" w:rsidP="007A0935">
            <w:pPr>
              <w:pStyle w:val="AERtabletextleft"/>
            </w:pPr>
            <w:r w:rsidRPr="007A0935">
              <w:t>11.01</w:t>
            </w:r>
          </w:p>
        </w:tc>
        <w:tc>
          <w:tcPr>
            <w:tcW w:w="892" w:type="dxa"/>
            <w:noWrap/>
            <w:vAlign w:val="bottom"/>
            <w:hideMark/>
          </w:tcPr>
          <w:p w:rsidR="000021C1" w:rsidRPr="007A0935" w:rsidRDefault="000021C1" w:rsidP="007A0935">
            <w:pPr>
              <w:pStyle w:val="AERtabletextleft"/>
            </w:pPr>
            <w:r w:rsidRPr="007A0935">
              <w:t>21.39</w:t>
            </w:r>
          </w:p>
        </w:tc>
      </w:tr>
      <w:tr w:rsidR="000021C1" w:rsidRPr="00F61024" w:rsidTr="007A0935">
        <w:trPr>
          <w:trHeight w:val="300"/>
          <w:jc w:val="right"/>
        </w:trPr>
        <w:tc>
          <w:tcPr>
            <w:tcW w:w="812" w:type="dxa"/>
            <w:shd w:val="clear" w:color="auto" w:fill="DBE5F1"/>
            <w:noWrap/>
            <w:vAlign w:val="center"/>
            <w:hideMark/>
          </w:tcPr>
          <w:p w:rsidR="000021C1" w:rsidRPr="00CB57E4" w:rsidRDefault="000021C1" w:rsidP="000021C1">
            <w:pPr>
              <w:pStyle w:val="AERtabletextleft"/>
              <w:rPr>
                <w:rStyle w:val="AERtextbold"/>
              </w:rPr>
            </w:pPr>
          </w:p>
          <w:p w:rsidR="000021C1" w:rsidRPr="000021C1" w:rsidRDefault="000021C1" w:rsidP="000021C1">
            <w:pPr>
              <w:pStyle w:val="AERtabletextleft"/>
              <w:rPr>
                <w:rStyle w:val="AERtextbold"/>
              </w:rPr>
            </w:pPr>
            <w:r w:rsidRPr="00CB57E4">
              <w:rPr>
                <w:rStyle w:val="AERtextbold"/>
              </w:rPr>
              <w:t>2012-13</w:t>
            </w:r>
          </w:p>
        </w:tc>
        <w:tc>
          <w:tcPr>
            <w:tcW w:w="737" w:type="dxa"/>
            <w:shd w:val="clear" w:color="auto" w:fill="DBE5F1"/>
            <w:noWrap/>
            <w:vAlign w:val="bottom"/>
          </w:tcPr>
          <w:p w:rsidR="000021C1" w:rsidRPr="007A0935" w:rsidRDefault="000021C1" w:rsidP="007A0935">
            <w:pPr>
              <w:pStyle w:val="AERtabletextleft"/>
            </w:pPr>
            <w:r w:rsidRPr="007A0935">
              <w:t>94.76</w:t>
            </w:r>
          </w:p>
        </w:tc>
        <w:tc>
          <w:tcPr>
            <w:tcW w:w="1136" w:type="dxa"/>
            <w:shd w:val="clear" w:color="auto" w:fill="DBE5F1"/>
            <w:noWrap/>
            <w:vAlign w:val="bottom"/>
          </w:tcPr>
          <w:p w:rsidR="000021C1" w:rsidRPr="007A0935" w:rsidRDefault="000021C1" w:rsidP="007A0935">
            <w:pPr>
              <w:pStyle w:val="AERtabletextleft"/>
            </w:pPr>
            <w:r w:rsidRPr="007A0935">
              <w:t>6.57</w:t>
            </w:r>
          </w:p>
        </w:tc>
        <w:tc>
          <w:tcPr>
            <w:tcW w:w="881" w:type="dxa"/>
            <w:shd w:val="clear" w:color="auto" w:fill="DBE5F1"/>
            <w:noWrap/>
            <w:vAlign w:val="bottom"/>
          </w:tcPr>
          <w:p w:rsidR="000021C1" w:rsidRPr="007A0935" w:rsidRDefault="000021C1" w:rsidP="007A0935">
            <w:pPr>
              <w:pStyle w:val="AERtabletextleft"/>
            </w:pPr>
            <w:r w:rsidRPr="007A0935">
              <w:t>8.14</w:t>
            </w:r>
          </w:p>
        </w:tc>
        <w:tc>
          <w:tcPr>
            <w:tcW w:w="892" w:type="dxa"/>
            <w:shd w:val="clear" w:color="auto" w:fill="DBE5F1"/>
            <w:noWrap/>
            <w:vAlign w:val="bottom"/>
          </w:tcPr>
          <w:p w:rsidR="000021C1" w:rsidRPr="007A0935" w:rsidRDefault="000021C1" w:rsidP="007A0935">
            <w:pPr>
              <w:pStyle w:val="AERtabletextleft"/>
            </w:pPr>
            <w:r w:rsidRPr="007A0935">
              <w:t>23.73</w:t>
            </w:r>
          </w:p>
        </w:tc>
        <w:tc>
          <w:tcPr>
            <w:tcW w:w="789" w:type="dxa"/>
            <w:shd w:val="clear" w:color="auto" w:fill="DBE5F1"/>
            <w:noWrap/>
            <w:vAlign w:val="bottom"/>
          </w:tcPr>
          <w:p w:rsidR="000021C1" w:rsidRPr="007A0935" w:rsidRDefault="000021C1" w:rsidP="007A0935">
            <w:pPr>
              <w:pStyle w:val="AERtabletextleft"/>
            </w:pPr>
            <w:r w:rsidRPr="007A0935">
              <w:t>10.73</w:t>
            </w:r>
          </w:p>
        </w:tc>
        <w:tc>
          <w:tcPr>
            <w:tcW w:w="892" w:type="dxa"/>
            <w:shd w:val="clear" w:color="auto" w:fill="DBE5F1"/>
            <w:noWrap/>
            <w:vAlign w:val="bottom"/>
          </w:tcPr>
          <w:p w:rsidR="000021C1" w:rsidRPr="007A0935" w:rsidRDefault="000021C1" w:rsidP="007A0935">
            <w:pPr>
              <w:pStyle w:val="AERtabletextleft"/>
            </w:pPr>
            <w:r w:rsidRPr="007A0935">
              <w:t>15.94</w:t>
            </w:r>
          </w:p>
        </w:tc>
        <w:tc>
          <w:tcPr>
            <w:tcW w:w="789" w:type="dxa"/>
            <w:shd w:val="clear" w:color="auto" w:fill="DBE5F1"/>
            <w:noWrap/>
            <w:vAlign w:val="bottom"/>
            <w:hideMark/>
          </w:tcPr>
          <w:p w:rsidR="000021C1" w:rsidRPr="007A0935" w:rsidRDefault="000021C1" w:rsidP="007A0935">
            <w:pPr>
              <w:pStyle w:val="AERtabletextleft"/>
            </w:pPr>
            <w:r w:rsidRPr="007A0935">
              <w:t>12.76</w:t>
            </w:r>
          </w:p>
        </w:tc>
        <w:tc>
          <w:tcPr>
            <w:tcW w:w="892" w:type="dxa"/>
            <w:shd w:val="clear" w:color="auto" w:fill="DBE5F1"/>
            <w:noWrap/>
            <w:vAlign w:val="bottom"/>
            <w:hideMark/>
          </w:tcPr>
          <w:p w:rsidR="000021C1" w:rsidRPr="007A0935" w:rsidRDefault="000021C1" w:rsidP="007A0935">
            <w:pPr>
              <w:pStyle w:val="AERtabletextleft"/>
            </w:pPr>
            <w:r w:rsidRPr="007A0935">
              <w:t>15.94</w:t>
            </w:r>
          </w:p>
        </w:tc>
        <w:tc>
          <w:tcPr>
            <w:tcW w:w="837" w:type="dxa"/>
            <w:shd w:val="clear" w:color="auto" w:fill="DBE5F1"/>
            <w:noWrap/>
            <w:vAlign w:val="bottom"/>
            <w:hideMark/>
          </w:tcPr>
          <w:p w:rsidR="000021C1" w:rsidRPr="007A0935" w:rsidRDefault="000021C1" w:rsidP="007A0935">
            <w:pPr>
              <w:pStyle w:val="AERtabletextleft"/>
            </w:pPr>
            <w:r w:rsidRPr="007A0935">
              <w:t>12.76</w:t>
            </w:r>
          </w:p>
        </w:tc>
        <w:tc>
          <w:tcPr>
            <w:tcW w:w="892" w:type="dxa"/>
            <w:shd w:val="clear" w:color="auto" w:fill="DBE5F1"/>
            <w:noWrap/>
            <w:vAlign w:val="bottom"/>
            <w:hideMark/>
          </w:tcPr>
          <w:p w:rsidR="000021C1" w:rsidRPr="007A0935" w:rsidRDefault="000021C1" w:rsidP="007A0935">
            <w:pPr>
              <w:pStyle w:val="AERtabletextleft"/>
            </w:pPr>
            <w:r w:rsidRPr="007A0935">
              <w:t>15.94</w:t>
            </w:r>
          </w:p>
        </w:tc>
      </w:tr>
      <w:tr w:rsidR="000021C1" w:rsidRPr="00F61024" w:rsidTr="007A0935">
        <w:trPr>
          <w:trHeight w:val="300"/>
          <w:jc w:val="right"/>
        </w:trPr>
        <w:tc>
          <w:tcPr>
            <w:tcW w:w="812" w:type="dxa"/>
            <w:noWrap/>
            <w:vAlign w:val="center"/>
            <w:hideMark/>
          </w:tcPr>
          <w:p w:rsidR="000021C1" w:rsidRPr="00CB57E4" w:rsidRDefault="000021C1" w:rsidP="000021C1">
            <w:pPr>
              <w:pStyle w:val="AERtabletextleft"/>
              <w:rPr>
                <w:rStyle w:val="AERtextbold"/>
              </w:rPr>
            </w:pPr>
          </w:p>
          <w:p w:rsidR="000021C1" w:rsidRPr="000021C1" w:rsidRDefault="000021C1" w:rsidP="000021C1">
            <w:pPr>
              <w:pStyle w:val="AERtabletextleft"/>
              <w:rPr>
                <w:rStyle w:val="AERtextbold"/>
              </w:rPr>
            </w:pPr>
            <w:r w:rsidRPr="00CB57E4">
              <w:rPr>
                <w:rStyle w:val="AERtextbold"/>
              </w:rPr>
              <w:t>2013-14</w:t>
            </w:r>
          </w:p>
        </w:tc>
        <w:tc>
          <w:tcPr>
            <w:tcW w:w="737" w:type="dxa"/>
            <w:noWrap/>
            <w:vAlign w:val="bottom"/>
          </w:tcPr>
          <w:p w:rsidR="000021C1" w:rsidRPr="007A0935" w:rsidRDefault="000021C1" w:rsidP="007A0935">
            <w:pPr>
              <w:pStyle w:val="AERtabletextleft"/>
            </w:pPr>
            <w:r w:rsidRPr="007A0935">
              <w:t>102.09</w:t>
            </w:r>
          </w:p>
        </w:tc>
        <w:tc>
          <w:tcPr>
            <w:tcW w:w="1136" w:type="dxa"/>
            <w:noWrap/>
            <w:vAlign w:val="bottom"/>
          </w:tcPr>
          <w:p w:rsidR="000021C1" w:rsidRPr="007A0935" w:rsidRDefault="000021C1" w:rsidP="007A0935">
            <w:pPr>
              <w:pStyle w:val="AERtabletextleft"/>
            </w:pPr>
            <w:r w:rsidRPr="007A0935">
              <w:t>7.74</w:t>
            </w:r>
          </w:p>
        </w:tc>
        <w:tc>
          <w:tcPr>
            <w:tcW w:w="881" w:type="dxa"/>
            <w:noWrap/>
            <w:vAlign w:val="bottom"/>
          </w:tcPr>
          <w:p w:rsidR="000021C1" w:rsidRPr="007A0935" w:rsidRDefault="000021C1" w:rsidP="007A0935">
            <w:pPr>
              <w:pStyle w:val="AERtabletextleft"/>
            </w:pPr>
            <w:r w:rsidRPr="007A0935">
              <w:t>9.25</w:t>
            </w:r>
          </w:p>
        </w:tc>
        <w:tc>
          <w:tcPr>
            <w:tcW w:w="892" w:type="dxa"/>
            <w:noWrap/>
            <w:vAlign w:val="bottom"/>
          </w:tcPr>
          <w:p w:rsidR="000021C1" w:rsidRPr="007A0935" w:rsidRDefault="000021C1" w:rsidP="007A0935">
            <w:pPr>
              <w:pStyle w:val="AERtabletextleft"/>
            </w:pPr>
            <w:r w:rsidRPr="007A0935">
              <w:t>13.66</w:t>
            </w:r>
          </w:p>
        </w:tc>
        <w:tc>
          <w:tcPr>
            <w:tcW w:w="789" w:type="dxa"/>
            <w:noWrap/>
            <w:vAlign w:val="bottom"/>
          </w:tcPr>
          <w:p w:rsidR="000021C1" w:rsidRPr="007A0935" w:rsidRDefault="000021C1" w:rsidP="007A0935">
            <w:pPr>
              <w:pStyle w:val="AERtabletextleft"/>
            </w:pPr>
            <w:r w:rsidRPr="007A0935">
              <w:t>12.05</w:t>
            </w:r>
          </w:p>
        </w:tc>
        <w:tc>
          <w:tcPr>
            <w:tcW w:w="892" w:type="dxa"/>
            <w:noWrap/>
            <w:vAlign w:val="bottom"/>
          </w:tcPr>
          <w:p w:rsidR="000021C1" w:rsidRPr="007A0935" w:rsidRDefault="000021C1" w:rsidP="007A0935">
            <w:pPr>
              <w:pStyle w:val="AERtabletextleft"/>
            </w:pPr>
            <w:r w:rsidRPr="007A0935">
              <w:t>12.33</w:t>
            </w:r>
          </w:p>
        </w:tc>
        <w:tc>
          <w:tcPr>
            <w:tcW w:w="789" w:type="dxa"/>
            <w:noWrap/>
            <w:vAlign w:val="bottom"/>
            <w:hideMark/>
          </w:tcPr>
          <w:p w:rsidR="000021C1" w:rsidRPr="007A0935" w:rsidRDefault="000021C1" w:rsidP="007A0935">
            <w:pPr>
              <w:pStyle w:val="AERtabletextleft"/>
            </w:pPr>
            <w:r w:rsidRPr="007A0935">
              <w:t>14.33</w:t>
            </w:r>
          </w:p>
        </w:tc>
        <w:tc>
          <w:tcPr>
            <w:tcW w:w="892" w:type="dxa"/>
            <w:noWrap/>
            <w:vAlign w:val="bottom"/>
            <w:hideMark/>
          </w:tcPr>
          <w:p w:rsidR="000021C1" w:rsidRPr="007A0935" w:rsidRDefault="000021C1" w:rsidP="007A0935">
            <w:pPr>
              <w:pStyle w:val="AERtabletextleft"/>
            </w:pPr>
            <w:r w:rsidRPr="007A0935">
              <w:t>12.33</w:t>
            </w:r>
          </w:p>
        </w:tc>
        <w:tc>
          <w:tcPr>
            <w:tcW w:w="837" w:type="dxa"/>
            <w:noWrap/>
            <w:vAlign w:val="bottom"/>
            <w:hideMark/>
          </w:tcPr>
          <w:p w:rsidR="000021C1" w:rsidRPr="007A0935" w:rsidRDefault="000021C1" w:rsidP="007A0935">
            <w:pPr>
              <w:pStyle w:val="AERtabletextleft"/>
            </w:pPr>
            <w:r w:rsidRPr="007A0935">
              <w:t>14.33</w:t>
            </w:r>
          </w:p>
        </w:tc>
        <w:tc>
          <w:tcPr>
            <w:tcW w:w="892" w:type="dxa"/>
            <w:noWrap/>
            <w:vAlign w:val="bottom"/>
            <w:hideMark/>
          </w:tcPr>
          <w:p w:rsidR="000021C1" w:rsidRPr="007A0935" w:rsidRDefault="000021C1" w:rsidP="007A0935">
            <w:pPr>
              <w:pStyle w:val="AERtabletextleft"/>
            </w:pPr>
            <w:r w:rsidRPr="007A0935">
              <w:t>12.33</w:t>
            </w:r>
          </w:p>
        </w:tc>
      </w:tr>
    </w:tbl>
    <w:p w:rsidR="000021C1" w:rsidRPr="000054EF" w:rsidRDefault="000021C1" w:rsidP="000021C1">
      <w:pPr>
        <w:pStyle w:val="AERtablesource"/>
      </w:pPr>
      <w:r w:rsidRPr="000054EF">
        <w:t>Note: All tariffs excludes metering and solar PV pas</w:t>
      </w:r>
      <w:r w:rsidR="000B6EF5">
        <w:t>s through component.</w:t>
      </w:r>
    </w:p>
    <w:p w:rsidR="000021C1" w:rsidRPr="000054EF" w:rsidRDefault="000021C1" w:rsidP="000021C1">
      <w:pPr>
        <w:pStyle w:val="AERbodytext"/>
      </w:pPr>
      <w:r w:rsidRPr="000054EF">
        <w:t>The fixed charge component of the tariff has the lowest percentage increase over the current period, this is followed by the block 2 to 4 usage rate charges</w:t>
      </w:r>
      <w:r>
        <w:t xml:space="preserve">, </w:t>
      </w:r>
      <w:r w:rsidRPr="000054EF">
        <w:t xml:space="preserve">for annual usage higher than 4000kWh, while </w:t>
      </w:r>
      <w:r>
        <w:t xml:space="preserve">the </w:t>
      </w:r>
      <w:r w:rsidRPr="000054EF">
        <w:t>block 1 usage charge</w:t>
      </w:r>
      <w:r>
        <w:t xml:space="preserve">, </w:t>
      </w:r>
      <w:r w:rsidRPr="000054EF">
        <w:t>for annual usage less than 4000kWh</w:t>
      </w:r>
      <w:r>
        <w:t>,</w:t>
      </w:r>
      <w:r w:rsidRPr="000054EF">
        <w:t xml:space="preserve"> experienced </w:t>
      </w:r>
      <w:r>
        <w:t xml:space="preserve">the </w:t>
      </w:r>
      <w:r w:rsidRPr="000054EF">
        <w:t xml:space="preserve">highest percentage increase over the period.  </w:t>
      </w:r>
    </w:p>
    <w:p w:rsidR="000021C1" w:rsidRPr="000054EF" w:rsidRDefault="000021C1" w:rsidP="000021C1">
      <w:pPr>
        <w:pStyle w:val="AERbodytext"/>
      </w:pPr>
      <w:r w:rsidRPr="000054EF">
        <w:t xml:space="preserve">Residential usage per customer decreased over </w:t>
      </w:r>
      <w:r w:rsidR="000B6EF5">
        <w:t xml:space="preserve">the </w:t>
      </w:r>
      <w:r w:rsidRPr="000054EF">
        <w:t>period from 2010–11 to 2011–12 where actual audited data is available. This created an incentive for SA</w:t>
      </w:r>
      <w:r>
        <w:t xml:space="preserve"> </w:t>
      </w:r>
      <w:r w:rsidRPr="000054EF">
        <w:t>P</w:t>
      </w:r>
      <w:r>
        <w:t xml:space="preserve">ower </w:t>
      </w:r>
      <w:r w:rsidRPr="000054EF">
        <w:t>N</w:t>
      </w:r>
      <w:r>
        <w:t>etworks</w:t>
      </w:r>
      <w:r w:rsidR="002B5CB9">
        <w:t xml:space="preserve"> </w:t>
      </w:r>
      <w:r w:rsidRPr="000054EF">
        <w:t xml:space="preserve">to increase </w:t>
      </w:r>
      <w:r>
        <w:t xml:space="preserve">the </w:t>
      </w:r>
      <w:r w:rsidRPr="000054EF">
        <w:t xml:space="preserve">block 1 usage charge relative to the fixed charge and higher usage block charges because quantities for </w:t>
      </w:r>
      <w:r>
        <w:t xml:space="preserve">the </w:t>
      </w:r>
      <w:r w:rsidRPr="000054EF">
        <w:t>higher usage b</w:t>
      </w:r>
      <w:r>
        <w:t>l</w:t>
      </w:r>
      <w:r w:rsidRPr="000054EF">
        <w:t xml:space="preserve">ocks (usage block 2 to 4) are falling faster than quantities under </w:t>
      </w:r>
      <w:r>
        <w:t xml:space="preserve">the </w:t>
      </w:r>
      <w:r w:rsidRPr="000054EF">
        <w:t>block 1 usage.</w:t>
      </w:r>
    </w:p>
    <w:p w:rsidR="000021C1" w:rsidRDefault="000021C1" w:rsidP="000021C1">
      <w:pPr>
        <w:pStyle w:val="AERbodytext"/>
      </w:pPr>
      <w:r w:rsidRPr="000054EF">
        <w:t xml:space="preserve">As detailed above, we consider that block tariff structures do not represent efficient pricing structures. Currently, low usage residential customers below 4000kWh face a marginal distribution price of 9.25c/kWh. All higher usage residential customers between 4000 and 10000kWh face a marginal distribution price of 12.05/kWh. We consider that these tariff charges vary substantially from marginal cost because marginal cost is </w:t>
      </w:r>
      <w:r>
        <w:t xml:space="preserve">relatively </w:t>
      </w:r>
      <w:r w:rsidRPr="000054EF">
        <w:t xml:space="preserve">constant across a customers' consumption. </w:t>
      </w:r>
    </w:p>
    <w:p w:rsidR="000021C1" w:rsidRPr="000054EF" w:rsidRDefault="000021C1" w:rsidP="000021C1">
      <w:pPr>
        <w:pStyle w:val="AERbodytext"/>
      </w:pPr>
      <w:r w:rsidRPr="000054EF">
        <w:t>In general, SA</w:t>
      </w:r>
      <w:r>
        <w:t xml:space="preserve"> </w:t>
      </w:r>
      <w:r w:rsidRPr="000054EF">
        <w:t>P</w:t>
      </w:r>
      <w:r>
        <w:t xml:space="preserve">ower </w:t>
      </w:r>
      <w:r w:rsidRPr="000054EF">
        <w:t>N</w:t>
      </w:r>
      <w:r>
        <w:t>etworks</w:t>
      </w:r>
      <w:r w:rsidRPr="000054EF">
        <w:t xml:space="preserve"> have two types of tariff structure for small and medium business customers </w:t>
      </w:r>
      <w:r>
        <w:t xml:space="preserve">with </w:t>
      </w:r>
      <w:r w:rsidRPr="000054EF">
        <w:t>peak demand below 1000kVA. This customer group contributes the largest proportion of SA</w:t>
      </w:r>
      <w:r>
        <w:t xml:space="preserve"> </w:t>
      </w:r>
      <w:r w:rsidRPr="000054EF">
        <w:t>P</w:t>
      </w:r>
      <w:r>
        <w:t xml:space="preserve">ower </w:t>
      </w:r>
      <w:r w:rsidRPr="000054EF">
        <w:t>N</w:t>
      </w:r>
      <w:r>
        <w:t>etwork</w:t>
      </w:r>
      <w:r w:rsidRPr="000054EF">
        <w:t>s</w:t>
      </w:r>
      <w:r>
        <w:t>’</w:t>
      </w:r>
      <w:r w:rsidRPr="000054EF">
        <w:t xml:space="preserve"> recovered revenue from business customers as a whole. The first type of tariff structure is a combination of fixed supply and usage based charges, and the second type is a combination of usage and stepped demand based charges. The former have one fixed supply charge component and five usage block charge components based on levels of peak and off-peak usage. The latter has two usage charge components for peak and off-peak time of use, and five stepped demand block components for different levels of peak demand.  </w:t>
      </w:r>
    </w:p>
    <w:p w:rsidR="000021C1" w:rsidRPr="000054EF" w:rsidRDefault="000021C1" w:rsidP="000021C1">
      <w:pPr>
        <w:pStyle w:val="AERbodytext"/>
      </w:pPr>
      <w:r w:rsidRPr="000054EF">
        <w:t>One feature of the first type of tariff structure is that the charges for the 4 peak block usage are the same</w:t>
      </w:r>
      <w:r>
        <w:t xml:space="preserve">. The practical outcome </w:t>
      </w:r>
      <w:r w:rsidRPr="000054EF">
        <w:t xml:space="preserve">is that </w:t>
      </w:r>
      <w:r>
        <w:t xml:space="preserve">this </w:t>
      </w:r>
      <w:r w:rsidRPr="000054EF">
        <w:t>customer pays</w:t>
      </w:r>
      <w:r>
        <w:t xml:space="preserve"> two rates for its usage depending</w:t>
      </w:r>
      <w:r w:rsidRPr="000054EF">
        <w:t xml:space="preserve"> on </w:t>
      </w:r>
      <w:r>
        <w:t xml:space="preserve">the </w:t>
      </w:r>
      <w:r w:rsidRPr="000054EF">
        <w:t xml:space="preserve">time of use at peak and off-peak periods. The movements for each components of the first type of tariff structure over the current control regulatory period is set out in </w:t>
      </w:r>
      <w:r w:rsidR="007A0935">
        <w:t xml:space="preserve">Table </w:t>
      </w:r>
      <w:r>
        <w:t>C</w:t>
      </w:r>
      <w:r w:rsidRPr="000054EF">
        <w:t>.</w:t>
      </w:r>
      <w:r>
        <w:t>3</w:t>
      </w:r>
      <w:r w:rsidRPr="000054EF">
        <w:t xml:space="preserve"> below:</w:t>
      </w:r>
    </w:p>
    <w:p w:rsidR="000021C1" w:rsidRPr="000054EF" w:rsidRDefault="000021C1" w:rsidP="000021C1">
      <w:pPr>
        <w:pStyle w:val="AERbodytext"/>
        <w:rPr>
          <w:rStyle w:val="AERtextbold"/>
        </w:rPr>
      </w:pPr>
      <w:r w:rsidRPr="000054EF">
        <w:rPr>
          <w:rStyle w:val="AERtextbold"/>
        </w:rPr>
        <w:lastRenderedPageBreak/>
        <w:t xml:space="preserve">Table </w:t>
      </w:r>
      <w:r>
        <w:rPr>
          <w:rStyle w:val="AERtextbold"/>
        </w:rPr>
        <w:t>C</w:t>
      </w:r>
      <w:r w:rsidRPr="000054EF">
        <w:rPr>
          <w:rStyle w:val="AERtextbold"/>
        </w:rPr>
        <w:t>.</w:t>
      </w:r>
      <w:r>
        <w:rPr>
          <w:rStyle w:val="AERtextbold"/>
        </w:rPr>
        <w:t>3</w:t>
      </w:r>
      <w:r w:rsidRPr="000054EF">
        <w:rPr>
          <w:rStyle w:val="AERtextbold"/>
        </w:rPr>
        <w:t xml:space="preserve"> SAPN business type 1 tariff </w:t>
      </w:r>
      <w:r>
        <w:rPr>
          <w:rStyle w:val="AERtextbold"/>
        </w:rPr>
        <w:t xml:space="preserve">- </w:t>
      </w:r>
      <w:r w:rsidRPr="000054EF">
        <w:rPr>
          <w:rStyle w:val="AERtextbold"/>
        </w:rPr>
        <w:t>demand less than 1000kVA</w:t>
      </w:r>
    </w:p>
    <w:tbl>
      <w:tblPr>
        <w:tblW w:w="9000" w:type="dxa"/>
        <w:jc w:val="center"/>
        <w:tblInd w:w="242" w:type="dxa"/>
        <w:tblBorders>
          <w:bottom w:val="single" w:sz="4" w:space="0" w:color="365F91"/>
        </w:tblBorders>
        <w:tblLook w:val="04A0" w:firstRow="1" w:lastRow="0" w:firstColumn="1" w:lastColumn="0" w:noHBand="0" w:noVBand="1"/>
      </w:tblPr>
      <w:tblGrid>
        <w:gridCol w:w="893"/>
        <w:gridCol w:w="1234"/>
        <w:gridCol w:w="1558"/>
        <w:gridCol w:w="1264"/>
        <w:gridCol w:w="1587"/>
        <w:gridCol w:w="1118"/>
        <w:gridCol w:w="1346"/>
      </w:tblGrid>
      <w:tr w:rsidR="000021C1" w:rsidRPr="00D67E86" w:rsidTr="007A0935">
        <w:trPr>
          <w:trHeight w:val="300"/>
          <w:jc w:val="center"/>
        </w:trPr>
        <w:tc>
          <w:tcPr>
            <w:tcW w:w="893" w:type="dxa"/>
            <w:shd w:val="clear" w:color="auto" w:fill="365F91"/>
            <w:noWrap/>
            <w:vAlign w:val="center"/>
            <w:hideMark/>
          </w:tcPr>
          <w:p w:rsidR="000021C1" w:rsidRPr="000021C1" w:rsidRDefault="000021C1" w:rsidP="000021C1">
            <w:pPr>
              <w:pStyle w:val="AERtabletextleft"/>
              <w:rPr>
                <w:rStyle w:val="AERtextbold"/>
              </w:rPr>
            </w:pPr>
          </w:p>
        </w:tc>
        <w:tc>
          <w:tcPr>
            <w:tcW w:w="1234" w:type="dxa"/>
            <w:shd w:val="clear" w:color="auto" w:fill="365F91"/>
            <w:noWrap/>
            <w:vAlign w:val="center"/>
            <w:hideMark/>
          </w:tcPr>
          <w:p w:rsidR="000021C1" w:rsidRPr="000021C1" w:rsidRDefault="000021C1" w:rsidP="000021C1">
            <w:pPr>
              <w:pStyle w:val="AERtabletextleft"/>
              <w:rPr>
                <w:rStyle w:val="AERtextbold"/>
              </w:rPr>
            </w:pPr>
            <w:r w:rsidRPr="000021C1">
              <w:rPr>
                <w:rStyle w:val="AERtextbold"/>
              </w:rPr>
              <w:t>Fixed charges ($ per year)</w:t>
            </w:r>
          </w:p>
        </w:tc>
        <w:tc>
          <w:tcPr>
            <w:tcW w:w="155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Changes in fixed charge from previous year (%)</w:t>
            </w:r>
          </w:p>
        </w:tc>
        <w:tc>
          <w:tcPr>
            <w:tcW w:w="1264"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Off-peak   usage rate c/kWh</w:t>
            </w:r>
          </w:p>
        </w:tc>
        <w:tc>
          <w:tcPr>
            <w:tcW w:w="1587"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Changes in Off-peak usage rate from previous year (%)</w:t>
            </w:r>
          </w:p>
        </w:tc>
        <w:tc>
          <w:tcPr>
            <w:tcW w:w="111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Peak usage rate c/kWh</w:t>
            </w:r>
          </w:p>
        </w:tc>
        <w:tc>
          <w:tcPr>
            <w:tcW w:w="1346"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Changes in Peak usage rate from previous year (%)</w:t>
            </w:r>
          </w:p>
        </w:tc>
      </w:tr>
      <w:tr w:rsidR="000021C1" w:rsidRPr="00D67E86" w:rsidTr="007A0935">
        <w:trPr>
          <w:trHeight w:val="300"/>
          <w:jc w:val="center"/>
        </w:trPr>
        <w:tc>
          <w:tcPr>
            <w:tcW w:w="893" w:type="dxa"/>
            <w:shd w:val="clear" w:color="auto" w:fill="DBE5F1"/>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2010-11</w:t>
            </w:r>
          </w:p>
        </w:tc>
        <w:tc>
          <w:tcPr>
            <w:tcW w:w="1234" w:type="dxa"/>
            <w:shd w:val="clear" w:color="auto" w:fill="DBE5F1"/>
            <w:noWrap/>
            <w:vAlign w:val="bottom"/>
          </w:tcPr>
          <w:p w:rsidR="000021C1" w:rsidRPr="000021C1" w:rsidRDefault="000021C1" w:rsidP="00FB6DBA">
            <w:pPr>
              <w:pStyle w:val="AERtabletextleft"/>
            </w:pPr>
          </w:p>
          <w:p w:rsidR="000021C1" w:rsidRPr="000021C1" w:rsidRDefault="000021C1" w:rsidP="00FB6DBA">
            <w:pPr>
              <w:pStyle w:val="AERtabletextleft"/>
            </w:pPr>
            <w:r w:rsidRPr="000021C1">
              <w:t>81.10</w:t>
            </w:r>
          </w:p>
        </w:tc>
        <w:tc>
          <w:tcPr>
            <w:tcW w:w="1558" w:type="dxa"/>
            <w:shd w:val="clear" w:color="auto" w:fill="DBE5F1"/>
            <w:noWrap/>
            <w:vAlign w:val="bottom"/>
          </w:tcPr>
          <w:p w:rsidR="000021C1" w:rsidRPr="000021C1" w:rsidRDefault="000021C1" w:rsidP="00FB6DBA">
            <w:pPr>
              <w:pStyle w:val="AERtabletextleft"/>
            </w:pPr>
          </w:p>
        </w:tc>
        <w:tc>
          <w:tcPr>
            <w:tcW w:w="1264" w:type="dxa"/>
            <w:shd w:val="clear" w:color="auto" w:fill="DBE5F1"/>
            <w:noWrap/>
            <w:vAlign w:val="bottom"/>
          </w:tcPr>
          <w:p w:rsidR="000021C1" w:rsidRPr="000021C1" w:rsidRDefault="000021C1" w:rsidP="00FB6DBA">
            <w:pPr>
              <w:pStyle w:val="AERtabletextleft"/>
            </w:pPr>
            <w:r w:rsidRPr="000021C1">
              <w:t>2.72</w:t>
            </w:r>
          </w:p>
        </w:tc>
        <w:tc>
          <w:tcPr>
            <w:tcW w:w="1587" w:type="dxa"/>
            <w:shd w:val="clear" w:color="auto" w:fill="DBE5F1"/>
            <w:noWrap/>
            <w:vAlign w:val="bottom"/>
          </w:tcPr>
          <w:p w:rsidR="000021C1" w:rsidRPr="000021C1" w:rsidRDefault="000021C1" w:rsidP="00FB6DBA">
            <w:pPr>
              <w:pStyle w:val="AERtabletextleft"/>
            </w:pPr>
          </w:p>
        </w:tc>
        <w:tc>
          <w:tcPr>
            <w:tcW w:w="1118" w:type="dxa"/>
            <w:shd w:val="clear" w:color="auto" w:fill="DBE5F1"/>
            <w:noWrap/>
            <w:vAlign w:val="bottom"/>
          </w:tcPr>
          <w:p w:rsidR="000021C1" w:rsidRPr="000021C1" w:rsidRDefault="000021C1" w:rsidP="00FB6DBA">
            <w:pPr>
              <w:pStyle w:val="AERtabletextleft"/>
            </w:pPr>
            <w:r w:rsidRPr="000021C1">
              <w:t>8.62</w:t>
            </w:r>
          </w:p>
        </w:tc>
        <w:tc>
          <w:tcPr>
            <w:tcW w:w="1346" w:type="dxa"/>
            <w:shd w:val="clear" w:color="auto" w:fill="DBE5F1"/>
            <w:noWrap/>
            <w:vAlign w:val="bottom"/>
          </w:tcPr>
          <w:p w:rsidR="000021C1" w:rsidRPr="000021C1" w:rsidRDefault="000021C1" w:rsidP="00FB6DBA">
            <w:pPr>
              <w:pStyle w:val="AERtabletextleft"/>
            </w:pPr>
          </w:p>
        </w:tc>
      </w:tr>
      <w:tr w:rsidR="000021C1" w:rsidRPr="00D67E86" w:rsidTr="007A0935">
        <w:trPr>
          <w:trHeight w:val="300"/>
          <w:jc w:val="center"/>
        </w:trPr>
        <w:tc>
          <w:tcPr>
            <w:tcW w:w="893"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2011-12</w:t>
            </w:r>
          </w:p>
        </w:tc>
        <w:tc>
          <w:tcPr>
            <w:tcW w:w="1234" w:type="dxa"/>
            <w:noWrap/>
            <w:vAlign w:val="bottom"/>
          </w:tcPr>
          <w:p w:rsidR="000021C1" w:rsidRPr="000021C1" w:rsidRDefault="000021C1" w:rsidP="00FB6DBA">
            <w:pPr>
              <w:pStyle w:val="AERtabletextleft"/>
            </w:pPr>
          </w:p>
          <w:p w:rsidR="000021C1" w:rsidRPr="000021C1" w:rsidRDefault="000021C1" w:rsidP="00FB6DBA">
            <w:pPr>
              <w:pStyle w:val="AERtabletextleft"/>
            </w:pPr>
            <w:r w:rsidRPr="000021C1">
              <w:t>88.61</w:t>
            </w:r>
          </w:p>
        </w:tc>
        <w:tc>
          <w:tcPr>
            <w:tcW w:w="1558" w:type="dxa"/>
            <w:noWrap/>
            <w:vAlign w:val="bottom"/>
          </w:tcPr>
          <w:p w:rsidR="000021C1" w:rsidRPr="000021C1" w:rsidRDefault="000021C1" w:rsidP="00FB6DBA">
            <w:pPr>
              <w:pStyle w:val="AERtabletextleft"/>
            </w:pPr>
            <w:r w:rsidRPr="000021C1">
              <w:t>9.26</w:t>
            </w:r>
          </w:p>
        </w:tc>
        <w:tc>
          <w:tcPr>
            <w:tcW w:w="1264" w:type="dxa"/>
            <w:noWrap/>
            <w:vAlign w:val="bottom"/>
          </w:tcPr>
          <w:p w:rsidR="000021C1" w:rsidRPr="000021C1" w:rsidRDefault="000021C1" w:rsidP="00FB6DBA">
            <w:pPr>
              <w:pStyle w:val="AERtabletextleft"/>
            </w:pPr>
            <w:r w:rsidRPr="000021C1">
              <w:t>3.25</w:t>
            </w:r>
          </w:p>
        </w:tc>
        <w:tc>
          <w:tcPr>
            <w:tcW w:w="1587" w:type="dxa"/>
            <w:noWrap/>
            <w:vAlign w:val="bottom"/>
          </w:tcPr>
          <w:p w:rsidR="000021C1" w:rsidRPr="000021C1" w:rsidRDefault="000021C1" w:rsidP="00FB6DBA">
            <w:pPr>
              <w:pStyle w:val="AERtabletextleft"/>
            </w:pPr>
            <w:r w:rsidRPr="000021C1">
              <w:t>19.51</w:t>
            </w:r>
          </w:p>
        </w:tc>
        <w:tc>
          <w:tcPr>
            <w:tcW w:w="1118" w:type="dxa"/>
            <w:noWrap/>
            <w:vAlign w:val="bottom"/>
          </w:tcPr>
          <w:p w:rsidR="000021C1" w:rsidRPr="000021C1" w:rsidRDefault="000021C1" w:rsidP="00FB6DBA">
            <w:pPr>
              <w:pStyle w:val="AERtabletextleft"/>
            </w:pPr>
            <w:r w:rsidRPr="000021C1">
              <w:t>10.30</w:t>
            </w:r>
          </w:p>
        </w:tc>
        <w:tc>
          <w:tcPr>
            <w:tcW w:w="1346" w:type="dxa"/>
            <w:noWrap/>
            <w:vAlign w:val="bottom"/>
          </w:tcPr>
          <w:p w:rsidR="000021C1" w:rsidRPr="000021C1" w:rsidRDefault="000021C1" w:rsidP="00FB6DBA">
            <w:pPr>
              <w:pStyle w:val="AERtabletextleft"/>
            </w:pPr>
            <w:r w:rsidRPr="000021C1">
              <w:t>9.26</w:t>
            </w:r>
          </w:p>
        </w:tc>
      </w:tr>
      <w:tr w:rsidR="000021C1" w:rsidRPr="00D67E86" w:rsidTr="007A0935">
        <w:trPr>
          <w:trHeight w:val="300"/>
          <w:jc w:val="center"/>
        </w:trPr>
        <w:tc>
          <w:tcPr>
            <w:tcW w:w="893" w:type="dxa"/>
            <w:shd w:val="clear" w:color="auto" w:fill="DBE5F1"/>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2012-13</w:t>
            </w:r>
          </w:p>
        </w:tc>
        <w:tc>
          <w:tcPr>
            <w:tcW w:w="1234" w:type="dxa"/>
            <w:shd w:val="clear" w:color="auto" w:fill="DBE5F1"/>
            <w:noWrap/>
            <w:vAlign w:val="bottom"/>
          </w:tcPr>
          <w:p w:rsidR="000021C1" w:rsidRPr="000021C1" w:rsidRDefault="000021C1" w:rsidP="00FB6DBA">
            <w:pPr>
              <w:pStyle w:val="AERtabletextleft"/>
            </w:pPr>
          </w:p>
          <w:p w:rsidR="000021C1" w:rsidRPr="000021C1" w:rsidRDefault="000021C1" w:rsidP="00FB6DBA">
            <w:pPr>
              <w:pStyle w:val="AERtabletextleft"/>
            </w:pPr>
            <w:r w:rsidRPr="000021C1">
              <w:t>94.43</w:t>
            </w:r>
          </w:p>
        </w:tc>
        <w:tc>
          <w:tcPr>
            <w:tcW w:w="1558" w:type="dxa"/>
            <w:shd w:val="clear" w:color="auto" w:fill="DBE5F1"/>
            <w:noWrap/>
            <w:vAlign w:val="bottom"/>
          </w:tcPr>
          <w:p w:rsidR="000021C1" w:rsidRPr="000021C1" w:rsidRDefault="000021C1" w:rsidP="00FB6DBA">
            <w:pPr>
              <w:pStyle w:val="AERtabletextleft"/>
            </w:pPr>
            <w:r w:rsidRPr="000021C1">
              <w:t>6.57</w:t>
            </w:r>
          </w:p>
        </w:tc>
        <w:tc>
          <w:tcPr>
            <w:tcW w:w="1264" w:type="dxa"/>
            <w:shd w:val="clear" w:color="auto" w:fill="DBE5F1"/>
            <w:noWrap/>
            <w:vAlign w:val="bottom"/>
          </w:tcPr>
          <w:p w:rsidR="000021C1" w:rsidRPr="000021C1" w:rsidRDefault="000021C1" w:rsidP="00FB6DBA">
            <w:pPr>
              <w:pStyle w:val="AERtabletextleft"/>
            </w:pPr>
            <w:r w:rsidRPr="000021C1">
              <w:t>3.83</w:t>
            </w:r>
          </w:p>
        </w:tc>
        <w:tc>
          <w:tcPr>
            <w:tcW w:w="1587" w:type="dxa"/>
            <w:shd w:val="clear" w:color="auto" w:fill="DBE5F1"/>
            <w:noWrap/>
            <w:vAlign w:val="bottom"/>
          </w:tcPr>
          <w:p w:rsidR="000021C1" w:rsidRPr="000021C1" w:rsidRDefault="000021C1" w:rsidP="00FB6DBA">
            <w:pPr>
              <w:pStyle w:val="AERtabletextleft"/>
            </w:pPr>
            <w:r w:rsidRPr="000021C1">
              <w:t>17.80</w:t>
            </w:r>
          </w:p>
        </w:tc>
        <w:tc>
          <w:tcPr>
            <w:tcW w:w="1118" w:type="dxa"/>
            <w:shd w:val="clear" w:color="auto" w:fill="DBE5F1"/>
            <w:noWrap/>
            <w:vAlign w:val="bottom"/>
          </w:tcPr>
          <w:p w:rsidR="000021C1" w:rsidRPr="000021C1" w:rsidRDefault="000021C1" w:rsidP="00FB6DBA">
            <w:pPr>
              <w:pStyle w:val="AERtabletextleft"/>
            </w:pPr>
            <w:r w:rsidRPr="000021C1">
              <w:t>12.14</w:t>
            </w:r>
          </w:p>
        </w:tc>
        <w:tc>
          <w:tcPr>
            <w:tcW w:w="1346" w:type="dxa"/>
            <w:shd w:val="clear" w:color="auto" w:fill="DBE5F1"/>
            <w:noWrap/>
            <w:vAlign w:val="bottom"/>
          </w:tcPr>
          <w:p w:rsidR="000021C1" w:rsidRPr="000021C1" w:rsidRDefault="000021C1" w:rsidP="00FB6DBA">
            <w:pPr>
              <w:pStyle w:val="AERtabletextleft"/>
            </w:pPr>
            <w:r w:rsidRPr="000021C1">
              <w:t>6.57</w:t>
            </w:r>
          </w:p>
        </w:tc>
      </w:tr>
      <w:tr w:rsidR="000021C1" w:rsidRPr="00D67E86" w:rsidTr="007A0935">
        <w:trPr>
          <w:trHeight w:val="300"/>
          <w:jc w:val="center"/>
        </w:trPr>
        <w:tc>
          <w:tcPr>
            <w:tcW w:w="893"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2013-14</w:t>
            </w:r>
          </w:p>
        </w:tc>
        <w:tc>
          <w:tcPr>
            <w:tcW w:w="1234" w:type="dxa"/>
            <w:noWrap/>
            <w:vAlign w:val="bottom"/>
          </w:tcPr>
          <w:p w:rsidR="000021C1" w:rsidRPr="000021C1" w:rsidRDefault="000021C1" w:rsidP="00FB6DBA">
            <w:pPr>
              <w:pStyle w:val="AERtabletextleft"/>
            </w:pPr>
          </w:p>
          <w:p w:rsidR="000021C1" w:rsidRPr="000021C1" w:rsidRDefault="000021C1" w:rsidP="00FB6DBA">
            <w:pPr>
              <w:pStyle w:val="AERtabletextleft"/>
            </w:pPr>
            <w:r w:rsidRPr="000021C1">
              <w:t>101.74</w:t>
            </w:r>
          </w:p>
        </w:tc>
        <w:tc>
          <w:tcPr>
            <w:tcW w:w="1558" w:type="dxa"/>
            <w:noWrap/>
            <w:vAlign w:val="bottom"/>
          </w:tcPr>
          <w:p w:rsidR="000021C1" w:rsidRPr="000021C1" w:rsidRDefault="000021C1" w:rsidP="00FB6DBA">
            <w:pPr>
              <w:pStyle w:val="AERtabletextleft"/>
            </w:pPr>
            <w:r w:rsidRPr="000021C1">
              <w:t>7.74</w:t>
            </w:r>
          </w:p>
        </w:tc>
        <w:tc>
          <w:tcPr>
            <w:tcW w:w="1264" w:type="dxa"/>
            <w:noWrap/>
            <w:vAlign w:val="bottom"/>
          </w:tcPr>
          <w:p w:rsidR="000021C1" w:rsidRPr="000021C1" w:rsidRDefault="000021C1" w:rsidP="00FB6DBA">
            <w:pPr>
              <w:pStyle w:val="AERtabletextleft"/>
            </w:pPr>
            <w:r w:rsidRPr="000021C1">
              <w:t>4.30</w:t>
            </w:r>
          </w:p>
        </w:tc>
        <w:tc>
          <w:tcPr>
            <w:tcW w:w="1587" w:type="dxa"/>
            <w:noWrap/>
            <w:vAlign w:val="bottom"/>
          </w:tcPr>
          <w:p w:rsidR="000021C1" w:rsidRPr="000021C1" w:rsidRDefault="000021C1" w:rsidP="00FB6DBA">
            <w:pPr>
              <w:pStyle w:val="AERtabletextleft"/>
            </w:pPr>
            <w:r w:rsidRPr="000021C1">
              <w:t>12.33</w:t>
            </w:r>
          </w:p>
        </w:tc>
        <w:tc>
          <w:tcPr>
            <w:tcW w:w="1118" w:type="dxa"/>
            <w:noWrap/>
            <w:vAlign w:val="bottom"/>
          </w:tcPr>
          <w:p w:rsidR="000021C1" w:rsidRPr="000021C1" w:rsidRDefault="000021C1" w:rsidP="00FB6DBA">
            <w:pPr>
              <w:pStyle w:val="AERtabletextleft"/>
            </w:pPr>
            <w:r w:rsidRPr="000021C1">
              <w:t>13.63</w:t>
            </w:r>
          </w:p>
        </w:tc>
        <w:tc>
          <w:tcPr>
            <w:tcW w:w="1346" w:type="dxa"/>
            <w:noWrap/>
            <w:vAlign w:val="bottom"/>
          </w:tcPr>
          <w:p w:rsidR="000021C1" w:rsidRPr="000021C1" w:rsidRDefault="000021C1" w:rsidP="00FB6DBA">
            <w:pPr>
              <w:pStyle w:val="AERtabletextleft"/>
            </w:pPr>
            <w:r w:rsidRPr="000021C1">
              <w:t>7.74</w:t>
            </w:r>
          </w:p>
        </w:tc>
      </w:tr>
    </w:tbl>
    <w:p w:rsidR="000021C1" w:rsidRPr="000054EF" w:rsidRDefault="000021C1" w:rsidP="000021C1">
      <w:pPr>
        <w:pStyle w:val="AERtablesource"/>
      </w:pPr>
      <w:r w:rsidRPr="000054EF">
        <w:t xml:space="preserve">Note: </w:t>
      </w:r>
      <w:r w:rsidRPr="000054EF">
        <w:tab/>
        <w:t>All tariff</w:t>
      </w:r>
      <w:r w:rsidR="000B6EF5">
        <w:t>s exclude</w:t>
      </w:r>
      <w:r w:rsidRPr="000054EF">
        <w:t xml:space="preserve"> metering and solar PV pass through component</w:t>
      </w:r>
      <w:r>
        <w:t>s</w:t>
      </w:r>
      <w:r w:rsidRPr="000054EF">
        <w:t>. To simplify presentation, the charges for the 4 peak block usage rates are condensed into a single rate because they are the same for all years.</w:t>
      </w:r>
    </w:p>
    <w:p w:rsidR="000021C1" w:rsidRPr="000054EF" w:rsidRDefault="000021C1" w:rsidP="000021C1">
      <w:pPr>
        <w:pStyle w:val="AERbodytext"/>
      </w:pPr>
      <w:r w:rsidRPr="000054EF">
        <w:t xml:space="preserve">The second type of tariff structure is based on an inclining tariff block for different levels of peak demand and a flat usage charge regardless of </w:t>
      </w:r>
      <w:r>
        <w:t xml:space="preserve">the </w:t>
      </w:r>
      <w:r w:rsidRPr="000054EF">
        <w:t xml:space="preserve">time of use. The movements for each components of the first type of tariff structure over the current control regulatory period is set out in </w:t>
      </w:r>
      <w:r w:rsidR="00342D45">
        <w:t xml:space="preserve">Table </w:t>
      </w:r>
      <w:r>
        <w:t>C</w:t>
      </w:r>
      <w:r w:rsidRPr="000054EF">
        <w:t>.</w:t>
      </w:r>
      <w:r>
        <w:t>4</w:t>
      </w:r>
      <w:r w:rsidRPr="000054EF">
        <w:t xml:space="preserve"> with the changes in percentage terms presented in Table </w:t>
      </w:r>
      <w:r>
        <w:t>C.5</w:t>
      </w:r>
      <w:r w:rsidR="00A01EB6">
        <w:t>.</w:t>
      </w:r>
    </w:p>
    <w:p w:rsidR="000021C1" w:rsidRPr="000054EF" w:rsidRDefault="000021C1" w:rsidP="000021C1">
      <w:pPr>
        <w:pStyle w:val="AERbodytext"/>
        <w:rPr>
          <w:rStyle w:val="AERtextbold"/>
        </w:rPr>
      </w:pPr>
      <w:r w:rsidRPr="000054EF">
        <w:rPr>
          <w:rStyle w:val="AERtextbold"/>
        </w:rPr>
        <w:t xml:space="preserve">Table </w:t>
      </w:r>
      <w:r>
        <w:rPr>
          <w:rStyle w:val="AERtextbold"/>
        </w:rPr>
        <w:t>C</w:t>
      </w:r>
      <w:r w:rsidRPr="000054EF">
        <w:rPr>
          <w:rStyle w:val="AERtextbold"/>
        </w:rPr>
        <w:t>.</w:t>
      </w:r>
      <w:r>
        <w:rPr>
          <w:rStyle w:val="AERtextbold"/>
        </w:rPr>
        <w:t>4</w:t>
      </w:r>
      <w:r w:rsidRPr="000054EF">
        <w:rPr>
          <w:rStyle w:val="AERtextbold"/>
        </w:rPr>
        <w:t xml:space="preserve"> SAPN business type 2 tariff </w:t>
      </w:r>
      <w:r>
        <w:rPr>
          <w:rStyle w:val="AERtextbold"/>
        </w:rPr>
        <w:t xml:space="preserve">- </w:t>
      </w:r>
      <w:r w:rsidRPr="000054EF">
        <w:rPr>
          <w:rStyle w:val="AERtextbold"/>
        </w:rPr>
        <w:t>demand less than 1000kVA</w:t>
      </w:r>
    </w:p>
    <w:tbl>
      <w:tblPr>
        <w:tblW w:w="8999" w:type="dxa"/>
        <w:jc w:val="right"/>
        <w:tblInd w:w="242" w:type="dxa"/>
        <w:tblBorders>
          <w:bottom w:val="single" w:sz="4" w:space="0" w:color="365F91"/>
        </w:tblBorders>
        <w:tblLook w:val="04A0" w:firstRow="1" w:lastRow="0" w:firstColumn="1" w:lastColumn="0" w:noHBand="0" w:noVBand="1"/>
      </w:tblPr>
      <w:tblGrid>
        <w:gridCol w:w="893"/>
        <w:gridCol w:w="1326"/>
        <w:gridCol w:w="1288"/>
        <w:gridCol w:w="1288"/>
        <w:gridCol w:w="1288"/>
        <w:gridCol w:w="1045"/>
        <w:gridCol w:w="974"/>
        <w:gridCol w:w="897"/>
      </w:tblGrid>
      <w:tr w:rsidR="000021C1" w:rsidRPr="00D67E86" w:rsidTr="007A0935">
        <w:trPr>
          <w:trHeight w:val="300"/>
          <w:jc w:val="right"/>
        </w:trPr>
        <w:tc>
          <w:tcPr>
            <w:tcW w:w="893" w:type="dxa"/>
            <w:shd w:val="clear" w:color="auto" w:fill="365F91"/>
            <w:noWrap/>
            <w:vAlign w:val="center"/>
            <w:hideMark/>
          </w:tcPr>
          <w:p w:rsidR="000021C1" w:rsidRPr="000021C1" w:rsidRDefault="000021C1" w:rsidP="000021C1">
            <w:pPr>
              <w:pStyle w:val="AERtabletextleft"/>
              <w:rPr>
                <w:rStyle w:val="AERtextbold"/>
              </w:rPr>
            </w:pPr>
          </w:p>
        </w:tc>
        <w:tc>
          <w:tcPr>
            <w:tcW w:w="1326" w:type="dxa"/>
            <w:shd w:val="clear" w:color="auto" w:fill="365F91"/>
            <w:noWrap/>
            <w:vAlign w:val="center"/>
            <w:hideMark/>
          </w:tcPr>
          <w:p w:rsidR="000021C1" w:rsidRPr="000021C1" w:rsidRDefault="000021C1" w:rsidP="000021C1">
            <w:pPr>
              <w:pStyle w:val="AERtabletextleft"/>
              <w:rPr>
                <w:rStyle w:val="AERtextbold"/>
              </w:rPr>
            </w:pPr>
            <w:r w:rsidRPr="000021C1">
              <w:rPr>
                <w:rStyle w:val="AERtextbold"/>
              </w:rPr>
              <w:t>Annual Block 1 demand rate $/kVA/month</w:t>
            </w:r>
          </w:p>
        </w:tc>
        <w:tc>
          <w:tcPr>
            <w:tcW w:w="128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2 demand rate $/kVA/month</w:t>
            </w:r>
          </w:p>
        </w:tc>
        <w:tc>
          <w:tcPr>
            <w:tcW w:w="128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3 demand rate $/kVA/month</w:t>
            </w:r>
          </w:p>
        </w:tc>
        <w:tc>
          <w:tcPr>
            <w:tcW w:w="128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4 demand rate $/kVA/month</w:t>
            </w:r>
          </w:p>
        </w:tc>
        <w:tc>
          <w:tcPr>
            <w:tcW w:w="1045"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Additional Demand</w:t>
            </w:r>
          </w:p>
        </w:tc>
        <w:tc>
          <w:tcPr>
            <w:tcW w:w="974"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Peak usage rate</w:t>
            </w:r>
          </w:p>
        </w:tc>
        <w:tc>
          <w:tcPr>
            <w:tcW w:w="897"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Off-peak usage rate</w:t>
            </w:r>
          </w:p>
        </w:tc>
      </w:tr>
      <w:tr w:rsidR="000021C1" w:rsidRPr="00D67E86" w:rsidTr="007A0935">
        <w:trPr>
          <w:trHeight w:val="300"/>
          <w:jc w:val="right"/>
        </w:trPr>
        <w:tc>
          <w:tcPr>
            <w:tcW w:w="893" w:type="dxa"/>
            <w:shd w:val="clear" w:color="auto" w:fill="DBE5F1"/>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2010-11</w:t>
            </w:r>
          </w:p>
        </w:tc>
        <w:tc>
          <w:tcPr>
            <w:tcW w:w="1326" w:type="dxa"/>
            <w:shd w:val="clear" w:color="auto" w:fill="DBE5F1"/>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8.2847</w:t>
            </w:r>
          </w:p>
        </w:tc>
        <w:tc>
          <w:tcPr>
            <w:tcW w:w="1288" w:type="dxa"/>
            <w:shd w:val="clear" w:color="auto" w:fill="DBE5F1"/>
            <w:noWrap/>
            <w:vAlign w:val="bottom"/>
          </w:tcPr>
          <w:p w:rsidR="000021C1" w:rsidRPr="000021C1" w:rsidRDefault="000021C1" w:rsidP="00342D45">
            <w:pPr>
              <w:pStyle w:val="AERtabletextleft"/>
            </w:pPr>
            <w:r w:rsidRPr="000021C1">
              <w:t>4.8331</w:t>
            </w:r>
          </w:p>
        </w:tc>
        <w:tc>
          <w:tcPr>
            <w:tcW w:w="1288" w:type="dxa"/>
            <w:shd w:val="clear" w:color="auto" w:fill="DBE5F1"/>
            <w:noWrap/>
            <w:vAlign w:val="bottom"/>
          </w:tcPr>
          <w:p w:rsidR="000021C1" w:rsidRPr="000021C1" w:rsidRDefault="000021C1" w:rsidP="00342D45">
            <w:pPr>
              <w:pStyle w:val="AERtabletextleft"/>
            </w:pPr>
            <w:r w:rsidRPr="000021C1">
              <w:t>3.5386</w:t>
            </w:r>
          </w:p>
        </w:tc>
        <w:tc>
          <w:tcPr>
            <w:tcW w:w="1288" w:type="dxa"/>
            <w:shd w:val="clear" w:color="auto" w:fill="DBE5F1"/>
            <w:noWrap/>
            <w:vAlign w:val="bottom"/>
          </w:tcPr>
          <w:p w:rsidR="000021C1" w:rsidRPr="000021C1" w:rsidRDefault="000021C1" w:rsidP="00342D45">
            <w:pPr>
              <w:pStyle w:val="AERtabletextleft"/>
            </w:pPr>
            <w:r w:rsidRPr="000021C1">
              <w:t>2.6749</w:t>
            </w:r>
          </w:p>
        </w:tc>
        <w:tc>
          <w:tcPr>
            <w:tcW w:w="1045" w:type="dxa"/>
            <w:shd w:val="clear" w:color="auto" w:fill="DBE5F1"/>
            <w:noWrap/>
            <w:vAlign w:val="bottom"/>
          </w:tcPr>
          <w:p w:rsidR="000021C1" w:rsidRPr="000021C1" w:rsidRDefault="000021C1" w:rsidP="00342D45">
            <w:pPr>
              <w:pStyle w:val="AERtabletextleft"/>
            </w:pPr>
            <w:r w:rsidRPr="000021C1">
              <w:t>2.6749</w:t>
            </w:r>
          </w:p>
        </w:tc>
        <w:tc>
          <w:tcPr>
            <w:tcW w:w="974" w:type="dxa"/>
            <w:shd w:val="clear" w:color="auto" w:fill="DBE5F1"/>
            <w:noWrap/>
            <w:vAlign w:val="bottom"/>
          </w:tcPr>
          <w:p w:rsidR="000021C1" w:rsidRPr="000021C1" w:rsidRDefault="000021C1" w:rsidP="00342D45">
            <w:pPr>
              <w:pStyle w:val="AERtabletextleft"/>
            </w:pPr>
            <w:r w:rsidRPr="000021C1">
              <w:t>0.0171</w:t>
            </w:r>
          </w:p>
        </w:tc>
        <w:tc>
          <w:tcPr>
            <w:tcW w:w="897" w:type="dxa"/>
            <w:shd w:val="clear" w:color="auto" w:fill="DBE5F1"/>
            <w:noWrap/>
            <w:vAlign w:val="bottom"/>
          </w:tcPr>
          <w:p w:rsidR="000021C1" w:rsidRPr="000021C1" w:rsidRDefault="000021C1" w:rsidP="00342D45">
            <w:pPr>
              <w:pStyle w:val="AERtabletextleft"/>
            </w:pPr>
            <w:r w:rsidRPr="000021C1">
              <w:t>0.0171</w:t>
            </w:r>
          </w:p>
        </w:tc>
      </w:tr>
      <w:tr w:rsidR="000021C1" w:rsidRPr="00D67E86" w:rsidTr="007A0935">
        <w:trPr>
          <w:trHeight w:val="300"/>
          <w:jc w:val="right"/>
        </w:trPr>
        <w:tc>
          <w:tcPr>
            <w:tcW w:w="893"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2011-12</w:t>
            </w:r>
          </w:p>
        </w:tc>
        <w:tc>
          <w:tcPr>
            <w:tcW w:w="1326" w:type="dxa"/>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9.8961</w:t>
            </w:r>
          </w:p>
        </w:tc>
        <w:tc>
          <w:tcPr>
            <w:tcW w:w="1288" w:type="dxa"/>
            <w:noWrap/>
            <w:vAlign w:val="bottom"/>
          </w:tcPr>
          <w:p w:rsidR="000021C1" w:rsidRPr="000021C1" w:rsidRDefault="000021C1" w:rsidP="00342D45">
            <w:pPr>
              <w:pStyle w:val="AERtabletextleft"/>
            </w:pPr>
            <w:r w:rsidRPr="000021C1">
              <w:t>5.7731</w:t>
            </w:r>
          </w:p>
        </w:tc>
        <w:tc>
          <w:tcPr>
            <w:tcW w:w="1288" w:type="dxa"/>
            <w:noWrap/>
            <w:vAlign w:val="bottom"/>
          </w:tcPr>
          <w:p w:rsidR="000021C1" w:rsidRPr="000021C1" w:rsidRDefault="000021C1" w:rsidP="00342D45">
            <w:pPr>
              <w:pStyle w:val="AERtabletextleft"/>
            </w:pPr>
            <w:r w:rsidRPr="000021C1">
              <w:t>4.2269</w:t>
            </w:r>
          </w:p>
        </w:tc>
        <w:tc>
          <w:tcPr>
            <w:tcW w:w="1288" w:type="dxa"/>
            <w:noWrap/>
            <w:vAlign w:val="bottom"/>
          </w:tcPr>
          <w:p w:rsidR="000021C1" w:rsidRPr="000021C1" w:rsidRDefault="000021C1" w:rsidP="00342D45">
            <w:pPr>
              <w:pStyle w:val="AERtabletextleft"/>
            </w:pPr>
            <w:r w:rsidRPr="000021C1">
              <w:t>3.1952</w:t>
            </w:r>
          </w:p>
        </w:tc>
        <w:tc>
          <w:tcPr>
            <w:tcW w:w="1045" w:type="dxa"/>
            <w:noWrap/>
            <w:vAlign w:val="bottom"/>
          </w:tcPr>
          <w:p w:rsidR="000021C1" w:rsidRPr="000021C1" w:rsidRDefault="000021C1" w:rsidP="00342D45">
            <w:pPr>
              <w:pStyle w:val="AERtabletextleft"/>
            </w:pPr>
            <w:r w:rsidRPr="000021C1">
              <w:t>3.1952</w:t>
            </w:r>
          </w:p>
        </w:tc>
        <w:tc>
          <w:tcPr>
            <w:tcW w:w="974" w:type="dxa"/>
            <w:noWrap/>
            <w:vAlign w:val="bottom"/>
          </w:tcPr>
          <w:p w:rsidR="000021C1" w:rsidRPr="000021C1" w:rsidRDefault="000021C1" w:rsidP="00342D45">
            <w:pPr>
              <w:pStyle w:val="AERtabletextleft"/>
            </w:pPr>
            <w:r w:rsidRPr="000021C1">
              <w:t>0.0204</w:t>
            </w:r>
          </w:p>
        </w:tc>
        <w:tc>
          <w:tcPr>
            <w:tcW w:w="897" w:type="dxa"/>
            <w:noWrap/>
            <w:vAlign w:val="bottom"/>
          </w:tcPr>
          <w:p w:rsidR="000021C1" w:rsidRPr="000021C1" w:rsidRDefault="000021C1" w:rsidP="00342D45">
            <w:pPr>
              <w:pStyle w:val="AERtabletextleft"/>
            </w:pPr>
            <w:r w:rsidRPr="000021C1">
              <w:t>0.0204</w:t>
            </w:r>
          </w:p>
        </w:tc>
      </w:tr>
      <w:tr w:rsidR="000021C1" w:rsidRPr="00D67E86" w:rsidTr="007A0935">
        <w:trPr>
          <w:trHeight w:val="300"/>
          <w:jc w:val="right"/>
        </w:trPr>
        <w:tc>
          <w:tcPr>
            <w:tcW w:w="893" w:type="dxa"/>
            <w:shd w:val="clear" w:color="auto" w:fill="DBE5F1"/>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2012-13</w:t>
            </w:r>
          </w:p>
        </w:tc>
        <w:tc>
          <w:tcPr>
            <w:tcW w:w="1326" w:type="dxa"/>
            <w:shd w:val="clear" w:color="auto" w:fill="DBE5F1"/>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11.6578</w:t>
            </w:r>
          </w:p>
        </w:tc>
        <w:tc>
          <w:tcPr>
            <w:tcW w:w="1288" w:type="dxa"/>
            <w:shd w:val="clear" w:color="auto" w:fill="DBE5F1"/>
            <w:noWrap/>
            <w:vAlign w:val="bottom"/>
          </w:tcPr>
          <w:p w:rsidR="000021C1" w:rsidRPr="000021C1" w:rsidRDefault="000021C1" w:rsidP="00342D45">
            <w:pPr>
              <w:pStyle w:val="AERtabletextleft"/>
            </w:pPr>
            <w:r w:rsidRPr="000021C1">
              <w:t>6.8009</w:t>
            </w:r>
          </w:p>
        </w:tc>
        <w:tc>
          <w:tcPr>
            <w:tcW w:w="1288" w:type="dxa"/>
            <w:shd w:val="clear" w:color="auto" w:fill="DBE5F1"/>
            <w:noWrap/>
            <w:vAlign w:val="bottom"/>
          </w:tcPr>
          <w:p w:rsidR="000021C1" w:rsidRPr="000021C1" w:rsidRDefault="000021C1" w:rsidP="00342D45">
            <w:pPr>
              <w:pStyle w:val="AERtabletextleft"/>
            </w:pPr>
            <w:r w:rsidRPr="000021C1">
              <w:t>4.9793</w:t>
            </w:r>
          </w:p>
        </w:tc>
        <w:tc>
          <w:tcPr>
            <w:tcW w:w="1288" w:type="dxa"/>
            <w:shd w:val="clear" w:color="auto" w:fill="DBE5F1"/>
            <w:noWrap/>
            <w:vAlign w:val="bottom"/>
          </w:tcPr>
          <w:p w:rsidR="000021C1" w:rsidRPr="000021C1" w:rsidRDefault="000021C1" w:rsidP="00342D45">
            <w:pPr>
              <w:pStyle w:val="AERtabletextleft"/>
            </w:pPr>
            <w:r w:rsidRPr="000021C1">
              <w:t>3.7640</w:t>
            </w:r>
          </w:p>
        </w:tc>
        <w:tc>
          <w:tcPr>
            <w:tcW w:w="1045" w:type="dxa"/>
            <w:shd w:val="clear" w:color="auto" w:fill="DBE5F1"/>
            <w:noWrap/>
            <w:vAlign w:val="bottom"/>
          </w:tcPr>
          <w:p w:rsidR="000021C1" w:rsidRPr="000021C1" w:rsidRDefault="000021C1" w:rsidP="00342D45">
            <w:pPr>
              <w:pStyle w:val="AERtabletextleft"/>
            </w:pPr>
            <w:r w:rsidRPr="000021C1">
              <w:t>3.7640</w:t>
            </w:r>
          </w:p>
        </w:tc>
        <w:tc>
          <w:tcPr>
            <w:tcW w:w="974" w:type="dxa"/>
            <w:shd w:val="clear" w:color="auto" w:fill="DBE5F1"/>
            <w:noWrap/>
            <w:vAlign w:val="bottom"/>
          </w:tcPr>
          <w:p w:rsidR="000021C1" w:rsidRPr="000021C1" w:rsidRDefault="000021C1" w:rsidP="00342D45">
            <w:pPr>
              <w:pStyle w:val="AERtabletextleft"/>
            </w:pPr>
            <w:r w:rsidRPr="000021C1">
              <w:t>0.0240</w:t>
            </w:r>
          </w:p>
        </w:tc>
        <w:tc>
          <w:tcPr>
            <w:tcW w:w="897" w:type="dxa"/>
            <w:shd w:val="clear" w:color="auto" w:fill="DBE5F1"/>
            <w:noWrap/>
            <w:vAlign w:val="bottom"/>
          </w:tcPr>
          <w:p w:rsidR="000021C1" w:rsidRPr="000021C1" w:rsidRDefault="000021C1" w:rsidP="00342D45">
            <w:pPr>
              <w:pStyle w:val="AERtabletextleft"/>
            </w:pPr>
            <w:r w:rsidRPr="000021C1">
              <w:t>0.0240</w:t>
            </w:r>
          </w:p>
        </w:tc>
      </w:tr>
      <w:tr w:rsidR="000021C1" w:rsidRPr="00D67E86" w:rsidTr="007A0935">
        <w:trPr>
          <w:trHeight w:val="300"/>
          <w:jc w:val="right"/>
        </w:trPr>
        <w:tc>
          <w:tcPr>
            <w:tcW w:w="893"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2013-14</w:t>
            </w:r>
          </w:p>
        </w:tc>
        <w:tc>
          <w:tcPr>
            <w:tcW w:w="1326" w:type="dxa"/>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13.0959</w:t>
            </w:r>
          </w:p>
        </w:tc>
        <w:tc>
          <w:tcPr>
            <w:tcW w:w="1288" w:type="dxa"/>
            <w:noWrap/>
            <w:vAlign w:val="bottom"/>
          </w:tcPr>
          <w:p w:rsidR="000021C1" w:rsidRPr="000021C1" w:rsidRDefault="000021C1" w:rsidP="00342D45">
            <w:pPr>
              <w:pStyle w:val="AERtabletextleft"/>
            </w:pPr>
            <w:r w:rsidRPr="000021C1">
              <w:t>7.6398</w:t>
            </w:r>
          </w:p>
        </w:tc>
        <w:tc>
          <w:tcPr>
            <w:tcW w:w="1288" w:type="dxa"/>
            <w:noWrap/>
            <w:vAlign w:val="bottom"/>
          </w:tcPr>
          <w:p w:rsidR="000021C1" w:rsidRPr="000021C1" w:rsidRDefault="000021C1" w:rsidP="00342D45">
            <w:pPr>
              <w:pStyle w:val="AERtabletextleft"/>
            </w:pPr>
            <w:r w:rsidRPr="000021C1">
              <w:t>5.5936</w:t>
            </w:r>
          </w:p>
        </w:tc>
        <w:tc>
          <w:tcPr>
            <w:tcW w:w="1288" w:type="dxa"/>
            <w:noWrap/>
            <w:vAlign w:val="bottom"/>
          </w:tcPr>
          <w:p w:rsidR="000021C1" w:rsidRPr="000021C1" w:rsidRDefault="000021C1" w:rsidP="00342D45">
            <w:pPr>
              <w:pStyle w:val="AERtabletextleft"/>
            </w:pPr>
            <w:r w:rsidRPr="000021C1">
              <w:t>4.2283</w:t>
            </w:r>
          </w:p>
        </w:tc>
        <w:tc>
          <w:tcPr>
            <w:tcW w:w="1045" w:type="dxa"/>
            <w:noWrap/>
            <w:vAlign w:val="bottom"/>
          </w:tcPr>
          <w:p w:rsidR="000021C1" w:rsidRPr="000021C1" w:rsidRDefault="000021C1" w:rsidP="00342D45">
            <w:pPr>
              <w:pStyle w:val="AERtabletextleft"/>
            </w:pPr>
            <w:r w:rsidRPr="000021C1">
              <w:t>4.2283</w:t>
            </w:r>
          </w:p>
        </w:tc>
        <w:tc>
          <w:tcPr>
            <w:tcW w:w="974" w:type="dxa"/>
            <w:noWrap/>
            <w:vAlign w:val="bottom"/>
          </w:tcPr>
          <w:p w:rsidR="000021C1" w:rsidRPr="000021C1" w:rsidRDefault="000021C1" w:rsidP="00342D45">
            <w:pPr>
              <w:pStyle w:val="AERtabletextleft"/>
            </w:pPr>
            <w:r w:rsidRPr="000021C1">
              <w:t>0.0270</w:t>
            </w:r>
          </w:p>
        </w:tc>
        <w:tc>
          <w:tcPr>
            <w:tcW w:w="897" w:type="dxa"/>
            <w:noWrap/>
            <w:vAlign w:val="bottom"/>
          </w:tcPr>
          <w:p w:rsidR="000021C1" w:rsidRPr="000021C1" w:rsidRDefault="000021C1" w:rsidP="00342D45">
            <w:pPr>
              <w:pStyle w:val="AERtabletextleft"/>
            </w:pPr>
            <w:r w:rsidRPr="000021C1">
              <w:t>0.0270</w:t>
            </w:r>
          </w:p>
        </w:tc>
      </w:tr>
    </w:tbl>
    <w:p w:rsidR="000021C1" w:rsidRDefault="000021C1" w:rsidP="000021C1">
      <w:pPr>
        <w:pStyle w:val="AERbodytext"/>
      </w:pPr>
    </w:p>
    <w:p w:rsidR="000021C1" w:rsidRDefault="000021C1" w:rsidP="00342D45">
      <w:pPr>
        <w:pStyle w:val="AERbodytext"/>
        <w:numPr>
          <w:ilvl w:val="0"/>
          <w:numId w:val="0"/>
        </w:numPr>
      </w:pPr>
    </w:p>
    <w:p w:rsidR="00342D45" w:rsidRDefault="00342D45" w:rsidP="00342D45">
      <w:pPr>
        <w:pStyle w:val="AERbodytext"/>
        <w:numPr>
          <w:ilvl w:val="0"/>
          <w:numId w:val="0"/>
        </w:numPr>
      </w:pPr>
    </w:p>
    <w:p w:rsidR="00342D45" w:rsidRPr="000054EF" w:rsidRDefault="00342D45" w:rsidP="00342D45">
      <w:pPr>
        <w:pStyle w:val="AERbodytext"/>
        <w:numPr>
          <w:ilvl w:val="0"/>
          <w:numId w:val="0"/>
        </w:numPr>
      </w:pPr>
    </w:p>
    <w:p w:rsidR="000021C1" w:rsidRPr="000054EF" w:rsidRDefault="000021C1" w:rsidP="000021C1">
      <w:pPr>
        <w:pStyle w:val="AERbodytext"/>
        <w:rPr>
          <w:rStyle w:val="AERtextbold"/>
        </w:rPr>
      </w:pPr>
      <w:r w:rsidRPr="000054EF">
        <w:rPr>
          <w:rStyle w:val="AERtextbold"/>
        </w:rPr>
        <w:lastRenderedPageBreak/>
        <w:t xml:space="preserve">Table </w:t>
      </w:r>
      <w:r>
        <w:rPr>
          <w:rStyle w:val="AERtextbold"/>
        </w:rPr>
        <w:t>C</w:t>
      </w:r>
      <w:r w:rsidRPr="000054EF">
        <w:rPr>
          <w:rStyle w:val="AERtextbold"/>
        </w:rPr>
        <w:t>.</w:t>
      </w:r>
      <w:r>
        <w:rPr>
          <w:rStyle w:val="AERtextbold"/>
        </w:rPr>
        <w:t>5</w:t>
      </w:r>
      <w:r w:rsidRPr="000054EF">
        <w:rPr>
          <w:rStyle w:val="AERtextbold"/>
        </w:rPr>
        <w:t xml:space="preserve"> SAPN business type 2 tariff</w:t>
      </w:r>
      <w:r>
        <w:rPr>
          <w:rStyle w:val="AERtextbold"/>
        </w:rPr>
        <w:t xml:space="preserve"> for </w:t>
      </w:r>
      <w:r w:rsidRPr="000054EF">
        <w:rPr>
          <w:rStyle w:val="AERtextbold"/>
        </w:rPr>
        <w:t>demand less than 1000kVA</w:t>
      </w:r>
      <w:r>
        <w:rPr>
          <w:rStyle w:val="AERtextbold"/>
        </w:rPr>
        <w:t xml:space="preserve"> - </w:t>
      </w:r>
      <w:r w:rsidRPr="000054EF">
        <w:rPr>
          <w:rStyle w:val="AERtextbold"/>
        </w:rPr>
        <w:t>movement in percentage terms</w:t>
      </w:r>
    </w:p>
    <w:tbl>
      <w:tblPr>
        <w:tblW w:w="9000" w:type="dxa"/>
        <w:jc w:val="center"/>
        <w:tblInd w:w="242" w:type="dxa"/>
        <w:tblBorders>
          <w:bottom w:val="single" w:sz="4" w:space="0" w:color="365F91"/>
        </w:tblBorders>
        <w:tblLook w:val="04A0" w:firstRow="1" w:lastRow="0" w:firstColumn="1" w:lastColumn="0" w:noHBand="0" w:noVBand="1"/>
      </w:tblPr>
      <w:tblGrid>
        <w:gridCol w:w="856"/>
        <w:gridCol w:w="1269"/>
        <w:gridCol w:w="1220"/>
        <w:gridCol w:w="1189"/>
        <w:gridCol w:w="1189"/>
        <w:gridCol w:w="1062"/>
        <w:gridCol w:w="1153"/>
        <w:gridCol w:w="1062"/>
      </w:tblGrid>
      <w:tr w:rsidR="000021C1" w:rsidRPr="00D67E86" w:rsidTr="007A0935">
        <w:trPr>
          <w:trHeight w:val="300"/>
          <w:jc w:val="center"/>
        </w:trPr>
        <w:tc>
          <w:tcPr>
            <w:tcW w:w="859" w:type="dxa"/>
            <w:shd w:val="clear" w:color="auto" w:fill="365F91"/>
            <w:noWrap/>
            <w:vAlign w:val="center"/>
            <w:hideMark/>
          </w:tcPr>
          <w:p w:rsidR="000021C1" w:rsidRPr="000021C1" w:rsidRDefault="000021C1" w:rsidP="000021C1">
            <w:pPr>
              <w:pStyle w:val="AERtabletextleft"/>
              <w:rPr>
                <w:rStyle w:val="AERtextbold"/>
              </w:rPr>
            </w:pPr>
          </w:p>
        </w:tc>
        <w:tc>
          <w:tcPr>
            <w:tcW w:w="1275" w:type="dxa"/>
            <w:shd w:val="clear" w:color="auto" w:fill="365F91"/>
            <w:noWrap/>
            <w:vAlign w:val="center"/>
            <w:hideMark/>
          </w:tcPr>
          <w:p w:rsidR="000021C1" w:rsidRPr="000021C1" w:rsidRDefault="000021C1" w:rsidP="000021C1">
            <w:pPr>
              <w:pStyle w:val="AERtabletextleft"/>
              <w:rPr>
                <w:rStyle w:val="AERtextbold"/>
              </w:rPr>
            </w:pPr>
            <w:r w:rsidRPr="000021C1">
              <w:rPr>
                <w:rStyle w:val="AERtextbold"/>
              </w:rPr>
              <w:t>Annual Block 1 demand rate $/kVA/month</w:t>
            </w:r>
          </w:p>
        </w:tc>
        <w:tc>
          <w:tcPr>
            <w:tcW w:w="1225"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2 demand rate $/kVA/month</w:t>
            </w:r>
          </w:p>
        </w:tc>
        <w:tc>
          <w:tcPr>
            <w:tcW w:w="1191"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3 demand rate $/kVA/month</w:t>
            </w:r>
          </w:p>
        </w:tc>
        <w:tc>
          <w:tcPr>
            <w:tcW w:w="115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Annual Block 4 demand rate $/kVA/month</w:t>
            </w:r>
          </w:p>
        </w:tc>
        <w:tc>
          <w:tcPr>
            <w:tcW w:w="1067"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Additional Demand</w:t>
            </w:r>
          </w:p>
        </w:tc>
        <w:tc>
          <w:tcPr>
            <w:tcW w:w="1158"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Peak usage rate</w:t>
            </w:r>
          </w:p>
        </w:tc>
        <w:tc>
          <w:tcPr>
            <w:tcW w:w="1067" w:type="dxa"/>
            <w:shd w:val="clear" w:color="auto" w:fill="365F91"/>
            <w:noWrap/>
            <w:vAlign w:val="center"/>
          </w:tcPr>
          <w:p w:rsidR="000021C1" w:rsidRPr="000021C1" w:rsidRDefault="000021C1" w:rsidP="000021C1">
            <w:pPr>
              <w:pStyle w:val="AERtabletextleft"/>
              <w:rPr>
                <w:rStyle w:val="AERtextbold"/>
              </w:rPr>
            </w:pPr>
            <w:r w:rsidRPr="000021C1">
              <w:rPr>
                <w:rStyle w:val="AERtextbold"/>
              </w:rPr>
              <w:t>Off-peak usage rate</w:t>
            </w:r>
          </w:p>
        </w:tc>
      </w:tr>
      <w:tr w:rsidR="000021C1" w:rsidRPr="00D67E86" w:rsidTr="007A0935">
        <w:trPr>
          <w:trHeight w:val="300"/>
          <w:jc w:val="center"/>
        </w:trPr>
        <w:tc>
          <w:tcPr>
            <w:tcW w:w="859"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2011-12</w:t>
            </w:r>
          </w:p>
        </w:tc>
        <w:tc>
          <w:tcPr>
            <w:tcW w:w="1275" w:type="dxa"/>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19.45</w:t>
            </w:r>
          </w:p>
        </w:tc>
        <w:tc>
          <w:tcPr>
            <w:tcW w:w="1225" w:type="dxa"/>
            <w:noWrap/>
            <w:vAlign w:val="bottom"/>
          </w:tcPr>
          <w:p w:rsidR="000021C1" w:rsidRPr="000021C1" w:rsidRDefault="000021C1" w:rsidP="00342D45">
            <w:pPr>
              <w:pStyle w:val="AERtabletextleft"/>
            </w:pPr>
            <w:r w:rsidRPr="000021C1">
              <w:t>19.45</w:t>
            </w:r>
          </w:p>
        </w:tc>
        <w:tc>
          <w:tcPr>
            <w:tcW w:w="1191" w:type="dxa"/>
            <w:noWrap/>
            <w:vAlign w:val="bottom"/>
          </w:tcPr>
          <w:p w:rsidR="000021C1" w:rsidRPr="000021C1" w:rsidRDefault="000021C1" w:rsidP="00342D45">
            <w:pPr>
              <w:pStyle w:val="AERtabletextleft"/>
            </w:pPr>
            <w:r w:rsidRPr="000021C1">
              <w:t>19.45</w:t>
            </w:r>
          </w:p>
        </w:tc>
        <w:tc>
          <w:tcPr>
            <w:tcW w:w="1158" w:type="dxa"/>
            <w:noWrap/>
            <w:vAlign w:val="bottom"/>
          </w:tcPr>
          <w:p w:rsidR="000021C1" w:rsidRPr="000021C1" w:rsidRDefault="000021C1" w:rsidP="00342D45">
            <w:pPr>
              <w:pStyle w:val="AERtabletextleft"/>
            </w:pPr>
            <w:r w:rsidRPr="000021C1">
              <w:t>19.45</w:t>
            </w:r>
          </w:p>
        </w:tc>
        <w:tc>
          <w:tcPr>
            <w:tcW w:w="1067" w:type="dxa"/>
            <w:noWrap/>
            <w:vAlign w:val="bottom"/>
          </w:tcPr>
          <w:p w:rsidR="000021C1" w:rsidRPr="000021C1" w:rsidRDefault="000021C1" w:rsidP="00342D45">
            <w:pPr>
              <w:pStyle w:val="AERtabletextleft"/>
            </w:pPr>
            <w:r w:rsidRPr="000021C1">
              <w:t>19.45</w:t>
            </w:r>
          </w:p>
        </w:tc>
        <w:tc>
          <w:tcPr>
            <w:tcW w:w="1158" w:type="dxa"/>
            <w:noWrap/>
            <w:vAlign w:val="bottom"/>
          </w:tcPr>
          <w:p w:rsidR="000021C1" w:rsidRPr="000021C1" w:rsidRDefault="000021C1" w:rsidP="00342D45">
            <w:pPr>
              <w:pStyle w:val="AERtabletextleft"/>
            </w:pPr>
            <w:r w:rsidRPr="000021C1">
              <w:t>19.50</w:t>
            </w:r>
          </w:p>
        </w:tc>
        <w:tc>
          <w:tcPr>
            <w:tcW w:w="1067" w:type="dxa"/>
            <w:noWrap/>
            <w:vAlign w:val="bottom"/>
          </w:tcPr>
          <w:p w:rsidR="000021C1" w:rsidRPr="000021C1" w:rsidRDefault="000021C1" w:rsidP="00342D45">
            <w:pPr>
              <w:pStyle w:val="AERtabletextleft"/>
            </w:pPr>
            <w:r w:rsidRPr="000021C1">
              <w:t>19.50</w:t>
            </w:r>
          </w:p>
        </w:tc>
      </w:tr>
      <w:tr w:rsidR="000021C1" w:rsidRPr="00D67E86" w:rsidTr="007A0935">
        <w:trPr>
          <w:trHeight w:val="300"/>
          <w:jc w:val="center"/>
        </w:trPr>
        <w:tc>
          <w:tcPr>
            <w:tcW w:w="859" w:type="dxa"/>
            <w:shd w:val="clear" w:color="auto" w:fill="DBE5F1"/>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2012-13</w:t>
            </w:r>
          </w:p>
        </w:tc>
        <w:tc>
          <w:tcPr>
            <w:tcW w:w="1275" w:type="dxa"/>
            <w:shd w:val="clear" w:color="auto" w:fill="DBE5F1"/>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17.80</w:t>
            </w:r>
          </w:p>
        </w:tc>
        <w:tc>
          <w:tcPr>
            <w:tcW w:w="1225" w:type="dxa"/>
            <w:shd w:val="clear" w:color="auto" w:fill="DBE5F1"/>
            <w:noWrap/>
            <w:vAlign w:val="bottom"/>
          </w:tcPr>
          <w:p w:rsidR="000021C1" w:rsidRPr="000021C1" w:rsidRDefault="000021C1" w:rsidP="00342D45">
            <w:pPr>
              <w:pStyle w:val="AERtabletextleft"/>
            </w:pPr>
            <w:r w:rsidRPr="000021C1">
              <w:t>17.80</w:t>
            </w:r>
          </w:p>
        </w:tc>
        <w:tc>
          <w:tcPr>
            <w:tcW w:w="1191" w:type="dxa"/>
            <w:shd w:val="clear" w:color="auto" w:fill="DBE5F1"/>
            <w:noWrap/>
            <w:vAlign w:val="bottom"/>
          </w:tcPr>
          <w:p w:rsidR="000021C1" w:rsidRPr="000021C1" w:rsidRDefault="000021C1" w:rsidP="00342D45">
            <w:pPr>
              <w:pStyle w:val="AERtabletextleft"/>
            </w:pPr>
            <w:r w:rsidRPr="000021C1">
              <w:t>17.80</w:t>
            </w:r>
          </w:p>
        </w:tc>
        <w:tc>
          <w:tcPr>
            <w:tcW w:w="1158" w:type="dxa"/>
            <w:shd w:val="clear" w:color="auto" w:fill="DBE5F1"/>
            <w:noWrap/>
            <w:vAlign w:val="bottom"/>
          </w:tcPr>
          <w:p w:rsidR="000021C1" w:rsidRPr="000021C1" w:rsidRDefault="000021C1" w:rsidP="00342D45">
            <w:pPr>
              <w:pStyle w:val="AERtabletextleft"/>
            </w:pPr>
            <w:r w:rsidRPr="000021C1">
              <w:t>17.80</w:t>
            </w:r>
          </w:p>
        </w:tc>
        <w:tc>
          <w:tcPr>
            <w:tcW w:w="1067" w:type="dxa"/>
            <w:shd w:val="clear" w:color="auto" w:fill="DBE5F1"/>
            <w:noWrap/>
            <w:vAlign w:val="bottom"/>
          </w:tcPr>
          <w:p w:rsidR="000021C1" w:rsidRPr="000021C1" w:rsidRDefault="000021C1" w:rsidP="00342D45">
            <w:pPr>
              <w:pStyle w:val="AERtabletextleft"/>
            </w:pPr>
            <w:r w:rsidRPr="000021C1">
              <w:t>17.80</w:t>
            </w:r>
          </w:p>
        </w:tc>
        <w:tc>
          <w:tcPr>
            <w:tcW w:w="1158" w:type="dxa"/>
            <w:shd w:val="clear" w:color="auto" w:fill="DBE5F1"/>
            <w:noWrap/>
            <w:vAlign w:val="bottom"/>
          </w:tcPr>
          <w:p w:rsidR="000021C1" w:rsidRPr="000021C1" w:rsidRDefault="000021C1" w:rsidP="00342D45">
            <w:pPr>
              <w:pStyle w:val="AERtabletextleft"/>
            </w:pPr>
            <w:r w:rsidRPr="000021C1">
              <w:t>17.79</w:t>
            </w:r>
          </w:p>
        </w:tc>
        <w:tc>
          <w:tcPr>
            <w:tcW w:w="1067" w:type="dxa"/>
            <w:shd w:val="clear" w:color="auto" w:fill="DBE5F1"/>
            <w:noWrap/>
            <w:vAlign w:val="bottom"/>
          </w:tcPr>
          <w:p w:rsidR="000021C1" w:rsidRPr="000021C1" w:rsidRDefault="000021C1" w:rsidP="00342D45">
            <w:pPr>
              <w:pStyle w:val="AERtabletextleft"/>
            </w:pPr>
            <w:r w:rsidRPr="000021C1">
              <w:t>17.79</w:t>
            </w:r>
          </w:p>
        </w:tc>
      </w:tr>
      <w:tr w:rsidR="000021C1" w:rsidRPr="00D67E86" w:rsidTr="007A0935">
        <w:trPr>
          <w:trHeight w:val="300"/>
          <w:jc w:val="center"/>
        </w:trPr>
        <w:tc>
          <w:tcPr>
            <w:tcW w:w="859" w:type="dxa"/>
            <w:noWrap/>
            <w:vAlign w:val="center"/>
            <w:hideMark/>
          </w:tcPr>
          <w:p w:rsidR="000021C1" w:rsidRPr="0033296D" w:rsidRDefault="000021C1" w:rsidP="000021C1">
            <w:pPr>
              <w:pStyle w:val="AERtabletextleft"/>
              <w:rPr>
                <w:rStyle w:val="AERtextbold"/>
              </w:rPr>
            </w:pPr>
          </w:p>
          <w:p w:rsidR="000021C1" w:rsidRPr="000021C1" w:rsidRDefault="000021C1" w:rsidP="000021C1">
            <w:pPr>
              <w:pStyle w:val="AERtabletextleft"/>
              <w:rPr>
                <w:rStyle w:val="AERtextbold"/>
              </w:rPr>
            </w:pPr>
            <w:r w:rsidRPr="0033296D">
              <w:rPr>
                <w:rStyle w:val="AERtextbold"/>
              </w:rPr>
              <w:t>2013-14</w:t>
            </w:r>
          </w:p>
        </w:tc>
        <w:tc>
          <w:tcPr>
            <w:tcW w:w="1275" w:type="dxa"/>
            <w:noWrap/>
            <w:vAlign w:val="bottom"/>
          </w:tcPr>
          <w:p w:rsidR="000021C1" w:rsidRPr="000021C1" w:rsidRDefault="000021C1" w:rsidP="00342D45">
            <w:pPr>
              <w:pStyle w:val="AERtabletextleft"/>
            </w:pPr>
          </w:p>
          <w:p w:rsidR="000021C1" w:rsidRPr="000021C1" w:rsidRDefault="000021C1" w:rsidP="00342D45">
            <w:pPr>
              <w:pStyle w:val="AERtabletextleft"/>
            </w:pPr>
            <w:r w:rsidRPr="000021C1">
              <w:t>12.34</w:t>
            </w:r>
          </w:p>
        </w:tc>
        <w:tc>
          <w:tcPr>
            <w:tcW w:w="1225" w:type="dxa"/>
            <w:noWrap/>
            <w:vAlign w:val="bottom"/>
          </w:tcPr>
          <w:p w:rsidR="000021C1" w:rsidRPr="000021C1" w:rsidRDefault="000021C1" w:rsidP="00342D45">
            <w:pPr>
              <w:pStyle w:val="AERtabletextleft"/>
            </w:pPr>
            <w:r w:rsidRPr="000021C1">
              <w:t>12.34</w:t>
            </w:r>
          </w:p>
        </w:tc>
        <w:tc>
          <w:tcPr>
            <w:tcW w:w="1191" w:type="dxa"/>
            <w:noWrap/>
            <w:vAlign w:val="bottom"/>
          </w:tcPr>
          <w:p w:rsidR="000021C1" w:rsidRPr="000021C1" w:rsidRDefault="000021C1" w:rsidP="00342D45">
            <w:pPr>
              <w:pStyle w:val="AERtabletextleft"/>
            </w:pPr>
            <w:r w:rsidRPr="000021C1">
              <w:t>12.34</w:t>
            </w:r>
          </w:p>
        </w:tc>
        <w:tc>
          <w:tcPr>
            <w:tcW w:w="1158" w:type="dxa"/>
            <w:noWrap/>
            <w:vAlign w:val="bottom"/>
          </w:tcPr>
          <w:p w:rsidR="000021C1" w:rsidRPr="000021C1" w:rsidRDefault="000021C1" w:rsidP="00342D45">
            <w:pPr>
              <w:pStyle w:val="AERtabletextleft"/>
            </w:pPr>
            <w:r w:rsidRPr="000021C1">
              <w:t>12.34</w:t>
            </w:r>
          </w:p>
        </w:tc>
        <w:tc>
          <w:tcPr>
            <w:tcW w:w="1067" w:type="dxa"/>
            <w:noWrap/>
            <w:vAlign w:val="bottom"/>
          </w:tcPr>
          <w:p w:rsidR="000021C1" w:rsidRPr="000021C1" w:rsidRDefault="000021C1" w:rsidP="00342D45">
            <w:pPr>
              <w:pStyle w:val="AERtabletextleft"/>
            </w:pPr>
            <w:r w:rsidRPr="000021C1">
              <w:t>12.34</w:t>
            </w:r>
          </w:p>
        </w:tc>
        <w:tc>
          <w:tcPr>
            <w:tcW w:w="1158" w:type="dxa"/>
            <w:noWrap/>
            <w:vAlign w:val="bottom"/>
          </w:tcPr>
          <w:p w:rsidR="000021C1" w:rsidRPr="000021C1" w:rsidRDefault="000021C1" w:rsidP="00342D45">
            <w:pPr>
              <w:pStyle w:val="AERtabletextleft"/>
            </w:pPr>
            <w:r w:rsidRPr="000021C1">
              <w:t>12.35</w:t>
            </w:r>
          </w:p>
        </w:tc>
        <w:tc>
          <w:tcPr>
            <w:tcW w:w="1067" w:type="dxa"/>
            <w:noWrap/>
            <w:vAlign w:val="bottom"/>
          </w:tcPr>
          <w:p w:rsidR="000021C1" w:rsidRPr="000021C1" w:rsidRDefault="000021C1" w:rsidP="00342D45">
            <w:pPr>
              <w:pStyle w:val="AERtabletextleft"/>
            </w:pPr>
            <w:r w:rsidRPr="000021C1">
              <w:t>12.35</w:t>
            </w:r>
          </w:p>
        </w:tc>
      </w:tr>
    </w:tbl>
    <w:p w:rsidR="000021C1" w:rsidRPr="000054EF" w:rsidRDefault="000021C1" w:rsidP="000021C1">
      <w:pPr>
        <w:pStyle w:val="AERbodytext"/>
      </w:pPr>
    </w:p>
    <w:p w:rsidR="000021C1" w:rsidRPr="000054EF" w:rsidRDefault="000021C1" w:rsidP="000021C1">
      <w:pPr>
        <w:pStyle w:val="AERbodytext"/>
      </w:pPr>
      <w:r>
        <w:t>Over the current regulatory control period SA Power Networks has been allocating new customers and some existing customers to the second type of tariff as set out in table</w:t>
      </w:r>
      <w:r w:rsidR="00342D45">
        <w:t>s</w:t>
      </w:r>
      <w:r>
        <w:t xml:space="preserve"> C.4 and C.5. We consider t</w:t>
      </w:r>
      <w:r w:rsidRPr="000054EF">
        <w:t>here is a moderate increase in pricing efficiency for SA</w:t>
      </w:r>
      <w:r>
        <w:t xml:space="preserve"> </w:t>
      </w:r>
      <w:r w:rsidRPr="000054EF">
        <w:t>P</w:t>
      </w:r>
      <w:r>
        <w:t xml:space="preserve">ower </w:t>
      </w:r>
      <w:r w:rsidRPr="000054EF">
        <w:t>N</w:t>
      </w:r>
      <w:r>
        <w:t>etwork</w:t>
      </w:r>
      <w:r w:rsidRPr="000054EF">
        <w:t>s</w:t>
      </w:r>
      <w:r>
        <w:t>’</w:t>
      </w:r>
      <w:r w:rsidRPr="000054EF">
        <w:t xml:space="preserve"> tariff structure for small and medium business customers through th</w:t>
      </w:r>
      <w:r>
        <w:t>is</w:t>
      </w:r>
      <w:r w:rsidRPr="000054EF">
        <w:t xml:space="preserve"> increase</w:t>
      </w:r>
      <w:r w:rsidR="006950C8">
        <w:t>d</w:t>
      </w:r>
      <w:r w:rsidRPr="000054EF">
        <w:t xml:space="preserve"> use of demand based tariffs. </w:t>
      </w:r>
    </w:p>
    <w:p w:rsidR="000021C1" w:rsidRPr="000021C1" w:rsidRDefault="000021C1" w:rsidP="00342D45">
      <w:pPr>
        <w:pStyle w:val="HeadingBoldBlue"/>
      </w:pPr>
      <w:r w:rsidRPr="0033296D">
        <w:t>Efficient pricing summary</w:t>
      </w:r>
    </w:p>
    <w:p w:rsidR="000021C1" w:rsidRDefault="000021C1" w:rsidP="000021C1">
      <w:pPr>
        <w:pStyle w:val="AERbodytext"/>
      </w:pPr>
      <w:r>
        <w:t xml:space="preserve">There is no material </w:t>
      </w:r>
      <w:r w:rsidRPr="000054EF">
        <w:t xml:space="preserve">increase </w:t>
      </w:r>
      <w:r>
        <w:t xml:space="preserve">in </w:t>
      </w:r>
      <w:r w:rsidRPr="000054EF">
        <w:t>pricing efficiency for SA</w:t>
      </w:r>
      <w:r>
        <w:t xml:space="preserve"> </w:t>
      </w:r>
      <w:r w:rsidRPr="000054EF">
        <w:t>P</w:t>
      </w:r>
      <w:r>
        <w:t xml:space="preserve">ower </w:t>
      </w:r>
      <w:r w:rsidRPr="000054EF">
        <w:t>N</w:t>
      </w:r>
      <w:r>
        <w:t>etwork</w:t>
      </w:r>
      <w:r w:rsidRPr="000054EF">
        <w:t>s</w:t>
      </w:r>
      <w:r>
        <w:t>’</w:t>
      </w:r>
      <w:r w:rsidRPr="000054EF">
        <w:t xml:space="preserve"> tariff structure under the WAPC in the current regulatory control period. We formed this conclusion </w:t>
      </w:r>
      <w:r>
        <w:t xml:space="preserve">based on the </w:t>
      </w:r>
      <w:r w:rsidRPr="000054EF">
        <w:t>following:</w:t>
      </w:r>
    </w:p>
    <w:p w:rsidR="000021C1" w:rsidRDefault="000021C1" w:rsidP="000021C1">
      <w:pPr>
        <w:pStyle w:val="AERbulletlistfirststyle"/>
      </w:pPr>
      <w:r>
        <w:t xml:space="preserve">Total </w:t>
      </w:r>
      <w:r w:rsidRPr="000054EF">
        <w:t xml:space="preserve">revenue recovered from </w:t>
      </w:r>
      <w:r>
        <w:t xml:space="preserve">the </w:t>
      </w:r>
      <w:r w:rsidRPr="000054EF">
        <w:t xml:space="preserve">fixed charge, peak energy and demand/capacity </w:t>
      </w:r>
      <w:r>
        <w:t xml:space="preserve">components </w:t>
      </w:r>
      <w:r w:rsidRPr="000054EF">
        <w:t>increased by approximately 3</w:t>
      </w:r>
      <w:r w:rsidR="00834435">
        <w:t xml:space="preserve"> per cent</w:t>
      </w:r>
      <w:r w:rsidRPr="000054EF">
        <w:t xml:space="preserve"> over the three year period. However, revenues collected from energy based tariffs still form </w:t>
      </w:r>
      <w:r>
        <w:t xml:space="preserve">the </w:t>
      </w:r>
      <w:r w:rsidRPr="000054EF">
        <w:t>vas</w:t>
      </w:r>
      <w:r>
        <w:t>t majorit</w:t>
      </w:r>
      <w:r w:rsidR="00A01EB6">
        <w:t>y of SA Power Networks’ revenue</w:t>
      </w:r>
    </w:p>
    <w:p w:rsidR="000021C1" w:rsidRDefault="000021C1" w:rsidP="000021C1">
      <w:pPr>
        <w:pStyle w:val="AERbulletlistfirststyle"/>
      </w:pPr>
      <w:r>
        <w:t xml:space="preserve">Wide use of </w:t>
      </w:r>
      <w:r w:rsidRPr="000054EF">
        <w:t xml:space="preserve">block tariff structures </w:t>
      </w:r>
      <w:r>
        <w:t>for small customers which is less efficient than a two part tariff</w:t>
      </w:r>
      <w:r w:rsidRPr="000054EF">
        <w:t xml:space="preserve"> </w:t>
      </w:r>
    </w:p>
    <w:p w:rsidR="000021C1" w:rsidRPr="000054EF" w:rsidRDefault="000021C1" w:rsidP="000021C1">
      <w:pPr>
        <w:pStyle w:val="AERbulletlistfirststyle"/>
      </w:pPr>
      <w:r w:rsidRPr="000054EF">
        <w:t>There is a moderate increase in pricing efficiency for SA</w:t>
      </w:r>
      <w:r>
        <w:t xml:space="preserve"> </w:t>
      </w:r>
      <w:r w:rsidRPr="000054EF">
        <w:t>P</w:t>
      </w:r>
      <w:r>
        <w:t xml:space="preserve">ower </w:t>
      </w:r>
      <w:r w:rsidRPr="000054EF">
        <w:t>N</w:t>
      </w:r>
      <w:r>
        <w:t>etwork</w:t>
      </w:r>
      <w:r w:rsidRPr="000054EF">
        <w:t>s</w:t>
      </w:r>
      <w:r>
        <w:t>’</w:t>
      </w:r>
      <w:r w:rsidR="002B5CB9">
        <w:t xml:space="preserve"> </w:t>
      </w:r>
      <w:r w:rsidRPr="000054EF">
        <w:t>tariff structure for small and medium business customers through the incre</w:t>
      </w:r>
      <w:r w:rsidR="006950C8">
        <w:t>ase use of demand based tariffs</w:t>
      </w:r>
      <w:r w:rsidRPr="000054EF">
        <w:t xml:space="preserve"> </w:t>
      </w:r>
    </w:p>
    <w:p w:rsidR="001240BE" w:rsidRDefault="000021C1" w:rsidP="00342D45">
      <w:pPr>
        <w:pStyle w:val="AERbulletlistfirststyle"/>
      </w:pPr>
      <w:r>
        <w:t>We</w:t>
      </w:r>
      <w:r w:rsidRPr="000021C1">
        <w:t xml:space="preserve"> accept that the results from the comparative analysis for SA Power Networks</w:t>
      </w:r>
      <w:r w:rsidR="002B5CB9">
        <w:t xml:space="preserve"> </w:t>
      </w:r>
      <w:r w:rsidRPr="000021C1">
        <w:t>should be treated with caution as it is based on data over a short timeframe. However, we also factored into our consideration analysis of other distributors operating under a WAPC, which demonstrated that the distributors’ most utilised tariffs ha</w:t>
      </w:r>
      <w:r w:rsidR="00342D45">
        <w:t>ve not increased in efficiency.</w:t>
      </w:r>
    </w:p>
    <w:sectPr w:rsidR="001240BE" w:rsidSect="00456081">
      <w:footerReference w:type="even" r:id="rId63"/>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27" w:rsidRPr="00AB4345" w:rsidRDefault="00426427" w:rsidP="00AB4345">
      <w:r>
        <w:separator/>
      </w:r>
    </w:p>
  </w:endnote>
  <w:endnote w:type="continuationSeparator" w:id="0">
    <w:p w:rsidR="00426427" w:rsidRPr="00AB4345" w:rsidRDefault="0042642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26427" w:rsidRDefault="00426427" w:rsidP="00456081">
        <w:pPr>
          <w:pStyle w:val="Footer"/>
          <w:tabs>
            <w:tab w:val="clear" w:pos="4513"/>
          </w:tabs>
        </w:pPr>
        <w:r>
          <w:fldChar w:fldCharType="begin"/>
        </w:r>
        <w:r>
          <w:instrText xml:space="preserve"> PAGE   \* MERGEFORMAT </w:instrText>
        </w:r>
        <w:r>
          <w:fldChar w:fldCharType="separate"/>
        </w:r>
        <w:r w:rsidR="00FC7F42">
          <w:rPr>
            <w:noProof/>
          </w:rPr>
          <w:t>28</w:t>
        </w:r>
        <w:r>
          <w:rPr>
            <w:noProof/>
          </w:rPr>
          <w:fldChar w:fldCharType="end"/>
        </w:r>
        <w:r>
          <w:tab/>
        </w:r>
        <w:r>
          <w:rPr>
            <w:rStyle w:val="AERbody"/>
          </w:rPr>
          <w:t>Preliminary positions paper</w:t>
        </w:r>
        <w:r w:rsidRPr="00210880">
          <w:rPr>
            <w:rStyle w:val="AERbody"/>
          </w:rPr>
          <w:t xml:space="preserve"> </w:t>
        </w:r>
        <w:r>
          <w:rPr>
            <w:rStyle w:val="AERbody"/>
          </w:rPr>
          <w:t xml:space="preserve">| Framework and approach </w:t>
        </w:r>
        <w:r>
          <w:rPr>
            <w:rStyle w:val="AERbody"/>
            <w:rFonts w:cs="Gautami"/>
          </w:rPr>
          <w:t>–</w:t>
        </w:r>
        <w:r>
          <w:rPr>
            <w:rStyle w:val="AERbody"/>
          </w:rPr>
          <w:t xml:space="preserve"> SA Power Networks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27" w:rsidRPr="00210880" w:rsidRDefault="00426427" w:rsidP="00456081">
    <w:pPr>
      <w:pStyle w:val="Footer"/>
      <w:tabs>
        <w:tab w:val="clear" w:pos="4513"/>
      </w:tabs>
      <w:rPr>
        <w:rStyle w:val="AERbody"/>
      </w:rPr>
    </w:pPr>
    <w:r>
      <w:rPr>
        <w:rStyle w:val="AERbody"/>
      </w:rPr>
      <w:t>Preliminary positions paper</w:t>
    </w:r>
    <w:r w:rsidRPr="00210880">
      <w:rPr>
        <w:rStyle w:val="AERbody"/>
      </w:rPr>
      <w:t xml:space="preserve"> | </w:t>
    </w:r>
    <w:r>
      <w:rPr>
        <w:rStyle w:val="AERbody"/>
      </w:rPr>
      <w:t xml:space="preserve">Framework and approach </w:t>
    </w:r>
    <w:r>
      <w:rPr>
        <w:rStyle w:val="AERbody"/>
        <w:rFonts w:cs="Gautami"/>
      </w:rPr>
      <w:t>–</w:t>
    </w:r>
    <w:r>
      <w:rPr>
        <w:rStyle w:val="AERbody"/>
      </w:rPr>
      <w:t xml:space="preserve"> SA Power Networks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FC7F42">
      <w:rPr>
        <w:rStyle w:val="AERbody"/>
        <w:noProof/>
      </w:rPr>
      <w:t>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27" w:rsidRPr="00AB4345" w:rsidRDefault="00426427" w:rsidP="00AB4345">
      <w:r>
        <w:separator/>
      </w:r>
    </w:p>
  </w:footnote>
  <w:footnote w:type="continuationSeparator" w:id="0">
    <w:p w:rsidR="00426427" w:rsidRPr="00AB4345" w:rsidRDefault="00426427" w:rsidP="00AB4345">
      <w:r>
        <w:continuationSeparator/>
      </w:r>
    </w:p>
  </w:footnote>
  <w:footnote w:id="1">
    <w:p w:rsidR="00426427" w:rsidRDefault="00426427" w:rsidP="00DD3C20">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2">
    <w:p w:rsidR="00426427" w:rsidRDefault="00426427">
      <w:pPr>
        <w:pStyle w:val="FootnoteText"/>
      </w:pPr>
      <w:r>
        <w:rPr>
          <w:rStyle w:val="FootnoteReference"/>
        </w:rPr>
        <w:footnoteRef/>
      </w:r>
      <w:r>
        <w:t xml:space="preserve"> </w:t>
      </w:r>
      <w:r>
        <w:tab/>
      </w:r>
      <w:r w:rsidRPr="003B1862">
        <w:t>NER, cl</w:t>
      </w:r>
      <w:r>
        <w:t>ause</w:t>
      </w:r>
      <w:r w:rsidRPr="003B1862">
        <w:t xml:space="preserve"> 6.8.1(a).</w:t>
      </w:r>
    </w:p>
  </w:footnote>
  <w:footnote w:id="3">
    <w:p w:rsidR="00426427" w:rsidRDefault="00426427" w:rsidP="005E7750">
      <w:pPr>
        <w:pStyle w:val="FootnoteText"/>
      </w:pPr>
      <w:r>
        <w:rPr>
          <w:rStyle w:val="FootnoteReference"/>
        </w:rPr>
        <w:footnoteRef/>
      </w:r>
      <w:r>
        <w:t xml:space="preserve"> </w:t>
      </w:r>
      <w:r>
        <w:tab/>
        <w:t xml:space="preserve">AER, </w:t>
      </w:r>
      <w:r w:rsidRPr="000B54A9">
        <w:rPr>
          <w:rStyle w:val="AERtextitalic"/>
        </w:rPr>
        <w:t>Confidentiality guideline</w:t>
      </w:r>
      <w:r>
        <w:t>, 19 November 2013.</w:t>
      </w:r>
    </w:p>
  </w:footnote>
  <w:footnote w:id="4">
    <w:p w:rsidR="00426427" w:rsidRDefault="00426427" w:rsidP="005E7750">
      <w:pPr>
        <w:pStyle w:val="FootnoteText"/>
      </w:pPr>
      <w:r>
        <w:rPr>
          <w:rStyle w:val="FootnoteReference"/>
        </w:rPr>
        <w:footnoteRef/>
      </w:r>
      <w:r>
        <w:t xml:space="preserve"> </w:t>
      </w:r>
      <w:r>
        <w:tab/>
        <w:t xml:space="preserve">AER, </w:t>
      </w:r>
      <w:r w:rsidRPr="000B54A9">
        <w:rPr>
          <w:rStyle w:val="AERtextitalic"/>
        </w:rPr>
        <w:t>Consumer engagement guideline for network service providers</w:t>
      </w:r>
      <w:r>
        <w:t>, 6 November 2013.</w:t>
      </w:r>
    </w:p>
  </w:footnote>
  <w:footnote w:id="5">
    <w:p w:rsidR="00426427" w:rsidRDefault="00426427">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p>
  </w:footnote>
  <w:footnote w:id="6">
    <w:p w:rsidR="00426427" w:rsidRDefault="00426427" w:rsidP="00A352A7">
      <w:pPr>
        <w:pStyle w:val="FootnoteText"/>
      </w:pPr>
      <w:r>
        <w:rPr>
          <w:rStyle w:val="FootnoteReference"/>
        </w:rPr>
        <w:footnoteRef/>
      </w:r>
      <w:r>
        <w:t xml:space="preserve"> </w:t>
      </w:r>
      <w:r>
        <w:tab/>
        <w:t>The r</w:t>
      </w:r>
      <w:r w:rsidRPr="00A352A7">
        <w:t>ules also confer a dispute resolution role on the AER in respect of negotiated services.</w:t>
      </w:r>
    </w:p>
  </w:footnote>
  <w:footnote w:id="7">
    <w:p w:rsidR="00426427" w:rsidRDefault="00426427" w:rsidP="00D57527">
      <w:pPr>
        <w:pStyle w:val="FootnoteText"/>
      </w:pPr>
      <w:r>
        <w:rPr>
          <w:rStyle w:val="FootnoteReference"/>
        </w:rPr>
        <w:footnoteRef/>
      </w:r>
      <w:r>
        <w:t xml:space="preserve"> </w:t>
      </w:r>
      <w:r>
        <w:tab/>
        <w:t>The relevant rules are set out in Appendix A.</w:t>
      </w:r>
    </w:p>
  </w:footnote>
  <w:footnote w:id="8">
    <w:p w:rsidR="00426427" w:rsidRDefault="00426427" w:rsidP="00DF69C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9">
    <w:p w:rsidR="00426427" w:rsidRDefault="00426427" w:rsidP="00DF69CE">
      <w:pPr>
        <w:pStyle w:val="FootnoteText"/>
      </w:pPr>
      <w:r>
        <w:rPr>
          <w:rStyle w:val="FootnoteReference"/>
        </w:rPr>
        <w:footnoteRef/>
      </w:r>
      <w:r>
        <w:t xml:space="preserve"> </w:t>
      </w:r>
      <w:r>
        <w:tab/>
        <w:t>NER, clause 6.12.3(c).</w:t>
      </w:r>
    </w:p>
  </w:footnote>
  <w:footnote w:id="10">
    <w:p w:rsidR="00426427" w:rsidRDefault="00426427" w:rsidP="00DF69C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1">
    <w:p w:rsidR="00426427" w:rsidRDefault="00426427" w:rsidP="00DF69CE">
      <w:pPr>
        <w:pStyle w:val="FootnoteText"/>
      </w:pPr>
      <w:r>
        <w:rPr>
          <w:rStyle w:val="FootnoteReference"/>
        </w:rPr>
        <w:footnoteRef/>
      </w:r>
      <w:r>
        <w:t xml:space="preserve"> </w:t>
      </w:r>
      <w:r>
        <w:tab/>
        <w:t>NER, clause 6.2.5(b).</w:t>
      </w:r>
    </w:p>
  </w:footnote>
  <w:footnote w:id="12">
    <w:p w:rsidR="00426427" w:rsidRDefault="00426427" w:rsidP="00DF69CE">
      <w:pPr>
        <w:pStyle w:val="FootnoteText"/>
      </w:pPr>
      <w:r>
        <w:rPr>
          <w:rStyle w:val="FootnoteReference"/>
        </w:rPr>
        <w:footnoteRef/>
      </w:r>
      <w:r>
        <w:t xml:space="preserve"> </w:t>
      </w:r>
      <w:r>
        <w:tab/>
        <w:t xml:space="preserve">NER, clauses 6.2.5(c) and 6.2.5 (d). </w:t>
      </w:r>
    </w:p>
  </w:footnote>
  <w:footnote w:id="13">
    <w:p w:rsidR="00426427" w:rsidRDefault="00426427" w:rsidP="00DF69CE">
      <w:pPr>
        <w:pStyle w:val="FootnoteText"/>
      </w:pPr>
      <w:r w:rsidRPr="008A489B">
        <w:rPr>
          <w:rStyle w:val="AERsuperscript"/>
        </w:rPr>
        <w:footnoteRef/>
      </w:r>
      <w:r w:rsidRPr="008A489B">
        <w:rPr>
          <w:rStyle w:val="AERsuperscript"/>
        </w:rPr>
        <w:t xml:space="preserve"> </w:t>
      </w:r>
      <w:r>
        <w:tab/>
      </w:r>
      <w:r w:rsidRPr="001E2721">
        <w:rPr>
          <w:rStyle w:val="FootnoteReference"/>
          <w:vertAlign w:val="baseline"/>
        </w:rPr>
        <w:t>NER, cl</w:t>
      </w:r>
      <w:r>
        <w:t>ause</w:t>
      </w:r>
      <w:r w:rsidRPr="001E2721">
        <w:rPr>
          <w:rStyle w:val="FootnoteReference"/>
          <w:vertAlign w:val="baseline"/>
        </w:rPr>
        <w:t xml:space="preserve"> 6.2.6(a). The basis of the form of control is the method by which target revenues or prices are calculated e.g. a building block approach.</w:t>
      </w:r>
    </w:p>
  </w:footnote>
  <w:footnote w:id="14">
    <w:p w:rsidR="00426427" w:rsidRDefault="00426427">
      <w:pPr>
        <w:pStyle w:val="FootnoteText"/>
      </w:pPr>
      <w:r>
        <w:rPr>
          <w:rStyle w:val="FootnoteReference"/>
        </w:rPr>
        <w:footnoteRef/>
      </w:r>
      <w:r>
        <w:t xml:space="preserve"> </w:t>
      </w:r>
      <w:r>
        <w:tab/>
      </w:r>
      <w:r w:rsidRPr="00D36F57">
        <w:t>NER, cl</w:t>
      </w:r>
      <w:r>
        <w:t xml:space="preserve">auses 6.2.6(a) and </w:t>
      </w:r>
      <w:r w:rsidRPr="00D36F57">
        <w:t>6.2.6(b).</w:t>
      </w:r>
    </w:p>
  </w:footnote>
  <w:footnote w:id="15">
    <w:p w:rsidR="00426427" w:rsidRDefault="00426427" w:rsidP="00D36F57">
      <w:pPr>
        <w:pStyle w:val="FootnoteText"/>
      </w:pPr>
      <w:r>
        <w:rPr>
          <w:rStyle w:val="FootnoteReference"/>
        </w:rPr>
        <w:footnoteRef/>
      </w:r>
      <w:r>
        <w:t xml:space="preserve"> </w:t>
      </w:r>
      <w:r>
        <w:tab/>
      </w:r>
      <w:r w:rsidRPr="00D36F57">
        <w:t>NER, cl</w:t>
      </w:r>
      <w:r>
        <w:t>auses 6.2.6(a) and</w:t>
      </w:r>
      <w:r w:rsidRPr="00D36F57">
        <w:t xml:space="preserve"> 6.2.6(b).</w:t>
      </w:r>
    </w:p>
  </w:footnote>
  <w:footnote w:id="16">
    <w:p w:rsidR="00426427" w:rsidRDefault="00426427" w:rsidP="00842C8E">
      <w:pPr>
        <w:pStyle w:val="FootnoteText"/>
      </w:pPr>
      <w:r>
        <w:rPr>
          <w:rStyle w:val="FootnoteReference"/>
        </w:rPr>
        <w:footnoteRef/>
      </w:r>
      <w:r>
        <w:t xml:space="preserve"> </w:t>
      </w:r>
      <w:r>
        <w:tab/>
        <w:t xml:space="preserve">AER, </w:t>
      </w:r>
      <w:r w:rsidRPr="009F052D">
        <w:rPr>
          <w:rStyle w:val="AERtextitalic"/>
        </w:rPr>
        <w:t>Electricity distribution network service providers, Service target performance incentive scheme</w:t>
      </w:r>
      <w:r>
        <w:t xml:space="preserve">, June 2008, p. 2; AER, </w:t>
      </w:r>
      <w:r w:rsidRPr="009F052D">
        <w:rPr>
          <w:rStyle w:val="AERtextitalic"/>
        </w:rPr>
        <w:t>Expenditure incentives guideline</w:t>
      </w:r>
      <w:r>
        <w:t xml:space="preserve">, 29 November 2013. </w:t>
      </w:r>
    </w:p>
  </w:footnote>
  <w:footnote w:id="17">
    <w:p w:rsidR="00426427" w:rsidRDefault="00426427" w:rsidP="00A01D23">
      <w:pPr>
        <w:pStyle w:val="FootnoteText"/>
      </w:pPr>
      <w:r>
        <w:rPr>
          <w:rStyle w:val="FootnoteReference"/>
        </w:rPr>
        <w:footnoteRef/>
      </w:r>
      <w:r>
        <w:t xml:space="preserve"> </w:t>
      </w:r>
      <w:r>
        <w:tab/>
        <w:t xml:space="preserve">ESCOSA, </w:t>
      </w:r>
      <w:r w:rsidRPr="003E6A93">
        <w:rPr>
          <w:rStyle w:val="AERtextitalic"/>
        </w:rPr>
        <w:t>Electricity Distribution Code</w:t>
      </w:r>
      <w:r>
        <w:t>, clause 1.1.4</w:t>
      </w:r>
      <w:r w:rsidRPr="00A757AF">
        <w:t>.</w:t>
      </w:r>
      <w:r>
        <w:t xml:space="preserve"> A copy of this code can be found at </w:t>
      </w:r>
      <w:hyperlink r:id="rId1" w:history="1">
        <w:r w:rsidRPr="00FF49DA">
          <w:rPr>
            <w:rStyle w:val="Hyperlink"/>
          </w:rPr>
          <w:t>www.escosa.sa.gov.au/library/130131-ElectricityDistributionCode-EDC10.pdf</w:t>
        </w:r>
      </w:hyperlink>
      <w:r>
        <w:t xml:space="preserve">. </w:t>
      </w:r>
    </w:p>
  </w:footnote>
  <w:footnote w:id="18">
    <w:p w:rsidR="00426427" w:rsidRDefault="00426427" w:rsidP="00E0718B">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426427" w:rsidRDefault="00426427" w:rsidP="00E0718B">
      <w:pPr>
        <w:pStyle w:val="FootnoteText"/>
      </w:pPr>
      <w:r>
        <w:tab/>
        <w:t xml:space="preserve">See: </w:t>
      </w:r>
      <w:r w:rsidRPr="00C97F5A">
        <w:t>www.scer.gov.au/workstreams/energy-market-reform/demand-side-participation/proposed-rule-changes</w:t>
      </w:r>
      <w:r>
        <w:t>.</w:t>
      </w:r>
    </w:p>
  </w:footnote>
  <w:footnote w:id="19">
    <w:p w:rsidR="00426427" w:rsidRDefault="00426427" w:rsidP="00E0718B">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20">
    <w:p w:rsidR="00426427" w:rsidRDefault="00426427" w:rsidP="006C30A5">
      <w:pPr>
        <w:pStyle w:val="FootnoteText"/>
      </w:pPr>
      <w:r>
        <w:rPr>
          <w:rStyle w:val="FootnoteReference"/>
        </w:rPr>
        <w:footnoteRef/>
      </w:r>
      <w:r>
        <w:t xml:space="preserve"> </w:t>
      </w:r>
      <w:r>
        <w:tab/>
        <w:t>NER, clause 6.6.4.</w:t>
      </w:r>
    </w:p>
  </w:footnote>
  <w:footnote w:id="21">
    <w:p w:rsidR="00426427" w:rsidRDefault="00426427" w:rsidP="00AA45D3">
      <w:pPr>
        <w:pStyle w:val="FootnoteText"/>
      </w:pPr>
      <w:r>
        <w:rPr>
          <w:rStyle w:val="FootnoteReference"/>
        </w:rPr>
        <w:footnoteRef/>
      </w:r>
      <w:r>
        <w:t xml:space="preserve"> </w:t>
      </w:r>
      <w:r>
        <w:tab/>
        <w:t xml:space="preserve">The control mechanism available for each service depends on the classification. The control mechanisms available for direct control services are listed under cl. 6.2.5(b) of the rules. These include revenue caps, average revenue caps, price caps, weighted average price caps, a schedule of fixed prices or a combination of the specified forms of control. Negotiated distribution services are regulated under the negotiate/arbitrate framework set out in Part D of chapter 6 of the rules. Control mechanisms are discussed in detail in attachment 2 of this paper. </w:t>
      </w:r>
    </w:p>
  </w:footnote>
  <w:footnote w:id="22">
    <w:p w:rsidR="00426427" w:rsidRDefault="00426427" w:rsidP="00AA45D3">
      <w:pPr>
        <w:pStyle w:val="FootnoteText"/>
      </w:pPr>
      <w:r>
        <w:rPr>
          <w:rStyle w:val="FootnoteReference"/>
        </w:rPr>
        <w:footnoteRef/>
      </w:r>
      <w:r>
        <w:t xml:space="preserve"> </w:t>
      </w:r>
      <w:r>
        <w:tab/>
        <w:t xml:space="preserve">In general, the costs of providing standard control services would be expected to be recovered through distribution use of service tariffs paid by all or most customers. Costs of providing alternative control or negotiated distribution services would be expected to be recovered from the individual customers that are the recipients of such services. </w:t>
      </w:r>
    </w:p>
  </w:footnote>
  <w:footnote w:id="23">
    <w:p w:rsidR="00426427" w:rsidRDefault="00426427" w:rsidP="00AA45D3">
      <w:pPr>
        <w:pStyle w:val="FootnoteText"/>
      </w:pPr>
      <w:r>
        <w:rPr>
          <w:rStyle w:val="FootnoteReference"/>
        </w:rPr>
        <w:footnoteRef/>
      </w:r>
      <w:r>
        <w:t xml:space="preserve"> </w:t>
      </w:r>
      <w:r>
        <w:tab/>
        <w:t xml:space="preserve">NER, clause 6.12.3(b). </w:t>
      </w:r>
    </w:p>
  </w:footnote>
  <w:footnote w:id="24">
    <w:p w:rsidR="00426427" w:rsidRDefault="00426427" w:rsidP="00AA45D3">
      <w:pPr>
        <w:pStyle w:val="FootnoteText"/>
      </w:pPr>
      <w:r>
        <w:rPr>
          <w:rStyle w:val="FootnoteReference"/>
        </w:rPr>
        <w:footnoteRef/>
      </w:r>
      <w:r>
        <w:t xml:space="preserve"> </w:t>
      </w:r>
      <w:r>
        <w:tab/>
        <w:t xml:space="preserve">NER, Chapter 10, definition of 'distribution service'. </w:t>
      </w:r>
    </w:p>
  </w:footnote>
  <w:footnote w:id="25">
    <w:p w:rsidR="00426427" w:rsidRDefault="00426427">
      <w:pPr>
        <w:pStyle w:val="FootnoteText"/>
      </w:pPr>
      <w:r>
        <w:rPr>
          <w:rStyle w:val="FootnoteReference"/>
        </w:rPr>
        <w:footnoteRef/>
      </w:r>
      <w:r>
        <w:t xml:space="preserve"> </w:t>
      </w:r>
      <w:r>
        <w:tab/>
        <w:t>NER, Chapter 6, part B.</w:t>
      </w:r>
    </w:p>
  </w:footnote>
  <w:footnote w:id="26">
    <w:p w:rsidR="00426427" w:rsidRDefault="00426427" w:rsidP="00AA45D3">
      <w:pPr>
        <w:pStyle w:val="FootnoteText"/>
      </w:pPr>
      <w:r>
        <w:rPr>
          <w:rStyle w:val="FootnoteReference"/>
        </w:rPr>
        <w:footnoteRef/>
      </w:r>
      <w:r>
        <w:t xml:space="preserve"> </w:t>
      </w:r>
      <w:r>
        <w:tab/>
        <w:t>See Chapter 10 of the rules for the definition of 'distribution service'. Connection assets alone do not constitute a distribution system.</w:t>
      </w:r>
    </w:p>
  </w:footnote>
  <w:footnote w:id="27">
    <w:p w:rsidR="00426427" w:rsidRDefault="00426427" w:rsidP="00AA45D3">
      <w:pPr>
        <w:pStyle w:val="FootnoteText"/>
      </w:pPr>
      <w:r>
        <w:rPr>
          <w:rStyle w:val="FootnoteReference"/>
        </w:rPr>
        <w:footnoteRef/>
      </w:r>
      <w:r>
        <w:t xml:space="preserve"> </w:t>
      </w:r>
      <w:r>
        <w:tab/>
        <w:t>Ibid.</w:t>
      </w:r>
    </w:p>
  </w:footnote>
  <w:footnote w:id="28">
    <w:p w:rsidR="00426427" w:rsidRDefault="00426427" w:rsidP="00AA45D3">
      <w:pPr>
        <w:pStyle w:val="FootnoteText"/>
      </w:pPr>
      <w:r>
        <w:rPr>
          <w:rStyle w:val="FootnoteReference"/>
        </w:rPr>
        <w:footnoteRef/>
      </w:r>
      <w:r>
        <w:t xml:space="preserve"> </w:t>
      </w:r>
      <w:r>
        <w:tab/>
        <w:t>NER, clause 6.2.1, NEL section 2F.</w:t>
      </w:r>
    </w:p>
  </w:footnote>
  <w:footnote w:id="29">
    <w:p w:rsidR="00426427" w:rsidRDefault="00426427" w:rsidP="00AA45D3">
      <w:pPr>
        <w:pStyle w:val="FootnoteText"/>
      </w:pPr>
      <w:r>
        <w:rPr>
          <w:rStyle w:val="FootnoteReference"/>
        </w:rPr>
        <w:footnoteRef/>
      </w:r>
      <w:r>
        <w:t xml:space="preserve"> </w:t>
      </w:r>
      <w:r>
        <w:tab/>
        <w:t>NER, clause 6.2.2.</w:t>
      </w:r>
    </w:p>
  </w:footnote>
  <w:footnote w:id="30">
    <w:p w:rsidR="00426427" w:rsidRDefault="00426427" w:rsidP="00AA45D3">
      <w:pPr>
        <w:pStyle w:val="FootnoteText"/>
      </w:pPr>
      <w:r>
        <w:rPr>
          <w:rStyle w:val="FootnoteReference"/>
        </w:rPr>
        <w:footnoteRef/>
      </w:r>
      <w:r>
        <w:t xml:space="preserve"> </w:t>
      </w:r>
      <w:r>
        <w:tab/>
        <w:t>NER, clauses 6.2.1(d) and 6.2.2(d).</w:t>
      </w:r>
    </w:p>
  </w:footnote>
  <w:footnote w:id="31">
    <w:p w:rsidR="00426427" w:rsidRDefault="00426427" w:rsidP="00AA45D3">
      <w:pPr>
        <w:pStyle w:val="FootnoteText"/>
      </w:pPr>
      <w:r>
        <w:rPr>
          <w:rStyle w:val="FootnoteReference"/>
        </w:rPr>
        <w:footnoteRef/>
      </w:r>
      <w:r>
        <w:t xml:space="preserve"> </w:t>
      </w:r>
      <w:r>
        <w:tab/>
        <w:t xml:space="preserve">NER, chapter 10, definition of 'distribution service'. We consider that each service group is provided 'in connection' with or 'in conjunction' with a distribution system. We also rely on </w:t>
      </w:r>
      <w:r w:rsidRPr="00B56728">
        <w:rPr>
          <w:rStyle w:val="AERtextitalic"/>
          <w:rFonts w:eastAsia="Calibri"/>
        </w:rPr>
        <w:t>Ergon Energy Corporation Ltd v Australian Energy Regulator</w:t>
      </w:r>
      <w:r w:rsidRPr="00B56728">
        <w:rPr>
          <w:rFonts w:eastAsia="Calibri"/>
        </w:rPr>
        <w:t xml:space="preserve"> [2012] FCA 393</w:t>
      </w:r>
      <w:r>
        <w:rPr>
          <w:rFonts w:eastAsia="Calibri"/>
        </w:rPr>
        <w:t>.</w:t>
      </w:r>
    </w:p>
  </w:footnote>
  <w:footnote w:id="32">
    <w:p w:rsidR="00426427" w:rsidRDefault="00426427" w:rsidP="00AA45D3">
      <w:pPr>
        <w:pStyle w:val="FootnoteText"/>
      </w:pPr>
      <w:r>
        <w:rPr>
          <w:rStyle w:val="FootnoteReference"/>
        </w:rPr>
        <w:footnoteRef/>
      </w:r>
      <w:r>
        <w:t xml:space="preserve"> </w:t>
      </w:r>
      <w:r>
        <w:tab/>
      </w:r>
      <w:r w:rsidRPr="0098401C">
        <w:t>A Basic (or standard) connection is a connection or an alteration which involves minimal or no augmentation (no extension or upgrade) of SAPN’s distribution network.</w:t>
      </w:r>
    </w:p>
  </w:footnote>
  <w:footnote w:id="33">
    <w:p w:rsidR="00426427" w:rsidRDefault="00426427">
      <w:pPr>
        <w:pStyle w:val="FootnoteText"/>
      </w:pPr>
      <w:r>
        <w:rPr>
          <w:rStyle w:val="FootnoteReference"/>
        </w:rPr>
        <w:footnoteRef/>
      </w:r>
      <w:r>
        <w:t xml:space="preserve"> </w:t>
      </w:r>
      <w:r>
        <w:tab/>
        <w:t>See section 1.3.3 for an explanation of different types of meters.</w:t>
      </w:r>
    </w:p>
  </w:footnote>
  <w:footnote w:id="34">
    <w:p w:rsidR="00426427" w:rsidRDefault="00426427" w:rsidP="00AA45D3">
      <w:pPr>
        <w:pStyle w:val="FootnoteText"/>
      </w:pPr>
      <w:r>
        <w:rPr>
          <w:rStyle w:val="FootnoteReference"/>
        </w:rPr>
        <w:footnoteRef/>
      </w:r>
      <w:r>
        <w:t xml:space="preserve"> </w:t>
      </w:r>
      <w:r>
        <w:tab/>
        <w:t>Also includes maintaining and reading of type 1 to 4 meters installed prior to 1 July 2000 for legacy reasons.</w:t>
      </w:r>
    </w:p>
  </w:footnote>
  <w:footnote w:id="35">
    <w:p w:rsidR="00426427" w:rsidRDefault="00426427" w:rsidP="00AA45D3">
      <w:pPr>
        <w:pStyle w:val="FootnoteText"/>
      </w:pPr>
      <w:r>
        <w:rPr>
          <w:rStyle w:val="FootnoteReference"/>
        </w:rPr>
        <w:footnoteRef/>
      </w:r>
      <w:r>
        <w:t xml:space="preserve"> </w:t>
      </w:r>
      <w:r>
        <w:tab/>
        <w:t>In the current 2010</w:t>
      </w:r>
      <w:r>
        <w:rPr>
          <w:rFonts w:cs="Gautami"/>
        </w:rPr>
        <w:t>–</w:t>
      </w:r>
      <w:r>
        <w:t>15 regulatory control period, the AER separated type 6 meters from other SAPN assets and established a regulatory asset base for these meters. The metering charges for individual customers are derived based on the return on this regulatory asset base and the on-going expenditures required to maintain these meters.</w:t>
      </w:r>
    </w:p>
  </w:footnote>
  <w:footnote w:id="36">
    <w:p w:rsidR="00426427" w:rsidRDefault="00426427">
      <w:pPr>
        <w:pStyle w:val="FootnoteText"/>
      </w:pPr>
      <w:r>
        <w:rPr>
          <w:rStyle w:val="FootnoteReference"/>
        </w:rPr>
        <w:footnoteRef/>
      </w:r>
      <w:r>
        <w:t xml:space="preserve"> </w:t>
      </w:r>
      <w:r>
        <w:tab/>
        <w:t xml:space="preserve">Origin Energy, </w:t>
      </w:r>
      <w:r w:rsidRPr="00F021D7">
        <w:t xml:space="preserve">submission to the </w:t>
      </w:r>
      <w:r>
        <w:t xml:space="preserve">Queensland and </w:t>
      </w:r>
      <w:r w:rsidRPr="00F021D7">
        <w:t>South Australian Framework and App</w:t>
      </w:r>
      <w:r>
        <w:t>roach for the period 2015-2020, dated 31 July 2013.</w:t>
      </w:r>
    </w:p>
  </w:footnote>
  <w:footnote w:id="37">
    <w:p w:rsidR="00426427" w:rsidRDefault="00426427" w:rsidP="00AA45D3">
      <w:pPr>
        <w:pStyle w:val="FootnoteText"/>
      </w:pPr>
      <w:r>
        <w:rPr>
          <w:rStyle w:val="FootnoteReference"/>
        </w:rPr>
        <w:footnoteRef/>
      </w:r>
      <w:r>
        <w:t xml:space="preserve"> </w:t>
      </w:r>
      <w:r>
        <w:tab/>
        <w:t>SAPN are responsible for the ongoing maintenance work of its own public lighting assets. Therefore maintenance services for these public lighting assets are not contestable.</w:t>
      </w:r>
    </w:p>
  </w:footnote>
  <w:footnote w:id="38">
    <w:p w:rsidR="00426427" w:rsidRDefault="00426427" w:rsidP="00AA45D3">
      <w:pPr>
        <w:pStyle w:val="FootnoteText"/>
      </w:pPr>
      <w:r>
        <w:rPr>
          <w:rStyle w:val="FootnoteReference"/>
        </w:rPr>
        <w:footnoteRef/>
      </w:r>
      <w:r>
        <w:t xml:space="preserve"> </w:t>
      </w:r>
      <w:r>
        <w:tab/>
        <w:t>NER, chapter 10, definition of 'network services'.</w:t>
      </w:r>
    </w:p>
  </w:footnote>
  <w:footnote w:id="39">
    <w:p w:rsidR="00426427" w:rsidRDefault="00426427" w:rsidP="00AA45D3">
      <w:pPr>
        <w:pStyle w:val="FootnoteText"/>
      </w:pPr>
      <w:r>
        <w:rPr>
          <w:rStyle w:val="FootnoteReference"/>
        </w:rPr>
        <w:footnoteRef/>
      </w:r>
      <w:r>
        <w:t xml:space="preserve"> </w:t>
      </w:r>
      <w:r>
        <w:tab/>
        <w:t xml:space="preserve">Network services exclude metering data services. However, the AER considers a distributor's use of meter data for managing and planning the network, for example, is included in network services. </w:t>
      </w:r>
      <w:r w:rsidRPr="0048041A">
        <w:t xml:space="preserve">A </w:t>
      </w:r>
      <w:r>
        <w:t>b</w:t>
      </w:r>
      <w:r w:rsidRPr="0048041A">
        <w:t>asic (or standard) connection is a connection or an alteration which involves minimal or no augmentation (no extension or upgrade) of SAPN’s distribution network. This is different from non- basic connection services which require an augmentation.</w:t>
      </w:r>
    </w:p>
  </w:footnote>
  <w:footnote w:id="40">
    <w:p w:rsidR="00426427" w:rsidRPr="0077042A" w:rsidRDefault="00426427" w:rsidP="00AA45D3">
      <w:pPr>
        <w:pStyle w:val="FootnoteText"/>
      </w:pPr>
      <w:r>
        <w:rPr>
          <w:rStyle w:val="FootnoteReference"/>
        </w:rPr>
        <w:footnoteRef/>
      </w:r>
      <w:r>
        <w:t xml:space="preserve"> </w:t>
      </w:r>
      <w:r>
        <w:tab/>
        <w:t xml:space="preserve">The licence is issued by the Essential Service Commission of South Australia. A copy of the licence is available on ESCOSA's website at </w:t>
      </w:r>
      <w:hyperlink r:id="rId2" w:history="1">
        <w:r w:rsidRPr="00D936DB">
          <w:rPr>
            <w:rStyle w:val="Hyperlink"/>
          </w:rPr>
          <w:t>www.escosa.sa.gov.au/electricity-overview/licensing/distribution-licences.aspx</w:t>
        </w:r>
      </w:hyperlink>
      <w:r>
        <w:t>.</w:t>
      </w:r>
    </w:p>
  </w:footnote>
  <w:footnote w:id="41">
    <w:p w:rsidR="00426427" w:rsidRDefault="00426427" w:rsidP="00AA45D3">
      <w:pPr>
        <w:pStyle w:val="FootnoteText"/>
      </w:pPr>
      <w:r>
        <w:rPr>
          <w:rStyle w:val="FootnoteReference"/>
        </w:rPr>
        <w:footnoteRef/>
      </w:r>
      <w:r>
        <w:t xml:space="preserve"> </w:t>
      </w:r>
      <w:r>
        <w:tab/>
        <w:t>NEL, s. 2F(a).</w:t>
      </w:r>
    </w:p>
  </w:footnote>
  <w:footnote w:id="42">
    <w:p w:rsidR="00426427" w:rsidRDefault="00426427" w:rsidP="00AA45D3">
      <w:pPr>
        <w:pStyle w:val="FootnoteText"/>
      </w:pPr>
      <w:r>
        <w:rPr>
          <w:rStyle w:val="FootnoteReference"/>
        </w:rPr>
        <w:footnoteRef/>
      </w:r>
      <w:r>
        <w:t xml:space="preserve"> </w:t>
      </w:r>
      <w:r>
        <w:tab/>
        <w:t xml:space="preserve">NEL, s. 2F(d). </w:t>
      </w:r>
    </w:p>
  </w:footnote>
  <w:footnote w:id="43">
    <w:p w:rsidR="00426427" w:rsidRDefault="00426427" w:rsidP="00AA45D3">
      <w:pPr>
        <w:pStyle w:val="FootnoteText"/>
      </w:pPr>
      <w:r>
        <w:rPr>
          <w:rStyle w:val="FootnoteReference"/>
        </w:rPr>
        <w:footnoteRef/>
      </w:r>
      <w:r>
        <w:t xml:space="preserve"> </w:t>
      </w:r>
      <w:r>
        <w:tab/>
        <w:t>NER, clause 6.2.2(c).</w:t>
      </w:r>
    </w:p>
  </w:footnote>
  <w:footnote w:id="44">
    <w:p w:rsidR="00426427" w:rsidRDefault="00426427" w:rsidP="00AA45D3">
      <w:pPr>
        <w:pStyle w:val="FootnoteText"/>
      </w:pPr>
      <w:r>
        <w:rPr>
          <w:rStyle w:val="FootnoteReference"/>
        </w:rPr>
        <w:footnoteRef/>
      </w:r>
      <w:r>
        <w:t xml:space="preserve"> </w:t>
      </w:r>
      <w:r>
        <w:tab/>
        <w:t>NER, chapter 5A, A1.</w:t>
      </w:r>
    </w:p>
  </w:footnote>
  <w:footnote w:id="45">
    <w:p w:rsidR="00426427" w:rsidRDefault="00426427" w:rsidP="00AA45D3">
      <w:pPr>
        <w:pStyle w:val="FootnoteText"/>
      </w:pPr>
      <w:r>
        <w:rPr>
          <w:rStyle w:val="FootnoteReference"/>
        </w:rPr>
        <w:footnoteRef/>
      </w:r>
      <w:r>
        <w:t xml:space="preserve"> </w:t>
      </w:r>
      <w:r>
        <w:tab/>
        <w:t xml:space="preserve">AER, </w:t>
      </w:r>
      <w:r w:rsidRPr="00544DEB">
        <w:rPr>
          <w:rStyle w:val="AERtextitalic"/>
        </w:rPr>
        <w:t>Final decision, Queensland distribution determination 2010-11 to 2014-15</w:t>
      </w:r>
      <w:r>
        <w:t xml:space="preserve">, May 2010, p. 8; AER, </w:t>
      </w:r>
      <w:r w:rsidRPr="00544DEB">
        <w:rPr>
          <w:rStyle w:val="AERtextitalic"/>
        </w:rPr>
        <w:t>Final decision, South Australia distribution determination 2010-11 to 2014-15</w:t>
      </w:r>
      <w:r>
        <w:t xml:space="preserve">, May 2012, p. 7; AER, </w:t>
      </w:r>
      <w:r w:rsidRPr="00544DEB">
        <w:rPr>
          <w:rStyle w:val="AERtextitalic"/>
        </w:rPr>
        <w:t>Final distribution determination Aurora Energy Pty Ltd 2012-13 to 2016-17</w:t>
      </w:r>
      <w:r>
        <w:t>, April 2012, p. 9.</w:t>
      </w:r>
    </w:p>
  </w:footnote>
  <w:footnote w:id="46">
    <w:p w:rsidR="00426427" w:rsidRDefault="00426427" w:rsidP="00AA45D3">
      <w:pPr>
        <w:pStyle w:val="FootnoteText"/>
      </w:pPr>
      <w:r>
        <w:rPr>
          <w:rStyle w:val="FootnoteReference"/>
        </w:rPr>
        <w:footnoteRef/>
      </w:r>
      <w:r>
        <w:t xml:space="preserve"> </w:t>
      </w:r>
      <w:r>
        <w:tab/>
        <w:t xml:space="preserve">AER, </w:t>
      </w:r>
      <w:r w:rsidRPr="00751DBE">
        <w:rPr>
          <w:rStyle w:val="AERtextitalic"/>
        </w:rPr>
        <w:t>Final decision, Victorian DNSPs distribution determination 2011-2015</w:t>
      </w:r>
      <w:r>
        <w:t>, October 2010, p. 14.</w:t>
      </w:r>
    </w:p>
  </w:footnote>
  <w:footnote w:id="47">
    <w:p w:rsidR="00426427" w:rsidRDefault="00426427" w:rsidP="00AA45D3">
      <w:pPr>
        <w:pStyle w:val="FootnoteText"/>
      </w:pPr>
      <w:r>
        <w:rPr>
          <w:rStyle w:val="FootnoteReference"/>
        </w:rPr>
        <w:footnoteRef/>
      </w:r>
      <w:r>
        <w:t xml:space="preserve"> </w:t>
      </w:r>
      <w:r>
        <w:tab/>
        <w:t xml:space="preserve">AER, </w:t>
      </w:r>
      <w:r w:rsidRPr="009A54A3">
        <w:rPr>
          <w:rStyle w:val="AERtextitalic"/>
        </w:rPr>
        <w:t>SA 2010–15 F&amp;A Preliminary position</w:t>
      </w:r>
      <w:r>
        <w:t>, pp. 29–31.</w:t>
      </w:r>
    </w:p>
  </w:footnote>
  <w:footnote w:id="48">
    <w:p w:rsidR="00426427" w:rsidRPr="00F94A12" w:rsidRDefault="00426427" w:rsidP="00AA45D3">
      <w:pPr>
        <w:pStyle w:val="FootnoteText"/>
      </w:pPr>
      <w:r>
        <w:rPr>
          <w:rStyle w:val="FootnoteReference"/>
        </w:rPr>
        <w:footnoteRef/>
      </w:r>
      <w:r>
        <w:t xml:space="preserve"> </w:t>
      </w:r>
      <w:r>
        <w:tab/>
        <w:t>NER, clauses 6.2.1 and 6.2.2.</w:t>
      </w:r>
    </w:p>
  </w:footnote>
  <w:footnote w:id="49">
    <w:p w:rsidR="00426427" w:rsidRPr="00D31199" w:rsidRDefault="00426427" w:rsidP="00AA45D3">
      <w:pPr>
        <w:pStyle w:val="FootnoteText"/>
      </w:pPr>
      <w:r>
        <w:rPr>
          <w:rStyle w:val="FootnoteReference"/>
        </w:rPr>
        <w:footnoteRef/>
      </w:r>
      <w:r>
        <w:t xml:space="preserve"> </w:t>
      </w:r>
      <w:r>
        <w:tab/>
        <w:t xml:space="preserve">AER, </w:t>
      </w:r>
      <w:r w:rsidRPr="00D31199">
        <w:rPr>
          <w:rStyle w:val="AERtextitalic"/>
        </w:rPr>
        <w:t>Connection charge guidelines for electricity retail customers, under Chapter 5A of the National Electricity Rules</w:t>
      </w:r>
      <w:r>
        <w:t xml:space="preserve">, June 2012. </w:t>
      </w:r>
    </w:p>
  </w:footnote>
  <w:footnote w:id="50">
    <w:p w:rsidR="00426427" w:rsidRPr="00D31199" w:rsidRDefault="00426427" w:rsidP="00AA45D3">
      <w:pPr>
        <w:pStyle w:val="FootnoteText"/>
      </w:pPr>
      <w:r>
        <w:rPr>
          <w:rStyle w:val="FootnoteReference"/>
        </w:rPr>
        <w:footnoteRef/>
      </w:r>
      <w:r>
        <w:t xml:space="preserve"> </w:t>
      </w:r>
      <w:r>
        <w:tab/>
        <w:t xml:space="preserve">AER, </w:t>
      </w:r>
      <w:r w:rsidRPr="00D31199">
        <w:rPr>
          <w:rStyle w:val="AERtextitalic"/>
        </w:rPr>
        <w:t>Connection charge guidelines for electricity retail customers, under Chapter 5A of the National Electricity Rules</w:t>
      </w:r>
      <w:r>
        <w:t xml:space="preserve">, June 2012, p. 29. </w:t>
      </w:r>
    </w:p>
  </w:footnote>
  <w:footnote w:id="51">
    <w:p w:rsidR="00426427" w:rsidRDefault="00426427" w:rsidP="00AA45D3">
      <w:pPr>
        <w:pStyle w:val="FootnoteText"/>
        <w:numPr>
          <w:ilvl w:val="0"/>
          <w:numId w:val="6"/>
        </w:numPr>
        <w:ind w:left="426" w:hanging="426"/>
      </w:pPr>
      <w:r>
        <w:rPr>
          <w:rStyle w:val="FootnoteReference"/>
        </w:rPr>
        <w:footnoteRef/>
      </w:r>
      <w:r>
        <w:t xml:space="preserve"> </w:t>
      </w:r>
      <w:r>
        <w:tab/>
        <w:t>All connections to the network must have a metering installation (NER, clause 7.3.1A(a)).</w:t>
      </w:r>
    </w:p>
  </w:footnote>
  <w:footnote w:id="52">
    <w:p w:rsidR="00426427" w:rsidRDefault="00426427" w:rsidP="00AA45D3">
      <w:pPr>
        <w:pStyle w:val="FootnoteText"/>
        <w:numPr>
          <w:ilvl w:val="0"/>
          <w:numId w:val="6"/>
        </w:numPr>
        <w:ind w:left="426" w:hanging="426"/>
      </w:pPr>
      <w:r>
        <w:rPr>
          <w:rStyle w:val="FootnoteReference"/>
        </w:rPr>
        <w:footnoteRef/>
      </w:r>
      <w:r>
        <w:t xml:space="preserve"> </w:t>
      </w:r>
      <w:r>
        <w:tab/>
        <w:t>SAPN is the ‘responsible person’ for type 5, 6, and 7 metering installations (NER, clause 7.2.3(a)(2)).</w:t>
      </w:r>
    </w:p>
  </w:footnote>
  <w:footnote w:id="53">
    <w:p w:rsidR="00426427" w:rsidRDefault="00426427" w:rsidP="00AA45D3">
      <w:pPr>
        <w:pStyle w:val="FootnoteText"/>
        <w:numPr>
          <w:ilvl w:val="0"/>
          <w:numId w:val="6"/>
        </w:numPr>
        <w:ind w:left="426" w:hanging="426"/>
      </w:pPr>
      <w:r>
        <w:rPr>
          <w:rStyle w:val="FootnoteReference"/>
        </w:rPr>
        <w:footnoteRef/>
      </w:r>
      <w:r>
        <w:t xml:space="preserve"> </w:t>
      </w:r>
      <w:r>
        <w:tab/>
        <w:t>Interval meters record electricity usage every 30 minutes</w:t>
      </w:r>
      <w:r w:rsidRPr="00545426">
        <w:t>.</w:t>
      </w:r>
    </w:p>
  </w:footnote>
  <w:footnote w:id="54">
    <w:p w:rsidR="00426427" w:rsidRDefault="00426427" w:rsidP="00AA45D3">
      <w:pPr>
        <w:pStyle w:val="FootnoteText"/>
      </w:pPr>
      <w:r>
        <w:rPr>
          <w:rStyle w:val="FootnoteReference"/>
        </w:rPr>
        <w:footnoteRef/>
      </w:r>
      <w:r>
        <w:t xml:space="preserve"> </w:t>
      </w:r>
      <w:r>
        <w:tab/>
        <w:t xml:space="preserve">AER, </w:t>
      </w:r>
      <w:r w:rsidRPr="00394943">
        <w:rPr>
          <w:rStyle w:val="AERtextitalic"/>
        </w:rPr>
        <w:t>Final framework and approach paper ETSA Utilities 2010–15</w:t>
      </w:r>
      <w:r>
        <w:t>, p. 10.</w:t>
      </w:r>
    </w:p>
  </w:footnote>
  <w:footnote w:id="55">
    <w:p w:rsidR="00426427" w:rsidRDefault="00426427" w:rsidP="00AA45D3">
      <w:pPr>
        <w:pStyle w:val="FootnoteText"/>
      </w:pPr>
      <w:r>
        <w:rPr>
          <w:rStyle w:val="FootnoteReference"/>
        </w:rPr>
        <w:footnoteRef/>
      </w:r>
      <w:r>
        <w:t xml:space="preserve"> </w:t>
      </w:r>
      <w:r>
        <w:tab/>
        <w:t>NER, clause 7.2.3(a)(2).</w:t>
      </w:r>
    </w:p>
  </w:footnote>
  <w:footnote w:id="56">
    <w:p w:rsidR="00426427" w:rsidRDefault="00426427" w:rsidP="00AA45D3">
      <w:pPr>
        <w:pStyle w:val="FootnoteText"/>
      </w:pPr>
      <w:r>
        <w:rPr>
          <w:rStyle w:val="FootnoteReference"/>
        </w:rPr>
        <w:footnoteRef/>
      </w:r>
      <w:r>
        <w:t xml:space="preserve"> </w:t>
      </w:r>
      <w:r>
        <w:tab/>
        <w:t>Industrial and large customers may use types 1 to 4 meters. These meters are already open to competition and are not regulated by the AER (NER, clauses 7.2.3(a)(2) and 7.3.1.A(a)).</w:t>
      </w:r>
    </w:p>
  </w:footnote>
  <w:footnote w:id="57">
    <w:p w:rsidR="00426427" w:rsidRDefault="00426427" w:rsidP="00AA45D3">
      <w:pPr>
        <w:pStyle w:val="FootnoteText"/>
      </w:pPr>
      <w:r>
        <w:rPr>
          <w:rStyle w:val="FootnoteReference"/>
        </w:rPr>
        <w:footnoteRef/>
      </w:r>
      <w:r>
        <w:t xml:space="preserve"> </w:t>
      </w:r>
      <w:r>
        <w:tab/>
        <w:t>NER, clause 7.2.3.</w:t>
      </w:r>
    </w:p>
  </w:footnote>
  <w:footnote w:id="58">
    <w:p w:rsidR="00426427" w:rsidRDefault="00426427" w:rsidP="00AA45D3">
      <w:pPr>
        <w:pStyle w:val="FootnoteText"/>
      </w:pPr>
      <w:r>
        <w:rPr>
          <w:rStyle w:val="FootnoteReference"/>
        </w:rPr>
        <w:footnoteRef/>
      </w:r>
      <w:r>
        <w:t xml:space="preserve"> </w:t>
      </w:r>
      <w:r>
        <w:tab/>
        <w:t xml:space="preserve">NEL, ss. 2F(e) and (f). </w:t>
      </w:r>
    </w:p>
  </w:footnote>
  <w:footnote w:id="59">
    <w:p w:rsidR="00426427" w:rsidRDefault="00426427" w:rsidP="00AA45D3">
      <w:pPr>
        <w:pStyle w:val="FootnoteText"/>
      </w:pPr>
      <w:r>
        <w:rPr>
          <w:rStyle w:val="FootnoteReference"/>
        </w:rPr>
        <w:footnoteRef/>
      </w:r>
      <w:r>
        <w:t xml:space="preserve"> </w:t>
      </w:r>
      <w:r>
        <w:tab/>
        <w:t>NEL, s. 2F(a).</w:t>
      </w:r>
    </w:p>
  </w:footnote>
  <w:footnote w:id="60">
    <w:p w:rsidR="00426427" w:rsidRDefault="00426427" w:rsidP="00AA45D3">
      <w:pPr>
        <w:pStyle w:val="FootnoteText"/>
      </w:pPr>
      <w:r>
        <w:rPr>
          <w:rStyle w:val="FootnoteReference"/>
        </w:rPr>
        <w:footnoteRef/>
      </w:r>
      <w:r>
        <w:t xml:space="preserve"> </w:t>
      </w:r>
      <w:r>
        <w:tab/>
        <w:t>NEL, s. 2F(d).</w:t>
      </w:r>
    </w:p>
  </w:footnote>
  <w:footnote w:id="61">
    <w:p w:rsidR="00426427" w:rsidRDefault="00426427" w:rsidP="00AA45D3">
      <w:pPr>
        <w:pStyle w:val="FootnoteText"/>
      </w:pPr>
      <w:r>
        <w:rPr>
          <w:rStyle w:val="FootnoteReference"/>
        </w:rPr>
        <w:footnoteRef/>
      </w:r>
      <w:r>
        <w:t xml:space="preserve"> </w:t>
      </w:r>
      <w:r>
        <w:tab/>
        <w:t xml:space="preserve">SAPN, </w:t>
      </w:r>
      <w:r w:rsidRPr="00060259">
        <w:rPr>
          <w:rStyle w:val="AERtextitalic"/>
        </w:rPr>
        <w:t>Response to query on classification of metering services</w:t>
      </w:r>
      <w:r>
        <w:t>, 21 January 2013, p. 1.</w:t>
      </w:r>
    </w:p>
  </w:footnote>
  <w:footnote w:id="62">
    <w:p w:rsidR="00426427" w:rsidRDefault="00426427" w:rsidP="00AA45D3">
      <w:pPr>
        <w:pStyle w:val="FootnoteText"/>
      </w:pPr>
      <w:r>
        <w:rPr>
          <w:rStyle w:val="FootnoteReference"/>
        </w:rPr>
        <w:footnoteRef/>
      </w:r>
      <w:r>
        <w:t xml:space="preserve"> </w:t>
      </w:r>
      <w:r>
        <w:tab/>
        <w:t>NER, clause 6.2.2(c).</w:t>
      </w:r>
    </w:p>
  </w:footnote>
  <w:footnote w:id="63">
    <w:p w:rsidR="00426427" w:rsidRDefault="00426427" w:rsidP="00AA45D3">
      <w:pPr>
        <w:pStyle w:val="FootnoteText"/>
      </w:pPr>
      <w:r>
        <w:rPr>
          <w:rStyle w:val="FootnoteReference"/>
        </w:rPr>
        <w:footnoteRef/>
      </w:r>
      <w:r>
        <w:t xml:space="preserve"> </w:t>
      </w:r>
      <w:r>
        <w:tab/>
        <w:t xml:space="preserve">NER, clause 7.2.3(a)(2) provides that a distributor, as the local network service provider, is the responsible person for type 6 meter installations. </w:t>
      </w:r>
    </w:p>
  </w:footnote>
  <w:footnote w:id="64">
    <w:p w:rsidR="00426427" w:rsidRDefault="00426427" w:rsidP="00AA45D3">
      <w:pPr>
        <w:pStyle w:val="FootnoteText"/>
      </w:pPr>
      <w:r>
        <w:rPr>
          <w:rStyle w:val="FootnoteReference"/>
        </w:rPr>
        <w:footnoteRef/>
      </w:r>
      <w:r>
        <w:t xml:space="preserve"> </w:t>
      </w:r>
      <w:r>
        <w:tab/>
        <w:t xml:space="preserve">NER, clauses 6.2.2(c)(1) and (c)(6). </w:t>
      </w:r>
    </w:p>
  </w:footnote>
  <w:footnote w:id="65">
    <w:p w:rsidR="00426427" w:rsidRDefault="00426427" w:rsidP="00AA45D3">
      <w:pPr>
        <w:pStyle w:val="FootnoteText"/>
      </w:pPr>
      <w:r>
        <w:rPr>
          <w:rStyle w:val="FootnoteReference"/>
        </w:rPr>
        <w:footnoteRef/>
      </w:r>
      <w:r>
        <w:t xml:space="preserve"> </w:t>
      </w:r>
      <w:r>
        <w:tab/>
        <w:t xml:space="preserve">AEMC, </w:t>
      </w:r>
      <w:r w:rsidRPr="002403DE">
        <w:rPr>
          <w:rStyle w:val="AERtextitalic"/>
        </w:rPr>
        <w:t>Draft report, Power of choice - giving consumers options in the way they use electricity</w:t>
      </w:r>
      <w:r>
        <w:t>, 6 September 2012, pp. 47-56.</w:t>
      </w:r>
    </w:p>
  </w:footnote>
  <w:footnote w:id="66">
    <w:p w:rsidR="00426427" w:rsidRDefault="00426427" w:rsidP="00AA45D3">
      <w:pPr>
        <w:pStyle w:val="FootnoteText"/>
      </w:pPr>
      <w:r>
        <w:rPr>
          <w:rStyle w:val="FootnoteReference"/>
        </w:rPr>
        <w:footnoteRef/>
      </w:r>
      <w:r>
        <w:t xml:space="preserve"> </w:t>
      </w:r>
      <w:r>
        <w:tab/>
        <w:t xml:space="preserve">AEMC, </w:t>
      </w:r>
      <w:r w:rsidRPr="00267382">
        <w:rPr>
          <w:rStyle w:val="AERtextitalic"/>
        </w:rPr>
        <w:t>Power of choice review draft report, Supplementary paper, Principles for metering arrangements in the NEM to promote installation of DSP metering technology</w:t>
      </w:r>
      <w:r>
        <w:t xml:space="preserve">, 6 September 2012 (AEMC, </w:t>
      </w:r>
      <w:r w:rsidRPr="00267382">
        <w:rPr>
          <w:rStyle w:val="AERtextitalic"/>
        </w:rPr>
        <w:t>Power of choice metering paper</w:t>
      </w:r>
      <w:r>
        <w:t xml:space="preserve">, September 2012). </w:t>
      </w:r>
    </w:p>
  </w:footnote>
  <w:footnote w:id="67">
    <w:p w:rsidR="00426427" w:rsidRDefault="00426427" w:rsidP="00AA45D3">
      <w:pPr>
        <w:pStyle w:val="FootnoteText"/>
      </w:pPr>
      <w:r>
        <w:rPr>
          <w:rStyle w:val="FootnoteReference"/>
        </w:rPr>
        <w:footnoteRef/>
      </w:r>
      <w:r>
        <w:t xml:space="preserve"> </w:t>
      </w:r>
      <w:r>
        <w:tab/>
        <w:t xml:space="preserve">AEMC, </w:t>
      </w:r>
      <w:r w:rsidRPr="00267382">
        <w:rPr>
          <w:rStyle w:val="AERtextitalic"/>
        </w:rPr>
        <w:t>Power of choice metering paper</w:t>
      </w:r>
      <w:r>
        <w:t>, September 2012, p. 4.</w:t>
      </w:r>
    </w:p>
  </w:footnote>
  <w:footnote w:id="68">
    <w:p w:rsidR="00426427" w:rsidRDefault="00426427" w:rsidP="00AA45D3">
      <w:pPr>
        <w:pStyle w:val="FootnoteText"/>
      </w:pPr>
      <w:r>
        <w:rPr>
          <w:rStyle w:val="FootnoteReference"/>
        </w:rPr>
        <w:footnoteRef/>
      </w:r>
      <w:r>
        <w:t xml:space="preserve"> </w:t>
      </w:r>
      <w:r>
        <w:tab/>
        <w:t xml:space="preserve">AEMC, </w:t>
      </w:r>
      <w:r w:rsidRPr="00267382">
        <w:rPr>
          <w:rStyle w:val="AERtextitalic"/>
        </w:rPr>
        <w:t>Power of choice metering paper</w:t>
      </w:r>
      <w:r>
        <w:t>, September 2012, pp. 7-9.</w:t>
      </w:r>
    </w:p>
  </w:footnote>
  <w:footnote w:id="69">
    <w:p w:rsidR="00426427" w:rsidRDefault="00426427" w:rsidP="00AA45D3">
      <w:pPr>
        <w:pStyle w:val="FootnoteText"/>
      </w:pPr>
      <w:r>
        <w:rPr>
          <w:rStyle w:val="FootnoteReference"/>
        </w:rPr>
        <w:footnoteRef/>
      </w:r>
      <w:r>
        <w:t xml:space="preserve"> </w:t>
      </w:r>
      <w:r>
        <w:tab/>
        <w:t xml:space="preserve">AER, </w:t>
      </w:r>
      <w:r w:rsidRPr="009526B4">
        <w:rPr>
          <w:rStyle w:val="AERtextitalic"/>
        </w:rPr>
        <w:t>Final Decision, South Australia Draft distribution determination 2010-11 to 2014-15</w:t>
      </w:r>
      <w:r>
        <w:t xml:space="preserve">, 25 November 2009, p. xi; AER </w:t>
      </w:r>
      <w:r w:rsidRPr="009526B4">
        <w:rPr>
          <w:rStyle w:val="AERtextitalic"/>
        </w:rPr>
        <w:t>Final F&amp;A decision for Aurora Energy Pty Ltd</w:t>
      </w:r>
      <w:r>
        <w:t>, November 2012, pp. 15, 24 and 68-69.</w:t>
      </w:r>
    </w:p>
  </w:footnote>
  <w:footnote w:id="70">
    <w:p w:rsidR="00426427" w:rsidRDefault="00426427" w:rsidP="00AA45D3">
      <w:pPr>
        <w:pStyle w:val="FootnoteText"/>
      </w:pPr>
      <w:r>
        <w:rPr>
          <w:rStyle w:val="FootnoteReference"/>
        </w:rPr>
        <w:footnoteRef/>
      </w:r>
      <w:r>
        <w:t xml:space="preserve"> </w:t>
      </w:r>
      <w:r>
        <w:tab/>
        <w:t xml:space="preserve">AER, </w:t>
      </w:r>
      <w:r w:rsidRPr="00981744">
        <w:rPr>
          <w:rStyle w:val="AERtextitalic"/>
        </w:rPr>
        <w:t>Stage 1</w:t>
      </w:r>
      <w:r>
        <w:t xml:space="preserve"> </w:t>
      </w:r>
      <w:r w:rsidRPr="00227D30">
        <w:rPr>
          <w:i/>
        </w:rPr>
        <w:t>Final F&amp;A paper for NSW Distributors</w:t>
      </w:r>
      <w:r>
        <w:t>, March 2013, p. 14.</w:t>
      </w:r>
    </w:p>
  </w:footnote>
  <w:footnote w:id="71">
    <w:p w:rsidR="00426427" w:rsidRDefault="00426427" w:rsidP="00AA45D3">
      <w:pPr>
        <w:pStyle w:val="FootnoteText"/>
      </w:pPr>
      <w:r>
        <w:rPr>
          <w:rStyle w:val="FootnoteReference"/>
        </w:rPr>
        <w:footnoteRef/>
      </w:r>
      <w:r>
        <w:t xml:space="preserve"> </w:t>
      </w:r>
      <w:r>
        <w:tab/>
        <w:t xml:space="preserve">NER, clause 6.2.2(c)(6). </w:t>
      </w:r>
    </w:p>
  </w:footnote>
  <w:footnote w:id="72">
    <w:p w:rsidR="00426427" w:rsidRDefault="00426427">
      <w:pPr>
        <w:pStyle w:val="FootnoteText"/>
      </w:pPr>
      <w:r>
        <w:rPr>
          <w:rStyle w:val="FootnoteReference"/>
        </w:rPr>
        <w:footnoteRef/>
      </w:r>
      <w:r>
        <w:t xml:space="preserve"> </w:t>
      </w:r>
      <w:r>
        <w:tab/>
        <w:t xml:space="preserve">AER, </w:t>
      </w:r>
      <w:r w:rsidRPr="003C63E3">
        <w:rPr>
          <w:rStyle w:val="AERtextitalic"/>
        </w:rPr>
        <w:t>Stage 1 Framework and approach paper Ausgrid, Endeavour Energy and Essential Energy,</w:t>
      </w:r>
      <w:r>
        <w:t xml:space="preserve"> March 2013, pp. 26-27.</w:t>
      </w:r>
    </w:p>
  </w:footnote>
  <w:footnote w:id="73">
    <w:p w:rsidR="00426427" w:rsidRDefault="00426427" w:rsidP="00AA45D3">
      <w:pPr>
        <w:pStyle w:val="FootnoteText"/>
      </w:pPr>
      <w:r>
        <w:rPr>
          <w:rStyle w:val="FootnoteReference"/>
        </w:rPr>
        <w:footnoteRef/>
      </w:r>
      <w:r>
        <w:t xml:space="preserve"> </w:t>
      </w:r>
      <w:r>
        <w:tab/>
        <w:t xml:space="preserve">Department of Planning, Transport and Infrastructure, </w:t>
      </w:r>
      <w:r w:rsidRPr="00435F5B">
        <w:rPr>
          <w:i/>
        </w:rPr>
        <w:t>submission to the South Australian Framework and Approach for the regulatory control period commencing 1 July 2015</w:t>
      </w:r>
      <w:r>
        <w:t xml:space="preserve">, dated 25 July 2013, and the Local Government Association of South Australia, </w:t>
      </w:r>
      <w:r w:rsidRPr="00435F5B">
        <w:rPr>
          <w:i/>
        </w:rPr>
        <w:t>submission to the South Australian Framework and Approach paper, dated 29 July 2013</w:t>
      </w:r>
      <w:r>
        <w:t>.</w:t>
      </w:r>
    </w:p>
  </w:footnote>
  <w:footnote w:id="74">
    <w:p w:rsidR="00426427" w:rsidRDefault="00426427" w:rsidP="00AA45D3">
      <w:pPr>
        <w:pStyle w:val="FootnoteText"/>
      </w:pPr>
      <w:r>
        <w:rPr>
          <w:rStyle w:val="FootnoteReference"/>
        </w:rPr>
        <w:footnoteRef/>
      </w:r>
      <w:r>
        <w:t xml:space="preserve"> </w:t>
      </w:r>
      <w:r>
        <w:tab/>
        <w:t xml:space="preserve">Submissions can be found at </w:t>
      </w:r>
      <w:hyperlink r:id="rId3" w:history="1">
        <w:r w:rsidRPr="009923F2">
          <w:rPr>
            <w:rStyle w:val="Hyperlink"/>
          </w:rPr>
          <w:t>www.aer.gov.au/node/20941</w:t>
        </w:r>
      </w:hyperlink>
      <w:r>
        <w:t xml:space="preserve">. </w:t>
      </w:r>
    </w:p>
  </w:footnote>
  <w:footnote w:id="75">
    <w:p w:rsidR="00426427" w:rsidRDefault="00426427">
      <w:pPr>
        <w:pStyle w:val="FootnoteText"/>
      </w:pPr>
      <w:r>
        <w:rPr>
          <w:rStyle w:val="FootnoteReference"/>
        </w:rPr>
        <w:footnoteRef/>
      </w:r>
      <w:r>
        <w:t xml:space="preserve"> </w:t>
      </w:r>
      <w:r>
        <w:tab/>
        <w:t>These services are listed in sections B.7 to B.16 of appendix B.</w:t>
      </w:r>
    </w:p>
  </w:footnote>
  <w:footnote w:id="76">
    <w:p w:rsidR="00426427" w:rsidRDefault="00426427">
      <w:pPr>
        <w:pStyle w:val="FootnoteText"/>
      </w:pPr>
      <w:r>
        <w:rPr>
          <w:rStyle w:val="FootnoteReference"/>
        </w:rPr>
        <w:footnoteRef/>
      </w:r>
      <w:r>
        <w:t xml:space="preserve"> </w:t>
      </w:r>
      <w:r>
        <w:tab/>
        <w:t>Those listed as competitively available on p. 32 (dot points 1-12).</w:t>
      </w:r>
    </w:p>
  </w:footnote>
  <w:footnote w:id="77">
    <w:p w:rsidR="00426427" w:rsidRDefault="00426427">
      <w:pPr>
        <w:pStyle w:val="FootnoteText"/>
      </w:pPr>
      <w:r>
        <w:rPr>
          <w:rStyle w:val="FootnoteReference"/>
        </w:rPr>
        <w:footnoteRef/>
      </w:r>
      <w:r>
        <w:t xml:space="preserve"> </w:t>
      </w:r>
      <w:r>
        <w:tab/>
        <w:t>Those listed as 'other non-standard services' on p. 33 (dot points 1-14).</w:t>
      </w:r>
    </w:p>
  </w:footnote>
  <w:footnote w:id="78">
    <w:p w:rsidR="00426427" w:rsidRDefault="00426427" w:rsidP="00AA45D3">
      <w:pPr>
        <w:pStyle w:val="FootnoteText"/>
      </w:pPr>
      <w:r>
        <w:rPr>
          <w:rStyle w:val="FootnoteReference"/>
        </w:rPr>
        <w:footnoteRef/>
      </w:r>
      <w:r>
        <w:t xml:space="preserve"> </w:t>
      </w:r>
      <w:r>
        <w:tab/>
        <w:t xml:space="preserve">AER, </w:t>
      </w:r>
      <w:r w:rsidRPr="00435F5B">
        <w:rPr>
          <w:i/>
        </w:rPr>
        <w:t>Final framework and approach ETSA Utilities 2010–2015 regulatory control period</w:t>
      </w:r>
      <w:r>
        <w:t xml:space="preserve">, pp. 28-32. </w:t>
      </w:r>
    </w:p>
  </w:footnote>
  <w:footnote w:id="79">
    <w:p w:rsidR="00426427" w:rsidRDefault="00426427" w:rsidP="00C84BFE">
      <w:pPr>
        <w:pStyle w:val="FootnoteText"/>
      </w:pPr>
      <w:r>
        <w:rPr>
          <w:rStyle w:val="FootnoteReference"/>
        </w:rPr>
        <w:footnoteRef/>
      </w:r>
      <w:r>
        <w:t xml:space="preserve"> </w:t>
      </w:r>
      <w:r>
        <w:tab/>
        <w:t>NER, clause 6.12.3(c).</w:t>
      </w:r>
    </w:p>
  </w:footnote>
  <w:footnote w:id="80">
    <w:p w:rsidR="00426427" w:rsidRDefault="00426427" w:rsidP="00C84BFE">
      <w:pPr>
        <w:pStyle w:val="FootnoteText"/>
      </w:pPr>
      <w:r>
        <w:rPr>
          <w:rStyle w:val="FootnoteReference"/>
        </w:rPr>
        <w:footnoteRef/>
      </w:r>
      <w:r>
        <w:t xml:space="preserve"> </w:t>
      </w:r>
      <w:r>
        <w:tab/>
      </w:r>
      <w:r>
        <w:rPr>
          <w:rFonts w:eastAsia="Calibri"/>
        </w:rPr>
        <w:t>NER, clause</w:t>
      </w:r>
      <w:r w:rsidRPr="00ED31FB">
        <w:rPr>
          <w:rFonts w:eastAsia="Calibri"/>
        </w:rPr>
        <w:t xml:space="preserve"> 6.2.5(b).</w:t>
      </w:r>
    </w:p>
  </w:footnote>
  <w:footnote w:id="81">
    <w:p w:rsidR="00426427" w:rsidRDefault="00426427" w:rsidP="00C84BFE">
      <w:pPr>
        <w:pStyle w:val="FootnoteText"/>
      </w:pPr>
      <w:r>
        <w:rPr>
          <w:rStyle w:val="FootnoteReference"/>
        </w:rPr>
        <w:footnoteRef/>
      </w:r>
      <w:r>
        <w:t xml:space="preserve"> </w:t>
      </w:r>
      <w:r>
        <w:tab/>
      </w:r>
      <w:r>
        <w:rPr>
          <w:rFonts w:eastAsia="Calibri"/>
        </w:rPr>
        <w:t>NER, clause</w:t>
      </w:r>
      <w:r w:rsidRPr="00ED31FB">
        <w:rPr>
          <w:rFonts w:eastAsia="Calibri"/>
        </w:rPr>
        <w:t xml:space="preserve"> 6.2.6(a).</w:t>
      </w:r>
    </w:p>
  </w:footnote>
  <w:footnote w:id="82">
    <w:p w:rsidR="00426427" w:rsidRDefault="00426427" w:rsidP="00C84BFE">
      <w:pPr>
        <w:pStyle w:val="FootnoteText"/>
      </w:pPr>
      <w:r>
        <w:rPr>
          <w:rStyle w:val="FootnoteReference"/>
        </w:rPr>
        <w:footnoteRef/>
      </w:r>
      <w:r>
        <w:t xml:space="preserve"> </w:t>
      </w:r>
      <w:r>
        <w:tab/>
        <w:t>The X factor for a particular year in the regulatory control period is the highest percentage increase a distributor can apply to the average DUOS tariff excluding inflation, pass throughs and any other adjustment factors. An X factor can be positive or negative. A positive X factor means the average tariff is increasing less than the rate of inflation, while a negative X factor indicates that average tariff is increasing faster than the rate of inflation.</w:t>
      </w:r>
    </w:p>
  </w:footnote>
  <w:footnote w:id="83">
    <w:p w:rsidR="00426427" w:rsidRDefault="00426427" w:rsidP="00C84BFE">
      <w:pPr>
        <w:pStyle w:val="FootnoteText"/>
      </w:pPr>
      <w:r>
        <w:rPr>
          <w:rStyle w:val="FootnoteReference"/>
        </w:rPr>
        <w:footnoteRef/>
      </w:r>
      <w:r>
        <w:t xml:space="preserve"> </w:t>
      </w:r>
      <w:r>
        <w:tab/>
        <w:t>The applicable adjustment factor captures the revenue adjustments required to account for the outcome of varies applicable schemes or pass throughs. For example, the ‘s-factor’ adjustment will be included in the price calculation to capture the revenue impact based on the outcome of the STPIS.</w:t>
      </w:r>
    </w:p>
  </w:footnote>
  <w:footnote w:id="84">
    <w:p w:rsidR="00426427" w:rsidRDefault="00426427" w:rsidP="00C84BFE">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w:t>
      </w:r>
      <w:r>
        <w:t>that a price cap allows the distributor</w:t>
      </w:r>
      <w:r w:rsidRPr="00DE5253">
        <w:t>s to charge below the allocated price on some or all of the services.</w:t>
      </w:r>
    </w:p>
  </w:footnote>
  <w:footnote w:id="85">
    <w:p w:rsidR="00426427" w:rsidRDefault="00426427" w:rsidP="00C84BFE">
      <w:pPr>
        <w:pStyle w:val="FootnoteText"/>
      </w:pPr>
      <w:r>
        <w:rPr>
          <w:rStyle w:val="FootnoteReference"/>
        </w:rPr>
        <w:footnoteRef/>
      </w:r>
      <w:r>
        <w:t xml:space="preserve"> </w:t>
      </w:r>
      <w:r>
        <w:tab/>
      </w:r>
      <w:r>
        <w:rPr>
          <w:rFonts w:eastAsia="Calibri"/>
        </w:rPr>
        <w:t>NER, clause</w:t>
      </w:r>
      <w:r w:rsidRPr="00AF0D3A">
        <w:rPr>
          <w:rFonts w:eastAsia="Calibri"/>
        </w:rPr>
        <w:t xml:space="preserve"> 6.2.6(a).</w:t>
      </w:r>
    </w:p>
  </w:footnote>
  <w:footnote w:id="86">
    <w:p w:rsidR="00426427" w:rsidRDefault="00426427" w:rsidP="00C84BFE">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87">
    <w:p w:rsidR="00426427" w:rsidRDefault="00426427" w:rsidP="00C84BFE">
      <w:pPr>
        <w:pStyle w:val="FootnoteText"/>
      </w:pPr>
      <w:r>
        <w:rPr>
          <w:rStyle w:val="FootnoteReference"/>
        </w:rPr>
        <w:footnoteRef/>
      </w:r>
      <w:r>
        <w:t xml:space="preserve"> </w:t>
      </w:r>
      <w:r>
        <w:tab/>
      </w:r>
      <w:r w:rsidRPr="009C517D">
        <w:t xml:space="preserve">Peak demand is generally referred to as the maximum load on a section of the network over a very short time period.  </w:t>
      </w:r>
    </w:p>
  </w:footnote>
  <w:footnote w:id="88">
    <w:p w:rsidR="00426427" w:rsidRDefault="00426427" w:rsidP="00C84BFE">
      <w:pPr>
        <w:pStyle w:val="FootnoteText"/>
      </w:pPr>
      <w:r>
        <w:rPr>
          <w:rStyle w:val="FootnoteReference"/>
        </w:rPr>
        <w:footnoteRef/>
      </w:r>
      <w:r>
        <w:t xml:space="preserve"> </w:t>
      </w:r>
      <w:r>
        <w:tab/>
      </w:r>
      <w:r>
        <w:rPr>
          <w:rFonts w:eastAsia="Calibri"/>
        </w:rPr>
        <w:t>NER, clause</w:t>
      </w:r>
      <w:r w:rsidRPr="00AF0D3A">
        <w:rPr>
          <w:rFonts w:eastAsia="Calibri"/>
        </w:rPr>
        <w:t xml:space="preserve"> 6.2.6(b).</w:t>
      </w:r>
    </w:p>
  </w:footnote>
  <w:footnote w:id="89">
    <w:p w:rsidR="00426427" w:rsidRDefault="00426427" w:rsidP="00C84BFE">
      <w:pPr>
        <w:pStyle w:val="FootnoteText"/>
      </w:pPr>
      <w:r>
        <w:rPr>
          <w:rStyle w:val="FootnoteReference"/>
        </w:rPr>
        <w:footnoteRef/>
      </w:r>
      <w:r>
        <w:t xml:space="preserve"> </w:t>
      </w:r>
      <w:r>
        <w:tab/>
      </w:r>
      <w:r>
        <w:rPr>
          <w:rFonts w:eastAsia="Calibri"/>
        </w:rPr>
        <w:t>NER, clause</w:t>
      </w:r>
      <w:r w:rsidRPr="00AF0D3A">
        <w:rPr>
          <w:rFonts w:eastAsia="Calibri"/>
        </w:rPr>
        <w:t xml:space="preserve"> 6.2.6(c).</w:t>
      </w:r>
    </w:p>
  </w:footnote>
  <w:footnote w:id="90">
    <w:p w:rsidR="00426427" w:rsidRDefault="00426427" w:rsidP="00C84BFE">
      <w:pPr>
        <w:pStyle w:val="FootnoteText"/>
      </w:pPr>
      <w:r>
        <w:rPr>
          <w:rStyle w:val="FootnoteReference"/>
        </w:rPr>
        <w:footnoteRef/>
      </w:r>
      <w:r>
        <w:t xml:space="preserve"> </w:t>
      </w:r>
      <w:r>
        <w:tab/>
        <w:t xml:space="preserve">AEMC, </w:t>
      </w:r>
      <w:r w:rsidRPr="00BE0AB8">
        <w:rPr>
          <w:rStyle w:val="AERtextitalic"/>
        </w:rPr>
        <w:t>National Electricity Amendment (Distribution Network Pricing Arrangements) Rule 2014, Consultation Paper</w:t>
      </w:r>
      <w:r>
        <w:t>, 14 November 2013.</w:t>
      </w:r>
    </w:p>
  </w:footnote>
  <w:footnote w:id="91">
    <w:p w:rsidR="00426427" w:rsidRDefault="00426427" w:rsidP="00C84BFE">
      <w:pPr>
        <w:pStyle w:val="FootnoteText"/>
      </w:pPr>
      <w:r>
        <w:rPr>
          <w:rStyle w:val="FootnoteReference"/>
        </w:rPr>
        <w:footnoteRef/>
      </w:r>
      <w:r>
        <w:t xml:space="preserve"> </w:t>
      </w:r>
      <w:r>
        <w:tab/>
        <w:t>Under block tariff structures, distributors charge customers different prices for different levels of consumption at a given point of time. An inclining block tariff has charges increasing as consumption increases. Block tariffs are discussed in appendix C.</w:t>
      </w:r>
    </w:p>
  </w:footnote>
  <w:footnote w:id="92">
    <w:p w:rsidR="00426427" w:rsidRDefault="00426427" w:rsidP="00C84BFE">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the </w:t>
      </w:r>
      <w:r>
        <w:t>transmission network service provider</w:t>
      </w:r>
      <w:r w:rsidRPr="002C0566">
        <w:t>s</w:t>
      </w:r>
      <w:r>
        <w:t>.</w:t>
      </w:r>
    </w:p>
  </w:footnote>
  <w:footnote w:id="93">
    <w:p w:rsidR="00426427" w:rsidRDefault="00426427" w:rsidP="00C84BFE">
      <w:pPr>
        <w:pStyle w:val="FootnoteText"/>
      </w:pPr>
      <w:r>
        <w:rPr>
          <w:rStyle w:val="FootnoteReference"/>
        </w:rPr>
        <w:footnoteRef/>
      </w:r>
      <w:r>
        <w:t xml:space="preserve"> </w:t>
      </w:r>
      <w:r>
        <w:tab/>
      </w:r>
      <w:r w:rsidRPr="0003273D">
        <w:t>Queensland distribution determination 2010–11 to 2014–15</w:t>
      </w:r>
      <w:r>
        <w:t>, Appendix D, May 2010.</w:t>
      </w:r>
    </w:p>
  </w:footnote>
  <w:footnote w:id="94">
    <w:p w:rsidR="00426427" w:rsidRDefault="00426427" w:rsidP="009079D3">
      <w:pPr>
        <w:pStyle w:val="FootnoteText"/>
      </w:pPr>
      <w:r>
        <w:rPr>
          <w:rStyle w:val="FootnoteReference"/>
        </w:rPr>
        <w:footnoteRef/>
      </w:r>
      <w:r>
        <w:t xml:space="preserve"> </w:t>
      </w:r>
      <w:r>
        <w:tab/>
        <w:t>Final Distribution Determination Aurora Energy Pty Ltd 2012–13 to 2016–17, pp. 20–23, April 2012.</w:t>
      </w:r>
    </w:p>
  </w:footnote>
  <w:footnote w:id="95">
    <w:p w:rsidR="00426427" w:rsidRDefault="00426427">
      <w:pPr>
        <w:pStyle w:val="FootnoteText"/>
      </w:pPr>
      <w:r>
        <w:rPr>
          <w:rStyle w:val="FootnoteReference"/>
        </w:rPr>
        <w:footnoteRef/>
      </w:r>
      <w:r>
        <w:t xml:space="preserve"> </w:t>
      </w:r>
      <w:r>
        <w:tab/>
        <w:t>This approach means that instead of waiting two years before incorporating the under or over recovery into prices, an estimate (based on nine months of data) is used in the calculation of the under or over recovery. This will reduce the likelihood of undesirable price shocks by smoothing the under and over recovery using more updated and accurate estimated and forecast data in the middle year.</w:t>
      </w:r>
    </w:p>
  </w:footnote>
  <w:footnote w:id="96">
    <w:p w:rsidR="00426427" w:rsidRDefault="00426427" w:rsidP="00C84BFE">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97">
    <w:p w:rsidR="00426427" w:rsidRDefault="00426427" w:rsidP="00C84BFE">
      <w:pPr>
        <w:pStyle w:val="FootnoteText"/>
      </w:pPr>
      <w:r>
        <w:rPr>
          <w:rStyle w:val="FootnoteReference"/>
        </w:rPr>
        <w:footnoteRef/>
      </w:r>
      <w:r>
        <w:t xml:space="preserve"> </w:t>
      </w:r>
      <w:r>
        <w:tab/>
        <w:t xml:space="preserve">IPART, </w:t>
      </w:r>
      <w:r w:rsidRPr="00C24C4E">
        <w:rPr>
          <w:rStyle w:val="AERtextitalic"/>
        </w:rPr>
        <w:t>Form of Economic Regulation for NSW Electricity Network Charges: Discussion Paper 48</w:t>
      </w:r>
      <w:r>
        <w:t xml:space="preserve">, August 2001, p. 10. </w:t>
      </w:r>
    </w:p>
  </w:footnote>
  <w:footnote w:id="98">
    <w:p w:rsidR="00426427" w:rsidRDefault="00426427" w:rsidP="00C84BFE">
      <w:pPr>
        <w:pStyle w:val="FootnoteText"/>
      </w:pPr>
      <w:r>
        <w:rPr>
          <w:rStyle w:val="FootnoteReference"/>
        </w:rPr>
        <w:footnoteRef/>
      </w:r>
      <w:r>
        <w:t xml:space="preserve"> </w:t>
      </w:r>
      <w:r>
        <w:tab/>
        <w:t xml:space="preserve">QCA, </w:t>
      </w:r>
      <w:r w:rsidRPr="0093794D">
        <w:rPr>
          <w:rStyle w:val="AERtextitalic"/>
        </w:rPr>
        <w:t>Final Determination – Regulation of Electricity Distribution</w:t>
      </w:r>
      <w:r>
        <w:t>, May 2005, p. 30; OTTER,</w:t>
      </w:r>
      <w:r w:rsidRPr="00676B9C">
        <w:t xml:space="preserve"> </w:t>
      </w:r>
      <w:r w:rsidRPr="0093794D">
        <w:rPr>
          <w:rStyle w:val="AERtextitalic"/>
        </w:rPr>
        <w:t>Investigation of Prices for Electricity Distribution Services and Retail Tariffs on Mainland Tasmania Final Report and Proposed Maximum Prices</w:t>
      </w:r>
      <w:r w:rsidRPr="00676B9C">
        <w:t>, September 2003, p. 99.</w:t>
      </w:r>
    </w:p>
  </w:footnote>
  <w:footnote w:id="99">
    <w:p w:rsidR="00426427" w:rsidRDefault="00426427" w:rsidP="00C84BFE">
      <w:pPr>
        <w:pStyle w:val="FootnoteText"/>
      </w:pPr>
      <w:r>
        <w:rPr>
          <w:rStyle w:val="FootnoteReference"/>
          <w:rFonts w:eastAsia="Calibri"/>
        </w:rPr>
        <w:footnoteRef/>
      </w:r>
      <w:r>
        <w:t xml:space="preserve"> </w:t>
      </w:r>
      <w:r>
        <w:tab/>
        <w:t>NER, clause 6.8.1(b)(2)(ii).</w:t>
      </w:r>
    </w:p>
  </w:footnote>
  <w:footnote w:id="100">
    <w:p w:rsidR="00426427" w:rsidRDefault="00426427" w:rsidP="00C84BFE">
      <w:pPr>
        <w:pStyle w:val="FootnoteText"/>
      </w:pPr>
      <w:r>
        <w:rPr>
          <w:rStyle w:val="FootnoteReference"/>
          <w:rFonts w:eastAsia="Calibri"/>
        </w:rPr>
        <w:footnoteRef/>
      </w:r>
      <w:r>
        <w:t xml:space="preserve"> </w:t>
      </w:r>
      <w:r>
        <w:tab/>
        <w:t>NER, clause 6.12.3(c1).</w:t>
      </w:r>
    </w:p>
  </w:footnote>
  <w:footnote w:id="101">
    <w:p w:rsidR="00426427" w:rsidRDefault="00426427" w:rsidP="00C84BFE">
      <w:pPr>
        <w:pStyle w:val="FootnoteText"/>
      </w:pPr>
      <w:r>
        <w:rPr>
          <w:rStyle w:val="FootnoteReference"/>
        </w:rPr>
        <w:footnoteRef/>
      </w:r>
      <w:r>
        <w:t xml:space="preserve"> </w:t>
      </w:r>
      <w:r>
        <w:tab/>
      </w:r>
      <w:r>
        <w:rPr>
          <w:rFonts w:eastAsia="Calibri"/>
        </w:rPr>
        <w:t>NER, clause</w:t>
      </w:r>
      <w:r w:rsidRPr="00240755">
        <w:rPr>
          <w:rFonts w:eastAsia="Calibri"/>
        </w:rPr>
        <w:t xml:space="preserve"> 6.2.5(b)(3).</w:t>
      </w:r>
    </w:p>
  </w:footnote>
  <w:footnote w:id="102">
    <w:p w:rsidR="00426427" w:rsidRDefault="00426427" w:rsidP="009119D8">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
  </w:footnote>
  <w:footnote w:id="103">
    <w:p w:rsidR="00426427" w:rsidRDefault="00426427" w:rsidP="009119D8">
      <w:pPr>
        <w:pStyle w:val="FootnoteText"/>
      </w:pPr>
      <w:r>
        <w:rPr>
          <w:rStyle w:val="FootnoteReference"/>
        </w:rPr>
        <w:footnoteRef/>
      </w:r>
      <w:r>
        <w:t xml:space="preserve"> </w:t>
      </w:r>
      <w:r>
        <w:tab/>
        <w:t xml:space="preserve">Except where a jurisdictional electricity GSL requirement applies. </w:t>
      </w:r>
    </w:p>
  </w:footnote>
  <w:footnote w:id="104">
    <w:p w:rsidR="00426427" w:rsidRDefault="00426427" w:rsidP="009119D8">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05">
    <w:p w:rsidR="00426427" w:rsidRDefault="00426427" w:rsidP="009119D8">
      <w:pPr>
        <w:pStyle w:val="FootnoteText"/>
      </w:pPr>
      <w:r>
        <w:rPr>
          <w:rStyle w:val="FootnoteReference"/>
        </w:rPr>
        <w:footnoteRef/>
      </w:r>
      <w:r>
        <w:t xml:space="preserve"> </w:t>
      </w:r>
      <w:r>
        <w:tab/>
      </w:r>
      <w:r w:rsidRPr="00F02FAF">
        <w:t xml:space="preserve">AER, </w:t>
      </w:r>
      <w:r w:rsidRPr="008E3F94">
        <w:rPr>
          <w:rStyle w:val="AERtextitalic"/>
        </w:rPr>
        <w:t>Electricity distribution network service providers - service target performance incentive scheme</w:t>
      </w:r>
      <w:r w:rsidRPr="00F02FAF">
        <w:t>, 1 November 2009</w:t>
      </w:r>
      <w:r>
        <w:t xml:space="preserve">, </w:t>
      </w:r>
      <w:r w:rsidRPr="00A01C76">
        <w:t>cl</w:t>
      </w:r>
      <w:r>
        <w:t>ause</w:t>
      </w:r>
      <w:r w:rsidRPr="00A01C76">
        <w:t xml:space="preserve"> 2.2</w:t>
      </w:r>
      <w:r>
        <w:t xml:space="preserve">. </w:t>
      </w:r>
    </w:p>
  </w:footnote>
  <w:footnote w:id="106">
    <w:p w:rsidR="00426427" w:rsidRDefault="00426427" w:rsidP="009119D8">
      <w:pPr>
        <w:pStyle w:val="FootnoteText"/>
      </w:pPr>
      <w:r>
        <w:rPr>
          <w:rStyle w:val="FootnoteReference"/>
        </w:rPr>
        <w:footnoteRef/>
      </w:r>
      <w:r>
        <w:t xml:space="preserve"> </w:t>
      </w:r>
      <w:r>
        <w:tab/>
      </w:r>
      <w:r w:rsidRPr="00F02FAF">
        <w:t xml:space="preserve">AER, </w:t>
      </w:r>
      <w:r w:rsidRPr="008E3F94">
        <w:rPr>
          <w:rStyle w:val="AERtextitalic"/>
        </w:rPr>
        <w:t>Electricity distribution network service providers - 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107">
    <w:p w:rsidR="00426427" w:rsidRDefault="00426427" w:rsidP="009119D8">
      <w:pPr>
        <w:pStyle w:val="FootnoteText"/>
      </w:pPr>
      <w:r>
        <w:rPr>
          <w:rStyle w:val="FootnoteReference"/>
        </w:rPr>
        <w:footnoteRef/>
      </w:r>
      <w:r>
        <w:t xml:space="preserve"> </w:t>
      </w:r>
      <w:r>
        <w:tab/>
        <w:t xml:space="preserve">AER, </w:t>
      </w:r>
      <w:r w:rsidRPr="00D0041C">
        <w:rPr>
          <w:rStyle w:val="AERtextitalic"/>
        </w:rPr>
        <w:t xml:space="preserve">Final framework and approach paper, application of schemes, </w:t>
      </w:r>
      <w:r>
        <w:rPr>
          <w:rStyle w:val="AERtextitalic"/>
        </w:rPr>
        <w:t>ETSA</w:t>
      </w:r>
      <w:r w:rsidRPr="00D0041C">
        <w:rPr>
          <w:rStyle w:val="AERtextitalic"/>
        </w:rPr>
        <w:t xml:space="preserve"> </w:t>
      </w:r>
      <w:r>
        <w:rPr>
          <w:rStyle w:val="AERtextitalic"/>
        </w:rPr>
        <w:t xml:space="preserve">Utilities </w:t>
      </w:r>
      <w:r w:rsidRPr="00D0041C">
        <w:rPr>
          <w:rStyle w:val="AERtextitalic"/>
        </w:rPr>
        <w:t>2010–15</w:t>
      </w:r>
      <w:r>
        <w:t xml:space="preserve">, November 2008, p. 60. </w:t>
      </w:r>
    </w:p>
  </w:footnote>
  <w:footnote w:id="108">
    <w:p w:rsidR="00426427" w:rsidRDefault="00426427" w:rsidP="009119D8">
      <w:pPr>
        <w:pStyle w:val="FootnoteText"/>
      </w:pPr>
      <w:r>
        <w:rPr>
          <w:rStyle w:val="FootnoteReference"/>
        </w:rPr>
        <w:footnoteRef/>
      </w:r>
      <w:r>
        <w:t xml:space="preserve"> </w:t>
      </w:r>
      <w:r>
        <w:tab/>
        <w:t xml:space="preserve">ESCOSA, </w:t>
      </w:r>
      <w:r w:rsidRPr="003E6A93">
        <w:rPr>
          <w:rStyle w:val="AERtextitalic"/>
        </w:rPr>
        <w:t>Electricity Distribution Code</w:t>
      </w:r>
      <w:r>
        <w:t>, clause 1.1.4</w:t>
      </w:r>
      <w:r w:rsidRPr="00A757AF">
        <w:t>.</w:t>
      </w:r>
      <w:r>
        <w:t xml:space="preserve"> A copy of this code can be found at </w:t>
      </w:r>
      <w:hyperlink r:id="rId4" w:history="1">
        <w:r w:rsidRPr="00F53FCD">
          <w:rPr>
            <w:rStyle w:val="Hyperlink"/>
          </w:rPr>
          <w:t>www.escosa.sa.gov.au/library/130131-ElectricityDistributionCode-EDC10.pdf</w:t>
        </w:r>
      </w:hyperlink>
      <w:r>
        <w:t xml:space="preserve"> </w:t>
      </w:r>
    </w:p>
  </w:footnote>
  <w:footnote w:id="109">
    <w:p w:rsidR="00426427" w:rsidRDefault="00426427" w:rsidP="009119D8">
      <w:pPr>
        <w:pStyle w:val="FootnoteText"/>
      </w:pPr>
      <w:r>
        <w:rPr>
          <w:rStyle w:val="FootnoteReference"/>
        </w:rPr>
        <w:footnoteRef/>
      </w:r>
      <w:r>
        <w:t xml:space="preserve"> </w:t>
      </w:r>
      <w:r>
        <w:tab/>
        <w:t xml:space="preserve">AEMC, </w:t>
      </w:r>
      <w:r w:rsidRPr="00D0041C">
        <w:rPr>
          <w:rStyle w:val="AERtextitalic"/>
        </w:rPr>
        <w:t>Review on national framework for distribution reliability</w:t>
      </w:r>
      <w:r>
        <w:t>, 27 September 2013.</w:t>
      </w:r>
    </w:p>
  </w:footnote>
  <w:footnote w:id="110">
    <w:p w:rsidR="00426427" w:rsidRDefault="00426427" w:rsidP="009119D8">
      <w:pPr>
        <w:pStyle w:val="FootnoteText"/>
      </w:pPr>
      <w:r>
        <w:rPr>
          <w:rStyle w:val="FootnoteReference"/>
        </w:rPr>
        <w:footnoteRef/>
      </w:r>
      <w:r>
        <w:t xml:space="preserve"> </w:t>
      </w:r>
      <w:r>
        <w:tab/>
        <w:t xml:space="preserve">AEMO, </w:t>
      </w:r>
      <w:r w:rsidRPr="00D11F59">
        <w:rPr>
          <w:rStyle w:val="AERtextitalic"/>
        </w:rPr>
        <w:t>Value of customer reliability issues paper</w:t>
      </w:r>
      <w:r>
        <w:t xml:space="preserve">, 11 March 2013; AEMC, </w:t>
      </w:r>
      <w:r w:rsidRPr="00D11F59">
        <w:rPr>
          <w:rStyle w:val="AERtextitalic"/>
        </w:rPr>
        <w:t>Advice on linking the reliability standard and reliability settings with VCR</w:t>
      </w:r>
      <w:r>
        <w:t>, October 2013.</w:t>
      </w:r>
    </w:p>
  </w:footnote>
  <w:footnote w:id="111">
    <w:p w:rsidR="00426427" w:rsidRDefault="00426427" w:rsidP="009119D8">
      <w:pPr>
        <w:pStyle w:val="FootnoteText"/>
      </w:pPr>
      <w:r>
        <w:rPr>
          <w:rStyle w:val="FootnoteReference"/>
        </w:rPr>
        <w:footnoteRef/>
      </w:r>
      <w:r>
        <w:t xml:space="preserve"> </w:t>
      </w:r>
      <w:r>
        <w:tab/>
        <w:t>NER, clause 6.6.2(b).</w:t>
      </w:r>
    </w:p>
  </w:footnote>
  <w:footnote w:id="112">
    <w:p w:rsidR="00426427" w:rsidRDefault="00426427" w:rsidP="009119D8">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113">
    <w:p w:rsidR="00426427" w:rsidRDefault="00426427" w:rsidP="009119D8">
      <w:pPr>
        <w:pStyle w:val="FootnoteText"/>
      </w:pPr>
      <w:r>
        <w:rPr>
          <w:rStyle w:val="FootnoteReference"/>
        </w:rPr>
        <w:footnoteRef/>
      </w:r>
      <w:r>
        <w:t xml:space="preserve"> </w:t>
      </w:r>
      <w:r>
        <w:tab/>
        <w:t>NER, clause 6.6.2(b)(1).</w:t>
      </w:r>
    </w:p>
  </w:footnote>
  <w:footnote w:id="114">
    <w:p w:rsidR="00426427" w:rsidRDefault="00426427" w:rsidP="009119D8">
      <w:pPr>
        <w:pStyle w:val="FootnoteText"/>
      </w:pPr>
      <w:r>
        <w:rPr>
          <w:rStyle w:val="FootnoteReference"/>
        </w:rPr>
        <w:footnoteRef/>
      </w:r>
      <w:r>
        <w:t xml:space="preserve"> </w:t>
      </w:r>
      <w:r>
        <w:tab/>
        <w:t xml:space="preserve">NER, clause 6.6.2(b)(3)(vi). </w:t>
      </w:r>
    </w:p>
  </w:footnote>
  <w:footnote w:id="115">
    <w:p w:rsidR="00426427" w:rsidRDefault="00426427" w:rsidP="009119D8">
      <w:pPr>
        <w:pStyle w:val="FootnoteText"/>
      </w:pPr>
      <w:r>
        <w:rPr>
          <w:rStyle w:val="FootnoteReference"/>
        </w:rPr>
        <w:footnoteRef/>
      </w:r>
      <w:r>
        <w:t xml:space="preserve"> </w:t>
      </w:r>
      <w:r>
        <w:tab/>
      </w:r>
      <w:r w:rsidRPr="00994C9B">
        <w:t xml:space="preserve">Charles River Associates, </w:t>
      </w:r>
      <w:r w:rsidRPr="00994C9B">
        <w:rPr>
          <w:rStyle w:val="AERtextitalic"/>
        </w:rPr>
        <w:t>Assessment of the Value of Consumer Reliability (VCR)</w:t>
      </w:r>
      <w:r w:rsidRPr="00994C9B">
        <w:t xml:space="preserve"> - Report prepared for VENCorp, Melbourne 2002; KPMG, </w:t>
      </w:r>
      <w:r w:rsidRPr="00994C9B">
        <w:rPr>
          <w:rStyle w:val="AERtextitalic"/>
        </w:rPr>
        <w:t>Consumer Preferences for Electricity Service Standards</w:t>
      </w:r>
      <w:r w:rsidRPr="00994C9B">
        <w:t>, 2003.</w:t>
      </w:r>
    </w:p>
  </w:footnote>
  <w:footnote w:id="116">
    <w:p w:rsidR="00426427" w:rsidRDefault="00426427" w:rsidP="009119D8">
      <w:pPr>
        <w:pStyle w:val="FootnoteText"/>
      </w:pPr>
      <w:r>
        <w:rPr>
          <w:rStyle w:val="FootnoteReference"/>
        </w:rPr>
        <w:footnoteRef/>
      </w:r>
      <w:r>
        <w:t xml:space="preserve"> </w:t>
      </w:r>
      <w:r>
        <w:tab/>
        <w:t xml:space="preserve">AEMC, </w:t>
      </w:r>
      <w:r w:rsidRPr="009E6DD2">
        <w:rPr>
          <w:rStyle w:val="AERtextitalic"/>
        </w:rPr>
        <w:t>Draft report: Review of distribution reliability outcomes and standards</w:t>
      </w:r>
      <w:r>
        <w:t>, 28 November 2012.</w:t>
      </w:r>
    </w:p>
  </w:footnote>
  <w:footnote w:id="117">
    <w:p w:rsidR="00426427" w:rsidRDefault="00426427" w:rsidP="009119D8">
      <w:pPr>
        <w:pStyle w:val="FootnoteText"/>
      </w:pPr>
      <w:r>
        <w:rPr>
          <w:rStyle w:val="FootnoteReference"/>
        </w:rPr>
        <w:footnoteRef/>
      </w:r>
      <w:r>
        <w:t xml:space="preserve"> </w:t>
      </w:r>
      <w:r>
        <w:tab/>
        <w:t xml:space="preserve">NER, Part G. </w:t>
      </w:r>
    </w:p>
  </w:footnote>
  <w:footnote w:id="118">
    <w:p w:rsidR="00426427" w:rsidRDefault="00426427" w:rsidP="009119D8">
      <w:pPr>
        <w:pStyle w:val="FootnoteText"/>
      </w:pPr>
      <w:r>
        <w:rPr>
          <w:rStyle w:val="FootnoteReference"/>
        </w:rPr>
        <w:footnoteRef/>
      </w:r>
      <w:r>
        <w:t xml:space="preserve"> </w:t>
      </w:r>
      <w:r>
        <w:tab/>
        <w:t>NER, clause 6.6.2(b)(3)(iii).</w:t>
      </w:r>
    </w:p>
  </w:footnote>
  <w:footnote w:id="119">
    <w:p w:rsidR="00426427" w:rsidRDefault="00426427" w:rsidP="009119D8">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120">
    <w:p w:rsidR="00426427" w:rsidRDefault="00426427" w:rsidP="009119D8">
      <w:pPr>
        <w:pStyle w:val="FootnoteText"/>
      </w:pPr>
      <w:r>
        <w:rPr>
          <w:rStyle w:val="FootnoteReference"/>
        </w:rPr>
        <w:footnoteRef/>
      </w:r>
      <w:r>
        <w:t xml:space="preserve"> </w:t>
      </w:r>
      <w:r>
        <w:tab/>
        <w:t>NER, clause 6.6.2(b)(3)(iv).</w:t>
      </w:r>
    </w:p>
  </w:footnote>
  <w:footnote w:id="121">
    <w:p w:rsidR="00426427" w:rsidRDefault="00426427" w:rsidP="009119D8">
      <w:pPr>
        <w:pStyle w:val="FootnoteText"/>
      </w:pPr>
      <w:r>
        <w:rPr>
          <w:rStyle w:val="FootnoteReference"/>
        </w:rPr>
        <w:footnoteRef/>
      </w:r>
      <w:r>
        <w:t xml:space="preserve"> </w:t>
      </w:r>
      <w:r>
        <w:tab/>
        <w:t>NER, clause 6.6.2(b)(3)(v).</w:t>
      </w:r>
    </w:p>
  </w:footnote>
  <w:footnote w:id="122">
    <w:p w:rsidR="00426427" w:rsidRDefault="00426427" w:rsidP="009119D8">
      <w:pPr>
        <w:pStyle w:val="FootnoteText"/>
      </w:pPr>
      <w:r>
        <w:rPr>
          <w:rStyle w:val="FootnoteReference"/>
        </w:rPr>
        <w:footnoteRef/>
      </w:r>
      <w:r>
        <w:t xml:space="preserve"> </w:t>
      </w:r>
      <w:r>
        <w:tab/>
        <w:t>I</w:t>
      </w:r>
      <w:r w:rsidRPr="00233A32">
        <w:t>ncluded in the distributor's approved forecast capex for the subsequent period</w:t>
      </w:r>
      <w:r w:rsidRPr="009A4F34">
        <w:t>.</w:t>
      </w:r>
    </w:p>
  </w:footnote>
  <w:footnote w:id="123">
    <w:p w:rsidR="00426427" w:rsidRDefault="00426427" w:rsidP="002D10B0">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124">
    <w:p w:rsidR="00426427" w:rsidRDefault="00426427" w:rsidP="002D10B0">
      <w:pPr>
        <w:pStyle w:val="FootnoteText"/>
      </w:pPr>
      <w:r>
        <w:rPr>
          <w:rStyle w:val="FootnoteReference"/>
        </w:rPr>
        <w:footnoteRef/>
      </w:r>
      <w:r>
        <w:t xml:space="preserve"> </w:t>
      </w:r>
      <w:r>
        <w:tab/>
        <w:t>NER, clause 6.5.8(a).</w:t>
      </w:r>
    </w:p>
  </w:footnote>
  <w:footnote w:id="125">
    <w:p w:rsidR="00426427" w:rsidRDefault="00426427" w:rsidP="002D10B0">
      <w:pPr>
        <w:pStyle w:val="FootnoteText"/>
      </w:pPr>
      <w:r>
        <w:rPr>
          <w:rStyle w:val="FootnoteReference"/>
        </w:rPr>
        <w:footnoteRef/>
      </w:r>
      <w:r>
        <w:t xml:space="preserve"> </w:t>
      </w:r>
      <w:r>
        <w:tab/>
        <w:t>NER, clause 6.5.8(c).</w:t>
      </w:r>
    </w:p>
  </w:footnote>
  <w:footnote w:id="126">
    <w:p w:rsidR="00426427" w:rsidRDefault="00426427" w:rsidP="002D10B0">
      <w:pPr>
        <w:pStyle w:val="FootnoteText"/>
      </w:pPr>
      <w:r>
        <w:rPr>
          <w:rStyle w:val="FootnoteReference"/>
        </w:rPr>
        <w:footnoteRef/>
      </w:r>
      <w:r>
        <w:t xml:space="preserve"> </w:t>
      </w:r>
      <w:r>
        <w:tab/>
        <w:t xml:space="preserve">AER, </w:t>
      </w:r>
      <w:r w:rsidRPr="00A83B5E">
        <w:rPr>
          <w:rStyle w:val="AERtextitalic"/>
        </w:rPr>
        <w:t>Electricity distribution network service providers,</w:t>
      </w:r>
      <w:r>
        <w:t xml:space="preserve"> e</w:t>
      </w:r>
      <w:r w:rsidRPr="00E05B60">
        <w:rPr>
          <w:rStyle w:val="AERtextitalic"/>
        </w:rPr>
        <w:t>fficiency benefit sharing scheme</w:t>
      </w:r>
      <w:r>
        <w:rPr>
          <w:rStyle w:val="AERtextitalic"/>
        </w:rPr>
        <w:t xml:space="preserve">, </w:t>
      </w:r>
      <w:r w:rsidRPr="00A83B5E">
        <w:rPr>
          <w:rStyle w:val="AERbody"/>
          <w:sz w:val="16"/>
        </w:rPr>
        <w:t xml:space="preserve">26 June </w:t>
      </w:r>
      <w:r w:rsidRPr="00541F86">
        <w:t>2008</w:t>
      </w:r>
      <w:r>
        <w:t>.</w:t>
      </w:r>
    </w:p>
  </w:footnote>
  <w:footnote w:id="127">
    <w:p w:rsidR="00426427" w:rsidRDefault="00426427" w:rsidP="002D10B0">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128">
    <w:p w:rsidR="00426427" w:rsidRDefault="00426427" w:rsidP="002D10B0">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29 November 2013.</w:t>
      </w:r>
    </w:p>
  </w:footnote>
  <w:footnote w:id="129">
    <w:p w:rsidR="00426427" w:rsidRDefault="00426427" w:rsidP="002D10B0">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
  </w:footnote>
  <w:footnote w:id="130">
    <w:p w:rsidR="00426427" w:rsidRDefault="00426427" w:rsidP="002D10B0">
      <w:pPr>
        <w:pStyle w:val="FootnoteText"/>
      </w:pPr>
      <w:r>
        <w:rPr>
          <w:rStyle w:val="FootnoteReference"/>
        </w:rPr>
        <w:footnoteRef/>
      </w:r>
      <w:r>
        <w:t xml:space="preserve"> </w:t>
      </w:r>
      <w:r>
        <w:tab/>
        <w:t>NER, clause 6.5.8(a).</w:t>
      </w:r>
    </w:p>
  </w:footnote>
  <w:footnote w:id="131">
    <w:p w:rsidR="00426427" w:rsidRDefault="00426427" w:rsidP="00211FCA">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132">
    <w:p w:rsidR="00426427" w:rsidRDefault="00426427" w:rsidP="00211FCA">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133">
    <w:p w:rsidR="00426427" w:rsidRDefault="00426427" w:rsidP="00211FCA">
      <w:pPr>
        <w:pStyle w:val="FootnoteText"/>
      </w:pPr>
      <w:r>
        <w:rPr>
          <w:rStyle w:val="FootnoteReference"/>
        </w:rPr>
        <w:footnoteRef/>
      </w:r>
      <w:r>
        <w:t xml:space="preserve"> </w:t>
      </w:r>
      <w:r>
        <w:tab/>
        <w:t>NER, clause 6.5.8(c)(1</w:t>
      </w:r>
      <w:r w:rsidRPr="00256B51">
        <w:t>).</w:t>
      </w:r>
    </w:p>
  </w:footnote>
  <w:footnote w:id="134">
    <w:p w:rsidR="00426427" w:rsidRDefault="00426427" w:rsidP="00211FCA">
      <w:pPr>
        <w:pStyle w:val="FootnoteText"/>
      </w:pPr>
      <w:r>
        <w:rPr>
          <w:rStyle w:val="FootnoteReference"/>
        </w:rPr>
        <w:footnoteRef/>
      </w:r>
      <w:r>
        <w:t xml:space="preserve"> </w:t>
      </w:r>
      <w:r>
        <w:tab/>
        <w:t>NER, clause 6.5.8(c)(4</w:t>
      </w:r>
      <w:r w:rsidRPr="00256B51">
        <w:t>).</w:t>
      </w:r>
    </w:p>
  </w:footnote>
  <w:footnote w:id="135">
    <w:p w:rsidR="00426427" w:rsidRDefault="00426427" w:rsidP="002D10B0">
      <w:pPr>
        <w:pStyle w:val="FootnoteText"/>
      </w:pPr>
      <w:r>
        <w:rPr>
          <w:rStyle w:val="FootnoteReference"/>
        </w:rPr>
        <w:footnoteRef/>
      </w:r>
      <w:r>
        <w:t xml:space="preserve"> </w:t>
      </w:r>
      <w:r>
        <w:tab/>
        <w:t>NER, clause 6.5.8(c)(5</w:t>
      </w:r>
      <w:r w:rsidRPr="00256B51">
        <w:t>).</w:t>
      </w:r>
    </w:p>
  </w:footnote>
  <w:footnote w:id="136">
    <w:p w:rsidR="00426427" w:rsidRDefault="00426427" w:rsidP="002D10B0">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37">
    <w:p w:rsidR="00426427" w:rsidRDefault="00426427" w:rsidP="002D10B0">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138">
    <w:p w:rsidR="00426427" w:rsidRDefault="00426427" w:rsidP="00B6405C">
      <w:pPr>
        <w:pStyle w:val="FootnoteText"/>
      </w:pPr>
      <w:r>
        <w:rPr>
          <w:rStyle w:val="FootnoteReference"/>
        </w:rPr>
        <w:footnoteRef/>
      </w:r>
      <w:r>
        <w:t xml:space="preserve"> </w:t>
      </w:r>
      <w:r>
        <w:tab/>
      </w:r>
      <w:r w:rsidRPr="002C411F">
        <w:t>We calculate benefits as the benefits to the distributor of financing the underspend since the amount of the underspend can be put to some other income generating use during the period. Losses are similarly calculated as the financing cost to the distributor of the overspend</w:t>
      </w:r>
      <w:r>
        <w:t>.</w:t>
      </w:r>
    </w:p>
  </w:footnote>
  <w:footnote w:id="139">
    <w:p w:rsidR="00426427" w:rsidRDefault="00426427" w:rsidP="00B6405C">
      <w:pPr>
        <w:pStyle w:val="FootnoteText"/>
      </w:pPr>
      <w:r>
        <w:rPr>
          <w:rStyle w:val="FootnoteReference"/>
        </w:rPr>
        <w:footnoteRef/>
      </w:r>
      <w:r>
        <w:t xml:space="preserve"> </w:t>
      </w:r>
      <w:r>
        <w:tab/>
      </w:r>
      <w:r w:rsidRPr="002C411F">
        <w:t xml:space="preserve">AER, </w:t>
      </w:r>
      <w:r w:rsidRPr="002C411F">
        <w:rPr>
          <w:rStyle w:val="AERtextitalic"/>
        </w:rPr>
        <w:t>Capital expenditure incentive guideline for electricity network service providers</w:t>
      </w:r>
      <w:r w:rsidRPr="002C411F">
        <w:t xml:space="preserve">, pp. </w:t>
      </w:r>
      <w:r>
        <w:t>5-10</w:t>
      </w:r>
      <w:r w:rsidRPr="002C411F">
        <w:t>.</w:t>
      </w:r>
    </w:p>
  </w:footnote>
  <w:footnote w:id="140">
    <w:p w:rsidR="00426427" w:rsidRDefault="00426427" w:rsidP="00B6405C">
      <w:pPr>
        <w:pStyle w:val="FootnoteText"/>
      </w:pPr>
      <w:r>
        <w:rPr>
          <w:rStyle w:val="FootnoteReference"/>
        </w:rPr>
        <w:footnoteRef/>
      </w:r>
      <w:r>
        <w:t xml:space="preserve"> </w:t>
      </w:r>
      <w:r>
        <w:tab/>
        <w:t>NER, clause 6.5.8A(e).</w:t>
      </w:r>
    </w:p>
  </w:footnote>
  <w:footnote w:id="141">
    <w:p w:rsidR="00426427" w:rsidRDefault="00426427" w:rsidP="00B6405C">
      <w:pPr>
        <w:pStyle w:val="FootnoteText"/>
      </w:pPr>
      <w:r>
        <w:rPr>
          <w:rStyle w:val="FootnoteReference"/>
        </w:rPr>
        <w:footnoteRef/>
      </w:r>
      <w:r>
        <w:t xml:space="preserve"> </w:t>
      </w:r>
      <w:r>
        <w:tab/>
      </w:r>
      <w:r w:rsidRPr="002C411F">
        <w:t>NER, clause 6.5.8A(e).</w:t>
      </w:r>
    </w:p>
  </w:footnote>
  <w:footnote w:id="142">
    <w:p w:rsidR="00426427" w:rsidRDefault="00426427" w:rsidP="00B6405C">
      <w:pPr>
        <w:pStyle w:val="FootnoteText"/>
      </w:pPr>
      <w:r>
        <w:rPr>
          <w:rStyle w:val="FootnoteReference"/>
        </w:rPr>
        <w:footnoteRef/>
      </w:r>
      <w:r>
        <w:t xml:space="preserve"> </w:t>
      </w:r>
      <w:r>
        <w:tab/>
        <w:t>NER, clause 6.5.8A(c).</w:t>
      </w:r>
    </w:p>
  </w:footnote>
  <w:footnote w:id="143">
    <w:p w:rsidR="00426427" w:rsidRDefault="00426427" w:rsidP="00B6405C">
      <w:pPr>
        <w:pStyle w:val="FootnoteText"/>
      </w:pPr>
      <w:r>
        <w:rPr>
          <w:rStyle w:val="FootnoteReference"/>
        </w:rPr>
        <w:footnoteRef/>
      </w:r>
      <w:r>
        <w:t xml:space="preserve"> </w:t>
      </w:r>
      <w:r>
        <w:tab/>
        <w:t>NER, clause 6.5.7(a).</w:t>
      </w:r>
    </w:p>
  </w:footnote>
  <w:footnote w:id="144">
    <w:p w:rsidR="00426427" w:rsidRDefault="00426427" w:rsidP="00B6405C">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5-10.</w:t>
      </w:r>
    </w:p>
  </w:footnote>
  <w:footnote w:id="145">
    <w:p w:rsidR="00426427" w:rsidRDefault="00426427" w:rsidP="00B6405C">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11-12.</w:t>
      </w:r>
    </w:p>
  </w:footnote>
  <w:footnote w:id="146">
    <w:p w:rsidR="00426427" w:rsidRDefault="00426427" w:rsidP="00B6405C">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business incurs an underspend in the regulatory period, the greater its reward will be. </w:t>
      </w:r>
    </w:p>
  </w:footnote>
  <w:footnote w:id="147">
    <w:p w:rsidR="00426427" w:rsidRDefault="00426427" w:rsidP="00DE7099">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decreases demand for power drawn from a distribution network. </w:t>
      </w:r>
    </w:p>
  </w:footnote>
  <w:footnote w:id="148">
    <w:p w:rsidR="00426427" w:rsidRDefault="00426427" w:rsidP="00DE7099">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149">
    <w:p w:rsidR="00426427" w:rsidRDefault="00426427" w:rsidP="00DE7099">
      <w:pPr>
        <w:pStyle w:val="FootnoteText"/>
      </w:pPr>
      <w:r>
        <w:rPr>
          <w:rStyle w:val="FootnoteReference"/>
        </w:rPr>
        <w:footnoteRef/>
      </w:r>
      <w:r>
        <w:t xml:space="preserve"> </w:t>
      </w:r>
      <w:r>
        <w:tab/>
        <w:t xml:space="preserve">NER, clause 6.6.3(a). </w:t>
      </w:r>
    </w:p>
  </w:footnote>
  <w:footnote w:id="150">
    <w:p w:rsidR="00426427" w:rsidRDefault="00426427" w:rsidP="00DE7099">
      <w:pPr>
        <w:pStyle w:val="FootnoteText"/>
      </w:pPr>
      <w:r>
        <w:rPr>
          <w:rStyle w:val="FootnoteReference"/>
        </w:rPr>
        <w:footnoteRef/>
      </w:r>
      <w:r>
        <w:t xml:space="preserve"> </w:t>
      </w:r>
      <w:r>
        <w:tab/>
        <w:t xml:space="preserve">AER, </w:t>
      </w:r>
      <w:r>
        <w:rPr>
          <w:rStyle w:val="AERtextitalic"/>
        </w:rPr>
        <w:t>Demand management incentive scheme for Qld and SA</w:t>
      </w:r>
      <w:r>
        <w:t>, 17 October 2008.</w:t>
      </w:r>
    </w:p>
  </w:footnote>
  <w:footnote w:id="151">
    <w:p w:rsidR="00426427" w:rsidRDefault="00426427" w:rsidP="00DE7099">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2009-14 period</w:t>
      </w:r>
      <w:r>
        <w:rPr>
          <w:rStyle w:val="AERtextitalic"/>
        </w:rPr>
        <w:t>.</w:t>
      </w:r>
    </w:p>
  </w:footnote>
  <w:footnote w:id="152">
    <w:p w:rsidR="00426427" w:rsidRDefault="00426427" w:rsidP="00DE7099">
      <w:pPr>
        <w:pStyle w:val="FootnoteText"/>
      </w:pPr>
      <w:r>
        <w:rPr>
          <w:rStyle w:val="FootnoteReference"/>
        </w:rPr>
        <w:footnoteRef/>
      </w:r>
      <w:r>
        <w:t xml:space="preserve"> </w:t>
      </w:r>
      <w:r>
        <w:tab/>
        <w:t xml:space="preserve">AER, </w:t>
      </w:r>
      <w:r>
        <w:rPr>
          <w:rStyle w:val="AERtextitalic"/>
        </w:rPr>
        <w:t>Demand management incentive scheme for Qld and SA</w:t>
      </w:r>
      <w:r>
        <w:t>, 17 October 2008, p. 5.</w:t>
      </w:r>
    </w:p>
  </w:footnote>
  <w:footnote w:id="153">
    <w:p w:rsidR="00426427" w:rsidRDefault="00426427" w:rsidP="00DE7099">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426427" w:rsidRDefault="00426427" w:rsidP="00DE7099">
      <w:pPr>
        <w:pStyle w:val="FootnoteText"/>
      </w:pPr>
      <w:r>
        <w:tab/>
        <w:t xml:space="preserve">See: </w:t>
      </w:r>
      <w:r w:rsidRPr="00C97F5A">
        <w:t>www.scer.gov.au/workstreams/energy-market-reform/demand-side-participation/proposed-rule-changes</w:t>
      </w:r>
      <w:r>
        <w:t>.</w:t>
      </w:r>
    </w:p>
  </w:footnote>
  <w:footnote w:id="154">
    <w:p w:rsidR="00426427" w:rsidRDefault="00426427" w:rsidP="00DE7099">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155">
    <w:p w:rsidR="00426427" w:rsidRDefault="00426427" w:rsidP="00DE7099">
      <w:pPr>
        <w:pStyle w:val="FootnoteText"/>
      </w:pPr>
      <w:r>
        <w:rPr>
          <w:rStyle w:val="FootnoteReference"/>
        </w:rPr>
        <w:footnoteRef/>
      </w:r>
      <w:r>
        <w:t xml:space="preserve"> </w:t>
      </w:r>
      <w:r>
        <w:tab/>
        <w:t>NER, clause 6.6.3(b).</w:t>
      </w:r>
    </w:p>
  </w:footnote>
  <w:footnote w:id="156">
    <w:p w:rsidR="00426427" w:rsidRDefault="00426427" w:rsidP="00DE7099">
      <w:pPr>
        <w:pStyle w:val="FootnoteText"/>
      </w:pPr>
      <w:r>
        <w:rPr>
          <w:rStyle w:val="FootnoteReference"/>
        </w:rPr>
        <w:footnoteRef/>
      </w:r>
      <w:r>
        <w:t xml:space="preserve"> </w:t>
      </w:r>
      <w:r>
        <w:tab/>
        <w:t>NER, clause 6.6.3(b)(1).</w:t>
      </w:r>
    </w:p>
  </w:footnote>
  <w:footnote w:id="157">
    <w:p w:rsidR="00426427" w:rsidRDefault="00426427" w:rsidP="00DE7099">
      <w:pPr>
        <w:pStyle w:val="FootnoteText"/>
      </w:pPr>
      <w:r>
        <w:rPr>
          <w:rStyle w:val="FootnoteReference"/>
        </w:rPr>
        <w:footnoteRef/>
      </w:r>
      <w:r>
        <w:t xml:space="preserve"> </w:t>
      </w:r>
      <w:r>
        <w:tab/>
        <w:t xml:space="preserve">AER, </w:t>
      </w:r>
      <w:r>
        <w:rPr>
          <w:rStyle w:val="AERtextitalic"/>
        </w:rPr>
        <w:t>Demand management incentive scheme for Qld and SA</w:t>
      </w:r>
      <w:r>
        <w:t>, 17 October 2008, p. 5.</w:t>
      </w:r>
    </w:p>
  </w:footnote>
  <w:footnote w:id="158">
    <w:p w:rsidR="00426427" w:rsidRDefault="00426427" w:rsidP="00DE7099">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159">
    <w:p w:rsidR="00426427" w:rsidRDefault="00426427" w:rsidP="00DE7099">
      <w:pPr>
        <w:pStyle w:val="FootnoteText"/>
      </w:pPr>
      <w:r>
        <w:rPr>
          <w:rStyle w:val="FootnoteReference"/>
        </w:rPr>
        <w:footnoteRef/>
      </w:r>
      <w:r>
        <w:t xml:space="preserve"> </w:t>
      </w:r>
      <w:r>
        <w:tab/>
        <w:t>NER, clause 6.6.3(b)(2).</w:t>
      </w:r>
    </w:p>
  </w:footnote>
  <w:footnote w:id="160">
    <w:p w:rsidR="00426427" w:rsidRDefault="00426427" w:rsidP="00DE7099">
      <w:pPr>
        <w:pStyle w:val="FootnoteText"/>
      </w:pPr>
      <w:r>
        <w:rPr>
          <w:rStyle w:val="FootnoteReference"/>
        </w:rPr>
        <w:footnoteRef/>
      </w:r>
      <w:r>
        <w:t xml:space="preserve"> </w:t>
      </w:r>
      <w:r>
        <w:tab/>
        <w:t>NER, clause 6.6.3(b)(6).</w:t>
      </w:r>
    </w:p>
  </w:footnote>
  <w:footnote w:id="161">
    <w:p w:rsidR="00426427" w:rsidRDefault="00426427" w:rsidP="00DE7099">
      <w:pPr>
        <w:pStyle w:val="FootnoteText"/>
      </w:pPr>
      <w:r>
        <w:rPr>
          <w:rStyle w:val="FootnoteReference"/>
        </w:rPr>
        <w:footnoteRef/>
      </w:r>
      <w:r>
        <w:t xml:space="preserve"> </w:t>
      </w:r>
      <w:r>
        <w:tab/>
        <w:t>NER, clause 6.6.3(b)(3).</w:t>
      </w:r>
    </w:p>
  </w:footnote>
  <w:footnote w:id="162">
    <w:p w:rsidR="00426427" w:rsidRDefault="00426427" w:rsidP="00DE7099">
      <w:pPr>
        <w:pStyle w:val="FootnoteText"/>
      </w:pPr>
      <w:r>
        <w:rPr>
          <w:rStyle w:val="FootnoteReference"/>
        </w:rPr>
        <w:footnoteRef/>
      </w:r>
      <w:r>
        <w:t xml:space="preserve"> </w:t>
      </w:r>
      <w:r>
        <w:tab/>
        <w:t>NER, clause 6.6.3(b)(4).</w:t>
      </w:r>
    </w:p>
  </w:footnote>
  <w:footnote w:id="163">
    <w:p w:rsidR="00426427" w:rsidRDefault="00426427" w:rsidP="00630170">
      <w:pPr>
        <w:pStyle w:val="FootnoteText"/>
      </w:pPr>
      <w:r>
        <w:rPr>
          <w:rStyle w:val="FootnoteReference"/>
        </w:rPr>
        <w:footnoteRef/>
      </w:r>
      <w:r>
        <w:t xml:space="preserve"> </w:t>
      </w:r>
      <w:r>
        <w:tab/>
        <w:t xml:space="preserve">We published this guideline on 29 November 2013. It can be located at </w:t>
      </w:r>
      <w:hyperlink r:id="rId5" w:history="1">
        <w:r w:rsidRPr="004818E9">
          <w:rPr>
            <w:rStyle w:val="Hyperlink"/>
          </w:rPr>
          <w:t>www.aer.gov.au/node/18864</w:t>
        </w:r>
      </w:hyperlink>
    </w:p>
  </w:footnote>
  <w:footnote w:id="164">
    <w:p w:rsidR="00426427" w:rsidRDefault="00426427" w:rsidP="00630170">
      <w:pPr>
        <w:pStyle w:val="FootnoteText"/>
      </w:pPr>
      <w:r>
        <w:rPr>
          <w:rStyle w:val="FootnoteReference"/>
        </w:rPr>
        <w:footnoteRef/>
      </w:r>
      <w:r>
        <w:t xml:space="preserve"> </w:t>
      </w:r>
      <w:r>
        <w:tab/>
        <w:t>NER, clauses 6.4.5, 6A.5.6, 11.53.4 and 11.54.4.</w:t>
      </w:r>
    </w:p>
  </w:footnote>
  <w:footnote w:id="165">
    <w:p w:rsidR="00426427" w:rsidRDefault="00426427" w:rsidP="00630170">
      <w:pPr>
        <w:pStyle w:val="FootnoteText"/>
      </w:pPr>
      <w:r>
        <w:rPr>
          <w:rStyle w:val="FootnoteReference"/>
        </w:rPr>
        <w:footnoteRef/>
      </w:r>
      <w:r>
        <w:t xml:space="preserve"> </w:t>
      </w:r>
      <w:r>
        <w:tab/>
        <w:t>NER, clauses 6.8.1A(b)(1) and 11.60.3(c).</w:t>
      </w:r>
    </w:p>
  </w:footnote>
  <w:footnote w:id="166">
    <w:p w:rsidR="00426427" w:rsidRDefault="00426427" w:rsidP="00630170">
      <w:pPr>
        <w:pStyle w:val="FootnoteText"/>
      </w:pPr>
      <w:r>
        <w:rPr>
          <w:rStyle w:val="FootnoteReference"/>
        </w:rPr>
        <w:footnoteRef/>
      </w:r>
      <w:r>
        <w:t xml:space="preserve"> </w:t>
      </w:r>
      <w:r>
        <w:tab/>
        <w:t>NER, clause 6.8.1(b)(2)(viii).</w:t>
      </w:r>
    </w:p>
  </w:footnote>
  <w:footnote w:id="167">
    <w:p w:rsidR="00426427" w:rsidRDefault="00426427" w:rsidP="00630170">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29 November 2013, pp. 44-46.</w:t>
      </w:r>
    </w:p>
  </w:footnote>
  <w:footnote w:id="168">
    <w:p w:rsidR="00426427" w:rsidRDefault="00426427" w:rsidP="00D62AA6">
      <w:pPr>
        <w:pStyle w:val="FootnoteText"/>
      </w:pPr>
      <w:r>
        <w:rPr>
          <w:rStyle w:val="FootnoteReference"/>
        </w:rPr>
        <w:footnoteRef/>
      </w:r>
      <w:r>
        <w:t xml:space="preserve"> </w:t>
      </w:r>
      <w:r>
        <w:tab/>
        <w:t xml:space="preserve">A tariff class is a group of customers with similar load and connection profile. For example, in South Australia all residential customers are grouped together as a tariff class. The (CPI-X) constraint for 2013–14 as set out in 2010–15 price determination is 9.7 per cent. The </w:t>
      </w:r>
      <w:r w:rsidRPr="007D4AF1">
        <w:t xml:space="preserve">side constraint for this tariff class requires that the weighted average distribution tariff for </w:t>
      </w:r>
      <w:r>
        <w:t xml:space="preserve">SAPN </w:t>
      </w:r>
      <w:r w:rsidRPr="007D4AF1">
        <w:t>should not increase more than 2</w:t>
      </w:r>
      <w:r>
        <w:t xml:space="preserve"> per cent</w:t>
      </w:r>
      <w:r w:rsidRPr="007D4AF1">
        <w:t xml:space="preserve"> above the (CPI-X) constraint.</w:t>
      </w:r>
      <w:r>
        <w:t xml:space="preserve"> Therefore the weighted average distribution tariff increase for this tariff class should not exceed 11.9 per cent.</w:t>
      </w:r>
    </w:p>
  </w:footnote>
  <w:footnote w:id="169">
    <w:p w:rsidR="00426427" w:rsidRDefault="00426427" w:rsidP="00D62AA6">
      <w:pPr>
        <w:pStyle w:val="FootnoteText"/>
      </w:pPr>
      <w:r>
        <w:rPr>
          <w:rStyle w:val="FootnoteReference"/>
        </w:rPr>
        <w:footnoteRef/>
      </w:r>
      <w:r>
        <w:t xml:space="preserve"> </w:t>
      </w:r>
      <w:r>
        <w:tab/>
        <w:t xml:space="preserve">Productivity Commission Inquiry Report, </w:t>
      </w:r>
      <w:r w:rsidRPr="00F57168">
        <w:rPr>
          <w:rStyle w:val="AERtextitalic"/>
        </w:rPr>
        <w:t>Electricity Network Regulatory Frameworks No. 62</w:t>
      </w:r>
      <w:r>
        <w:t>, 9 April 2013 (Chapter 11 – moving to time-based pricing for the distribution network), p.444.</w:t>
      </w:r>
    </w:p>
  </w:footnote>
  <w:footnote w:id="170">
    <w:p w:rsidR="00426427" w:rsidRDefault="00426427" w:rsidP="00D62AA6">
      <w:pPr>
        <w:pStyle w:val="FootnoteText"/>
      </w:pPr>
      <w:r>
        <w:rPr>
          <w:rStyle w:val="FootnoteReference"/>
        </w:rPr>
        <w:footnoteRef/>
      </w:r>
      <w:r>
        <w:t xml:space="preserve"> </w:t>
      </w:r>
      <w:r>
        <w:tab/>
        <w:t xml:space="preserve">AEMC, </w:t>
      </w:r>
      <w:r w:rsidRPr="00F57168">
        <w:rPr>
          <w:rStyle w:val="AERtextitalic"/>
        </w:rPr>
        <w:t>National Electricity Amendment (Distribution Network Pricing Arrangements) Rule 2014, Consultation Paper</w:t>
      </w:r>
      <w:r>
        <w:t>, 14 November 2013.</w:t>
      </w:r>
    </w:p>
  </w:footnote>
  <w:footnote w:id="171">
    <w:p w:rsidR="00426427" w:rsidRDefault="00426427" w:rsidP="00D62AA6">
      <w:pPr>
        <w:pStyle w:val="FootnoteText"/>
      </w:pPr>
      <w:r>
        <w:rPr>
          <w:rStyle w:val="FootnoteReference"/>
        </w:rPr>
        <w:footnoteRef/>
      </w:r>
      <w:r>
        <w:t xml:space="preserve"> </w:t>
      </w:r>
      <w:r>
        <w:tab/>
        <w:t xml:space="preserve">AEMC, </w:t>
      </w:r>
      <w:r w:rsidRPr="00F57168">
        <w:rPr>
          <w:rStyle w:val="AERtextitalic"/>
        </w:rPr>
        <w:t>Power of choice review - giving consumers options in the way they use electricity, Final Report</w:t>
      </w:r>
      <w:r>
        <w:t>, 30 November 2012.</w:t>
      </w:r>
    </w:p>
  </w:footnote>
  <w:footnote w:id="172">
    <w:p w:rsidR="00426427" w:rsidRDefault="00426427" w:rsidP="00D62AA6">
      <w:pPr>
        <w:pStyle w:val="FootnoteText"/>
      </w:pPr>
      <w:r>
        <w:rPr>
          <w:rStyle w:val="FootnoteReference"/>
        </w:rPr>
        <w:footnoteRef/>
      </w:r>
      <w:r>
        <w:t xml:space="preserve"> </w:t>
      </w:r>
      <w:r>
        <w:tab/>
      </w:r>
      <w:r w:rsidRPr="00ED0E24">
        <w:t xml:space="preserve">AEMC, </w:t>
      </w:r>
      <w:r w:rsidRPr="00F57168">
        <w:rPr>
          <w:rStyle w:val="AERtextitalic"/>
        </w:rPr>
        <w:t>National Electricity Amendment (Distribution Network Pricing Arrangements) Rule 2014, Consultation Paper</w:t>
      </w:r>
      <w:r w:rsidRPr="00ED0E24">
        <w:t>, 14 November 2013</w:t>
      </w:r>
      <w:r>
        <w:t>, p. 9.</w:t>
      </w:r>
    </w:p>
  </w:footnote>
  <w:footnote w:id="173">
    <w:p w:rsidR="00426427" w:rsidRDefault="00426427" w:rsidP="00D62AA6">
      <w:pPr>
        <w:pStyle w:val="FootnoteText"/>
      </w:pPr>
      <w:r>
        <w:rPr>
          <w:rStyle w:val="FootnoteReference"/>
        </w:rPr>
        <w:footnoteRef/>
      </w:r>
      <w:r>
        <w:t xml:space="preserve"> </w:t>
      </w:r>
      <w:r>
        <w:tab/>
        <w:t xml:space="preserve">SA Power Networks, </w:t>
      </w:r>
      <w:r w:rsidRPr="0063462C">
        <w:rPr>
          <w:rStyle w:val="AERtextitalic"/>
        </w:rPr>
        <w:t>Annual Pricing Proposal 2013-2014</w:t>
      </w:r>
      <w:r>
        <w:t>, p. 31.</w:t>
      </w:r>
    </w:p>
  </w:footnote>
  <w:footnote w:id="174">
    <w:p w:rsidR="00426427" w:rsidRDefault="00426427" w:rsidP="00A606C6">
      <w:pPr>
        <w:pStyle w:val="FootnoteText"/>
      </w:pPr>
      <w:r>
        <w:rPr>
          <w:rStyle w:val="FootnoteReference"/>
        </w:rPr>
        <w:footnoteRef/>
      </w:r>
      <w:r>
        <w:t xml:space="preserve"> </w:t>
      </w:r>
      <w:r>
        <w:tab/>
        <w:t>NER, clause 6.8.1(b)(1)(ii).</w:t>
      </w:r>
    </w:p>
  </w:footnote>
  <w:footnote w:id="175">
    <w:p w:rsidR="00426427" w:rsidRDefault="00426427">
      <w:pPr>
        <w:pStyle w:val="FootnoteText"/>
      </w:pPr>
      <w:r>
        <w:rPr>
          <w:rStyle w:val="FootnoteReference"/>
        </w:rPr>
        <w:footnoteRef/>
      </w:r>
      <w:r>
        <w:t xml:space="preserve"> </w:t>
      </w:r>
      <w:r>
        <w:tab/>
        <w:t>SA Power Networks, Email dated 2 September 2013.</w:t>
      </w:r>
    </w:p>
  </w:footnote>
  <w:footnote w:id="176">
    <w:p w:rsidR="00426427" w:rsidRDefault="00426427" w:rsidP="00FA2DC0">
      <w:pPr>
        <w:pStyle w:val="FootnoteText"/>
      </w:pPr>
      <w:r>
        <w:rPr>
          <w:rStyle w:val="FootnoteReference"/>
        </w:rPr>
        <w:footnoteRef/>
      </w:r>
      <w:r>
        <w:t xml:space="preserve"> </w:t>
      </w:r>
      <w:r>
        <w:tab/>
        <w:t>NER, Chapter 10, definition of a 'distribution service'.</w:t>
      </w:r>
    </w:p>
  </w:footnote>
  <w:footnote w:id="177">
    <w:p w:rsidR="00426427" w:rsidRDefault="00426427" w:rsidP="00FA2DC0">
      <w:pPr>
        <w:pStyle w:val="FootnoteText"/>
      </w:pPr>
      <w:r>
        <w:rPr>
          <w:rStyle w:val="FootnoteReference"/>
        </w:rPr>
        <w:footnoteRef/>
      </w:r>
      <w:r>
        <w:t xml:space="preserve"> </w:t>
      </w:r>
      <w:r>
        <w:tab/>
        <w:t xml:space="preserve">NER, clause 6.2.1(c). </w:t>
      </w:r>
    </w:p>
  </w:footnote>
  <w:footnote w:id="178">
    <w:p w:rsidR="00426427" w:rsidRDefault="00426427" w:rsidP="00FA2DC0">
      <w:pPr>
        <w:pStyle w:val="FootnoteText"/>
      </w:pPr>
      <w:r>
        <w:rPr>
          <w:rStyle w:val="FootnoteReference"/>
        </w:rPr>
        <w:footnoteRef/>
      </w:r>
      <w:r>
        <w:t xml:space="preserve"> </w:t>
      </w:r>
      <w:r>
        <w:tab/>
        <w:t>NEL, s. 2F.</w:t>
      </w:r>
    </w:p>
  </w:footnote>
  <w:footnote w:id="179">
    <w:p w:rsidR="00426427" w:rsidRDefault="00426427" w:rsidP="00FA2DC0">
      <w:pPr>
        <w:pStyle w:val="FootnoteText"/>
      </w:pPr>
      <w:r>
        <w:rPr>
          <w:rStyle w:val="FootnoteReference"/>
        </w:rPr>
        <w:footnoteRef/>
      </w:r>
      <w:r>
        <w:t xml:space="preserve"> </w:t>
      </w:r>
      <w:r>
        <w:tab/>
        <w:t>NER, clause 6.2.1(c)(2).</w:t>
      </w:r>
    </w:p>
  </w:footnote>
  <w:footnote w:id="180">
    <w:p w:rsidR="00426427" w:rsidRDefault="00426427" w:rsidP="00FA2DC0">
      <w:pPr>
        <w:pStyle w:val="FootnoteText"/>
      </w:pPr>
      <w:r>
        <w:rPr>
          <w:rStyle w:val="FootnoteReference"/>
        </w:rPr>
        <w:footnoteRef/>
      </w:r>
      <w:r>
        <w:t xml:space="preserve"> </w:t>
      </w:r>
      <w:r>
        <w:tab/>
        <w:t>NER, clause 6.2.1(c)(3).</w:t>
      </w:r>
    </w:p>
  </w:footnote>
  <w:footnote w:id="181">
    <w:p w:rsidR="00426427" w:rsidRDefault="00426427" w:rsidP="00FA2DC0">
      <w:pPr>
        <w:pStyle w:val="FootnoteText"/>
      </w:pPr>
      <w:r>
        <w:rPr>
          <w:rStyle w:val="FootnoteReference"/>
        </w:rPr>
        <w:footnoteRef/>
      </w:r>
      <w:r>
        <w:t xml:space="preserve"> </w:t>
      </w:r>
      <w:r>
        <w:tab/>
        <w:t>NER, clause 6.2.1(c).</w:t>
      </w:r>
    </w:p>
  </w:footnote>
  <w:footnote w:id="182">
    <w:p w:rsidR="00426427" w:rsidRDefault="00426427" w:rsidP="00FA2DC0">
      <w:pPr>
        <w:pStyle w:val="FootnoteText"/>
      </w:pPr>
      <w:r>
        <w:rPr>
          <w:rStyle w:val="FootnoteReference"/>
        </w:rPr>
        <w:footnoteRef/>
      </w:r>
      <w:r>
        <w:t xml:space="preserve"> </w:t>
      </w:r>
      <w:r>
        <w:tab/>
        <w:t>NER, clause 6.2.1(d).</w:t>
      </w:r>
    </w:p>
  </w:footnote>
  <w:footnote w:id="183">
    <w:p w:rsidR="00426427" w:rsidRDefault="00426427" w:rsidP="00FA2DC0">
      <w:pPr>
        <w:pStyle w:val="FootnoteText"/>
      </w:pPr>
      <w:r>
        <w:rPr>
          <w:rStyle w:val="FootnoteReference"/>
        </w:rPr>
        <w:footnoteRef/>
      </w:r>
      <w:r>
        <w:t xml:space="preserve"> </w:t>
      </w:r>
      <w:r>
        <w:tab/>
        <w:t xml:space="preserve">NER, clause 6.2.2(c). </w:t>
      </w:r>
    </w:p>
  </w:footnote>
  <w:footnote w:id="184">
    <w:p w:rsidR="00426427" w:rsidRDefault="00426427" w:rsidP="00FA2DC0">
      <w:pPr>
        <w:pStyle w:val="FootnoteText"/>
      </w:pPr>
      <w:r>
        <w:rPr>
          <w:rStyle w:val="FootnoteReference"/>
        </w:rPr>
        <w:footnoteRef/>
      </w:r>
      <w:r>
        <w:t xml:space="preserve"> </w:t>
      </w:r>
      <w:r>
        <w:tab/>
        <w:t>NER, clause 6.2.2(c).</w:t>
      </w:r>
    </w:p>
  </w:footnote>
  <w:footnote w:id="185">
    <w:p w:rsidR="00426427" w:rsidRDefault="00426427" w:rsidP="000021C1">
      <w:pPr>
        <w:pStyle w:val="FootnoteText"/>
      </w:pPr>
      <w:r>
        <w:rPr>
          <w:rStyle w:val="FootnoteReference"/>
        </w:rPr>
        <w:footnoteRef/>
      </w:r>
      <w:r>
        <w:t xml:space="preserve"> </w:t>
      </w:r>
      <w:r>
        <w:tab/>
        <w:t>Peak prices include peak energy, demand and capacity prices.</w:t>
      </w:r>
    </w:p>
  </w:footnote>
  <w:footnote w:id="186">
    <w:p w:rsidR="00426427" w:rsidRDefault="00426427" w:rsidP="000021C1">
      <w:pPr>
        <w:pStyle w:val="FootnoteText"/>
      </w:pPr>
      <w:r>
        <w:rPr>
          <w:rStyle w:val="FootnoteReference"/>
        </w:rPr>
        <w:footnoteRef/>
      </w:r>
      <w:r>
        <w:t xml:space="preserve"> </w:t>
      </w:r>
      <w:r>
        <w:tab/>
      </w:r>
      <w:r w:rsidRPr="00C34A8E">
        <w:t>Broadly, we consider that efficient pricing would match prices to cost drivers. The distributors' costs are primarily fixed or linked to peak demand and therefore charges for peak usage, peak demand/capacity and fixed charges are generally efficient</w:t>
      </w:r>
      <w:r>
        <w:t xml:space="preserve"> (efficient charging parameters)</w:t>
      </w:r>
      <w:r w:rsidRPr="00C34A8E">
        <w:t>. While energy based charges that are unrelated to the network</w:t>
      </w:r>
      <w:r>
        <w:t>’</w:t>
      </w:r>
      <w:r w:rsidRPr="00C34A8E">
        <w:t>s peak period and capacity are generally not efficient</w:t>
      </w:r>
      <w:r>
        <w:t xml:space="preserve"> (inefficient charging parameters)</w:t>
      </w:r>
      <w:r w:rsidRPr="00C34A8E">
        <w:t>.</w:t>
      </w:r>
    </w:p>
  </w:footnote>
  <w:footnote w:id="187">
    <w:p w:rsidR="00426427" w:rsidRDefault="00426427" w:rsidP="000021C1">
      <w:pPr>
        <w:pStyle w:val="FootnoteText"/>
      </w:pPr>
      <w:r>
        <w:rPr>
          <w:rStyle w:val="FootnoteReference"/>
        </w:rPr>
        <w:footnoteRef/>
      </w:r>
      <w:r>
        <w:t xml:space="preserve"> </w:t>
      </w:r>
      <w:r>
        <w:tab/>
        <w:t xml:space="preserve">AER, </w:t>
      </w:r>
      <w:r w:rsidRPr="00F57168">
        <w:rPr>
          <w:rStyle w:val="AERtextitalic"/>
        </w:rPr>
        <w:t>Stage 1 Framework and approach paper for NSW DNSPs Transitional regulatory control period 1 July 2014 to 30 June 2015, Subsequent regulatory control period 1 July 2015 to 30 June 2019</w:t>
      </w:r>
      <w:r>
        <w:t xml:space="preserve">, Appendix E, March 2013. </w:t>
      </w:r>
      <w:r w:rsidRPr="005F763D">
        <w:t xml:space="preserve"> </w:t>
      </w:r>
    </w:p>
  </w:footnote>
  <w:footnote w:id="188">
    <w:p w:rsidR="00426427" w:rsidRDefault="00426427" w:rsidP="000021C1">
      <w:pPr>
        <w:pStyle w:val="FootnoteText"/>
      </w:pPr>
      <w:r>
        <w:rPr>
          <w:rStyle w:val="FootnoteReference"/>
        </w:rPr>
        <w:footnoteRef/>
      </w:r>
      <w:r>
        <w:t xml:space="preserve"> </w:t>
      </w:r>
      <w:r>
        <w:tab/>
        <w:t>We</w:t>
      </w:r>
      <w:r w:rsidRPr="0069527C">
        <w:t xml:space="preserve"> consider the relevant tariffs for </w:t>
      </w:r>
      <w:r>
        <w:t xml:space="preserve">this </w:t>
      </w:r>
      <w:r w:rsidRPr="0069527C">
        <w:t xml:space="preserve">analysis are </w:t>
      </w:r>
      <w:r>
        <w:t xml:space="preserve">the </w:t>
      </w:r>
      <w:r w:rsidRPr="0069527C">
        <w:t xml:space="preserve">DUOS </w:t>
      </w:r>
      <w:r>
        <w:t>tariffs. While the overall network</w:t>
      </w:r>
      <w:r w:rsidRPr="0069527C">
        <w:t xml:space="preserve"> </w:t>
      </w:r>
      <w:r>
        <w:t>tariffs are set by the distributors,</w:t>
      </w:r>
      <w:r w:rsidRPr="0069527C">
        <w:t xml:space="preserve"> </w:t>
      </w:r>
      <w:r>
        <w:t>only DUOS tariffs are subject to the WAPC.</w:t>
      </w:r>
    </w:p>
  </w:footnote>
  <w:footnote w:id="189">
    <w:p w:rsidR="00426427" w:rsidRDefault="00426427" w:rsidP="000021C1">
      <w:pPr>
        <w:pStyle w:val="FootnoteText"/>
      </w:pPr>
      <w:r>
        <w:rPr>
          <w:rStyle w:val="FootnoteReference"/>
        </w:rPr>
        <w:footnoteRef/>
      </w:r>
      <w:r>
        <w:t xml:space="preserve"> </w:t>
      </w:r>
      <w:r>
        <w:tab/>
        <w:t xml:space="preserve">Severin Borenstein, </w:t>
      </w:r>
      <w:r w:rsidRPr="00F57168">
        <w:rPr>
          <w:rStyle w:val="AERtextitalic"/>
        </w:rPr>
        <w:t>The Redistributional Impact of Nonlinear Electricity Pricing, American Economic Journal: Economic Policy 2012</w:t>
      </w:r>
      <w:r w:rsidRPr="00F14AC8">
        <w:t>, 4(3): 56–90</w:t>
      </w:r>
      <w:r>
        <w:t>. p. 56.</w:t>
      </w:r>
    </w:p>
  </w:footnote>
  <w:footnote w:id="190">
    <w:p w:rsidR="00426427" w:rsidRDefault="00426427" w:rsidP="000021C1">
      <w:pPr>
        <w:pStyle w:val="FootnoteText"/>
      </w:pPr>
      <w:r>
        <w:rPr>
          <w:rStyle w:val="FootnoteReference"/>
        </w:rPr>
        <w:footnoteRef/>
      </w:r>
      <w:r>
        <w:t xml:space="preserve"> </w:t>
      </w:r>
      <w:r>
        <w:tab/>
        <w:t xml:space="preserve">Severin Borenstein, </w:t>
      </w:r>
      <w:r w:rsidRPr="00F57168">
        <w:rPr>
          <w:rStyle w:val="AERtextitalic"/>
        </w:rPr>
        <w:t>The Redistributional Impact of Nonlinear Electricity Pricing, American Economic Journal: Economic Policy 2012</w:t>
      </w:r>
      <w:r w:rsidRPr="00F14AC8">
        <w:t>, 4(3): 56–90</w:t>
      </w:r>
      <w:r>
        <w:t>.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0A4224A"/>
    <w:multiLevelType w:val="hybridMultilevel"/>
    <w:tmpl w:val="4EF8170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AAC6DD7"/>
    <w:multiLevelType w:val="multilevel"/>
    <w:tmpl w:val="950A1C52"/>
    <w:numStyleLink w:val="AERHeadings"/>
  </w:abstractNum>
  <w:abstractNum w:abstractNumId="10">
    <w:nsid w:val="7AEA3AE1"/>
    <w:multiLevelType w:val="hybridMultilevel"/>
    <w:tmpl w:val="52969776"/>
    <w:lvl w:ilvl="0" w:tplc="6964B680">
      <w:start w:val="1"/>
      <w:numFmt w:val="bullet"/>
      <w:pStyle w:val="AERquotebullet1"/>
      <w:lvlText w:val=""/>
      <w:lvlJc w:val="left"/>
      <w:pPr>
        <w:ind w:left="720" w:hanging="360"/>
      </w:pPr>
      <w:rPr>
        <w:rFonts w:ascii="Wingdings" w:hAnsi="Wingdings" w:hint="default"/>
      </w:rPr>
    </w:lvl>
    <w:lvl w:ilvl="1" w:tplc="E47CEDB0" w:tentative="1">
      <w:start w:val="1"/>
      <w:numFmt w:val="bullet"/>
      <w:lvlText w:val="o"/>
      <w:lvlJc w:val="left"/>
      <w:pPr>
        <w:ind w:left="1440" w:hanging="360"/>
      </w:pPr>
      <w:rPr>
        <w:rFonts w:ascii="Courier New" w:hAnsi="Courier New" w:cs="Courier New" w:hint="default"/>
      </w:rPr>
    </w:lvl>
    <w:lvl w:ilvl="2" w:tplc="336E48B6" w:tentative="1">
      <w:start w:val="1"/>
      <w:numFmt w:val="bullet"/>
      <w:lvlText w:val=""/>
      <w:lvlJc w:val="left"/>
      <w:pPr>
        <w:ind w:left="2160" w:hanging="360"/>
      </w:pPr>
      <w:rPr>
        <w:rFonts w:ascii="Wingdings" w:hAnsi="Wingdings" w:hint="default"/>
      </w:rPr>
    </w:lvl>
    <w:lvl w:ilvl="3" w:tplc="F4563B4E" w:tentative="1">
      <w:start w:val="1"/>
      <w:numFmt w:val="bullet"/>
      <w:lvlText w:val=""/>
      <w:lvlJc w:val="left"/>
      <w:pPr>
        <w:ind w:left="2880" w:hanging="360"/>
      </w:pPr>
      <w:rPr>
        <w:rFonts w:ascii="Symbol" w:hAnsi="Symbol" w:hint="default"/>
      </w:rPr>
    </w:lvl>
    <w:lvl w:ilvl="4" w:tplc="6E2AA430" w:tentative="1">
      <w:start w:val="1"/>
      <w:numFmt w:val="bullet"/>
      <w:lvlText w:val="o"/>
      <w:lvlJc w:val="left"/>
      <w:pPr>
        <w:ind w:left="3600" w:hanging="360"/>
      </w:pPr>
      <w:rPr>
        <w:rFonts w:ascii="Courier New" w:hAnsi="Courier New" w:cs="Courier New" w:hint="default"/>
      </w:rPr>
    </w:lvl>
    <w:lvl w:ilvl="5" w:tplc="4E5464EC" w:tentative="1">
      <w:start w:val="1"/>
      <w:numFmt w:val="bullet"/>
      <w:lvlText w:val=""/>
      <w:lvlJc w:val="left"/>
      <w:pPr>
        <w:ind w:left="4320" w:hanging="360"/>
      </w:pPr>
      <w:rPr>
        <w:rFonts w:ascii="Wingdings" w:hAnsi="Wingdings" w:hint="default"/>
      </w:rPr>
    </w:lvl>
    <w:lvl w:ilvl="6" w:tplc="214A6A72" w:tentative="1">
      <w:start w:val="1"/>
      <w:numFmt w:val="bullet"/>
      <w:lvlText w:val=""/>
      <w:lvlJc w:val="left"/>
      <w:pPr>
        <w:ind w:left="5040" w:hanging="360"/>
      </w:pPr>
      <w:rPr>
        <w:rFonts w:ascii="Symbol" w:hAnsi="Symbol" w:hint="default"/>
      </w:rPr>
    </w:lvl>
    <w:lvl w:ilvl="7" w:tplc="0062FF3E" w:tentative="1">
      <w:start w:val="1"/>
      <w:numFmt w:val="bullet"/>
      <w:lvlText w:val="o"/>
      <w:lvlJc w:val="left"/>
      <w:pPr>
        <w:ind w:left="5760" w:hanging="360"/>
      </w:pPr>
      <w:rPr>
        <w:rFonts w:ascii="Courier New" w:hAnsi="Courier New" w:cs="Courier New" w:hint="default"/>
      </w:rPr>
    </w:lvl>
    <w:lvl w:ilvl="8" w:tplc="9D0C434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0"/>
  </w:num>
  <w:num w:numId="6">
    <w:abstractNumId w:val="8"/>
  </w:num>
  <w:num w:numId="7">
    <w:abstractNumId w:val="6"/>
  </w:num>
  <w:num w:numId="8">
    <w:abstractNumId w:val="3"/>
  </w:num>
  <w:num w:numId="9">
    <w:abstractNumId w:val="9"/>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10">
    <w:abstractNumId w:val="2"/>
  </w:num>
  <w:num w:numId="11">
    <w:abstractNumId w:val="9"/>
  </w:num>
  <w:num w:numId="12">
    <w:abstractNumId w:val="1"/>
  </w:num>
  <w:num w:numId="13">
    <w:abstractNumId w:val="9"/>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Documents and Settings\rlowi\Local Settings\Temporary Internet Files\Content.Outlook\GIVNZBNB\AER Decision- SA FA - preliminary positions - final for publication.DOCX"/>
  </w:docVars>
  <w:rsids>
    <w:rsidRoot w:val="000C052F"/>
    <w:rsid w:val="000021C1"/>
    <w:rsid w:val="000057A3"/>
    <w:rsid w:val="00007DEB"/>
    <w:rsid w:val="00010E4B"/>
    <w:rsid w:val="000115B8"/>
    <w:rsid w:val="00011656"/>
    <w:rsid w:val="00022606"/>
    <w:rsid w:val="000237C4"/>
    <w:rsid w:val="000263DA"/>
    <w:rsid w:val="00032E03"/>
    <w:rsid w:val="00040599"/>
    <w:rsid w:val="00040749"/>
    <w:rsid w:val="000410D4"/>
    <w:rsid w:val="00044F61"/>
    <w:rsid w:val="00045B61"/>
    <w:rsid w:val="00057991"/>
    <w:rsid w:val="00065082"/>
    <w:rsid w:val="00073F0B"/>
    <w:rsid w:val="00080830"/>
    <w:rsid w:val="00081B0E"/>
    <w:rsid w:val="0008654C"/>
    <w:rsid w:val="00096A14"/>
    <w:rsid w:val="00096B8F"/>
    <w:rsid w:val="000979D2"/>
    <w:rsid w:val="000A1CC2"/>
    <w:rsid w:val="000A2695"/>
    <w:rsid w:val="000A5342"/>
    <w:rsid w:val="000A5B35"/>
    <w:rsid w:val="000B15CA"/>
    <w:rsid w:val="000B6EF5"/>
    <w:rsid w:val="000C052F"/>
    <w:rsid w:val="000C2469"/>
    <w:rsid w:val="000C3430"/>
    <w:rsid w:val="000D03C2"/>
    <w:rsid w:val="000D04B1"/>
    <w:rsid w:val="000D3D32"/>
    <w:rsid w:val="000D401F"/>
    <w:rsid w:val="000D44EC"/>
    <w:rsid w:val="000D4711"/>
    <w:rsid w:val="000D6BE6"/>
    <w:rsid w:val="000D75BC"/>
    <w:rsid w:val="000E0034"/>
    <w:rsid w:val="000E0565"/>
    <w:rsid w:val="000E18B7"/>
    <w:rsid w:val="000E1A25"/>
    <w:rsid w:val="000E241A"/>
    <w:rsid w:val="000E6036"/>
    <w:rsid w:val="000F0B28"/>
    <w:rsid w:val="000F3A6A"/>
    <w:rsid w:val="001033B3"/>
    <w:rsid w:val="00105636"/>
    <w:rsid w:val="00105A8F"/>
    <w:rsid w:val="001060A9"/>
    <w:rsid w:val="00110B9E"/>
    <w:rsid w:val="00111AFD"/>
    <w:rsid w:val="001140C6"/>
    <w:rsid w:val="00114BA3"/>
    <w:rsid w:val="00117D41"/>
    <w:rsid w:val="00121E04"/>
    <w:rsid w:val="0012343F"/>
    <w:rsid w:val="001240BE"/>
    <w:rsid w:val="0012650E"/>
    <w:rsid w:val="001331FA"/>
    <w:rsid w:val="00135581"/>
    <w:rsid w:val="001366A1"/>
    <w:rsid w:val="00140C59"/>
    <w:rsid w:val="0014205C"/>
    <w:rsid w:val="00143DD6"/>
    <w:rsid w:val="0014541E"/>
    <w:rsid w:val="00147D61"/>
    <w:rsid w:val="001543D2"/>
    <w:rsid w:val="001616C2"/>
    <w:rsid w:val="00164771"/>
    <w:rsid w:val="00174026"/>
    <w:rsid w:val="00177D67"/>
    <w:rsid w:val="001856EE"/>
    <w:rsid w:val="00186F6F"/>
    <w:rsid w:val="001903E5"/>
    <w:rsid w:val="00194319"/>
    <w:rsid w:val="00194C3C"/>
    <w:rsid w:val="00194D38"/>
    <w:rsid w:val="00197815"/>
    <w:rsid w:val="001A1F79"/>
    <w:rsid w:val="001A20D2"/>
    <w:rsid w:val="001A6BB6"/>
    <w:rsid w:val="001B482F"/>
    <w:rsid w:val="001B5412"/>
    <w:rsid w:val="001C12E5"/>
    <w:rsid w:val="001C293C"/>
    <w:rsid w:val="001D2A12"/>
    <w:rsid w:val="001E2721"/>
    <w:rsid w:val="001E4470"/>
    <w:rsid w:val="001E6127"/>
    <w:rsid w:val="001F272F"/>
    <w:rsid w:val="00204164"/>
    <w:rsid w:val="0020533A"/>
    <w:rsid w:val="0020711E"/>
    <w:rsid w:val="00207A8D"/>
    <w:rsid w:val="00210880"/>
    <w:rsid w:val="00211FCA"/>
    <w:rsid w:val="00213BEA"/>
    <w:rsid w:val="00216A25"/>
    <w:rsid w:val="00217C53"/>
    <w:rsid w:val="0022086F"/>
    <w:rsid w:val="00225358"/>
    <w:rsid w:val="002257B9"/>
    <w:rsid w:val="00225CB6"/>
    <w:rsid w:val="00227816"/>
    <w:rsid w:val="0023137D"/>
    <w:rsid w:val="00234B96"/>
    <w:rsid w:val="00235675"/>
    <w:rsid w:val="00237737"/>
    <w:rsid w:val="0023777D"/>
    <w:rsid w:val="00244C21"/>
    <w:rsid w:val="00244F6A"/>
    <w:rsid w:val="00250FAC"/>
    <w:rsid w:val="002514D9"/>
    <w:rsid w:val="0025174B"/>
    <w:rsid w:val="00253D2D"/>
    <w:rsid w:val="00254F96"/>
    <w:rsid w:val="00266710"/>
    <w:rsid w:val="00272BD8"/>
    <w:rsid w:val="002805B8"/>
    <w:rsid w:val="002860A3"/>
    <w:rsid w:val="00292EDF"/>
    <w:rsid w:val="002938CE"/>
    <w:rsid w:val="002968DF"/>
    <w:rsid w:val="002A50E9"/>
    <w:rsid w:val="002A5288"/>
    <w:rsid w:val="002B32EB"/>
    <w:rsid w:val="002B5CB9"/>
    <w:rsid w:val="002B6640"/>
    <w:rsid w:val="002C002B"/>
    <w:rsid w:val="002C05B5"/>
    <w:rsid w:val="002C2705"/>
    <w:rsid w:val="002C40CB"/>
    <w:rsid w:val="002C59A7"/>
    <w:rsid w:val="002C61B2"/>
    <w:rsid w:val="002C7481"/>
    <w:rsid w:val="002D10B0"/>
    <w:rsid w:val="002D12EC"/>
    <w:rsid w:val="002D61AC"/>
    <w:rsid w:val="002E174A"/>
    <w:rsid w:val="002E4FF9"/>
    <w:rsid w:val="002E7BA9"/>
    <w:rsid w:val="002F0ECC"/>
    <w:rsid w:val="002F4026"/>
    <w:rsid w:val="002F5F4B"/>
    <w:rsid w:val="002F702B"/>
    <w:rsid w:val="00303452"/>
    <w:rsid w:val="00310607"/>
    <w:rsid w:val="00311DD1"/>
    <w:rsid w:val="00314545"/>
    <w:rsid w:val="00315171"/>
    <w:rsid w:val="0031701A"/>
    <w:rsid w:val="00326283"/>
    <w:rsid w:val="00326B34"/>
    <w:rsid w:val="003270CF"/>
    <w:rsid w:val="00327191"/>
    <w:rsid w:val="003304C2"/>
    <w:rsid w:val="003324F7"/>
    <w:rsid w:val="00334F88"/>
    <w:rsid w:val="0033703C"/>
    <w:rsid w:val="00342D45"/>
    <w:rsid w:val="00343B4B"/>
    <w:rsid w:val="003466A3"/>
    <w:rsid w:val="00350180"/>
    <w:rsid w:val="003503CC"/>
    <w:rsid w:val="003540A5"/>
    <w:rsid w:val="0036104D"/>
    <w:rsid w:val="0036248B"/>
    <w:rsid w:val="003643C9"/>
    <w:rsid w:val="00366027"/>
    <w:rsid w:val="003707DB"/>
    <w:rsid w:val="00375AEC"/>
    <w:rsid w:val="00376236"/>
    <w:rsid w:val="0037652C"/>
    <w:rsid w:val="003765E1"/>
    <w:rsid w:val="00377281"/>
    <w:rsid w:val="00377F4A"/>
    <w:rsid w:val="003800E4"/>
    <w:rsid w:val="00380FF5"/>
    <w:rsid w:val="003816A2"/>
    <w:rsid w:val="003829E0"/>
    <w:rsid w:val="00384EB3"/>
    <w:rsid w:val="00385B2E"/>
    <w:rsid w:val="003915D0"/>
    <w:rsid w:val="00394943"/>
    <w:rsid w:val="00394A82"/>
    <w:rsid w:val="00394F1D"/>
    <w:rsid w:val="003A0E18"/>
    <w:rsid w:val="003A5997"/>
    <w:rsid w:val="003A6174"/>
    <w:rsid w:val="003B1862"/>
    <w:rsid w:val="003B25C2"/>
    <w:rsid w:val="003B38FA"/>
    <w:rsid w:val="003C2C23"/>
    <w:rsid w:val="003C5470"/>
    <w:rsid w:val="003C63E3"/>
    <w:rsid w:val="003D3FF9"/>
    <w:rsid w:val="003D48B4"/>
    <w:rsid w:val="003E0392"/>
    <w:rsid w:val="003E1C04"/>
    <w:rsid w:val="003E6A93"/>
    <w:rsid w:val="003F13A3"/>
    <w:rsid w:val="003F700B"/>
    <w:rsid w:val="00401897"/>
    <w:rsid w:val="004030AB"/>
    <w:rsid w:val="0040350F"/>
    <w:rsid w:val="0040478C"/>
    <w:rsid w:val="00412282"/>
    <w:rsid w:val="004215A2"/>
    <w:rsid w:val="00421B01"/>
    <w:rsid w:val="00421D98"/>
    <w:rsid w:val="00424794"/>
    <w:rsid w:val="004256BA"/>
    <w:rsid w:val="0042595C"/>
    <w:rsid w:val="00426427"/>
    <w:rsid w:val="00427C62"/>
    <w:rsid w:val="004317EA"/>
    <w:rsid w:val="00431999"/>
    <w:rsid w:val="00432FE7"/>
    <w:rsid w:val="004352FA"/>
    <w:rsid w:val="00435682"/>
    <w:rsid w:val="004372D1"/>
    <w:rsid w:val="00444B24"/>
    <w:rsid w:val="004457E2"/>
    <w:rsid w:val="00451C5E"/>
    <w:rsid w:val="00452538"/>
    <w:rsid w:val="00454125"/>
    <w:rsid w:val="00456081"/>
    <w:rsid w:val="00460AE0"/>
    <w:rsid w:val="00461664"/>
    <w:rsid w:val="00464F5D"/>
    <w:rsid w:val="004745DF"/>
    <w:rsid w:val="00474FBD"/>
    <w:rsid w:val="00475860"/>
    <w:rsid w:val="004770BC"/>
    <w:rsid w:val="00480CC6"/>
    <w:rsid w:val="00482311"/>
    <w:rsid w:val="004828C2"/>
    <w:rsid w:val="004839C5"/>
    <w:rsid w:val="004906AD"/>
    <w:rsid w:val="00491584"/>
    <w:rsid w:val="00491CFF"/>
    <w:rsid w:val="00491D7D"/>
    <w:rsid w:val="00497B64"/>
    <w:rsid w:val="00497CBA"/>
    <w:rsid w:val="00497E3E"/>
    <w:rsid w:val="004B2161"/>
    <w:rsid w:val="004B25D6"/>
    <w:rsid w:val="004B3EC0"/>
    <w:rsid w:val="004B7854"/>
    <w:rsid w:val="004C3A4B"/>
    <w:rsid w:val="004C3F45"/>
    <w:rsid w:val="004C648F"/>
    <w:rsid w:val="004D620D"/>
    <w:rsid w:val="004D6735"/>
    <w:rsid w:val="004E40EF"/>
    <w:rsid w:val="004E70E2"/>
    <w:rsid w:val="004E73F7"/>
    <w:rsid w:val="004F2623"/>
    <w:rsid w:val="004F46B9"/>
    <w:rsid w:val="004F76A0"/>
    <w:rsid w:val="00500E7F"/>
    <w:rsid w:val="00504819"/>
    <w:rsid w:val="00510A33"/>
    <w:rsid w:val="005110AE"/>
    <w:rsid w:val="005147EE"/>
    <w:rsid w:val="00515214"/>
    <w:rsid w:val="00515AFF"/>
    <w:rsid w:val="00515E44"/>
    <w:rsid w:val="00520AF2"/>
    <w:rsid w:val="005213FC"/>
    <w:rsid w:val="0052179D"/>
    <w:rsid w:val="00522C84"/>
    <w:rsid w:val="00526D6F"/>
    <w:rsid w:val="00530CB0"/>
    <w:rsid w:val="00531FE9"/>
    <w:rsid w:val="00533851"/>
    <w:rsid w:val="00537C94"/>
    <w:rsid w:val="005456A9"/>
    <w:rsid w:val="00551506"/>
    <w:rsid w:val="00555D52"/>
    <w:rsid w:val="005566D7"/>
    <w:rsid w:val="00556F59"/>
    <w:rsid w:val="00561F7F"/>
    <w:rsid w:val="00566290"/>
    <w:rsid w:val="00566B35"/>
    <w:rsid w:val="00570BA8"/>
    <w:rsid w:val="00571160"/>
    <w:rsid w:val="00573152"/>
    <w:rsid w:val="005732CC"/>
    <w:rsid w:val="00574402"/>
    <w:rsid w:val="00575211"/>
    <w:rsid w:val="00575422"/>
    <w:rsid w:val="00580FF6"/>
    <w:rsid w:val="005830CB"/>
    <w:rsid w:val="00584110"/>
    <w:rsid w:val="005901C2"/>
    <w:rsid w:val="005938C6"/>
    <w:rsid w:val="00596436"/>
    <w:rsid w:val="0059683A"/>
    <w:rsid w:val="00596CF4"/>
    <w:rsid w:val="00596D00"/>
    <w:rsid w:val="00597DD4"/>
    <w:rsid w:val="005A0431"/>
    <w:rsid w:val="005A4E40"/>
    <w:rsid w:val="005B3752"/>
    <w:rsid w:val="005B3F95"/>
    <w:rsid w:val="005B61C2"/>
    <w:rsid w:val="005C3D8A"/>
    <w:rsid w:val="005C4DAF"/>
    <w:rsid w:val="005D0795"/>
    <w:rsid w:val="005D26B7"/>
    <w:rsid w:val="005D2CFB"/>
    <w:rsid w:val="005D4AA1"/>
    <w:rsid w:val="005E4C84"/>
    <w:rsid w:val="005E7750"/>
    <w:rsid w:val="005F06F9"/>
    <w:rsid w:val="005F5B7D"/>
    <w:rsid w:val="005F763D"/>
    <w:rsid w:val="0060146C"/>
    <w:rsid w:val="00601C7C"/>
    <w:rsid w:val="0060207D"/>
    <w:rsid w:val="00602F79"/>
    <w:rsid w:val="006039F2"/>
    <w:rsid w:val="006061B0"/>
    <w:rsid w:val="00606CA5"/>
    <w:rsid w:val="0060732E"/>
    <w:rsid w:val="006076A9"/>
    <w:rsid w:val="006110E9"/>
    <w:rsid w:val="00614F44"/>
    <w:rsid w:val="00623B6D"/>
    <w:rsid w:val="00627CE1"/>
    <w:rsid w:val="00630170"/>
    <w:rsid w:val="00630342"/>
    <w:rsid w:val="00632680"/>
    <w:rsid w:val="0063462C"/>
    <w:rsid w:val="00634B79"/>
    <w:rsid w:val="00637925"/>
    <w:rsid w:val="0065167B"/>
    <w:rsid w:val="006522B5"/>
    <w:rsid w:val="006544EA"/>
    <w:rsid w:val="00654D8E"/>
    <w:rsid w:val="006563DF"/>
    <w:rsid w:val="006617C5"/>
    <w:rsid w:val="0066569F"/>
    <w:rsid w:val="006700A2"/>
    <w:rsid w:val="006715F7"/>
    <w:rsid w:val="006741EA"/>
    <w:rsid w:val="00674903"/>
    <w:rsid w:val="0069004B"/>
    <w:rsid w:val="006950C8"/>
    <w:rsid w:val="006A1406"/>
    <w:rsid w:val="006A1436"/>
    <w:rsid w:val="006A16B7"/>
    <w:rsid w:val="006B08EB"/>
    <w:rsid w:val="006B3052"/>
    <w:rsid w:val="006B481F"/>
    <w:rsid w:val="006C2DD8"/>
    <w:rsid w:val="006C30A5"/>
    <w:rsid w:val="006C554D"/>
    <w:rsid w:val="006C564D"/>
    <w:rsid w:val="006C67F6"/>
    <w:rsid w:val="006C6C5B"/>
    <w:rsid w:val="006C7678"/>
    <w:rsid w:val="006D5EDC"/>
    <w:rsid w:val="006D7A7E"/>
    <w:rsid w:val="006F2995"/>
    <w:rsid w:val="006F638E"/>
    <w:rsid w:val="00700181"/>
    <w:rsid w:val="00703E42"/>
    <w:rsid w:val="00704FD1"/>
    <w:rsid w:val="0070615C"/>
    <w:rsid w:val="00706575"/>
    <w:rsid w:val="007077F1"/>
    <w:rsid w:val="00714AAD"/>
    <w:rsid w:val="00715953"/>
    <w:rsid w:val="007240B3"/>
    <w:rsid w:val="0073363B"/>
    <w:rsid w:val="007368AD"/>
    <w:rsid w:val="00751838"/>
    <w:rsid w:val="00751D2A"/>
    <w:rsid w:val="00755095"/>
    <w:rsid w:val="007745BC"/>
    <w:rsid w:val="0077624B"/>
    <w:rsid w:val="007827C8"/>
    <w:rsid w:val="00782A4A"/>
    <w:rsid w:val="00796A07"/>
    <w:rsid w:val="007A0935"/>
    <w:rsid w:val="007A2FD1"/>
    <w:rsid w:val="007A4574"/>
    <w:rsid w:val="007A7519"/>
    <w:rsid w:val="007A7872"/>
    <w:rsid w:val="007A7F50"/>
    <w:rsid w:val="007C07FC"/>
    <w:rsid w:val="007C0A56"/>
    <w:rsid w:val="007C1803"/>
    <w:rsid w:val="007C1907"/>
    <w:rsid w:val="007F10E3"/>
    <w:rsid w:val="007F1E08"/>
    <w:rsid w:val="007F2C0E"/>
    <w:rsid w:val="007F2D46"/>
    <w:rsid w:val="00800448"/>
    <w:rsid w:val="00801A9C"/>
    <w:rsid w:val="00804AEB"/>
    <w:rsid w:val="00810339"/>
    <w:rsid w:val="00811A01"/>
    <w:rsid w:val="0081214C"/>
    <w:rsid w:val="00813650"/>
    <w:rsid w:val="008145B7"/>
    <w:rsid w:val="00824106"/>
    <w:rsid w:val="00832E56"/>
    <w:rsid w:val="00834435"/>
    <w:rsid w:val="00836514"/>
    <w:rsid w:val="00836D17"/>
    <w:rsid w:val="00840470"/>
    <w:rsid w:val="00840A55"/>
    <w:rsid w:val="00841E25"/>
    <w:rsid w:val="00842C8E"/>
    <w:rsid w:val="008464CD"/>
    <w:rsid w:val="008515EE"/>
    <w:rsid w:val="0085276C"/>
    <w:rsid w:val="008558A7"/>
    <w:rsid w:val="00855F25"/>
    <w:rsid w:val="008618BE"/>
    <w:rsid w:val="00861C4E"/>
    <w:rsid w:val="00865530"/>
    <w:rsid w:val="00865816"/>
    <w:rsid w:val="00866D21"/>
    <w:rsid w:val="008713E8"/>
    <w:rsid w:val="00874469"/>
    <w:rsid w:val="00875C6F"/>
    <w:rsid w:val="0087647D"/>
    <w:rsid w:val="00883DDA"/>
    <w:rsid w:val="00884E8D"/>
    <w:rsid w:val="008857D7"/>
    <w:rsid w:val="0088636D"/>
    <w:rsid w:val="00891FF9"/>
    <w:rsid w:val="0089270B"/>
    <w:rsid w:val="00893367"/>
    <w:rsid w:val="008A49F6"/>
    <w:rsid w:val="008B104D"/>
    <w:rsid w:val="008B4082"/>
    <w:rsid w:val="008B4E1B"/>
    <w:rsid w:val="008B5708"/>
    <w:rsid w:val="008B7C20"/>
    <w:rsid w:val="008C291C"/>
    <w:rsid w:val="008C3B67"/>
    <w:rsid w:val="008C3E41"/>
    <w:rsid w:val="008C3F48"/>
    <w:rsid w:val="008C40D7"/>
    <w:rsid w:val="008C6504"/>
    <w:rsid w:val="008C687F"/>
    <w:rsid w:val="008C739B"/>
    <w:rsid w:val="008D3BA3"/>
    <w:rsid w:val="008D49B4"/>
    <w:rsid w:val="008D5162"/>
    <w:rsid w:val="008D6246"/>
    <w:rsid w:val="008D7498"/>
    <w:rsid w:val="008D7D14"/>
    <w:rsid w:val="008E17B2"/>
    <w:rsid w:val="008E3F94"/>
    <w:rsid w:val="008F07CE"/>
    <w:rsid w:val="008F1153"/>
    <w:rsid w:val="008F4077"/>
    <w:rsid w:val="008F4E31"/>
    <w:rsid w:val="008F68ED"/>
    <w:rsid w:val="008F7EB2"/>
    <w:rsid w:val="00901EE6"/>
    <w:rsid w:val="009027AA"/>
    <w:rsid w:val="009079D3"/>
    <w:rsid w:val="009119D8"/>
    <w:rsid w:val="0091541C"/>
    <w:rsid w:val="00917E61"/>
    <w:rsid w:val="00920480"/>
    <w:rsid w:val="00921B97"/>
    <w:rsid w:val="009225E5"/>
    <w:rsid w:val="0092334F"/>
    <w:rsid w:val="00923D25"/>
    <w:rsid w:val="009257F8"/>
    <w:rsid w:val="00930CAD"/>
    <w:rsid w:val="00932E96"/>
    <w:rsid w:val="00933961"/>
    <w:rsid w:val="00940B51"/>
    <w:rsid w:val="009418E6"/>
    <w:rsid w:val="0094235F"/>
    <w:rsid w:val="0094279F"/>
    <w:rsid w:val="00943F0C"/>
    <w:rsid w:val="00946769"/>
    <w:rsid w:val="00946B98"/>
    <w:rsid w:val="0095052A"/>
    <w:rsid w:val="00952679"/>
    <w:rsid w:val="0095683A"/>
    <w:rsid w:val="00961E36"/>
    <w:rsid w:val="009658F0"/>
    <w:rsid w:val="00966BA9"/>
    <w:rsid w:val="00970F9E"/>
    <w:rsid w:val="00971C63"/>
    <w:rsid w:val="0097475C"/>
    <w:rsid w:val="00981744"/>
    <w:rsid w:val="00982AEF"/>
    <w:rsid w:val="00984A79"/>
    <w:rsid w:val="00984CCC"/>
    <w:rsid w:val="0099063D"/>
    <w:rsid w:val="009909E4"/>
    <w:rsid w:val="009923F2"/>
    <w:rsid w:val="009939E7"/>
    <w:rsid w:val="009A4AE9"/>
    <w:rsid w:val="009A54A3"/>
    <w:rsid w:val="009B16F1"/>
    <w:rsid w:val="009B3DDF"/>
    <w:rsid w:val="009B7A14"/>
    <w:rsid w:val="009C1037"/>
    <w:rsid w:val="009C345A"/>
    <w:rsid w:val="009C5816"/>
    <w:rsid w:val="009C71D5"/>
    <w:rsid w:val="009D08A9"/>
    <w:rsid w:val="009D0CE8"/>
    <w:rsid w:val="009D198B"/>
    <w:rsid w:val="009D6F03"/>
    <w:rsid w:val="009E0383"/>
    <w:rsid w:val="009E09AE"/>
    <w:rsid w:val="009E1555"/>
    <w:rsid w:val="009E73DA"/>
    <w:rsid w:val="009F052D"/>
    <w:rsid w:val="009F7CE4"/>
    <w:rsid w:val="00A00A85"/>
    <w:rsid w:val="00A01BAA"/>
    <w:rsid w:val="00A01D23"/>
    <w:rsid w:val="00A01EB6"/>
    <w:rsid w:val="00A11162"/>
    <w:rsid w:val="00A14200"/>
    <w:rsid w:val="00A256A9"/>
    <w:rsid w:val="00A26574"/>
    <w:rsid w:val="00A310A6"/>
    <w:rsid w:val="00A33E8E"/>
    <w:rsid w:val="00A35055"/>
    <w:rsid w:val="00A352A7"/>
    <w:rsid w:val="00A35C76"/>
    <w:rsid w:val="00A36E64"/>
    <w:rsid w:val="00A425F7"/>
    <w:rsid w:val="00A429D7"/>
    <w:rsid w:val="00A43227"/>
    <w:rsid w:val="00A45E1D"/>
    <w:rsid w:val="00A46CCD"/>
    <w:rsid w:val="00A519F2"/>
    <w:rsid w:val="00A606C6"/>
    <w:rsid w:val="00A60C9C"/>
    <w:rsid w:val="00A65133"/>
    <w:rsid w:val="00A652C5"/>
    <w:rsid w:val="00A658F3"/>
    <w:rsid w:val="00A729EF"/>
    <w:rsid w:val="00A75692"/>
    <w:rsid w:val="00A84476"/>
    <w:rsid w:val="00A85C5A"/>
    <w:rsid w:val="00A96A08"/>
    <w:rsid w:val="00AA0161"/>
    <w:rsid w:val="00AA26FE"/>
    <w:rsid w:val="00AA45D3"/>
    <w:rsid w:val="00AB1D08"/>
    <w:rsid w:val="00AB4345"/>
    <w:rsid w:val="00AB459D"/>
    <w:rsid w:val="00AB5BD7"/>
    <w:rsid w:val="00AB5CA9"/>
    <w:rsid w:val="00AB5E53"/>
    <w:rsid w:val="00AB6687"/>
    <w:rsid w:val="00AB6C84"/>
    <w:rsid w:val="00AC0017"/>
    <w:rsid w:val="00AC0135"/>
    <w:rsid w:val="00AC070D"/>
    <w:rsid w:val="00AC0C45"/>
    <w:rsid w:val="00AC4803"/>
    <w:rsid w:val="00AC76B2"/>
    <w:rsid w:val="00AD0616"/>
    <w:rsid w:val="00AD16C8"/>
    <w:rsid w:val="00AD1C33"/>
    <w:rsid w:val="00AD34FF"/>
    <w:rsid w:val="00AD4DE6"/>
    <w:rsid w:val="00AE1242"/>
    <w:rsid w:val="00AE3A42"/>
    <w:rsid w:val="00AF1640"/>
    <w:rsid w:val="00AF3E95"/>
    <w:rsid w:val="00AF773D"/>
    <w:rsid w:val="00B058F6"/>
    <w:rsid w:val="00B15D66"/>
    <w:rsid w:val="00B15FE9"/>
    <w:rsid w:val="00B268CE"/>
    <w:rsid w:val="00B272F8"/>
    <w:rsid w:val="00B30F40"/>
    <w:rsid w:val="00B321C2"/>
    <w:rsid w:val="00B36C96"/>
    <w:rsid w:val="00B419D5"/>
    <w:rsid w:val="00B43E6D"/>
    <w:rsid w:val="00B450E5"/>
    <w:rsid w:val="00B461DA"/>
    <w:rsid w:val="00B51883"/>
    <w:rsid w:val="00B575FC"/>
    <w:rsid w:val="00B61FD4"/>
    <w:rsid w:val="00B6405C"/>
    <w:rsid w:val="00B649C0"/>
    <w:rsid w:val="00B64E86"/>
    <w:rsid w:val="00B65129"/>
    <w:rsid w:val="00B674DB"/>
    <w:rsid w:val="00B716DF"/>
    <w:rsid w:val="00B73918"/>
    <w:rsid w:val="00B73953"/>
    <w:rsid w:val="00B73D8C"/>
    <w:rsid w:val="00B75E85"/>
    <w:rsid w:val="00B82E8D"/>
    <w:rsid w:val="00B83529"/>
    <w:rsid w:val="00B84A02"/>
    <w:rsid w:val="00B84EEB"/>
    <w:rsid w:val="00B859C0"/>
    <w:rsid w:val="00B86ED5"/>
    <w:rsid w:val="00B9264D"/>
    <w:rsid w:val="00B97D87"/>
    <w:rsid w:val="00BA44E8"/>
    <w:rsid w:val="00BA71AC"/>
    <w:rsid w:val="00BB0935"/>
    <w:rsid w:val="00BB12E2"/>
    <w:rsid w:val="00BB3FA1"/>
    <w:rsid w:val="00BB4C05"/>
    <w:rsid w:val="00BB62BB"/>
    <w:rsid w:val="00BC05C5"/>
    <w:rsid w:val="00BC1725"/>
    <w:rsid w:val="00BD04BE"/>
    <w:rsid w:val="00BD103E"/>
    <w:rsid w:val="00BD4205"/>
    <w:rsid w:val="00BD541B"/>
    <w:rsid w:val="00BD5E46"/>
    <w:rsid w:val="00BD7B40"/>
    <w:rsid w:val="00BE0AB8"/>
    <w:rsid w:val="00BE6E29"/>
    <w:rsid w:val="00BE6F28"/>
    <w:rsid w:val="00BF29FA"/>
    <w:rsid w:val="00BF33E2"/>
    <w:rsid w:val="00BF7D29"/>
    <w:rsid w:val="00C00893"/>
    <w:rsid w:val="00C04D2B"/>
    <w:rsid w:val="00C138E3"/>
    <w:rsid w:val="00C1677C"/>
    <w:rsid w:val="00C17526"/>
    <w:rsid w:val="00C255DC"/>
    <w:rsid w:val="00C3154C"/>
    <w:rsid w:val="00C373AC"/>
    <w:rsid w:val="00C40DE9"/>
    <w:rsid w:val="00C47A4B"/>
    <w:rsid w:val="00C52E15"/>
    <w:rsid w:val="00C63923"/>
    <w:rsid w:val="00C643EC"/>
    <w:rsid w:val="00C65D03"/>
    <w:rsid w:val="00C67359"/>
    <w:rsid w:val="00C737C5"/>
    <w:rsid w:val="00C74717"/>
    <w:rsid w:val="00C75580"/>
    <w:rsid w:val="00C7713F"/>
    <w:rsid w:val="00C80594"/>
    <w:rsid w:val="00C811AC"/>
    <w:rsid w:val="00C83285"/>
    <w:rsid w:val="00C84BFE"/>
    <w:rsid w:val="00CA3540"/>
    <w:rsid w:val="00CA58AA"/>
    <w:rsid w:val="00CA6DED"/>
    <w:rsid w:val="00CB41A7"/>
    <w:rsid w:val="00CB54F9"/>
    <w:rsid w:val="00CC134E"/>
    <w:rsid w:val="00CC2BB9"/>
    <w:rsid w:val="00CC49D4"/>
    <w:rsid w:val="00CD61E5"/>
    <w:rsid w:val="00CE6DF1"/>
    <w:rsid w:val="00CE6F5A"/>
    <w:rsid w:val="00CE7D50"/>
    <w:rsid w:val="00CF21C1"/>
    <w:rsid w:val="00CF2FC6"/>
    <w:rsid w:val="00CF32F9"/>
    <w:rsid w:val="00CF42CF"/>
    <w:rsid w:val="00CF639F"/>
    <w:rsid w:val="00CF7482"/>
    <w:rsid w:val="00D0253B"/>
    <w:rsid w:val="00D04D9A"/>
    <w:rsid w:val="00D102E9"/>
    <w:rsid w:val="00D10B19"/>
    <w:rsid w:val="00D13E9E"/>
    <w:rsid w:val="00D1418F"/>
    <w:rsid w:val="00D15FC3"/>
    <w:rsid w:val="00D1688F"/>
    <w:rsid w:val="00D172B9"/>
    <w:rsid w:val="00D17E55"/>
    <w:rsid w:val="00D2117F"/>
    <w:rsid w:val="00D25317"/>
    <w:rsid w:val="00D265FF"/>
    <w:rsid w:val="00D32F5A"/>
    <w:rsid w:val="00D34CFD"/>
    <w:rsid w:val="00D35539"/>
    <w:rsid w:val="00D36F57"/>
    <w:rsid w:val="00D37A64"/>
    <w:rsid w:val="00D416AA"/>
    <w:rsid w:val="00D44445"/>
    <w:rsid w:val="00D447C0"/>
    <w:rsid w:val="00D472C1"/>
    <w:rsid w:val="00D55C60"/>
    <w:rsid w:val="00D56BCA"/>
    <w:rsid w:val="00D57527"/>
    <w:rsid w:val="00D62AA6"/>
    <w:rsid w:val="00D64ADE"/>
    <w:rsid w:val="00D66E8B"/>
    <w:rsid w:val="00D67E46"/>
    <w:rsid w:val="00D71890"/>
    <w:rsid w:val="00D73BBD"/>
    <w:rsid w:val="00D85715"/>
    <w:rsid w:val="00D8706C"/>
    <w:rsid w:val="00DA298F"/>
    <w:rsid w:val="00DA40F1"/>
    <w:rsid w:val="00DA4C62"/>
    <w:rsid w:val="00DA5B88"/>
    <w:rsid w:val="00DA69C8"/>
    <w:rsid w:val="00DB04F4"/>
    <w:rsid w:val="00DB0631"/>
    <w:rsid w:val="00DB6A17"/>
    <w:rsid w:val="00DB70DA"/>
    <w:rsid w:val="00DC077B"/>
    <w:rsid w:val="00DC14C2"/>
    <w:rsid w:val="00DC4633"/>
    <w:rsid w:val="00DC4D01"/>
    <w:rsid w:val="00DC50F8"/>
    <w:rsid w:val="00DC77E1"/>
    <w:rsid w:val="00DD12C5"/>
    <w:rsid w:val="00DD159F"/>
    <w:rsid w:val="00DD2C15"/>
    <w:rsid w:val="00DD3C20"/>
    <w:rsid w:val="00DD5520"/>
    <w:rsid w:val="00DE1423"/>
    <w:rsid w:val="00DE7099"/>
    <w:rsid w:val="00DF6227"/>
    <w:rsid w:val="00DF69CE"/>
    <w:rsid w:val="00E00A95"/>
    <w:rsid w:val="00E00F76"/>
    <w:rsid w:val="00E05162"/>
    <w:rsid w:val="00E069F3"/>
    <w:rsid w:val="00E0718B"/>
    <w:rsid w:val="00E122E6"/>
    <w:rsid w:val="00E13C6D"/>
    <w:rsid w:val="00E15B84"/>
    <w:rsid w:val="00E21389"/>
    <w:rsid w:val="00E21E75"/>
    <w:rsid w:val="00E23001"/>
    <w:rsid w:val="00E2565C"/>
    <w:rsid w:val="00E36094"/>
    <w:rsid w:val="00E45B91"/>
    <w:rsid w:val="00E45F5A"/>
    <w:rsid w:val="00E47D61"/>
    <w:rsid w:val="00E519DC"/>
    <w:rsid w:val="00E52D6E"/>
    <w:rsid w:val="00E55A06"/>
    <w:rsid w:val="00E55CD6"/>
    <w:rsid w:val="00E55F28"/>
    <w:rsid w:val="00E57DD1"/>
    <w:rsid w:val="00E6217B"/>
    <w:rsid w:val="00E7301E"/>
    <w:rsid w:val="00E7693A"/>
    <w:rsid w:val="00E807DA"/>
    <w:rsid w:val="00E816F9"/>
    <w:rsid w:val="00E82B2F"/>
    <w:rsid w:val="00E84E3A"/>
    <w:rsid w:val="00E87FD1"/>
    <w:rsid w:val="00EA05AF"/>
    <w:rsid w:val="00EA3C05"/>
    <w:rsid w:val="00EA4409"/>
    <w:rsid w:val="00EA6AAF"/>
    <w:rsid w:val="00EB11F2"/>
    <w:rsid w:val="00EC055C"/>
    <w:rsid w:val="00EC3049"/>
    <w:rsid w:val="00EC43B9"/>
    <w:rsid w:val="00EC5E99"/>
    <w:rsid w:val="00ED06FB"/>
    <w:rsid w:val="00ED0E24"/>
    <w:rsid w:val="00ED4D69"/>
    <w:rsid w:val="00ED4DF1"/>
    <w:rsid w:val="00EE362F"/>
    <w:rsid w:val="00EE3ADF"/>
    <w:rsid w:val="00EE4E71"/>
    <w:rsid w:val="00EE5DDE"/>
    <w:rsid w:val="00EE64E1"/>
    <w:rsid w:val="00EF0E19"/>
    <w:rsid w:val="00F00AC0"/>
    <w:rsid w:val="00F021D7"/>
    <w:rsid w:val="00F041CF"/>
    <w:rsid w:val="00F065D4"/>
    <w:rsid w:val="00F06ACC"/>
    <w:rsid w:val="00F114AE"/>
    <w:rsid w:val="00F14D56"/>
    <w:rsid w:val="00F209E3"/>
    <w:rsid w:val="00F25029"/>
    <w:rsid w:val="00F311BF"/>
    <w:rsid w:val="00F343D6"/>
    <w:rsid w:val="00F35996"/>
    <w:rsid w:val="00F434E3"/>
    <w:rsid w:val="00F43CA0"/>
    <w:rsid w:val="00F43CFB"/>
    <w:rsid w:val="00F46BD4"/>
    <w:rsid w:val="00F52525"/>
    <w:rsid w:val="00F52641"/>
    <w:rsid w:val="00F52EBA"/>
    <w:rsid w:val="00F53FCD"/>
    <w:rsid w:val="00F55030"/>
    <w:rsid w:val="00F57168"/>
    <w:rsid w:val="00F579B5"/>
    <w:rsid w:val="00F623CA"/>
    <w:rsid w:val="00F627C2"/>
    <w:rsid w:val="00F67E15"/>
    <w:rsid w:val="00F73915"/>
    <w:rsid w:val="00F7696F"/>
    <w:rsid w:val="00F776FF"/>
    <w:rsid w:val="00F8014E"/>
    <w:rsid w:val="00F80702"/>
    <w:rsid w:val="00F808F3"/>
    <w:rsid w:val="00F81B1C"/>
    <w:rsid w:val="00F8209B"/>
    <w:rsid w:val="00F95387"/>
    <w:rsid w:val="00F97DFA"/>
    <w:rsid w:val="00FA0576"/>
    <w:rsid w:val="00FA2DC0"/>
    <w:rsid w:val="00FA62D9"/>
    <w:rsid w:val="00FB364B"/>
    <w:rsid w:val="00FB50B4"/>
    <w:rsid w:val="00FB6DBA"/>
    <w:rsid w:val="00FC0494"/>
    <w:rsid w:val="00FC482F"/>
    <w:rsid w:val="00FC5DD4"/>
    <w:rsid w:val="00FC7F42"/>
    <w:rsid w:val="00FD4B97"/>
    <w:rsid w:val="00FD6558"/>
    <w:rsid w:val="00FE3EE5"/>
    <w:rsid w:val="00FE55EB"/>
    <w:rsid w:val="00FF1145"/>
    <w:rsid w:val="00FF49DA"/>
    <w:rsid w:val="00FF5FC4"/>
    <w:rsid w:val="00FF6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0"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0"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563DF"/>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9"/>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A519F2"/>
    <w:rPr>
      <w:lang w:eastAsia="en-US"/>
    </w:rPr>
  </w:style>
  <w:style w:type="table" w:styleId="LightShading-Accent2">
    <w:name w:val="Light Shading Accent 2"/>
    <w:basedOn w:val="TableNormal"/>
    <w:uiPriority w:val="60"/>
    <w:locked/>
    <w:rsid w:val="00A519F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A519F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A519F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2">
    <w:name w:val="Medium Shading 1 Accent 2"/>
    <w:basedOn w:val="TableNormal"/>
    <w:uiPriority w:val="63"/>
    <w:locked/>
    <w:rsid w:val="00A519F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locked/>
    <w:rsid w:val="00A519F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locked/>
    <w:rsid w:val="00A519F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locked/>
    <w:rsid w:val="00A519F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locked/>
    <w:rsid w:val="00A519F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locked/>
    <w:rsid w:val="00A519F2"/>
    <w:rPr>
      <w:i/>
      <w:iCs/>
    </w:rPr>
  </w:style>
  <w:style w:type="paragraph" w:styleId="NormalWeb">
    <w:name w:val="Normal (Web)"/>
    <w:basedOn w:val="Normal"/>
    <w:uiPriority w:val="99"/>
    <w:semiHidden/>
    <w:unhideWhenUsed/>
    <w:locked/>
    <w:rsid w:val="00A519F2"/>
    <w:rPr>
      <w:rFonts w:ascii="Times New Roman" w:hAnsi="Times New Roman"/>
      <w:sz w:val="24"/>
      <w:szCs w:val="24"/>
    </w:rPr>
  </w:style>
  <w:style w:type="paragraph" w:styleId="EndnoteText">
    <w:name w:val="endnote text"/>
    <w:basedOn w:val="Normal"/>
    <w:link w:val="EndnoteTextChar"/>
    <w:uiPriority w:val="99"/>
    <w:semiHidden/>
    <w:unhideWhenUsed/>
    <w:locked/>
    <w:rsid w:val="00A519F2"/>
    <w:pPr>
      <w:spacing w:after="0" w:line="240" w:lineRule="auto"/>
    </w:pPr>
  </w:style>
  <w:style w:type="character" w:customStyle="1" w:styleId="EndnoteTextChar">
    <w:name w:val="Endnote Text Char"/>
    <w:basedOn w:val="DefaultParagraphFont"/>
    <w:link w:val="EndnoteText"/>
    <w:uiPriority w:val="99"/>
    <w:semiHidden/>
    <w:rsid w:val="00A519F2"/>
    <w:rPr>
      <w:lang w:eastAsia="en-US"/>
    </w:rPr>
  </w:style>
  <w:style w:type="character" w:styleId="EndnoteReference">
    <w:name w:val="endnote reference"/>
    <w:basedOn w:val="DefaultParagraphFont"/>
    <w:uiPriority w:val="99"/>
    <w:semiHidden/>
    <w:unhideWhenUsed/>
    <w:locked/>
    <w:rsid w:val="00A519F2"/>
    <w:rPr>
      <w:vertAlign w:val="superscript"/>
    </w:rPr>
  </w:style>
  <w:style w:type="character" w:styleId="HTMLDefinition">
    <w:name w:val="HTML Definition"/>
    <w:basedOn w:val="DefaultParagraphFont"/>
    <w:uiPriority w:val="99"/>
    <w:semiHidden/>
    <w:unhideWhenUsed/>
    <w:locked/>
    <w:rsid w:val="00A519F2"/>
    <w:rPr>
      <w:i/>
      <w:iCs/>
    </w:rPr>
  </w:style>
  <w:style w:type="character" w:styleId="IntenseEmphasis">
    <w:name w:val="Intense Emphasis"/>
    <w:basedOn w:val="DefaultParagraphFont"/>
    <w:uiPriority w:val="21"/>
    <w:semiHidden/>
    <w:unhideWhenUsed/>
    <w:qFormat/>
    <w:locked/>
    <w:rsid w:val="00C84BFE"/>
    <w:rPr>
      <w:b/>
      <w:bCs/>
      <w:i/>
      <w:iCs/>
      <w:color w:val="4F81BD" w:themeColor="accent1"/>
    </w:rPr>
  </w:style>
  <w:style w:type="paragraph" w:styleId="Quote">
    <w:name w:val="Quote"/>
    <w:basedOn w:val="Normal"/>
    <w:next w:val="Normal"/>
    <w:link w:val="QuoteChar"/>
    <w:uiPriority w:val="29"/>
    <w:semiHidden/>
    <w:unhideWhenUsed/>
    <w:qFormat/>
    <w:locked/>
    <w:rsid w:val="00C84BFE"/>
    <w:rPr>
      <w:i/>
      <w:iCs/>
      <w:color w:val="000000" w:themeColor="text1"/>
    </w:rPr>
  </w:style>
  <w:style w:type="character" w:customStyle="1" w:styleId="QuoteChar">
    <w:name w:val="Quote Char"/>
    <w:basedOn w:val="DefaultParagraphFont"/>
    <w:link w:val="Quote"/>
    <w:uiPriority w:val="29"/>
    <w:semiHidden/>
    <w:rsid w:val="00C84BFE"/>
    <w:rPr>
      <w:i/>
      <w:iCs/>
      <w:color w:val="000000" w:themeColor="text1"/>
      <w:lang w:eastAsia="en-US"/>
    </w:rPr>
  </w:style>
  <w:style w:type="character" w:styleId="Emphasis">
    <w:name w:val="Emphasis"/>
    <w:basedOn w:val="DefaultParagraphFont"/>
    <w:uiPriority w:val="20"/>
    <w:semiHidden/>
    <w:unhideWhenUsed/>
    <w:qFormat/>
    <w:locked/>
    <w:rsid w:val="009119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305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542666748">
      <w:bodyDiv w:val="1"/>
      <w:marLeft w:val="0"/>
      <w:marRight w:val="0"/>
      <w:marTop w:val="0"/>
      <w:marBottom w:val="0"/>
      <w:divBdr>
        <w:top w:val="none" w:sz="0" w:space="0" w:color="auto"/>
        <w:left w:val="none" w:sz="0" w:space="0" w:color="auto"/>
        <w:bottom w:val="none" w:sz="0" w:space="0" w:color="auto"/>
        <w:right w:val="none" w:sz="0" w:space="0" w:color="auto"/>
      </w:divBdr>
    </w:div>
    <w:div w:id="20727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23.emf"/><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chart" Target="charts/chart2.xml"/><Relationship Id="rId62"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electricity2015@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chart" Target="charts/chart1.xml"/><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image" Target="media/image25.emf"/><Relationship Id="rId61" Type="http://schemas.openxmlformats.org/officeDocument/2006/relationships/image" Target="media/image29.emf"/><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8.e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image" Target="media/image24.emf"/><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hyperlink" Target="http://www.aer.gov.a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emf"/></Relationships>
</file>

<file path=word/_rels/footnotes.xml.rels><?xml version="1.0" encoding="UTF-8" standalone="yes"?>
<Relationships xmlns="http://schemas.openxmlformats.org/package/2006/relationships"><Relationship Id="rId3" Type="http://schemas.openxmlformats.org/officeDocument/2006/relationships/hyperlink" Target="file:///\\cbrvpwxfs01\home$\rlowi\www.aer.gov.au\node\20941" TargetMode="External"/><Relationship Id="rId2" Type="http://schemas.openxmlformats.org/officeDocument/2006/relationships/hyperlink" Target="file:///\\cbrvpwxfs01\home$\rlowi\www.escosa.sa.gov.au\electricity-overview\licensing\distribution-licences.aspx" TargetMode="External"/><Relationship Id="rId1" Type="http://schemas.openxmlformats.org/officeDocument/2006/relationships/hyperlink" Target="file:///\\cbrvpwxfs01\home$\rlowi\www.escosa.sa.gov.au\library\130131-ElectricityDistributionCode-EDC10.pdf" TargetMode="External"/><Relationship Id="rId5" Type="http://schemas.openxmlformats.org/officeDocument/2006/relationships/hyperlink" Target="http://www.aer.gov.au/node/18864" TargetMode="External"/><Relationship Id="rId4" Type="http://schemas.openxmlformats.org/officeDocument/2006/relationships/hyperlink" Target="file:///\\cbrvpwxfs01\home$\rlowi\www.escosa.sa.gov.au\library\130131-ElectricityDistributionCode-EDC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wu\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wu\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2"/>
              </a:solidFill>
            </c:spPr>
          </c:dPt>
          <c:dPt>
            <c:idx val="1"/>
            <c:bubble3D val="0"/>
            <c:spPr>
              <a:solidFill>
                <a:schemeClr val="accent3"/>
              </a:solidFill>
            </c:spPr>
          </c:dPt>
          <c:dPt>
            <c:idx val="2"/>
            <c:bubble3D val="0"/>
            <c:spPr>
              <a:solidFill>
                <a:schemeClr val="accent4"/>
              </a:solidFill>
            </c:spPr>
          </c:dPt>
          <c:dPt>
            <c:idx val="3"/>
            <c:bubble3D val="0"/>
            <c:spPr>
              <a:solidFill>
                <a:schemeClr val="accent1"/>
              </a:solidFill>
            </c:spPr>
          </c:dPt>
          <c:dLbls>
            <c:showLegendKey val="0"/>
            <c:showVal val="1"/>
            <c:showCatName val="0"/>
            <c:showSerName val="0"/>
            <c:showPercent val="0"/>
            <c:showBubbleSize val="0"/>
            <c:showLeaderLines val="1"/>
          </c:dLbls>
          <c:cat>
            <c:strRef>
              <c:f>Sheet1!$A$6:$D$6</c:f>
              <c:strCache>
                <c:ptCount val="4"/>
                <c:pt idx="0">
                  <c:v>Fixed charge </c:v>
                </c:pt>
                <c:pt idx="1">
                  <c:v>Other Energy</c:v>
                </c:pt>
                <c:pt idx="2">
                  <c:v>Demand/Capacity</c:v>
                </c:pt>
                <c:pt idx="3">
                  <c:v>Peak Energy</c:v>
                </c:pt>
              </c:strCache>
            </c:strRef>
          </c:cat>
          <c:val>
            <c:numRef>
              <c:f>Sheet1!$A$8:$D$8</c:f>
              <c:numCache>
                <c:formatCode>0.00%</c:formatCode>
                <c:ptCount val="4"/>
                <c:pt idx="0">
                  <c:v>0.14309834531405455</c:v>
                </c:pt>
                <c:pt idx="1">
                  <c:v>0.71843830536802189</c:v>
                </c:pt>
                <c:pt idx="2">
                  <c:v>8.1385180004582183E-2</c:v>
                </c:pt>
                <c:pt idx="3">
                  <c:v>5.7078169313341323E-2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2"/>
              </a:solidFill>
            </c:spPr>
          </c:dPt>
          <c:dPt>
            <c:idx val="1"/>
            <c:bubble3D val="0"/>
            <c:spPr>
              <a:solidFill>
                <a:schemeClr val="accent3"/>
              </a:solidFill>
            </c:spPr>
          </c:dPt>
          <c:dPt>
            <c:idx val="2"/>
            <c:bubble3D val="0"/>
            <c:spPr>
              <a:solidFill>
                <a:schemeClr val="accent4"/>
              </a:solidFill>
            </c:spPr>
          </c:dPt>
          <c:dPt>
            <c:idx val="3"/>
            <c:bubble3D val="0"/>
            <c:spPr>
              <a:solidFill>
                <a:schemeClr val="accent1"/>
              </a:solidFill>
            </c:spPr>
          </c:dPt>
          <c:dLbls>
            <c:showLegendKey val="0"/>
            <c:showVal val="1"/>
            <c:showCatName val="0"/>
            <c:showSerName val="0"/>
            <c:showPercent val="0"/>
            <c:showBubbleSize val="0"/>
            <c:showLeaderLines val="1"/>
          </c:dLbls>
          <c:cat>
            <c:strRef>
              <c:f>Sheet1!$A$1:$D$1</c:f>
              <c:strCache>
                <c:ptCount val="4"/>
                <c:pt idx="0">
                  <c:v>Fixed charge</c:v>
                </c:pt>
                <c:pt idx="1">
                  <c:v>Other Energy</c:v>
                </c:pt>
                <c:pt idx="2">
                  <c:v>Demand/Capacity</c:v>
                </c:pt>
                <c:pt idx="3">
                  <c:v>Peak Energy</c:v>
                </c:pt>
              </c:strCache>
            </c:strRef>
          </c:cat>
          <c:val>
            <c:numRef>
              <c:f>Sheet1!$A$3:$D$3</c:f>
              <c:numCache>
                <c:formatCode>0.00%</c:formatCode>
                <c:ptCount val="4"/>
                <c:pt idx="0">
                  <c:v>9.7355498251333716E-2</c:v>
                </c:pt>
                <c:pt idx="1">
                  <c:v>0.68745385894424049</c:v>
                </c:pt>
                <c:pt idx="2">
                  <c:v>0.1551169753620438</c:v>
                </c:pt>
                <c:pt idx="3">
                  <c:v>6.0073667442381948E-2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524B-7D91-41ED-8C85-AAC22866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27892</Words>
  <Characters>158991</Characters>
  <Application>Microsoft Office Word</Application>
  <DocSecurity>0</DocSecurity>
  <Lines>1324</Lines>
  <Paragraphs>373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186510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apete</dc:creator>
  <cp:keywords/>
  <cp:lastModifiedBy>rlowi</cp:lastModifiedBy>
  <cp:revision>2</cp:revision>
  <cp:lastPrinted>2013-12-17T21:19:00Z</cp:lastPrinted>
  <dcterms:created xsi:type="dcterms:W3CDTF">2013-12-18T03:49:00Z</dcterms:created>
  <dcterms:modified xsi:type="dcterms:W3CDTF">2013-12-18T03:49:00Z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Settings\rlowi\Local Settings\Temporary Internet Files\Content.Outlook\GIVNZBNB\AER Decision- SA FA - preliminary positions - final for publication.DOCX</vt:lpwstr>
  </property>
</Properties>
</file>