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176A" w:rsidRDefault="00676CF3" w:rsidP="00814799">
      <w:pPr>
        <w:pStyle w:val="AERfactsheetsubtitle"/>
        <w:widowControl w:val="0"/>
        <w:spacing w:before="120"/>
      </w:pPr>
      <w:r>
        <w:rPr>
          <w:noProof/>
          <w:lang w:eastAsia="en-AU"/>
        </w:rPr>
        <mc:AlternateContent>
          <mc:Choice Requires="wps">
            <w:drawing>
              <wp:anchor distT="0" distB="0" distL="114300" distR="114300" simplePos="0" relativeHeight="251656192" behindDoc="0" locked="0" layoutInCell="1" allowOverlap="1" wp14:anchorId="72E1901E" wp14:editId="5262B2B4">
                <wp:simplePos x="0" y="0"/>
                <wp:positionH relativeFrom="column">
                  <wp:posOffset>-457200</wp:posOffset>
                </wp:positionH>
                <wp:positionV relativeFrom="paragraph">
                  <wp:posOffset>794385</wp:posOffset>
                </wp:positionV>
                <wp:extent cx="7562850" cy="1375410"/>
                <wp:effectExtent l="0" t="0" r="0" b="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2850" cy="1375410"/>
                        </a:xfrm>
                        <a:prstGeom prst="rect">
                          <a:avLst/>
                        </a:prstGeom>
                        <a:solidFill>
                          <a:srgbClr val="006A9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331D4" w:rsidRPr="00C52D60" w:rsidRDefault="00676CF3" w:rsidP="004331D4">
                            <w:pPr>
                              <w:spacing w:before="120"/>
                              <w:ind w:left="567"/>
                              <w:rPr>
                                <w:rFonts w:ascii="MS Reference Sans Serif" w:hAnsi="MS Reference Sans Serif" w:cs="Tunga"/>
                                <w:color w:val="FFFFFF"/>
                                <w:spacing w:val="10"/>
                                <w:w w:val="99"/>
                                <w:kern w:val="44"/>
                                <w:sz w:val="40"/>
                                <w:szCs w:val="40"/>
                              </w:rPr>
                            </w:pPr>
                            <w:r>
                              <w:rPr>
                                <w:rFonts w:ascii="MS Reference Sans Serif" w:hAnsi="MS Reference Sans Serif" w:cs="Tunga"/>
                                <w:color w:val="FFFFFF"/>
                                <w:spacing w:val="10"/>
                                <w:w w:val="99"/>
                                <w:kern w:val="44"/>
                                <w:sz w:val="40"/>
                                <w:szCs w:val="40"/>
                              </w:rPr>
                              <w:t xml:space="preserve">Draft </w:t>
                            </w:r>
                            <w:r w:rsidR="004331D4">
                              <w:rPr>
                                <w:rFonts w:ascii="MS Reference Sans Serif" w:hAnsi="MS Reference Sans Serif" w:cs="Tunga"/>
                                <w:color w:val="FFFFFF"/>
                                <w:spacing w:val="10"/>
                                <w:w w:val="99"/>
                                <w:kern w:val="44"/>
                                <w:sz w:val="40"/>
                                <w:szCs w:val="40"/>
                              </w:rPr>
                              <w:t>decision</w:t>
                            </w:r>
                            <w:r w:rsidR="004331D4" w:rsidRPr="00C52D60">
                              <w:rPr>
                                <w:rFonts w:ascii="MS Reference Sans Serif" w:hAnsi="MS Reference Sans Serif" w:cs="Tunga"/>
                                <w:color w:val="FFFFFF"/>
                                <w:spacing w:val="10"/>
                                <w:w w:val="99"/>
                                <w:kern w:val="44"/>
                                <w:sz w:val="40"/>
                                <w:szCs w:val="40"/>
                              </w:rPr>
                              <w:t>:</w:t>
                            </w:r>
                          </w:p>
                          <w:p w:rsidR="004331D4" w:rsidRDefault="004331D4" w:rsidP="004331D4">
                            <w:pPr>
                              <w:ind w:left="567"/>
                              <w:rPr>
                                <w:rFonts w:ascii="MS Reference Sans Serif" w:hAnsi="MS Reference Sans Serif" w:cs="Tunga"/>
                                <w:color w:val="FFFFFF"/>
                                <w:spacing w:val="10"/>
                                <w:w w:val="99"/>
                                <w:kern w:val="44"/>
                                <w:sz w:val="40"/>
                                <w:szCs w:val="40"/>
                              </w:rPr>
                            </w:pPr>
                            <w:r>
                              <w:rPr>
                                <w:rFonts w:ascii="MS Reference Sans Serif" w:hAnsi="MS Reference Sans Serif" w:cs="Tunga"/>
                                <w:color w:val="FFFFFF"/>
                                <w:spacing w:val="10"/>
                                <w:w w:val="99"/>
                                <w:kern w:val="44"/>
                                <w:sz w:val="40"/>
                                <w:szCs w:val="40"/>
                              </w:rPr>
                              <w:t xml:space="preserve">AusNet </w:t>
                            </w:r>
                            <w:r w:rsidR="008764A3">
                              <w:rPr>
                                <w:rFonts w:ascii="MS Reference Sans Serif" w:hAnsi="MS Reference Sans Serif" w:cs="Tunga"/>
                                <w:color w:val="FFFFFF"/>
                                <w:spacing w:val="10"/>
                                <w:w w:val="99"/>
                                <w:kern w:val="44"/>
                                <w:sz w:val="40"/>
                                <w:szCs w:val="40"/>
                              </w:rPr>
                              <w:t xml:space="preserve">Gas </w:t>
                            </w:r>
                            <w:r>
                              <w:rPr>
                                <w:rFonts w:ascii="MS Reference Sans Serif" w:hAnsi="MS Reference Sans Serif" w:cs="Tunga"/>
                                <w:color w:val="FFFFFF"/>
                                <w:spacing w:val="10"/>
                                <w:w w:val="99"/>
                                <w:kern w:val="44"/>
                                <w:sz w:val="40"/>
                                <w:szCs w:val="40"/>
                              </w:rPr>
                              <w:t>Services</w:t>
                            </w:r>
                            <w:r w:rsidRPr="00C52D60">
                              <w:rPr>
                                <w:rFonts w:ascii="MS Reference Sans Serif" w:hAnsi="MS Reference Sans Serif" w:cs="Tunga"/>
                                <w:color w:val="FFFFFF"/>
                                <w:spacing w:val="10"/>
                                <w:w w:val="99"/>
                                <w:kern w:val="44"/>
                                <w:sz w:val="40"/>
                                <w:szCs w:val="40"/>
                              </w:rPr>
                              <w:t xml:space="preserve"> 201</w:t>
                            </w:r>
                            <w:r w:rsidR="00676CF3">
                              <w:rPr>
                                <w:rFonts w:ascii="MS Reference Sans Serif" w:hAnsi="MS Reference Sans Serif" w:cs="Tunga"/>
                                <w:color w:val="FFFFFF"/>
                                <w:spacing w:val="10"/>
                                <w:w w:val="99"/>
                                <w:kern w:val="44"/>
                                <w:sz w:val="40"/>
                                <w:szCs w:val="40"/>
                              </w:rPr>
                              <w:t>8</w:t>
                            </w:r>
                            <w:r w:rsidRPr="00C52D60">
                              <w:rPr>
                                <w:rFonts w:ascii="MS Reference Sans Serif" w:hAnsi="MS Reference Sans Serif" w:cs="Tunga"/>
                                <w:color w:val="FFFFFF"/>
                                <w:spacing w:val="10"/>
                                <w:w w:val="99"/>
                                <w:kern w:val="44"/>
                                <w:sz w:val="40"/>
                                <w:szCs w:val="40"/>
                              </w:rPr>
                              <w:t>–2</w:t>
                            </w:r>
                            <w:r>
                              <w:rPr>
                                <w:rFonts w:ascii="MS Reference Sans Serif" w:hAnsi="MS Reference Sans Serif" w:cs="Tunga"/>
                                <w:color w:val="FFFFFF"/>
                                <w:spacing w:val="10"/>
                                <w:w w:val="99"/>
                                <w:kern w:val="44"/>
                                <w:sz w:val="40"/>
                                <w:szCs w:val="40"/>
                              </w:rPr>
                              <w:t>2</w:t>
                            </w:r>
                          </w:p>
                          <w:p w:rsidR="004331D4" w:rsidRPr="00E83166" w:rsidRDefault="004331D4" w:rsidP="004331D4">
                            <w:pPr>
                              <w:ind w:left="567"/>
                              <w:rPr>
                                <w:rFonts w:ascii="MS Reference Sans Serif" w:hAnsi="MS Reference Sans Serif" w:cs="Tunga"/>
                                <w:color w:val="FFFFFF"/>
                              </w:rPr>
                            </w:pPr>
                            <w:r>
                              <w:rPr>
                                <w:rFonts w:ascii="MS Reference Sans Serif" w:hAnsi="MS Reference Sans Serif" w:cs="Tunga"/>
                                <w:color w:val="FFFFFF"/>
                                <w:spacing w:val="10"/>
                                <w:w w:val="99"/>
                                <w:kern w:val="44"/>
                                <w:sz w:val="40"/>
                                <w:szCs w:val="40"/>
                              </w:rPr>
                              <w:t>Rate of return fact sheet</w:t>
                            </w:r>
                          </w:p>
                          <w:p w:rsidR="004331D4" w:rsidRPr="00390BEB" w:rsidRDefault="004331D4" w:rsidP="001D49FD">
                            <w:pPr>
                              <w:ind w:left="567" w:right="941"/>
                              <w:jc w:val="right"/>
                              <w:rPr>
                                <w:rFonts w:cs="Calibri"/>
                                <w:b/>
                                <w:color w:val="FFFFFF"/>
                              </w:rPr>
                            </w:pPr>
                          </w:p>
                        </w:txbxContent>
                      </wps:txbx>
                      <wps:bodyPr rot="0" vert="horz" wrap="square" lIns="91440" tIns="45720" rIns="91440" bIns="45720" anchor="b" anchorCtr="0" upright="1">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6pt;margin-top:62.55pt;width:595.5pt;height:108.3pt;z-index:2516561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" fillcolor="#006a99" stroked="f">
                <v:textbox>
                  <w:txbxContent>
                    <w:p w:rsidR="004331D4" w:rsidRPr="00C52D60" w:rsidRDefault="00676CF3" w:rsidP="004331D4">
                      <w:pPr>
                        <w:spacing w:before="120"/>
                        <w:ind w:left="567"/>
                        <w:rPr>
                          <w:rFonts w:ascii="MS Reference Sans Serif" w:hAnsi="MS Reference Sans Serif" w:cs="Tunga"/>
                          <w:color w:val="FFFFFF"/>
                          <w:spacing w:val="10"/>
                          <w:w w:val="99"/>
                          <w:kern w:val="44"/>
                          <w:sz w:val="40"/>
                          <w:szCs w:val="40"/>
                        </w:rPr>
                      </w:pPr>
                      <w:r>
                        <w:rPr>
                          <w:rFonts w:ascii="MS Reference Sans Serif" w:hAnsi="MS Reference Sans Serif" w:cs="Tunga"/>
                          <w:color w:val="FFFFFF"/>
                          <w:spacing w:val="10"/>
                          <w:w w:val="99"/>
                          <w:kern w:val="44"/>
                          <w:sz w:val="40"/>
                          <w:szCs w:val="40"/>
                        </w:rPr>
                        <w:t xml:space="preserve">Draft </w:t>
                      </w:r>
                      <w:r w:rsidR="004331D4">
                        <w:rPr>
                          <w:rFonts w:ascii="MS Reference Sans Serif" w:hAnsi="MS Reference Sans Serif" w:cs="Tunga"/>
                          <w:color w:val="FFFFFF"/>
                          <w:spacing w:val="10"/>
                          <w:w w:val="99"/>
                          <w:kern w:val="44"/>
                          <w:sz w:val="40"/>
                          <w:szCs w:val="40"/>
                        </w:rPr>
                        <w:t>decision</w:t>
                      </w:r>
                      <w:r w:rsidR="004331D4" w:rsidRPr="00C52D60">
                        <w:rPr>
                          <w:rFonts w:ascii="MS Reference Sans Serif" w:hAnsi="MS Reference Sans Serif" w:cs="Tunga"/>
                          <w:color w:val="FFFFFF"/>
                          <w:spacing w:val="10"/>
                          <w:w w:val="99"/>
                          <w:kern w:val="44"/>
                          <w:sz w:val="40"/>
                          <w:szCs w:val="40"/>
                        </w:rPr>
                        <w:t>:</w:t>
                      </w:r>
                    </w:p>
                    <w:p w:rsidR="004331D4" w:rsidRDefault="004331D4" w:rsidP="004331D4">
                      <w:pPr>
                        <w:ind w:left="567"/>
                        <w:rPr>
                          <w:rFonts w:ascii="MS Reference Sans Serif" w:hAnsi="MS Reference Sans Serif" w:cs="Tunga"/>
                          <w:color w:val="FFFFFF"/>
                          <w:spacing w:val="10"/>
                          <w:w w:val="99"/>
                          <w:kern w:val="44"/>
                          <w:sz w:val="40"/>
                          <w:szCs w:val="40"/>
                        </w:rPr>
                      </w:pPr>
                      <w:r>
                        <w:rPr>
                          <w:rFonts w:ascii="MS Reference Sans Serif" w:hAnsi="MS Reference Sans Serif" w:cs="Tunga"/>
                          <w:color w:val="FFFFFF"/>
                          <w:spacing w:val="10"/>
                          <w:w w:val="99"/>
                          <w:kern w:val="44"/>
                          <w:sz w:val="40"/>
                          <w:szCs w:val="40"/>
                        </w:rPr>
                        <w:t xml:space="preserve">AusNet </w:t>
                      </w:r>
                      <w:r w:rsidR="008764A3">
                        <w:rPr>
                          <w:rFonts w:ascii="MS Reference Sans Serif" w:hAnsi="MS Reference Sans Serif" w:cs="Tunga"/>
                          <w:color w:val="FFFFFF"/>
                          <w:spacing w:val="10"/>
                          <w:w w:val="99"/>
                          <w:kern w:val="44"/>
                          <w:sz w:val="40"/>
                          <w:szCs w:val="40"/>
                        </w:rPr>
                        <w:t xml:space="preserve">Gas </w:t>
                      </w:r>
                      <w:r>
                        <w:rPr>
                          <w:rFonts w:ascii="MS Reference Sans Serif" w:hAnsi="MS Reference Sans Serif" w:cs="Tunga"/>
                          <w:color w:val="FFFFFF"/>
                          <w:spacing w:val="10"/>
                          <w:w w:val="99"/>
                          <w:kern w:val="44"/>
                          <w:sz w:val="40"/>
                          <w:szCs w:val="40"/>
                        </w:rPr>
                        <w:t>Services</w:t>
                      </w:r>
                      <w:r w:rsidRPr="00C52D60">
                        <w:rPr>
                          <w:rFonts w:ascii="MS Reference Sans Serif" w:hAnsi="MS Reference Sans Serif" w:cs="Tunga"/>
                          <w:color w:val="FFFFFF"/>
                          <w:spacing w:val="10"/>
                          <w:w w:val="99"/>
                          <w:kern w:val="44"/>
                          <w:sz w:val="40"/>
                          <w:szCs w:val="40"/>
                        </w:rPr>
                        <w:t xml:space="preserve"> 201</w:t>
                      </w:r>
                      <w:r w:rsidR="00676CF3">
                        <w:rPr>
                          <w:rFonts w:ascii="MS Reference Sans Serif" w:hAnsi="MS Reference Sans Serif" w:cs="Tunga"/>
                          <w:color w:val="FFFFFF"/>
                          <w:spacing w:val="10"/>
                          <w:w w:val="99"/>
                          <w:kern w:val="44"/>
                          <w:sz w:val="40"/>
                          <w:szCs w:val="40"/>
                        </w:rPr>
                        <w:t>8</w:t>
                      </w:r>
                      <w:r w:rsidRPr="00C52D60">
                        <w:rPr>
                          <w:rFonts w:ascii="MS Reference Sans Serif" w:hAnsi="MS Reference Sans Serif" w:cs="Tunga"/>
                          <w:color w:val="FFFFFF"/>
                          <w:spacing w:val="10"/>
                          <w:w w:val="99"/>
                          <w:kern w:val="44"/>
                          <w:sz w:val="40"/>
                          <w:szCs w:val="40"/>
                        </w:rPr>
                        <w:t>–2</w:t>
                      </w:r>
                      <w:r>
                        <w:rPr>
                          <w:rFonts w:ascii="MS Reference Sans Serif" w:hAnsi="MS Reference Sans Serif" w:cs="Tunga"/>
                          <w:color w:val="FFFFFF"/>
                          <w:spacing w:val="10"/>
                          <w:w w:val="99"/>
                          <w:kern w:val="44"/>
                          <w:sz w:val="40"/>
                          <w:szCs w:val="40"/>
                        </w:rPr>
                        <w:t>2</w:t>
                      </w:r>
                    </w:p>
                    <w:p w:rsidR="004331D4" w:rsidRPr="00E83166" w:rsidRDefault="004331D4" w:rsidP="004331D4">
                      <w:pPr>
                        <w:ind w:left="567"/>
                        <w:rPr>
                          <w:rFonts w:ascii="MS Reference Sans Serif" w:hAnsi="MS Reference Sans Serif" w:cs="Tunga"/>
                          <w:color w:val="FFFFFF"/>
                        </w:rPr>
                      </w:pPr>
                      <w:r>
                        <w:rPr>
                          <w:rFonts w:ascii="MS Reference Sans Serif" w:hAnsi="MS Reference Sans Serif" w:cs="Tunga"/>
                          <w:color w:val="FFFFFF"/>
                          <w:spacing w:val="10"/>
                          <w:w w:val="99"/>
                          <w:kern w:val="44"/>
                          <w:sz w:val="40"/>
                          <w:szCs w:val="40"/>
                        </w:rPr>
                        <w:t>Rate of return fact sheet</w:t>
                      </w:r>
                    </w:p>
                    <w:p w:rsidR="004331D4" w:rsidRPr="00390BEB" w:rsidRDefault="004331D4" w:rsidP="001D49FD">
                      <w:pPr>
                        <w:ind w:left="567" w:right="941"/>
                        <w:jc w:val="right"/>
                        <w:rPr>
                          <w:rFonts w:cs="Calibri"/>
                          <w:b/>
                          <w:color w:val="FFFFFF"/>
                        </w:rPr>
                      </w:pPr>
                    </w:p>
                  </w:txbxContent>
                </v:textbox>
                <w10:wrap type="topAndBottom"/>
              </v:shape>
            </w:pict>
          </mc:Fallback>
        </mc:AlternateContent>
      </w:r>
      <w:r w:rsidR="005610D6">
        <w:rPr>
          <w:noProof/>
          <w:lang w:eastAsia="en-AU"/>
        </w:rPr>
        <w:drawing>
          <wp:anchor distT="0" distB="0" distL="114300" distR="114300" simplePos="0" relativeHeight="251657216" behindDoc="0" locked="0" layoutInCell="1" allowOverlap="1" wp14:anchorId="306ED552" wp14:editId="26FA7EDC">
            <wp:simplePos x="0" y="0"/>
            <wp:positionH relativeFrom="column">
              <wp:posOffset>57150</wp:posOffset>
            </wp:positionH>
            <wp:positionV relativeFrom="paragraph">
              <wp:posOffset>17780</wp:posOffset>
            </wp:positionV>
            <wp:extent cx="2362200" cy="745490"/>
            <wp:effectExtent l="0" t="0" r="0" b="0"/>
            <wp:wrapTopAndBottom/>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62200" cy="745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p>
    <w:p w:rsidR="00754FD0" w:rsidRPr="004D1DC0" w:rsidRDefault="00754FD0" w:rsidP="00EF1802">
      <w:pPr>
        <w:pStyle w:val="AERfactsheetsubtitle"/>
        <w:widowControl w:val="0"/>
        <w:sectPr w:rsidR="00754FD0" w:rsidRPr="004D1DC0" w:rsidSect="00BE5A7F">
          <w:headerReference w:type="even" r:id="rId10"/>
          <w:headerReference w:type="default" r:id="rId11"/>
          <w:footerReference w:type="even" r:id="rId12"/>
          <w:footerReference w:type="default" r:id="rId13"/>
          <w:headerReference w:type="first" r:id="rId14"/>
          <w:footerReference w:type="first" r:id="rId15"/>
          <w:pgSz w:w="11906" w:h="16838"/>
          <w:pgMar w:top="720" w:right="720" w:bottom="720" w:left="720" w:header="708" w:footer="708" w:gutter="0"/>
          <w:cols w:space="284"/>
          <w:docGrid w:linePitch="360"/>
        </w:sectPr>
      </w:pPr>
    </w:p>
    <w:p w:rsidR="00AC0236" w:rsidRPr="00697FF1" w:rsidRDefault="006A5A15" w:rsidP="00814799">
      <w:pPr>
        <w:pStyle w:val="AERFactsheetHeading1"/>
        <w:keepNext w:val="0"/>
        <w:widowControl w:val="0"/>
        <w:spacing w:before="120"/>
      </w:pPr>
      <w:r>
        <w:lastRenderedPageBreak/>
        <w:t>T</w:t>
      </w:r>
      <w:r w:rsidR="00AA7208">
        <w:t xml:space="preserve">he </w:t>
      </w:r>
      <w:r>
        <w:t xml:space="preserve">allowed </w:t>
      </w:r>
      <w:r w:rsidR="00AA7208">
        <w:t xml:space="preserve">rate of return </w:t>
      </w:r>
    </w:p>
    <w:p w:rsidR="00A21083" w:rsidRDefault="00A21083" w:rsidP="00814799">
      <w:pPr>
        <w:pStyle w:val="AERfactsheetbodytext"/>
        <w:widowControl w:val="0"/>
        <w:jc w:val="both"/>
      </w:pPr>
      <w:r>
        <w:t xml:space="preserve">Significant investment is required to build </w:t>
      </w:r>
      <w:r w:rsidR="001F5758">
        <w:t>a gas</w:t>
      </w:r>
      <w:bookmarkStart w:id="0" w:name="_GoBack"/>
      <w:bookmarkEnd w:id="0"/>
      <w:r>
        <w:t xml:space="preserve"> network. </w:t>
      </w:r>
      <w:r w:rsidR="008C32AF" w:rsidRPr="008C32AF">
        <w:t xml:space="preserve">The allowed rate of return is </w:t>
      </w:r>
      <w:r>
        <w:t>a</w:t>
      </w:r>
      <w:r w:rsidR="00DD5448">
        <w:t xml:space="preserve"> forecast of the cost of funds </w:t>
      </w:r>
      <w:r w:rsidR="00D403E1">
        <w:t>a network business requires</w:t>
      </w:r>
      <w:r w:rsidR="00DD5448">
        <w:t xml:space="preserve"> to </w:t>
      </w:r>
      <w:r w:rsidR="006D137A">
        <w:t xml:space="preserve">attract </w:t>
      </w:r>
      <w:r w:rsidR="00DD5448">
        <w:t>invest</w:t>
      </w:r>
      <w:r w:rsidR="006D137A">
        <w:t>ment</w:t>
      </w:r>
      <w:r w:rsidR="00DD5448">
        <w:t xml:space="preserve"> </w:t>
      </w:r>
      <w:r w:rsidR="00792075">
        <w:t>in the network.</w:t>
      </w:r>
    </w:p>
    <w:p w:rsidR="009B176A" w:rsidRDefault="001D4048" w:rsidP="00814799">
      <w:pPr>
        <w:pStyle w:val="AERfactsheetbodytext"/>
        <w:widowControl w:val="0"/>
        <w:jc w:val="both"/>
      </w:pPr>
      <w:r>
        <w:t xml:space="preserve">We set the rate of return based on a benchmark, rather than the actual costs of individual businesses. Hence, network businesses have incentives to finance their business as efficiently as possible. </w:t>
      </w:r>
      <w:r w:rsidR="00676CF3">
        <w:t>We set a rate of return that is commensurate with the efficient financing costs of a benchmark efficient entity with a “similar degree of risk” as that which applies to the particular service provider in respect of providing the re</w:t>
      </w:r>
      <w:r w:rsidR="00E56F4A">
        <w:t>ference</w:t>
      </w:r>
      <w:r w:rsidR="00676CF3">
        <w:t xml:space="preserve"> services.</w:t>
      </w:r>
    </w:p>
    <w:p w:rsidR="00F27ABE" w:rsidRDefault="009B176A" w:rsidP="00814799">
      <w:pPr>
        <w:pStyle w:val="AERfactsheetbodytext"/>
        <w:widowControl w:val="0"/>
        <w:jc w:val="both"/>
      </w:pPr>
      <w:r>
        <w:t>We</w:t>
      </w:r>
      <w:r w:rsidR="00DD5448">
        <w:t xml:space="preserve"> estimate th</w:t>
      </w:r>
      <w:r>
        <w:t xml:space="preserve">e rate of return by combining the returns </w:t>
      </w:r>
      <w:r w:rsidR="00DD5448">
        <w:t xml:space="preserve">of the two sources of funds for investments—equity and debt. The </w:t>
      </w:r>
      <w:r w:rsidR="001152E2">
        <w:t xml:space="preserve">return on </w:t>
      </w:r>
      <w:r w:rsidR="00DD5448">
        <w:t xml:space="preserve">equity is the return </w:t>
      </w:r>
      <w:r w:rsidR="00C76528">
        <w:t xml:space="preserve">shareholders of the business will require for them to continue to invest. </w:t>
      </w:r>
    </w:p>
    <w:p w:rsidR="00F335AB" w:rsidRDefault="00F335AB" w:rsidP="00814799">
      <w:pPr>
        <w:pStyle w:val="AERfactsheetbodytext"/>
        <w:widowControl w:val="0"/>
        <w:jc w:val="both"/>
      </w:pPr>
      <w:r>
        <w:rPr>
          <w:noProof/>
          <w:lang w:eastAsia="en-AU"/>
        </w:rPr>
        <mc:AlternateContent>
          <mc:Choice Requires="wps">
            <w:drawing>
              <wp:inline distT="0" distB="0" distL="0" distR="0" wp14:anchorId="17055C6C" wp14:editId="43B76ACF">
                <wp:extent cx="3267986" cy="906448"/>
                <wp:effectExtent l="0" t="0" r="27940" b="27305"/>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7986" cy="906448"/>
                        </a:xfrm>
                        <a:prstGeom prst="rect">
                          <a:avLst/>
                        </a:prstGeom>
                        <a:solidFill>
                          <a:srgbClr val="DBE5F1"/>
                        </a:solidFill>
                        <a:ln w="9525">
                          <a:solidFill>
                            <a:srgbClr val="006A99"/>
                          </a:solidFill>
                          <a:miter lim="800000"/>
                          <a:headEnd/>
                          <a:tailEnd/>
                        </a:ln>
                      </wps:spPr>
                      <wps:txbx>
                        <w:txbxContent>
                          <w:p w:rsidR="004331D4" w:rsidRPr="00355A06" w:rsidRDefault="004331D4" w:rsidP="004331D4">
                            <w:pPr>
                              <w:pStyle w:val="AERfactsheetbodytext"/>
                            </w:pPr>
                            <w:r>
                              <w:t xml:space="preserve">Our </w:t>
                            </w:r>
                            <w:r w:rsidR="00676CF3">
                              <w:t>draft</w:t>
                            </w:r>
                            <w:r>
                              <w:t xml:space="preserve"> decision applies a rate of return for AusNet of </w:t>
                            </w:r>
                            <w:r w:rsidR="00676CF3">
                              <w:t>5.94</w:t>
                            </w:r>
                            <w:r>
                              <w:t> per cent for 201</w:t>
                            </w:r>
                            <w:r w:rsidR="00676CF3">
                              <w:t>8</w:t>
                            </w:r>
                            <w:r>
                              <w:t>–1</w:t>
                            </w:r>
                            <w:r w:rsidR="00676CF3">
                              <w:t>9</w:t>
                            </w:r>
                            <w:r>
                              <w:t xml:space="preserve">. </w:t>
                            </w:r>
                          </w:p>
                          <w:p w:rsidR="004331D4" w:rsidRDefault="004331D4" w:rsidP="00F335AB">
                            <w:pPr>
                              <w:pStyle w:val="AERfactsheetbodytext"/>
                            </w:pPr>
                            <w:r>
                              <w:t xml:space="preserve">The rate of return will be updated annually during the regulatory period. </w:t>
                            </w:r>
                          </w:p>
                        </w:txbxContent>
                      </wps:txbx>
                      <wps:bodyPr rot="0" vert="horz" wrap="square" lIns="91440" tIns="45720" rIns="91440" bIns="45720" anchor="t" anchorCtr="0" upright="1">
                        <a:noAutofit/>
                      </wps:bodyPr>
                    </wps:wsp>
                  </a:graphicData>
                </a:graphic>
              </wp:inline>
            </w:drawing>
          </mc:Choice>
          <mc:Fallback>
            <w:pict>
              <v:shape id="Text Box 3" o:spid="_x0000_s1027" type="#_x0000_t202" style="width:257.3pt;height:7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" fillcolor="#dbe5f1" strokecolor="#006a99">
                <v:textbox>
                  <w:txbxContent>
                    <w:p w:rsidR="004331D4" w:rsidRPr="00355A06" w:rsidRDefault="004331D4" w:rsidP="004331D4">
                      <w:pPr>
                        <w:pStyle w:val="AERfactsheetbodytext"/>
                      </w:pPr>
                      <w:r>
                        <w:t xml:space="preserve">Our </w:t>
                      </w:r>
                      <w:r w:rsidR="00676CF3">
                        <w:t>draft</w:t>
                      </w:r>
                      <w:r>
                        <w:t xml:space="preserve"> decision applies a rate of return for AusNet of </w:t>
                      </w:r>
                      <w:r w:rsidR="00676CF3">
                        <w:t>5.94</w:t>
                      </w:r>
                      <w:r>
                        <w:t> per cent for 201</w:t>
                      </w:r>
                      <w:r w:rsidR="00676CF3">
                        <w:t>8</w:t>
                      </w:r>
                      <w:r>
                        <w:t>–1</w:t>
                      </w:r>
                      <w:r w:rsidR="00676CF3">
                        <w:t>9</w:t>
                      </w:r>
                      <w:r>
                        <w:t xml:space="preserve">. </w:t>
                      </w:r>
                    </w:p>
                    <w:p w:rsidR="004331D4" w:rsidRDefault="004331D4" w:rsidP="00F335AB">
                      <w:pPr>
                        <w:pStyle w:val="AERfactsheetbodytext"/>
                      </w:pPr>
                      <w:r>
                        <w:t xml:space="preserve">The rate of return will be updated annually during the regulatory period. </w:t>
                      </w:r>
                    </w:p>
                  </w:txbxContent>
                </v:textbox>
                <w10:anchorlock/>
              </v:shape>
            </w:pict>
          </mc:Fallback>
        </mc:AlternateContent>
      </w:r>
    </w:p>
    <w:p w:rsidR="00C76528" w:rsidRDefault="00F335AB" w:rsidP="00814799">
      <w:pPr>
        <w:pStyle w:val="AERfactsheetbodytext"/>
        <w:widowControl w:val="0"/>
        <w:jc w:val="both"/>
      </w:pPr>
      <w:r w:rsidRPr="00697FF1">
        <w:rPr>
          <w:noProof/>
          <w:lang w:eastAsia="en-AU"/>
        </w:rPr>
        <w:drawing>
          <wp:anchor distT="0" distB="0" distL="114300" distR="114300" simplePos="0" relativeHeight="251671552" behindDoc="0" locked="0" layoutInCell="1" allowOverlap="1" wp14:anchorId="6E895D4A" wp14:editId="26CCD4C6">
            <wp:simplePos x="0" y="0"/>
            <wp:positionH relativeFrom="column">
              <wp:posOffset>-454660</wp:posOffset>
            </wp:positionH>
            <wp:positionV relativeFrom="page">
              <wp:posOffset>10229850</wp:posOffset>
            </wp:positionV>
            <wp:extent cx="8827135" cy="492760"/>
            <wp:effectExtent l="0" t="0" r="0" b="2540"/>
            <wp:wrapNone/>
            <wp:docPr id="31" name="Picture 31" descr="Title: Blue end box - Description: Blue end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itle: Blue end box - Description: Blue end box"/>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827135" cy="492760"/>
                    </a:xfrm>
                    <a:prstGeom prst="rect">
                      <a:avLst/>
                    </a:prstGeom>
                    <a:noFill/>
                  </pic:spPr>
                </pic:pic>
              </a:graphicData>
            </a:graphic>
            <wp14:sizeRelH relativeFrom="page">
              <wp14:pctWidth>0</wp14:pctWidth>
            </wp14:sizeRelH>
            <wp14:sizeRelV relativeFrom="page">
              <wp14:pctHeight>0</wp14:pctHeight>
            </wp14:sizeRelV>
          </wp:anchor>
        </w:drawing>
      </w:r>
      <w:r w:rsidR="00C76528">
        <w:t xml:space="preserve">The </w:t>
      </w:r>
      <w:r w:rsidR="001152E2">
        <w:t>return on</w:t>
      </w:r>
      <w:r w:rsidR="00C76528">
        <w:t xml:space="preserve"> debt is the interest rate the network business pays when it borrows money to invest.</w:t>
      </w:r>
      <w:r w:rsidR="00F27ABE">
        <w:t xml:space="preserve"> </w:t>
      </w:r>
      <w:r w:rsidR="00C76528">
        <w:t xml:space="preserve">We </w:t>
      </w:r>
      <w:r w:rsidR="00C039EB">
        <w:t>consider that</w:t>
      </w:r>
      <w:r w:rsidR="00C76528">
        <w:t xml:space="preserve"> efficient network business</w:t>
      </w:r>
      <w:r w:rsidR="00C039EB">
        <w:t>es</w:t>
      </w:r>
      <w:r w:rsidR="00C76528">
        <w:t xml:space="preserve"> would fund </w:t>
      </w:r>
      <w:r w:rsidR="00C039EB">
        <w:t xml:space="preserve">their </w:t>
      </w:r>
      <w:r w:rsidR="00C76528">
        <w:t xml:space="preserve">investments by borrowing 60 per cent of the required funds, while raising the remaining 40 per cent from equity. </w:t>
      </w:r>
    </w:p>
    <w:p w:rsidR="00A14E17" w:rsidRDefault="008C32AF" w:rsidP="00814799">
      <w:pPr>
        <w:pStyle w:val="AERfactsheetbodytext"/>
        <w:widowControl w:val="0"/>
        <w:jc w:val="both"/>
      </w:pPr>
      <w:r w:rsidRPr="008C32AF">
        <w:t xml:space="preserve">A good estimate of the rate of return is necessary to promote efficient prices in the long term interests of consumers. </w:t>
      </w:r>
      <w:r w:rsidR="00260768">
        <w:t xml:space="preserve">If the rate of return is set too low, the network business may not be able to attract sufficient funds to be able to make the required investments in the network </w:t>
      </w:r>
      <w:r w:rsidR="009462FA">
        <w:t xml:space="preserve">and reliability may decline. </w:t>
      </w:r>
      <w:r w:rsidR="00564A2D">
        <w:t>Alternatively</w:t>
      </w:r>
      <w:r w:rsidR="00260768">
        <w:t xml:space="preserve">, if the rate of return of return is set too high, the network business may seek to spend too much and consumers will pay inefficiently high prices. </w:t>
      </w:r>
    </w:p>
    <w:p w:rsidR="00F27ABE" w:rsidRDefault="00F27ABE" w:rsidP="00F27ABE">
      <w:r>
        <w:rPr>
          <w:noProof/>
          <w:lang w:eastAsia="en-AU"/>
        </w:rPr>
        <mc:AlternateContent>
          <mc:Choice Requires="wps">
            <w:drawing>
              <wp:inline distT="0" distB="0" distL="0" distR="0" wp14:anchorId="1B0B7132" wp14:editId="210246A9">
                <wp:extent cx="3214370" cy="569344"/>
                <wp:effectExtent l="0" t="0" r="24130" b="21590"/>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4370" cy="569344"/>
                        </a:xfrm>
                        <a:prstGeom prst="rect">
                          <a:avLst/>
                        </a:prstGeom>
                        <a:solidFill>
                          <a:srgbClr val="DBE5F1"/>
                        </a:solidFill>
                        <a:ln w="9525">
                          <a:solidFill>
                            <a:srgbClr val="006A99"/>
                          </a:solidFill>
                          <a:miter lim="800000"/>
                          <a:headEnd/>
                          <a:tailEnd/>
                        </a:ln>
                      </wps:spPr>
                      <wps:txbx>
                        <w:txbxContent>
                          <w:p w:rsidR="004331D4" w:rsidRPr="00916002" w:rsidRDefault="004331D4" w:rsidP="00F27ABE">
                            <w:pPr>
                              <w:pStyle w:val="AERfactsheetbodytext"/>
                            </w:pPr>
                            <w:r>
                              <w:t xml:space="preserve">Our aim is to set a rate of return that delivers sufficient but not excessive returns to support investment in safe and reliable energy networks. </w:t>
                            </w:r>
                          </w:p>
                        </w:txbxContent>
                      </wps:txbx>
                      <wps:bodyPr rot="0" vert="horz" wrap="square" lIns="91440" tIns="45720" rIns="91440" bIns="45720" anchor="t" anchorCtr="0" upright="1">
                        <a:noAutofit/>
                      </wps:bodyPr>
                    </wps:wsp>
                  </a:graphicData>
                </a:graphic>
              </wp:inline>
            </w:drawing>
          </mc:Choice>
          <mc:Fallback>
            <w:pict>
              <v:shape id="Text Box 10" o:spid="_x0000_s1030" type="#_x0000_t202" style="width:253.1pt;height:44.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" fillcolor="#dbe5f1" strokecolor="#006a99">
                <v:textbox>
                  <w:txbxContent>
                    <w:p w:rsidR="004331D4" w:rsidRPr="00916002" w:rsidRDefault="004331D4" w:rsidP="00F27ABE">
                      <w:pPr>
                        <w:pStyle w:val="AERfactsheetbodytext"/>
                      </w:pPr>
                      <w:r>
                        <w:t xml:space="preserve">Our aim is to set a rate of return that delivers sufficient but not excessive returns to support investment in safe and reliable energy networks. </w:t>
                      </w:r>
                    </w:p>
                  </w:txbxContent>
                </v:textbox>
                <w10:anchorlock/>
              </v:shape>
            </w:pict>
          </mc:Fallback>
        </mc:AlternateContent>
      </w:r>
    </w:p>
    <w:p w:rsidR="00B14CC5" w:rsidRDefault="00B14CC5" w:rsidP="00CB083F">
      <w:pPr>
        <w:pStyle w:val="AERFactsheetHeading1"/>
        <w:keepNext w:val="0"/>
        <w:widowControl w:val="0"/>
        <w:spacing w:before="120"/>
      </w:pPr>
    </w:p>
    <w:p w:rsidR="007101C1" w:rsidRDefault="00C90A07" w:rsidP="00CB083F">
      <w:pPr>
        <w:pStyle w:val="AERFactsheetHeading1"/>
        <w:keepNext w:val="0"/>
        <w:widowControl w:val="0"/>
        <w:spacing w:before="120"/>
      </w:pPr>
      <w:r>
        <w:t xml:space="preserve">Our approach </w:t>
      </w:r>
    </w:p>
    <w:p w:rsidR="009B176A" w:rsidRDefault="001D4048" w:rsidP="00814799">
      <w:pPr>
        <w:pStyle w:val="AERfactsheetbodytext"/>
        <w:widowControl w:val="0"/>
        <w:jc w:val="both"/>
      </w:pPr>
      <w:r>
        <w:t>Our approach includes a process that captures a broad range of material from all stakeholders. W</w:t>
      </w:r>
      <w:r w:rsidR="00F07C7E">
        <w:t>e set out this approach in our Rate of R</w:t>
      </w:r>
      <w:r>
        <w:t>eturn guideline (the Guideline) published in December 20</w:t>
      </w:r>
      <w:r w:rsidR="005B4ADC">
        <w:t>1</w:t>
      </w:r>
      <w:r>
        <w:t xml:space="preserve">3. The Guideline was developed through extensive consultation and included effective and inclusive consumer engagement </w:t>
      </w:r>
      <w:r w:rsidR="009B176A">
        <w:t xml:space="preserve">throughout 2013. </w:t>
      </w:r>
    </w:p>
    <w:p w:rsidR="00A14E17" w:rsidRDefault="009B176A" w:rsidP="00814799">
      <w:pPr>
        <w:pStyle w:val="AERfactsheetbodytext"/>
        <w:widowControl w:val="0"/>
        <w:jc w:val="both"/>
      </w:pPr>
      <w:r>
        <w:t>In making th</w:t>
      </w:r>
      <w:r w:rsidR="00124CB2">
        <w:t xml:space="preserve">is </w:t>
      </w:r>
      <w:r w:rsidR="00676CF3">
        <w:t>draft</w:t>
      </w:r>
      <w:r w:rsidR="00B55180">
        <w:t xml:space="preserve"> </w:t>
      </w:r>
      <w:r>
        <w:t>decision we have reviewed a vast amount of material put before us</w:t>
      </w:r>
      <w:r w:rsidR="00D9277B">
        <w:t>. This includes</w:t>
      </w:r>
      <w:r>
        <w:t xml:space="preserve"> </w:t>
      </w:r>
      <w:r w:rsidR="00D9277B">
        <w:t>reports from e</w:t>
      </w:r>
      <w:r>
        <w:t>xpert</w:t>
      </w:r>
      <w:r w:rsidR="00D9277B">
        <w:t xml:space="preserve">s engaged by the </w:t>
      </w:r>
      <w:r w:rsidR="00903654">
        <w:t>network service provider</w:t>
      </w:r>
      <w:r w:rsidR="00D9277B">
        <w:t xml:space="preserve"> and us, and submissions from users, consumer groups and the Consumer Challenge Panel. Overall, our approach is consistent with what we set out in the Guideline. </w:t>
      </w:r>
      <w:r w:rsidR="00AA44D4">
        <w:t>Further details</w:t>
      </w:r>
      <w:r w:rsidR="00D9277B">
        <w:t xml:space="preserve"> of our Guideline approach are available at </w:t>
      </w:r>
      <w:hyperlink r:id="rId17" w:history="1">
        <w:r w:rsidR="00D9277B" w:rsidRPr="00487692">
          <w:rPr>
            <w:rStyle w:val="Hyperlink"/>
          </w:rPr>
          <w:t>http://www.aer.gov.au/node/18859</w:t>
        </w:r>
      </w:hyperlink>
      <w:r w:rsidR="00D9277B">
        <w:t xml:space="preserve"> </w:t>
      </w:r>
    </w:p>
    <w:p w:rsidR="009462FA" w:rsidRDefault="00AA44D4" w:rsidP="00F27ABE">
      <w:pPr>
        <w:pStyle w:val="AERfactsheetbodytext"/>
        <w:widowControl w:val="0"/>
      </w:pPr>
      <w:r>
        <w:rPr>
          <w:noProof/>
          <w:lang w:eastAsia="en-AU"/>
        </w:rPr>
        <mc:AlternateContent>
          <mc:Choice Requires="wps">
            <w:drawing>
              <wp:inline distT="0" distB="0" distL="0" distR="0" wp14:anchorId="1D59DBE7" wp14:editId="1B55DEE6">
                <wp:extent cx="3214370" cy="574158"/>
                <wp:effectExtent l="0" t="0" r="24130" b="16510"/>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4370" cy="574158"/>
                        </a:xfrm>
                        <a:prstGeom prst="rect">
                          <a:avLst/>
                        </a:prstGeom>
                        <a:solidFill>
                          <a:srgbClr val="DBE5F1"/>
                        </a:solidFill>
                        <a:ln w="9525">
                          <a:solidFill>
                            <a:srgbClr val="006A99"/>
                          </a:solidFill>
                          <a:miter lim="800000"/>
                          <a:headEnd/>
                          <a:tailEnd/>
                        </a:ln>
                      </wps:spPr>
                      <wps:txbx>
                        <w:txbxContent>
                          <w:p w:rsidR="004331D4" w:rsidRDefault="004331D4" w:rsidP="00AA44D4">
                            <w:pPr>
                              <w:pStyle w:val="AERfactsheetbodytext"/>
                              <w:keepNext/>
                              <w:widowControl w:val="0"/>
                            </w:pPr>
                            <w:r>
                              <w:t xml:space="preserve">Our </w:t>
                            </w:r>
                            <w:r w:rsidRPr="00346F63">
                              <w:t>approach allow</w:t>
                            </w:r>
                            <w:r>
                              <w:t>s</w:t>
                            </w:r>
                            <w:r w:rsidRPr="00346F63">
                              <w:t xml:space="preserve"> us to </w:t>
                            </w:r>
                            <w:r>
                              <w:t xml:space="preserve">determine a rate of return that is commensurate with efficient costs, reflects </w:t>
                            </w:r>
                            <w:r w:rsidRPr="00346F63">
                              <w:t>market conditions</w:t>
                            </w:r>
                            <w:r>
                              <w:t xml:space="preserve"> and is in </w:t>
                            </w:r>
                            <w:r w:rsidRPr="00346F63">
                              <w:t>the long term interest</w:t>
                            </w:r>
                            <w:r>
                              <w:t>s</w:t>
                            </w:r>
                            <w:r w:rsidRPr="00346F63">
                              <w:t xml:space="preserve"> of consumer</w:t>
                            </w:r>
                            <w:r>
                              <w:t>s</w:t>
                            </w:r>
                            <w:r w:rsidRPr="00346F63">
                              <w:t>.</w:t>
                            </w:r>
                          </w:p>
                        </w:txbxContent>
                      </wps:txbx>
                      <wps:bodyPr rot="0" vert="horz" wrap="square" lIns="91440" tIns="45720" rIns="91440" bIns="45720" anchor="t" anchorCtr="0" upright="1">
                        <a:noAutofit/>
                      </wps:bodyPr>
                    </wps:wsp>
                  </a:graphicData>
                </a:graphic>
              </wp:inline>
            </w:drawing>
          </mc:Choice>
          <mc:Fallback>
            <w:pict>
              <v:shape id="Text Box 6" o:spid="_x0000_s1031" type="#_x0000_t202" style="width:253.1pt;height:45.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" fillcolor="#dbe5f1" strokecolor="#006a99">
                <v:textbox>
                  <w:txbxContent>
                    <w:p w:rsidR="004331D4" w:rsidRDefault="004331D4" w:rsidP="00AA44D4">
                      <w:pPr>
                        <w:pStyle w:val="AERfactsheetbodytext"/>
                        <w:keepNext/>
                        <w:widowControl w:val="0"/>
                      </w:pPr>
                      <w:r>
                        <w:t xml:space="preserve">Our </w:t>
                      </w:r>
                      <w:r w:rsidRPr="00346F63">
                        <w:t>approach allow</w:t>
                      </w:r>
                      <w:r>
                        <w:t>s</w:t>
                      </w:r>
                      <w:r w:rsidRPr="00346F63">
                        <w:t xml:space="preserve"> us to </w:t>
                      </w:r>
                      <w:r>
                        <w:t xml:space="preserve">determine a rate of return that is commensurate with efficient costs, reflects </w:t>
                      </w:r>
                      <w:r w:rsidRPr="00346F63">
                        <w:t>market conditions</w:t>
                      </w:r>
                      <w:r>
                        <w:t xml:space="preserve"> and is in </w:t>
                      </w:r>
                      <w:r w:rsidRPr="00346F63">
                        <w:t>the long term interest</w:t>
                      </w:r>
                      <w:r>
                        <w:t>s</w:t>
                      </w:r>
                      <w:r w:rsidRPr="00346F63">
                        <w:t xml:space="preserve"> of consumer</w:t>
                      </w:r>
                      <w:r>
                        <w:t>s</w:t>
                      </w:r>
                      <w:r w:rsidRPr="00346F63">
                        <w:t>.</w:t>
                      </w:r>
                    </w:p>
                  </w:txbxContent>
                </v:textbox>
                <w10:anchorlock/>
              </v:shape>
            </w:pict>
          </mc:Fallback>
        </mc:AlternateContent>
      </w:r>
    </w:p>
    <w:p w:rsidR="00117167" w:rsidRDefault="00AA44D4" w:rsidP="00814799">
      <w:pPr>
        <w:pStyle w:val="AERFactsheetHeading1"/>
        <w:keepNext w:val="0"/>
        <w:widowControl w:val="0"/>
        <w:spacing w:before="120"/>
      </w:pPr>
      <w:r>
        <w:t>R</w:t>
      </w:r>
      <w:r w:rsidR="00117167">
        <w:t>eturn on equity</w:t>
      </w:r>
    </w:p>
    <w:p w:rsidR="008B297F" w:rsidRDefault="00AA44D4" w:rsidP="00814799">
      <w:pPr>
        <w:pStyle w:val="AERfactsheetbodytext"/>
        <w:widowControl w:val="0"/>
        <w:jc w:val="both"/>
      </w:pPr>
      <w:r>
        <w:t xml:space="preserve">Our return on equity estimate is determined by applying an iterative six step process. We refer to this as the foundation model approach. At different stages of this process we capture information relevant to making an estimate </w:t>
      </w:r>
      <w:r w:rsidR="005F2D40">
        <w:t>based on the merits of each piece of information.</w:t>
      </w:r>
      <w:r w:rsidR="008B297F">
        <w:t xml:space="preserve"> </w:t>
      </w:r>
      <w:r w:rsidR="008B297F" w:rsidRPr="008B297F">
        <w:t xml:space="preserve">We use a range of models, methods, and information to inform our return on equity estimate. </w:t>
      </w:r>
    </w:p>
    <w:p w:rsidR="00D84266" w:rsidRDefault="00D84266" w:rsidP="00814799">
      <w:pPr>
        <w:pStyle w:val="AERfactsheetbodytext"/>
        <w:widowControl w:val="0"/>
        <w:jc w:val="both"/>
      </w:pPr>
      <w:r>
        <w:t>In its revenue proposal, AusNet Services</w:t>
      </w:r>
      <w:r w:rsidR="00676CF3">
        <w:t xml:space="preserve"> Gas Distribution</w:t>
      </w:r>
      <w:r>
        <w:t xml:space="preserve"> proposed to adopt our foundation model approach but departed on the market risk premium parameter.  </w:t>
      </w:r>
    </w:p>
    <w:p w:rsidR="00B325BB" w:rsidRDefault="008B297F" w:rsidP="00814799">
      <w:pPr>
        <w:pStyle w:val="AERfactsheetbodytext"/>
        <w:widowControl w:val="0"/>
        <w:jc w:val="both"/>
      </w:pPr>
      <w:r>
        <w:t xml:space="preserve">Based on our review of the various equity models, the Sharpe Lintner </w:t>
      </w:r>
      <w:r w:rsidRPr="00916002">
        <w:t>Capital Asset Pricing model</w:t>
      </w:r>
      <w:r>
        <w:t xml:space="preserve"> (SLCAPM) stands out as the superior model for our purpose. We</w:t>
      </w:r>
      <w:r w:rsidR="00903654">
        <w:t>,</w:t>
      </w:r>
      <w:r>
        <w:t xml:space="preserve"> therefore, adopt it as our foundation model. </w:t>
      </w:r>
      <w:r w:rsidR="00D84266">
        <w:t>To estimate the return on equity, the SLCAPM requires estimates of the risk free rate, market risk premium and equity beta.</w:t>
      </w:r>
      <w:r w:rsidR="00B325BB">
        <w:t xml:space="preserve"> </w:t>
      </w:r>
    </w:p>
    <w:p w:rsidR="00616F0E" w:rsidRDefault="002A5F52" w:rsidP="00814799">
      <w:pPr>
        <w:pStyle w:val="AERfactsheetbodytext"/>
        <w:widowControl w:val="0"/>
        <w:jc w:val="both"/>
      </w:pPr>
      <w:r>
        <w:t>We derive o</w:t>
      </w:r>
      <w:r w:rsidR="00B325BB">
        <w:t xml:space="preserve">ur point estimates for the </w:t>
      </w:r>
      <w:r w:rsidR="00855A4E">
        <w:t>market risk premium (MRP)</w:t>
      </w:r>
      <w:r w:rsidR="00B325BB">
        <w:t xml:space="preserve"> and equity beta after considering a range of evidence. We adopted</w:t>
      </w:r>
      <w:r w:rsidR="009C6DC3">
        <w:t xml:space="preserve"> a MRP of 6.5</w:t>
      </w:r>
      <w:r w:rsidR="00CD63B8">
        <w:t>0</w:t>
      </w:r>
      <w:r w:rsidR="009C6DC3">
        <w:t xml:space="preserve"> per cent and equity beta of 0.7 </w:t>
      </w:r>
      <w:r w:rsidR="009C6DC3">
        <w:lastRenderedPageBreak/>
        <w:t xml:space="preserve">resulting in an equity risk premium </w:t>
      </w:r>
      <w:r w:rsidR="00616F0E">
        <w:t>(</w:t>
      </w:r>
      <w:r w:rsidR="00422429">
        <w:t>the risk premium over the risk free rate</w:t>
      </w:r>
      <w:r w:rsidR="00616F0E">
        <w:t xml:space="preserve">) </w:t>
      </w:r>
      <w:r w:rsidR="009C6DC3">
        <w:t xml:space="preserve">of </w:t>
      </w:r>
      <w:r w:rsidR="005B4ADC">
        <w:t>4</w:t>
      </w:r>
      <w:r w:rsidR="009C6DC3">
        <w:t xml:space="preserve">.55 per cent. </w:t>
      </w:r>
      <w:r w:rsidR="00A0490B">
        <w:t xml:space="preserve">We compared this </w:t>
      </w:r>
      <w:r w:rsidR="00422429">
        <w:t xml:space="preserve">equity risk premium </w:t>
      </w:r>
      <w:r w:rsidR="00A0490B">
        <w:t xml:space="preserve">with a range of other information. </w:t>
      </w:r>
      <w:r w:rsidR="001851E8">
        <w:t>Our</w:t>
      </w:r>
      <w:r w:rsidR="00616F0E">
        <w:t xml:space="preserve"> estimate sits within the range of other information available to estimate the return on equity.</w:t>
      </w:r>
    </w:p>
    <w:p w:rsidR="00814799" w:rsidRDefault="00814799" w:rsidP="00814799">
      <w:pPr>
        <w:pStyle w:val="AERfactsheetbodytext"/>
        <w:widowControl w:val="0"/>
        <w:jc w:val="both"/>
      </w:pPr>
      <w:r>
        <w:t>The risk free rate we use is based on the 10 year government bond rate (an average of the observed rate over a 20</w:t>
      </w:r>
      <w:r w:rsidR="00D84266">
        <w:t xml:space="preserve"> business</w:t>
      </w:r>
      <w:r>
        <w:t xml:space="preserve"> day period) close to the next regulatory period. For </w:t>
      </w:r>
      <w:r w:rsidR="00150133">
        <w:t xml:space="preserve">this </w:t>
      </w:r>
      <w:r w:rsidR="0013204E">
        <w:t>draft</w:t>
      </w:r>
      <w:r w:rsidR="00150133">
        <w:t xml:space="preserve"> </w:t>
      </w:r>
      <w:r>
        <w:t xml:space="preserve">decision we have adopted </w:t>
      </w:r>
      <w:r w:rsidR="00F308A5">
        <w:t xml:space="preserve">a </w:t>
      </w:r>
      <w:r w:rsidR="009A6C91">
        <w:t xml:space="preserve">placeholder </w:t>
      </w:r>
      <w:r>
        <w:t>risk free rate</w:t>
      </w:r>
      <w:r w:rsidR="009A6C91">
        <w:t xml:space="preserve"> of</w:t>
      </w:r>
      <w:r>
        <w:t xml:space="preserve"> 2.</w:t>
      </w:r>
      <w:r w:rsidR="0013204E">
        <w:t>6</w:t>
      </w:r>
      <w:r w:rsidR="00150133">
        <w:t xml:space="preserve"> </w:t>
      </w:r>
      <w:r>
        <w:t>per cent</w:t>
      </w:r>
      <w:r w:rsidR="009A6C91">
        <w:t xml:space="preserve"> which we will update for the final decision</w:t>
      </w:r>
      <w:r>
        <w:t>. Our SLCAPM point estima</w:t>
      </w:r>
      <w:r w:rsidR="00855A4E">
        <w:t xml:space="preserve">te for </w:t>
      </w:r>
      <w:r w:rsidR="00150133">
        <w:t>this</w:t>
      </w:r>
      <w:r>
        <w:t xml:space="preserve"> </w:t>
      </w:r>
      <w:r w:rsidR="0013204E">
        <w:t>draft</w:t>
      </w:r>
      <w:r w:rsidR="00150133">
        <w:t xml:space="preserve"> </w:t>
      </w:r>
      <w:r>
        <w:t>decision</w:t>
      </w:r>
      <w:r w:rsidR="00855A4E">
        <w:t xml:space="preserve"> is</w:t>
      </w:r>
      <w:r>
        <w:t xml:space="preserve"> </w:t>
      </w:r>
      <w:r w:rsidR="007A1A40">
        <w:t>7.</w:t>
      </w:r>
      <w:r w:rsidR="0013204E">
        <w:t>2</w:t>
      </w:r>
      <w:r w:rsidR="007A1A40">
        <w:t xml:space="preserve"> </w:t>
      </w:r>
      <w:r w:rsidR="00CD63B8">
        <w:t>per cent</w:t>
      </w:r>
      <w:r>
        <w:t>.</w:t>
      </w:r>
    </w:p>
    <w:p w:rsidR="00747DBE" w:rsidRDefault="00FA71F1" w:rsidP="00747DBE">
      <w:pPr>
        <w:pStyle w:val="AERfactsheetbodytext"/>
        <w:widowControl w:val="0"/>
        <w:jc w:val="both"/>
      </w:pPr>
      <w:r>
        <w:t xml:space="preserve">Having evaluated our </w:t>
      </w:r>
      <w:r w:rsidR="00B325BB">
        <w:t xml:space="preserve">SLCAPM point estimate against a range of other information, </w:t>
      </w:r>
      <w:r>
        <w:t xml:space="preserve">we are </w:t>
      </w:r>
      <w:r w:rsidRPr="00355A06">
        <w:t xml:space="preserve">satisfied that </w:t>
      </w:r>
      <w:r w:rsidR="007B477B">
        <w:t>our</w:t>
      </w:r>
      <w:r w:rsidRPr="00355A06">
        <w:t xml:space="preserve"> return </w:t>
      </w:r>
      <w:r w:rsidR="007C2122" w:rsidRPr="00355A06">
        <w:t xml:space="preserve">on </w:t>
      </w:r>
      <w:r w:rsidRPr="00355A06">
        <w:t xml:space="preserve">equity estimate </w:t>
      </w:r>
      <w:r w:rsidR="00422429" w:rsidRPr="00355A06">
        <w:t>is a reasonable estimate of efficient equity financing costs</w:t>
      </w:r>
      <w:r w:rsidR="00747DBE" w:rsidRPr="00355A06">
        <w:t xml:space="preserve"> for </w:t>
      </w:r>
      <w:r w:rsidR="0013204E">
        <w:t>AusNet</w:t>
      </w:r>
      <w:r w:rsidR="00747DBE" w:rsidRPr="00355A06">
        <w:t>.</w:t>
      </w:r>
      <w:r w:rsidR="00747DBE">
        <w:t xml:space="preserve"> </w:t>
      </w:r>
    </w:p>
    <w:p w:rsidR="00E674FC" w:rsidRDefault="00F27ABE" w:rsidP="00F27ABE">
      <w:pPr>
        <w:pStyle w:val="AERfactsheetbodytext"/>
        <w:widowControl w:val="0"/>
      </w:pPr>
      <w:r>
        <w:rPr>
          <w:noProof/>
          <w:lang w:eastAsia="en-AU"/>
        </w:rPr>
        <mc:AlternateContent>
          <mc:Choice Requires="wps">
            <w:drawing>
              <wp:inline distT="0" distB="0" distL="0" distR="0" wp14:anchorId="391F7DB1" wp14:editId="0825D120">
                <wp:extent cx="3214370" cy="395021"/>
                <wp:effectExtent l="0" t="0" r="24130" b="24130"/>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4370" cy="395021"/>
                        </a:xfrm>
                        <a:prstGeom prst="rect">
                          <a:avLst/>
                        </a:prstGeom>
                        <a:solidFill>
                          <a:srgbClr val="DBE5F1"/>
                        </a:solidFill>
                        <a:ln w="9525">
                          <a:solidFill>
                            <a:srgbClr val="006A99"/>
                          </a:solidFill>
                          <a:miter lim="800000"/>
                          <a:headEnd/>
                          <a:tailEnd/>
                        </a:ln>
                      </wps:spPr>
                      <wps:txbx>
                        <w:txbxContent>
                          <w:p w:rsidR="004331D4" w:rsidRDefault="004331D4" w:rsidP="00F27ABE">
                            <w:pPr>
                              <w:pStyle w:val="AERfactsheetbodytext"/>
                            </w:pPr>
                            <w:r>
                              <w:t xml:space="preserve">Our return on equity estimate </w:t>
                            </w:r>
                            <w:r w:rsidR="00124CB2">
                              <w:t xml:space="preserve">for this </w:t>
                            </w:r>
                            <w:r w:rsidR="00676CF3">
                              <w:t xml:space="preserve">draft </w:t>
                            </w:r>
                            <w:r>
                              <w:t xml:space="preserve">decision </w:t>
                            </w:r>
                            <w:r w:rsidRPr="003077EA">
                              <w:t>is 7.</w:t>
                            </w:r>
                            <w:r w:rsidR="0013204E">
                              <w:t>2</w:t>
                            </w:r>
                            <w:r w:rsidRPr="00355A06">
                              <w:t xml:space="preserve"> per cent.</w:t>
                            </w:r>
                            <w:r>
                              <w:t xml:space="preserve"> </w:t>
                            </w:r>
                          </w:p>
                          <w:p w:rsidR="004331D4" w:rsidRDefault="004331D4" w:rsidP="00F27ABE"/>
                        </w:txbxContent>
                      </wps:txbx>
                      <wps:bodyPr rot="0" vert="horz" wrap="square" lIns="91440" tIns="45720" rIns="91440" bIns="45720" anchor="t" anchorCtr="0" upright="1">
                        <a:noAutofit/>
                      </wps:bodyPr>
                    </wps:wsp>
                  </a:graphicData>
                </a:graphic>
              </wp:inline>
            </w:drawing>
          </mc:Choice>
          <mc:Fallback>
            <w:pict>
              <v:shape id="Text Box 8" o:spid="_x0000_s1030" type="#_x0000_t202" style="width:253.1pt;height:31.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" fillcolor="#dbe5f1" strokecolor="#006a99">
                <v:textbox>
                  <w:txbxContent>
                    <w:p w:rsidR="004331D4" w:rsidRDefault="004331D4" w:rsidP="00F27ABE">
                      <w:pPr>
                        <w:pStyle w:val="AERfactsheetbodytext"/>
                      </w:pPr>
                      <w:r>
                        <w:t xml:space="preserve">Our return on equity estimate </w:t>
                      </w:r>
                      <w:r w:rsidR="00124CB2">
                        <w:t xml:space="preserve">for this </w:t>
                      </w:r>
                      <w:r w:rsidR="00676CF3">
                        <w:t xml:space="preserve">draft </w:t>
                      </w:r>
                      <w:r>
                        <w:t xml:space="preserve">decision </w:t>
                      </w:r>
                      <w:r w:rsidRPr="003077EA">
                        <w:t>is 7.</w:t>
                      </w:r>
                      <w:r w:rsidR="0013204E">
                        <w:t>2</w:t>
                      </w:r>
                      <w:r w:rsidRPr="00355A06">
                        <w:t xml:space="preserve"> per cent.</w:t>
                      </w:r>
                      <w:r>
                        <w:t xml:space="preserve"> </w:t>
                      </w:r>
                    </w:p>
                    <w:p w:rsidR="004331D4" w:rsidRDefault="004331D4" w:rsidP="00F27ABE"/>
                  </w:txbxContent>
                </v:textbox>
                <w10:anchorlock/>
              </v:shape>
            </w:pict>
          </mc:Fallback>
        </mc:AlternateContent>
      </w:r>
    </w:p>
    <w:p w:rsidR="00E0500A" w:rsidRPr="00E0500A" w:rsidRDefault="00FA71F1" w:rsidP="00F27ABE">
      <w:pPr>
        <w:pStyle w:val="AERfactsheetbulletlist"/>
        <w:widowControl w:val="0"/>
        <w:numPr>
          <w:ilvl w:val="0"/>
          <w:numId w:val="0"/>
        </w:numPr>
        <w:rPr>
          <w:rFonts w:ascii="Tunga" w:hAnsi="Tunga" w:cs="Tunga"/>
          <w:b/>
          <w:iCs/>
          <w:color w:val="006A99"/>
          <w:spacing w:val="0"/>
          <w:kern w:val="24"/>
          <w:sz w:val="24"/>
        </w:rPr>
      </w:pPr>
      <w:r>
        <w:rPr>
          <w:rFonts w:ascii="Tunga" w:hAnsi="Tunga" w:cs="Tunga"/>
          <w:b/>
          <w:iCs/>
          <w:color w:val="006A99"/>
          <w:spacing w:val="0"/>
          <w:kern w:val="24"/>
          <w:sz w:val="24"/>
        </w:rPr>
        <w:t>R</w:t>
      </w:r>
      <w:r w:rsidR="00E0500A" w:rsidRPr="00E0500A">
        <w:rPr>
          <w:rFonts w:ascii="Tunga" w:hAnsi="Tunga" w:cs="Tunga"/>
          <w:b/>
          <w:iCs/>
          <w:color w:val="006A99"/>
          <w:spacing w:val="0"/>
          <w:kern w:val="24"/>
          <w:sz w:val="24"/>
        </w:rPr>
        <w:t>eturn on debt</w:t>
      </w:r>
    </w:p>
    <w:p w:rsidR="00A70454" w:rsidRDefault="00457E3A" w:rsidP="00814799">
      <w:pPr>
        <w:pStyle w:val="AERfactsheetbodytext"/>
        <w:widowControl w:val="0"/>
        <w:jc w:val="both"/>
      </w:pPr>
      <w:r>
        <w:t xml:space="preserve">Our </w:t>
      </w:r>
      <w:r w:rsidR="00A70454">
        <w:t xml:space="preserve">return on debt estimate is based on </w:t>
      </w:r>
      <w:r w:rsidR="00860B4E">
        <w:t xml:space="preserve">a </w:t>
      </w:r>
      <w:r w:rsidR="004E233B">
        <w:t xml:space="preserve">gradual </w:t>
      </w:r>
      <w:r w:rsidR="00860B4E">
        <w:t xml:space="preserve">transition </w:t>
      </w:r>
      <w:r w:rsidR="004E233B">
        <w:t xml:space="preserve">from the ‘on-the-day’ approach we used in the past </w:t>
      </w:r>
      <w:r w:rsidR="00860B4E">
        <w:t xml:space="preserve">to </w:t>
      </w:r>
      <w:r w:rsidR="00A70454">
        <w:t xml:space="preserve">the </w:t>
      </w:r>
      <w:r w:rsidR="004E233B">
        <w:t>‘</w:t>
      </w:r>
      <w:r w:rsidR="00A70454">
        <w:t>trailing average</w:t>
      </w:r>
      <w:r w:rsidR="004E233B">
        <w:t>’</w:t>
      </w:r>
      <w:r w:rsidR="00A70454">
        <w:t xml:space="preserve"> approach</w:t>
      </w:r>
      <w:r w:rsidR="004E233B">
        <w:t xml:space="preserve"> we proposed in the Guideline</w:t>
      </w:r>
      <w:r w:rsidR="00A70454">
        <w:t xml:space="preserve">. </w:t>
      </w:r>
      <w:r w:rsidR="00860B4E">
        <w:t xml:space="preserve">The trailing average approach reflects </w:t>
      </w:r>
      <w:r>
        <w:t xml:space="preserve">the return on debt </w:t>
      </w:r>
      <w:r w:rsidR="00A70454">
        <w:t xml:space="preserve">that a network business would face if it raised debt annually in equal parcels. </w:t>
      </w:r>
      <w:r w:rsidR="00860B4E">
        <w:t>Our return on debt approach incorporates a transition to the new approach.</w:t>
      </w:r>
    </w:p>
    <w:p w:rsidR="003F6819" w:rsidRDefault="00860B4E" w:rsidP="00814799">
      <w:pPr>
        <w:pStyle w:val="AERfactsheetbodytext"/>
        <w:widowControl w:val="0"/>
        <w:jc w:val="both"/>
      </w:pPr>
      <w:r>
        <w:t xml:space="preserve">Our decision is also to update the </w:t>
      </w:r>
      <w:r w:rsidR="003F6819">
        <w:t xml:space="preserve">return on debt annually. Therefore, our estimate in this decision is for the first year of the regulatory period. Due to this, </w:t>
      </w:r>
      <w:r w:rsidR="00AF26C6">
        <w:t xml:space="preserve">we update our </w:t>
      </w:r>
      <w:r w:rsidR="003F6819">
        <w:t>rate of return annually.</w:t>
      </w:r>
    </w:p>
    <w:p w:rsidR="00DB14DA" w:rsidRDefault="00814799" w:rsidP="00814799">
      <w:pPr>
        <w:pStyle w:val="AERfactsheetbodytext"/>
        <w:widowControl w:val="0"/>
        <w:jc w:val="both"/>
      </w:pPr>
      <w:r w:rsidRPr="00697FF1">
        <w:rPr>
          <w:noProof/>
          <w:lang w:eastAsia="en-AU"/>
        </w:rPr>
        <w:drawing>
          <wp:anchor distT="0" distB="0" distL="114300" distR="114300" simplePos="0" relativeHeight="251673600" behindDoc="0" locked="0" layoutInCell="1" allowOverlap="1" wp14:anchorId="2DD45E04" wp14:editId="47278B6E">
            <wp:simplePos x="0" y="0"/>
            <wp:positionH relativeFrom="column">
              <wp:posOffset>-508635</wp:posOffset>
            </wp:positionH>
            <wp:positionV relativeFrom="page">
              <wp:posOffset>10231755</wp:posOffset>
            </wp:positionV>
            <wp:extent cx="8827135" cy="492760"/>
            <wp:effectExtent l="0" t="0" r="0" b="2540"/>
            <wp:wrapNone/>
            <wp:docPr id="9" name="Picture 9" descr="Title: Blue end box - Description: Blue end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itle: Blue end box - Description: Blue end box"/>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827135" cy="492760"/>
                    </a:xfrm>
                    <a:prstGeom prst="rect">
                      <a:avLst/>
                    </a:prstGeom>
                    <a:noFill/>
                  </pic:spPr>
                </pic:pic>
              </a:graphicData>
            </a:graphic>
            <wp14:sizeRelH relativeFrom="page">
              <wp14:pctWidth>0</wp14:pctWidth>
            </wp14:sizeRelH>
            <wp14:sizeRelV relativeFrom="page">
              <wp14:pctHeight>0</wp14:pctHeight>
            </wp14:sizeRelV>
          </wp:anchor>
        </w:drawing>
      </w:r>
      <w:r w:rsidR="00DB14DA">
        <w:t>We commence t</w:t>
      </w:r>
      <w:r w:rsidR="003F6819">
        <w:t>he</w:t>
      </w:r>
      <w:r w:rsidR="00DB14DA">
        <w:t xml:space="preserve"> trailing average </w:t>
      </w:r>
      <w:r w:rsidR="00F415A3">
        <w:t xml:space="preserve">with an initial estimation of the return on debt that is then progressively updated over the regulatory period. In practice, this means that for new debt that is issued (10 per cent </w:t>
      </w:r>
      <w:r w:rsidR="0088254F">
        <w:t xml:space="preserve">of the initial estimate </w:t>
      </w:r>
      <w:r w:rsidR="00F415A3">
        <w:t xml:space="preserve">each year) we apply </w:t>
      </w:r>
      <w:r w:rsidR="00566A50">
        <w:t>an</w:t>
      </w:r>
      <w:r w:rsidR="00C82377">
        <w:t xml:space="preserve"> estimate of the </w:t>
      </w:r>
      <w:r w:rsidR="00566A50">
        <w:t>observed</w:t>
      </w:r>
      <w:r w:rsidR="00C82377">
        <w:t xml:space="preserve"> return on debt </w:t>
      </w:r>
      <w:r w:rsidR="00F415A3">
        <w:t xml:space="preserve">immediately. </w:t>
      </w:r>
      <w:r w:rsidR="003F6819">
        <w:t>For</w:t>
      </w:r>
      <w:r w:rsidR="00F415A3">
        <w:t xml:space="preserve"> existing debt issued before the </w:t>
      </w:r>
      <w:r w:rsidR="007C2122">
        <w:t>commencement of the trailing average approach</w:t>
      </w:r>
      <w:r w:rsidR="00F415A3">
        <w:t>, we will continue to apply the on</w:t>
      </w:r>
      <w:r w:rsidR="007C2122">
        <w:t>-</w:t>
      </w:r>
      <w:r w:rsidR="00F415A3">
        <w:t>the-day</w:t>
      </w:r>
      <w:r w:rsidR="007C2122">
        <w:t xml:space="preserve"> </w:t>
      </w:r>
      <w:r w:rsidR="00F415A3">
        <w:t>approach</w:t>
      </w:r>
      <w:r w:rsidR="0088254F">
        <w:t xml:space="preserve"> for the portion that has not been </w:t>
      </w:r>
      <w:r w:rsidR="00D63A73">
        <w:t>updated</w:t>
      </w:r>
      <w:r w:rsidR="003F6819">
        <w:t xml:space="preserve">. Consequently, at the end of 10 years the total debt portfolio </w:t>
      </w:r>
      <w:r w:rsidR="008E3256">
        <w:t xml:space="preserve">will </w:t>
      </w:r>
      <w:r w:rsidR="003F6819">
        <w:t xml:space="preserve">have been updated and incorporated </w:t>
      </w:r>
      <w:r w:rsidR="007C2122">
        <w:t>in</w:t>
      </w:r>
      <w:r w:rsidR="003F6819">
        <w:t>to the trailing average.</w:t>
      </w:r>
      <w:r w:rsidR="00F415A3">
        <w:t xml:space="preserve"> </w:t>
      </w:r>
    </w:p>
    <w:p w:rsidR="009E4276" w:rsidRDefault="009E4276" w:rsidP="00814799">
      <w:pPr>
        <w:pStyle w:val="AERfactsheetbodytext"/>
        <w:widowControl w:val="0"/>
        <w:jc w:val="both"/>
      </w:pPr>
      <w:r>
        <w:t xml:space="preserve">Our return on debt estimate is developed on the basis that a benchmark </w:t>
      </w:r>
      <w:r w:rsidR="007C2122">
        <w:t xml:space="preserve">efficient </w:t>
      </w:r>
      <w:r>
        <w:t xml:space="preserve">entity issues debt with a 10 year term and has a BBB+ credit rating. To estimate the yield </w:t>
      </w:r>
      <w:r w:rsidR="007C2122">
        <w:t>on this debt</w:t>
      </w:r>
      <w:r>
        <w:t xml:space="preserve">, we use an independent third party data service provider. </w:t>
      </w:r>
      <w:r w:rsidR="00385CF4" w:rsidRPr="00C95E0F">
        <w:t xml:space="preserve">We have reviewed the </w:t>
      </w:r>
      <w:r w:rsidR="003418CE">
        <w:t xml:space="preserve">recent </w:t>
      </w:r>
      <w:r w:rsidR="00385CF4" w:rsidRPr="00C95E0F">
        <w:t>proposals and decided to adopt a simple average of the data series provided by the Reserve Bank of Australia and Bloomberg.</w:t>
      </w:r>
    </w:p>
    <w:p w:rsidR="0075714F" w:rsidRDefault="009E4276" w:rsidP="00814799">
      <w:pPr>
        <w:pStyle w:val="AERfactsheetbodytext"/>
        <w:widowControl w:val="0"/>
        <w:jc w:val="both"/>
      </w:pPr>
      <w:r>
        <w:t xml:space="preserve">Our estimation procedure </w:t>
      </w:r>
      <w:r w:rsidR="00787B39">
        <w:t xml:space="preserve">allows </w:t>
      </w:r>
      <w:r w:rsidR="006A5A15">
        <w:t>the service provider</w:t>
      </w:r>
      <w:r>
        <w:t xml:space="preserve"> </w:t>
      </w:r>
      <w:r w:rsidR="00117472">
        <w:t xml:space="preserve">to propose a period between 10 </w:t>
      </w:r>
      <w:r w:rsidR="00F308A5">
        <w:t xml:space="preserve">business </w:t>
      </w:r>
      <w:r w:rsidR="00117472">
        <w:t xml:space="preserve">days and 12 months </w:t>
      </w:r>
      <w:r w:rsidR="00F308A5">
        <w:t xml:space="preserve">in length </w:t>
      </w:r>
      <w:r w:rsidR="00117472">
        <w:t xml:space="preserve">before the start of each regulatory year, over which the observed rates </w:t>
      </w:r>
      <w:r w:rsidR="00787B39">
        <w:t>are</w:t>
      </w:r>
      <w:r w:rsidR="00117472">
        <w:t xml:space="preserve"> averaged to estimate the return on debt. </w:t>
      </w:r>
      <w:r w:rsidR="00E90E01">
        <w:t>This result</w:t>
      </w:r>
      <w:r w:rsidR="00055816">
        <w:t>s</w:t>
      </w:r>
      <w:r w:rsidR="00117472">
        <w:t xml:space="preserve"> in </w:t>
      </w:r>
      <w:r w:rsidR="006A5A15">
        <w:t>service provider</w:t>
      </w:r>
      <w:r w:rsidR="001C1328">
        <w:t>s</w:t>
      </w:r>
      <w:r w:rsidR="006A5A15">
        <w:t xml:space="preserve"> </w:t>
      </w:r>
      <w:r w:rsidR="00117472">
        <w:t xml:space="preserve">proposing </w:t>
      </w:r>
      <w:r w:rsidR="006A5A15">
        <w:t>an</w:t>
      </w:r>
      <w:r w:rsidR="00117472">
        <w:t xml:space="preserve"> averaging period consistent with its debt practices and therefore, </w:t>
      </w:r>
      <w:r w:rsidR="00E90E01">
        <w:t>our</w:t>
      </w:r>
      <w:r w:rsidR="00117472">
        <w:t xml:space="preserve"> return on debt estimate </w:t>
      </w:r>
      <w:r w:rsidR="008E3256">
        <w:t xml:space="preserve">is </w:t>
      </w:r>
      <w:r w:rsidR="006A5A15">
        <w:t>differ</w:t>
      </w:r>
      <w:r w:rsidR="00055816">
        <w:t>ent</w:t>
      </w:r>
      <w:r w:rsidR="006A5A15">
        <w:t xml:space="preserve"> </w:t>
      </w:r>
      <w:r w:rsidR="008E3256">
        <w:t xml:space="preserve">for different </w:t>
      </w:r>
      <w:r w:rsidR="006A5A15">
        <w:t>service providers.</w:t>
      </w:r>
      <w:r w:rsidR="00117472">
        <w:t xml:space="preserve"> </w:t>
      </w:r>
    </w:p>
    <w:p w:rsidR="004E233B" w:rsidRDefault="00B600D2" w:rsidP="00814799">
      <w:pPr>
        <w:pStyle w:val="AERfactsheetbodytext"/>
        <w:jc w:val="both"/>
      </w:pPr>
      <w:r>
        <w:lastRenderedPageBreak/>
        <w:t xml:space="preserve">Our approach and estimation procedures are consistent with the Guideline. </w:t>
      </w:r>
      <w:r w:rsidR="00676CF3">
        <w:t xml:space="preserve">We note that </w:t>
      </w:r>
      <w:r w:rsidR="001C1328">
        <w:t xml:space="preserve">AusNet </w:t>
      </w:r>
      <w:r w:rsidR="00676CF3">
        <w:t xml:space="preserve">in its current proposal </w:t>
      </w:r>
      <w:r w:rsidR="00AB0042">
        <w:t>adopted our return on debt approach as set out in the Guideline</w:t>
      </w:r>
      <w:r w:rsidR="00676CF3">
        <w:t>.</w:t>
      </w:r>
    </w:p>
    <w:p w:rsidR="00E0500A" w:rsidRDefault="00E0500A" w:rsidP="00F27ABE">
      <w:pPr>
        <w:pStyle w:val="AERfactsheetbulletlist"/>
        <w:widowControl w:val="0"/>
        <w:numPr>
          <w:ilvl w:val="0"/>
          <w:numId w:val="0"/>
        </w:numPr>
        <w:rPr>
          <w:rFonts w:ascii="Tunga" w:hAnsi="Tunga" w:cs="Tunga"/>
          <w:b/>
          <w:iCs/>
          <w:color w:val="006A99"/>
          <w:spacing w:val="0"/>
          <w:kern w:val="24"/>
          <w:sz w:val="24"/>
        </w:rPr>
      </w:pPr>
      <w:r>
        <w:rPr>
          <w:noProof/>
          <w:lang w:eastAsia="en-AU"/>
        </w:rPr>
        <mc:AlternateContent>
          <mc:Choice Requires="wps">
            <w:drawing>
              <wp:inline distT="0" distB="0" distL="0" distR="0" wp14:anchorId="2AB37D16" wp14:editId="42D27F9F">
                <wp:extent cx="3214370" cy="1046073"/>
                <wp:effectExtent l="0" t="0" r="24130" b="20955"/>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4370" cy="1046073"/>
                        </a:xfrm>
                        <a:prstGeom prst="rect">
                          <a:avLst/>
                        </a:prstGeom>
                        <a:solidFill>
                          <a:srgbClr val="DBE5F1"/>
                        </a:solidFill>
                        <a:ln w="9525">
                          <a:solidFill>
                            <a:srgbClr val="006A99"/>
                          </a:solidFill>
                          <a:miter lim="800000"/>
                          <a:headEnd/>
                          <a:tailEnd/>
                        </a:ln>
                      </wps:spPr>
                      <wps:txbx>
                        <w:txbxContent>
                          <w:p w:rsidR="00A3251E" w:rsidRDefault="004331D4" w:rsidP="00E0500A">
                            <w:pPr>
                              <w:pStyle w:val="AERfactsheetbodytext"/>
                            </w:pPr>
                            <w:r>
                              <w:t xml:space="preserve">Our return on debt estimate for the first year of </w:t>
                            </w:r>
                            <w:r w:rsidR="001C1328">
                              <w:t>AusNet Services</w:t>
                            </w:r>
                            <w:r w:rsidR="00676CF3">
                              <w:t xml:space="preserve"> Gas Distribution’s access arrangement</w:t>
                            </w:r>
                            <w:r>
                              <w:t xml:space="preserve"> period </w:t>
                            </w:r>
                            <w:r w:rsidR="002A58B5">
                              <w:t xml:space="preserve">in this </w:t>
                            </w:r>
                            <w:r w:rsidR="00676CF3">
                              <w:t>draft</w:t>
                            </w:r>
                            <w:r w:rsidR="002A58B5">
                              <w:t xml:space="preserve"> decision </w:t>
                            </w:r>
                            <w:r w:rsidR="00A3251E">
                              <w:t xml:space="preserve">is </w:t>
                            </w:r>
                            <w:r w:rsidR="00676CF3">
                              <w:t xml:space="preserve">5.10 </w:t>
                            </w:r>
                            <w:r w:rsidR="00A3251E">
                              <w:t>per cent.</w:t>
                            </w:r>
                          </w:p>
                          <w:p w:rsidR="004331D4" w:rsidRDefault="004331D4" w:rsidP="00814799">
                            <w:pPr>
                              <w:pStyle w:val="AERfactsheetbodytext"/>
                            </w:pPr>
                            <w:r>
                              <w:t>Th</w:t>
                            </w:r>
                            <w:r w:rsidR="00A3251E">
                              <w:t>i</w:t>
                            </w:r>
                            <w:r>
                              <w:t xml:space="preserve">s return on debt number will be updated annually during the regulatory period to partially reflect prevailing interest rates. </w:t>
                            </w:r>
                          </w:p>
                        </w:txbxContent>
                      </wps:txbx>
                      <wps:bodyPr rot="0" vert="horz" wrap="square" lIns="91440" tIns="45720" rIns="91440" bIns="45720" anchor="t" anchorCtr="0" upright="1">
                        <a:noAutofit/>
                      </wps:bodyPr>
                    </wps:wsp>
                  </a:graphicData>
                </a:graphic>
              </wp:inline>
            </w:drawing>
          </mc:Choice>
          <mc:Fallback>
            <w:pict>
              <v:shape id="Text Box 1" o:spid="_x0000_s1031" type="#_x0000_t202" style="width:253.1pt;height:82.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" fillcolor="#dbe5f1" strokecolor="#006a99">
                <v:textbox>
                  <w:txbxContent>
                    <w:p w:rsidR="00A3251E" w:rsidRDefault="004331D4" w:rsidP="00E0500A">
                      <w:pPr>
                        <w:pStyle w:val="AERfactsheetbodytext"/>
                      </w:pPr>
                      <w:r>
                        <w:t xml:space="preserve">Our return on debt estimate for the first year of </w:t>
                      </w:r>
                      <w:r w:rsidR="001C1328">
                        <w:t>AusNet Services</w:t>
                      </w:r>
                      <w:r w:rsidR="00676CF3">
                        <w:t xml:space="preserve"> Gas Distribution’s access arrangement</w:t>
                      </w:r>
                      <w:r>
                        <w:t xml:space="preserve"> period </w:t>
                      </w:r>
                      <w:r w:rsidR="002A58B5">
                        <w:t xml:space="preserve">in this </w:t>
                      </w:r>
                      <w:r w:rsidR="00676CF3">
                        <w:t>draft</w:t>
                      </w:r>
                      <w:r w:rsidR="002A58B5">
                        <w:t xml:space="preserve"> decision </w:t>
                      </w:r>
                      <w:r w:rsidR="00A3251E">
                        <w:t xml:space="preserve">is </w:t>
                      </w:r>
                      <w:r w:rsidR="00676CF3">
                        <w:t xml:space="preserve">5.10 </w:t>
                      </w:r>
                      <w:r w:rsidR="00A3251E">
                        <w:t>per cent.</w:t>
                      </w:r>
                    </w:p>
                    <w:p w:rsidR="004331D4" w:rsidRDefault="004331D4" w:rsidP="00814799">
                      <w:pPr>
                        <w:pStyle w:val="AERfactsheetbodytext"/>
                      </w:pPr>
                      <w:r>
                        <w:t>Th</w:t>
                      </w:r>
                      <w:r w:rsidR="00A3251E">
                        <w:t>i</w:t>
                      </w:r>
                      <w:r>
                        <w:t xml:space="preserve">s return on debt number will be updated annually during the regulatory period to partially reflect prevailing interest rates. </w:t>
                      </w:r>
                    </w:p>
                  </w:txbxContent>
                </v:textbox>
                <w10:anchorlock/>
              </v:shape>
            </w:pict>
          </mc:Fallback>
        </mc:AlternateContent>
      </w:r>
    </w:p>
    <w:p w:rsidR="004F4392" w:rsidRDefault="004F4392" w:rsidP="004F4392">
      <w:pPr>
        <w:pStyle w:val="AERfactsheetbulletlist"/>
        <w:widowControl w:val="0"/>
        <w:numPr>
          <w:ilvl w:val="0"/>
          <w:numId w:val="0"/>
        </w:numPr>
        <w:rPr>
          <w:rFonts w:ascii="Tunga" w:hAnsi="Tunga" w:cs="Tunga"/>
          <w:b/>
          <w:iCs/>
          <w:color w:val="006A99"/>
          <w:spacing w:val="0"/>
          <w:kern w:val="24"/>
          <w:sz w:val="24"/>
        </w:rPr>
      </w:pPr>
      <w:r>
        <w:rPr>
          <w:rFonts w:ascii="Tunga" w:hAnsi="Tunga" w:cs="Tunga"/>
          <w:b/>
          <w:iCs/>
          <w:color w:val="006A99"/>
          <w:spacing w:val="0"/>
          <w:kern w:val="24"/>
          <w:sz w:val="24"/>
        </w:rPr>
        <w:t>Imputation credits</w:t>
      </w:r>
    </w:p>
    <w:p w:rsidR="00CA53B1" w:rsidRPr="00A14E17" w:rsidRDefault="00CA53B1" w:rsidP="00A14E17">
      <w:pPr>
        <w:pStyle w:val="AERfactsheetbodytext"/>
      </w:pPr>
      <w:r w:rsidRPr="00A14E17">
        <w:t xml:space="preserve">Under the Australian imputation tax system, investors can receive an imputation credit for income tax paid at the company level. For eligible investors, this credit offsets their Australian income tax liabilities. </w:t>
      </w:r>
    </w:p>
    <w:p w:rsidR="00CA53B1" w:rsidRPr="00A14E17" w:rsidRDefault="00CA53B1" w:rsidP="00A14E17">
      <w:pPr>
        <w:pStyle w:val="AERfactsheetbodytext"/>
      </w:pPr>
      <w:r>
        <w:t xml:space="preserve">We </w:t>
      </w:r>
      <w:r w:rsidR="00860B4E">
        <w:t>subtract from</w:t>
      </w:r>
      <w:r>
        <w:t xml:space="preserve"> a</w:t>
      </w:r>
      <w:r w:rsidRPr="00A14E17">
        <w:t xml:space="preserve"> service provider's </w:t>
      </w:r>
      <w:r>
        <w:t xml:space="preserve">corporate tax forecast </w:t>
      </w:r>
      <w:r w:rsidRPr="00A14E17">
        <w:t>the value of imputation credits.</w:t>
      </w:r>
    </w:p>
    <w:p w:rsidR="00CA53B1" w:rsidRPr="00A14E17" w:rsidRDefault="00CA53B1" w:rsidP="00A14E17">
      <w:pPr>
        <w:pStyle w:val="AERfactsheetbodytext"/>
      </w:pPr>
      <w:r w:rsidRPr="00A14E17">
        <w:t xml:space="preserve">In </w:t>
      </w:r>
      <w:r w:rsidR="00A3251E">
        <w:t xml:space="preserve">our </w:t>
      </w:r>
      <w:r w:rsidR="00676CF3">
        <w:t>draft</w:t>
      </w:r>
      <w:r w:rsidR="00A3251E">
        <w:t xml:space="preserve"> decision</w:t>
      </w:r>
      <w:r w:rsidRPr="00A14E17">
        <w:t xml:space="preserve">, although we have broadly maintained the approach in the </w:t>
      </w:r>
      <w:r w:rsidR="00855A4E">
        <w:t>G</w:t>
      </w:r>
      <w:r w:rsidRPr="00A14E17">
        <w:t xml:space="preserve">uideline, we have re-examined the relevant evidence and estimates. This re-examination, and new evidence and advice considered since the </w:t>
      </w:r>
      <w:r w:rsidR="00855A4E">
        <w:t>G</w:t>
      </w:r>
      <w:r w:rsidRPr="00A14E17">
        <w:t>uideline, led us t</w:t>
      </w:r>
      <w:r w:rsidR="008E3256" w:rsidRPr="00422429">
        <w:t xml:space="preserve">o depart from the value in the </w:t>
      </w:r>
      <w:r w:rsidR="008E3256">
        <w:t>G</w:t>
      </w:r>
      <w:r w:rsidRPr="00A14E17">
        <w:t xml:space="preserve">uideline. Accordingly, we </w:t>
      </w:r>
      <w:r>
        <w:t>adopt a 0.4 value, rather than the 0.5 value we proposed in the Guideline.</w:t>
      </w:r>
    </w:p>
    <w:p w:rsidR="004F4392" w:rsidRDefault="00CA53B1" w:rsidP="00392D55">
      <w:pPr>
        <w:pStyle w:val="AERfactsheetbodytext"/>
        <w:widowControl w:val="0"/>
      </w:pPr>
      <w:r>
        <w:rPr>
          <w:noProof/>
          <w:lang w:eastAsia="en-AU"/>
        </w:rPr>
        <mc:AlternateContent>
          <mc:Choice Requires="wps">
            <w:drawing>
              <wp:inline distT="0" distB="0" distL="0" distR="0" wp14:anchorId="5FC7DFF9" wp14:editId="11E8426E">
                <wp:extent cx="3214370" cy="388189"/>
                <wp:effectExtent l="0" t="0" r="24130" b="12065"/>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4370" cy="388189"/>
                        </a:xfrm>
                        <a:prstGeom prst="rect">
                          <a:avLst/>
                        </a:prstGeom>
                        <a:solidFill>
                          <a:srgbClr val="DBE5F1"/>
                        </a:solidFill>
                        <a:ln w="9525">
                          <a:solidFill>
                            <a:srgbClr val="006A99"/>
                          </a:solidFill>
                          <a:miter lim="800000"/>
                          <a:headEnd/>
                          <a:tailEnd/>
                        </a:ln>
                      </wps:spPr>
                      <wps:txbx>
                        <w:txbxContent>
                          <w:p w:rsidR="004331D4" w:rsidRDefault="004331D4" w:rsidP="00CA53B1">
                            <w:pPr>
                              <w:pStyle w:val="AERfactsheetbodytext"/>
                            </w:pPr>
                            <w:r>
                              <w:t>Our value of imputation credits for th</w:t>
                            </w:r>
                            <w:r w:rsidR="00564A2D">
                              <w:t>i</w:t>
                            </w:r>
                            <w:r>
                              <w:t>s decision is 0.4 (40 per cent).</w:t>
                            </w:r>
                          </w:p>
                          <w:p w:rsidR="004331D4" w:rsidRDefault="004331D4" w:rsidP="00CA53B1"/>
                        </w:txbxContent>
                      </wps:txbx>
                      <wps:bodyPr rot="0" vert="horz" wrap="square" lIns="91440" tIns="45720" rIns="91440" bIns="45720" anchor="t" anchorCtr="0" upright="1">
                        <a:noAutofit/>
                      </wps:bodyPr>
                    </wps:wsp>
                  </a:graphicData>
                </a:graphic>
              </wp:inline>
            </w:drawing>
          </mc:Choice>
          <mc:Fallback>
            <w:pict>
              <v:shape id="Text Box 7" o:spid="_x0000_s1034" type="#_x0000_t202" style="width:253.1pt;height:3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" fillcolor="#dbe5f1" strokecolor="#006a99">
                <v:textbox>
                  <w:txbxContent>
                    <w:p w:rsidR="004331D4" w:rsidRDefault="004331D4" w:rsidP="00CA53B1">
                      <w:pPr>
                        <w:pStyle w:val="AERfactsheetbodytext"/>
                      </w:pPr>
                      <w:r>
                        <w:t>Our value of imputation credits for th</w:t>
                      </w:r>
                      <w:r w:rsidR="00564A2D">
                        <w:t>i</w:t>
                      </w:r>
                      <w:r>
                        <w:t>s decision is 0.4 (40 per cent).</w:t>
                      </w:r>
                    </w:p>
                    <w:p w:rsidR="004331D4" w:rsidRDefault="004331D4" w:rsidP="00CA53B1"/>
                  </w:txbxContent>
                </v:textbox>
                <w10:anchorlock/>
              </v:shape>
            </w:pict>
          </mc:Fallback>
        </mc:AlternateContent>
      </w:r>
    </w:p>
    <w:p w:rsidR="00EE70D1" w:rsidRPr="00AF26C6" w:rsidRDefault="00EE70D1">
      <w:pPr>
        <w:pStyle w:val="AERfactsheetbulletlist"/>
        <w:widowControl w:val="0"/>
        <w:numPr>
          <w:ilvl w:val="0"/>
          <w:numId w:val="0"/>
        </w:numPr>
        <w:rPr>
          <w:rFonts w:ascii="Tunga" w:hAnsi="Tunga" w:cs="Tunga"/>
          <w:b/>
          <w:iCs/>
          <w:color w:val="006A99"/>
          <w:spacing w:val="0"/>
          <w:kern w:val="24"/>
          <w:sz w:val="24"/>
        </w:rPr>
      </w:pPr>
      <w:r w:rsidRPr="00AF26C6">
        <w:rPr>
          <w:rFonts w:ascii="Tunga" w:hAnsi="Tunga" w:cs="Tunga"/>
          <w:b/>
          <w:iCs/>
          <w:color w:val="006A99"/>
          <w:spacing w:val="0"/>
          <w:kern w:val="24"/>
          <w:sz w:val="24"/>
        </w:rPr>
        <w:t>Appeal</w:t>
      </w:r>
    </w:p>
    <w:p w:rsidR="006E71FA" w:rsidRDefault="006E71FA" w:rsidP="006E71FA">
      <w:pPr>
        <w:pStyle w:val="AERfactsheetbodytext"/>
      </w:pPr>
      <w:r>
        <w:t xml:space="preserve">In June 2015, </w:t>
      </w:r>
      <w:r w:rsidR="00C15796">
        <w:t>gas and electricity service providers in</w:t>
      </w:r>
      <w:r>
        <w:t xml:space="preserve"> NSW </w:t>
      </w:r>
      <w:r w:rsidR="00C15796">
        <w:t xml:space="preserve">and ACT </w:t>
      </w:r>
      <w:r>
        <w:t>applied to the Australian Competition Tribunal for merits review</w:t>
      </w:r>
      <w:r w:rsidR="0084284A">
        <w:t xml:space="preserve"> of a number of our decisions</w:t>
      </w:r>
      <w:r>
        <w:t>. The Tribunal reviewed our approach to estimating the allowed return on debt, return on equity and imputation credits. The Tribunal made its final</w:t>
      </w:r>
      <w:r w:rsidDel="00DF6C70">
        <w:t xml:space="preserve"> decision on 26 February 2016.</w:t>
      </w:r>
    </w:p>
    <w:p w:rsidR="006E71FA" w:rsidRDefault="006E71FA" w:rsidP="006E71FA">
      <w:pPr>
        <w:pStyle w:val="AERfactsheetbodytext"/>
      </w:pPr>
      <w:r>
        <w:t xml:space="preserve">The Tribunal upheld our approach to: </w:t>
      </w:r>
    </w:p>
    <w:p w:rsidR="006E71FA" w:rsidRDefault="006E71FA" w:rsidP="006E71FA">
      <w:pPr>
        <w:pStyle w:val="AERfactsheetbodytext"/>
        <w:numPr>
          <w:ilvl w:val="0"/>
          <w:numId w:val="15"/>
        </w:numPr>
      </w:pPr>
      <w:r>
        <w:t>estimating the return on equity by applying the Guideline approach (or the foundation model approach)</w:t>
      </w:r>
      <w:r w:rsidR="00452BFE">
        <w:t>.</w:t>
      </w:r>
      <w:r>
        <w:t xml:space="preserve"> </w:t>
      </w:r>
    </w:p>
    <w:p w:rsidR="006E71FA" w:rsidRDefault="006E71FA" w:rsidP="006E71FA">
      <w:pPr>
        <w:pStyle w:val="AERfactsheetbodytext"/>
        <w:numPr>
          <w:ilvl w:val="0"/>
          <w:numId w:val="15"/>
        </w:numPr>
      </w:pPr>
      <w:r>
        <w:t>specifying BB</w:t>
      </w:r>
      <w:r w:rsidR="00C15796">
        <w:t>B</w:t>
      </w:r>
      <w:r>
        <w:t>+ as the benchmark credit rating, rather than BBB, as preferred by some of the service providers</w:t>
      </w:r>
      <w:r w:rsidR="00452BFE">
        <w:t>.</w:t>
      </w:r>
    </w:p>
    <w:p w:rsidR="00452BFE" w:rsidRDefault="006E71FA" w:rsidP="0053230C">
      <w:pPr>
        <w:pStyle w:val="AERfactsheetbodytext"/>
        <w:numPr>
          <w:ilvl w:val="0"/>
          <w:numId w:val="15"/>
        </w:numPr>
      </w:pPr>
      <w:r>
        <w:t>estimating the allowed return on debt using a simple average of the RBA and Bloomberg data series rather than the</w:t>
      </w:r>
      <w:r w:rsidRPr="000C234A">
        <w:t xml:space="preserve"> RBA data series alone</w:t>
      </w:r>
      <w:r w:rsidR="00452BFE">
        <w:t>.</w:t>
      </w:r>
    </w:p>
    <w:p w:rsidR="00021303" w:rsidRDefault="006E71FA" w:rsidP="00021303">
      <w:pPr>
        <w:pStyle w:val="AERfactsheetbodytext"/>
      </w:pPr>
      <w:r>
        <w:t xml:space="preserve">The Tribunal found error in our approach to applying a full transition from an on-the-day to a trailing average allowed return on debt. The Tribunal remitted this matter back to us to make a decision on introducing the trailing average approach. </w:t>
      </w:r>
      <w:r w:rsidR="00C42601">
        <w:t>Additionally, t</w:t>
      </w:r>
      <w:r>
        <w:t>he Tribunal</w:t>
      </w:r>
      <w:r w:rsidR="00C42601">
        <w:t xml:space="preserve"> remitted the matter of</w:t>
      </w:r>
      <w:r>
        <w:t xml:space="preserve"> </w:t>
      </w:r>
      <w:r w:rsidR="00C42601">
        <w:t xml:space="preserve">imputation credits back to us in accordance with </w:t>
      </w:r>
      <w:r w:rsidR="00FB24BB">
        <w:t>its</w:t>
      </w:r>
      <w:r>
        <w:t xml:space="preserve"> directions, including by reference to an estimated cost of corporate income tax based on a gamma of 0.25. </w:t>
      </w:r>
      <w:r w:rsidR="00452BFE">
        <w:t>On 24 March 2016, we applied to the Federal Court for a review of these aspects of the Tribunal's decision.</w:t>
      </w:r>
      <w:r w:rsidR="00021303">
        <w:t xml:space="preserve"> </w:t>
      </w:r>
      <w:r w:rsidR="00021303" w:rsidRPr="00E34DEB">
        <w:t xml:space="preserve">This appeal was heard in October 2016 </w:t>
      </w:r>
      <w:r w:rsidR="00676CF3" w:rsidRPr="00E34DEB">
        <w:t xml:space="preserve">and the decision </w:t>
      </w:r>
      <w:r w:rsidR="00676CF3">
        <w:t>was handed do</w:t>
      </w:r>
      <w:r w:rsidR="000E3C8E">
        <w:t>w</w:t>
      </w:r>
      <w:r w:rsidR="00676CF3">
        <w:t xml:space="preserve">n on 24 May 2017. In relation to gamma, the Full Federal Court found that it was </w:t>
      </w:r>
      <w:r w:rsidR="00676CF3">
        <w:lastRenderedPageBreak/>
        <w:t>not an error of construction for the AER to focus on utilisation rather than on implied market value. The Full Federal Court dismissed the AER’s appeal in relation to debt transition and found the Tribunal’s decision was not in error.</w:t>
      </w:r>
    </w:p>
    <w:p w:rsidR="00021303" w:rsidRDefault="00021303" w:rsidP="00021303">
      <w:pPr>
        <w:pStyle w:val="AERfactsheetbodytext"/>
      </w:pPr>
      <w:r w:rsidRPr="00E34DEB">
        <w:t>Following the release of the AER's decision for SAPN in October 2015, SAPN</w:t>
      </w:r>
      <w:r>
        <w:t xml:space="preserve"> also</w:t>
      </w:r>
      <w:r w:rsidRPr="00E34DEB">
        <w:t xml:space="preserve"> appealed the decision on debt transition </w:t>
      </w:r>
      <w:r w:rsidR="00A97EF7">
        <w:t xml:space="preserve">and the value of imputation credits </w:t>
      </w:r>
      <w:r w:rsidRPr="00E34DEB">
        <w:t xml:space="preserve">to the </w:t>
      </w:r>
      <w:r>
        <w:t>Tribunal</w:t>
      </w:r>
      <w:r w:rsidRPr="00E34DEB">
        <w:t>.</w:t>
      </w:r>
      <w:r>
        <w:t xml:space="preserve"> </w:t>
      </w:r>
      <w:r w:rsidRPr="00270237">
        <w:t>The Tribunal in October 2016, affirmed our decision to apply</w:t>
      </w:r>
      <w:r w:rsidRPr="00713834">
        <w:t xml:space="preserve"> a full debt transition</w:t>
      </w:r>
      <w:r w:rsidR="00A97EF7">
        <w:t xml:space="preserve"> and adopt a value of imputation credits of 0.4</w:t>
      </w:r>
      <w:r w:rsidRPr="00713834">
        <w:t xml:space="preserve">, although we note SAPN has appealed this to the Federal Court </w:t>
      </w:r>
      <w:r w:rsidR="00676CF3">
        <w:t>and</w:t>
      </w:r>
      <w:r w:rsidR="00676CF3" w:rsidRPr="00713834">
        <w:t xml:space="preserve"> the </w:t>
      </w:r>
      <w:r w:rsidR="00676CF3">
        <w:t xml:space="preserve">matter was heard in </w:t>
      </w:r>
      <w:r w:rsidR="00676CF3" w:rsidRPr="00713834">
        <w:t>May 2017</w:t>
      </w:r>
      <w:r w:rsidR="00676CF3">
        <w:t>. The decision is currently reserved.</w:t>
      </w:r>
    </w:p>
    <w:p w:rsidR="004723CF" w:rsidRDefault="00021303" w:rsidP="00021303">
      <w:pPr>
        <w:pStyle w:val="AERfactsheetbodytext"/>
      </w:pPr>
      <w:r>
        <w:t>Following the</w:t>
      </w:r>
      <w:r w:rsidR="00F308A5">
        <w:t>ir respective</w:t>
      </w:r>
      <w:r>
        <w:t xml:space="preserve"> May 2016 </w:t>
      </w:r>
      <w:r w:rsidR="00F308A5">
        <w:t xml:space="preserve">AER </w:t>
      </w:r>
      <w:r>
        <w:t xml:space="preserve">decisions, </w:t>
      </w:r>
      <w:r w:rsidRPr="00270237">
        <w:t xml:space="preserve">ActewAGL Gas Networks, </w:t>
      </w:r>
      <w:r w:rsidRPr="00713834">
        <w:t xml:space="preserve">Jemena Distribution </w:t>
      </w:r>
      <w:r w:rsidR="00F308A5">
        <w:t xml:space="preserve">and AusNet Services electricity distribution </w:t>
      </w:r>
      <w:r w:rsidRPr="00713834">
        <w:t>brought applications for review by the Tribunal</w:t>
      </w:r>
      <w:r>
        <w:t>. These were focused</w:t>
      </w:r>
      <w:r w:rsidRPr="00270237">
        <w:t xml:space="preserve"> o</w:t>
      </w:r>
      <w:r>
        <w:t>n</w:t>
      </w:r>
      <w:r w:rsidRPr="00270237">
        <w:t xml:space="preserve"> certain aspects of the approach to determin</w:t>
      </w:r>
      <w:r>
        <w:t>e</w:t>
      </w:r>
      <w:r w:rsidRPr="00270237">
        <w:t xml:space="preserve"> the return on debt</w:t>
      </w:r>
      <w:r w:rsidR="00A97EF7">
        <w:t xml:space="preserve"> and the value of imputation credits</w:t>
      </w:r>
      <w:r w:rsidRPr="00713834">
        <w:t xml:space="preserve">. </w:t>
      </w:r>
      <w:r w:rsidRPr="00E34DEB">
        <w:t xml:space="preserve">The appeal was heard by the </w:t>
      </w:r>
      <w:r>
        <w:t xml:space="preserve">Tribunal </w:t>
      </w:r>
      <w:r w:rsidRPr="00E34DEB">
        <w:t xml:space="preserve">in November 2016 and the decision is </w:t>
      </w:r>
      <w:r>
        <w:t xml:space="preserve">currently </w:t>
      </w:r>
      <w:r w:rsidRPr="00E34DEB">
        <w:t>reserved.</w:t>
      </w:r>
    </w:p>
    <w:p w:rsidR="00676CF3" w:rsidRPr="009C0978" w:rsidRDefault="00676CF3" w:rsidP="00676CF3">
      <w:pPr>
        <w:pStyle w:val="AERfactsheetbodytext"/>
      </w:pPr>
      <w:r>
        <w:t xml:space="preserve">In May 2017, before the NSW Full Federal Court handed down its decision, AusNet transmission sought review of the AER’s April 2017 final decision on the value of imputation credits to the Tribunal. The application is </w:t>
      </w:r>
      <w:r w:rsidR="00B50F0B">
        <w:t>yet to be heard.</w:t>
      </w:r>
    </w:p>
    <w:p w:rsidR="00676CF3" w:rsidRPr="009C0978" w:rsidRDefault="00676CF3" w:rsidP="00021303">
      <w:pPr>
        <w:pStyle w:val="AERfactsheetbodytext"/>
      </w:pPr>
    </w:p>
    <w:sectPr w:rsidR="00676CF3" w:rsidRPr="009C0978" w:rsidSect="00D202AC">
      <w:type w:val="continuous"/>
      <w:pgSz w:w="11906" w:h="16838"/>
      <w:pgMar w:top="1135" w:right="720" w:bottom="851" w:left="720" w:header="709" w:footer="709" w:gutter="0"/>
      <w:cols w:num="2" w:space="34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31D4" w:rsidRDefault="004331D4" w:rsidP="00A24D2E">
      <w:r>
        <w:separator/>
      </w:r>
    </w:p>
  </w:endnote>
  <w:endnote w:type="continuationSeparator" w:id="0">
    <w:p w:rsidR="004331D4" w:rsidRDefault="004331D4" w:rsidP="00A24D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0"/>
    <w:family w:val="swiss"/>
    <w:pitch w:val="variable"/>
    <w:sig w:usb0="00200003" w:usb1="00000000" w:usb2="00000000" w:usb3="00000000" w:csb0="00000001" w:csb1="00000000"/>
  </w:font>
  <w:font w:name="DINOT-Regular">
    <w:altName w:val="DINOT-Regular"/>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unga">
    <w:panose1 w:val="020B0502040204020203"/>
    <w:charset w:val="00"/>
    <w:family w:val="swiss"/>
    <w:pitch w:val="variable"/>
    <w:sig w:usb0="004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Reference Sans Serif">
    <w:panose1 w:val="020B0604030504040204"/>
    <w:charset w:val="00"/>
    <w:family w:val="swiss"/>
    <w:pitch w:val="variable"/>
    <w:sig w:usb0="20000287" w:usb1="00000000" w:usb2="00000000" w:usb3="00000000" w:csb0="0000019F" w:csb1="00000000"/>
  </w:font>
  <w:font w:name="Shruti">
    <w:panose1 w:val="020B0502040204020203"/>
    <w:charset w:val="00"/>
    <w:family w:val="swiss"/>
    <w:pitch w:val="variable"/>
    <w:sig w:usb0="0004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5946" w:rsidRDefault="007D594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5946" w:rsidRDefault="007D594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5946" w:rsidRDefault="007D594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31D4" w:rsidRDefault="004331D4" w:rsidP="00A24D2E">
      <w:r>
        <w:separator/>
      </w:r>
    </w:p>
  </w:footnote>
  <w:footnote w:type="continuationSeparator" w:id="0">
    <w:p w:rsidR="004331D4" w:rsidRDefault="004331D4" w:rsidP="00A24D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5946" w:rsidRDefault="007D594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5946" w:rsidRDefault="007D594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5946" w:rsidRDefault="007D594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9E2DD4"/>
    <w:multiLevelType w:val="hybridMultilevel"/>
    <w:tmpl w:val="9C6EB9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nsid w:val="173D32CE"/>
    <w:multiLevelType w:val="hybridMultilevel"/>
    <w:tmpl w:val="64CEB9F0"/>
    <w:lvl w:ilvl="0" w:tplc="C9C406E8">
      <w:start w:val="1"/>
      <w:numFmt w:val="bullet"/>
      <w:pStyle w:val="AERfactsheetbulletlist"/>
      <w:lvlText w:val=""/>
      <w:lvlJc w:val="left"/>
      <w:pPr>
        <w:ind w:left="578" w:hanging="360"/>
      </w:pPr>
      <w:rPr>
        <w:rFonts w:ascii="Wingdings" w:hAnsi="Wingdings" w:hint="default"/>
        <w:b w:val="0"/>
        <w:i w:val="0"/>
        <w:sz w:val="22"/>
      </w:rPr>
    </w:lvl>
    <w:lvl w:ilvl="1" w:tplc="0C090003" w:tentative="1">
      <w:start w:val="1"/>
      <w:numFmt w:val="bullet"/>
      <w:lvlText w:val="o"/>
      <w:lvlJc w:val="left"/>
      <w:pPr>
        <w:ind w:left="1298" w:hanging="360"/>
      </w:pPr>
      <w:rPr>
        <w:rFonts w:ascii="Courier New" w:hAnsi="Courier New" w:cs="Courier New" w:hint="default"/>
      </w:rPr>
    </w:lvl>
    <w:lvl w:ilvl="2" w:tplc="0C090005" w:tentative="1">
      <w:start w:val="1"/>
      <w:numFmt w:val="bullet"/>
      <w:lvlText w:val=""/>
      <w:lvlJc w:val="left"/>
      <w:pPr>
        <w:ind w:left="2018" w:hanging="360"/>
      </w:pPr>
      <w:rPr>
        <w:rFonts w:ascii="Wingdings" w:hAnsi="Wingdings" w:hint="default"/>
      </w:rPr>
    </w:lvl>
    <w:lvl w:ilvl="3" w:tplc="0C090001" w:tentative="1">
      <w:start w:val="1"/>
      <w:numFmt w:val="bullet"/>
      <w:lvlText w:val=""/>
      <w:lvlJc w:val="left"/>
      <w:pPr>
        <w:ind w:left="2738" w:hanging="360"/>
      </w:pPr>
      <w:rPr>
        <w:rFonts w:ascii="Symbol" w:hAnsi="Symbol" w:hint="default"/>
      </w:rPr>
    </w:lvl>
    <w:lvl w:ilvl="4" w:tplc="0C090003" w:tentative="1">
      <w:start w:val="1"/>
      <w:numFmt w:val="bullet"/>
      <w:lvlText w:val="o"/>
      <w:lvlJc w:val="left"/>
      <w:pPr>
        <w:ind w:left="3458" w:hanging="360"/>
      </w:pPr>
      <w:rPr>
        <w:rFonts w:ascii="Courier New" w:hAnsi="Courier New" w:cs="Courier New" w:hint="default"/>
      </w:rPr>
    </w:lvl>
    <w:lvl w:ilvl="5" w:tplc="0C090005" w:tentative="1">
      <w:start w:val="1"/>
      <w:numFmt w:val="bullet"/>
      <w:lvlText w:val=""/>
      <w:lvlJc w:val="left"/>
      <w:pPr>
        <w:ind w:left="4178" w:hanging="360"/>
      </w:pPr>
      <w:rPr>
        <w:rFonts w:ascii="Wingdings" w:hAnsi="Wingdings" w:hint="default"/>
      </w:rPr>
    </w:lvl>
    <w:lvl w:ilvl="6" w:tplc="0C090001" w:tentative="1">
      <w:start w:val="1"/>
      <w:numFmt w:val="bullet"/>
      <w:lvlText w:val=""/>
      <w:lvlJc w:val="left"/>
      <w:pPr>
        <w:ind w:left="4898" w:hanging="360"/>
      </w:pPr>
      <w:rPr>
        <w:rFonts w:ascii="Symbol" w:hAnsi="Symbol" w:hint="default"/>
      </w:rPr>
    </w:lvl>
    <w:lvl w:ilvl="7" w:tplc="0C090003" w:tentative="1">
      <w:start w:val="1"/>
      <w:numFmt w:val="bullet"/>
      <w:lvlText w:val="o"/>
      <w:lvlJc w:val="left"/>
      <w:pPr>
        <w:ind w:left="5618" w:hanging="360"/>
      </w:pPr>
      <w:rPr>
        <w:rFonts w:ascii="Courier New" w:hAnsi="Courier New" w:cs="Courier New" w:hint="default"/>
      </w:rPr>
    </w:lvl>
    <w:lvl w:ilvl="8" w:tplc="0C090005" w:tentative="1">
      <w:start w:val="1"/>
      <w:numFmt w:val="bullet"/>
      <w:lvlText w:val=""/>
      <w:lvlJc w:val="left"/>
      <w:pPr>
        <w:ind w:left="6338" w:hanging="360"/>
      </w:pPr>
      <w:rPr>
        <w:rFonts w:ascii="Wingdings" w:hAnsi="Wingdings" w:hint="default"/>
      </w:rPr>
    </w:lvl>
  </w:abstractNum>
  <w:abstractNum w:abstractNumId="2">
    <w:nsid w:val="17803EE5"/>
    <w:multiLevelType w:val="multilevel"/>
    <w:tmpl w:val="42AAC724"/>
    <w:lvl w:ilvl="0">
      <w:start w:val="1"/>
      <w:numFmt w:val="bullet"/>
      <w:lvlText w:val=""/>
      <w:lvlJc w:val="left"/>
      <w:pPr>
        <w:tabs>
          <w:tab w:val="num" w:pos="340"/>
        </w:tabs>
        <w:ind w:left="340" w:firstLine="0"/>
      </w:pPr>
      <w:rPr>
        <w:rFonts w:ascii="Symbol" w:hAnsi="Symbol" w:hint="default"/>
      </w:rPr>
    </w:lvl>
    <w:lvl w:ilvl="1">
      <w:start w:val="1"/>
      <w:numFmt w:val="decimal"/>
      <w:lvlText w:val="%2."/>
      <w:lvlJc w:val="left"/>
      <w:pPr>
        <w:tabs>
          <w:tab w:val="num" w:pos="697"/>
        </w:tabs>
        <w:ind w:left="697" w:hanging="357"/>
      </w:pPr>
    </w:lvl>
    <w:lvl w:ilvl="2">
      <w:start w:val="1"/>
      <w:numFmt w:val="lowerLetter"/>
      <w:lvlText w:val="%3."/>
      <w:lvlJc w:val="left"/>
      <w:pPr>
        <w:tabs>
          <w:tab w:val="num" w:pos="1060"/>
        </w:tabs>
        <w:ind w:left="1060" w:hanging="363"/>
      </w:pPr>
    </w:lvl>
    <w:lvl w:ilvl="3">
      <w:start w:val="1"/>
      <w:numFmt w:val="lowerRoman"/>
      <w:lvlText w:val="%4."/>
      <w:lvlJc w:val="left"/>
      <w:pPr>
        <w:tabs>
          <w:tab w:val="num" w:pos="1417"/>
        </w:tabs>
        <w:ind w:left="1417" w:hanging="357"/>
      </w:pPr>
    </w:lvl>
    <w:lvl w:ilvl="4">
      <w:start w:val="1"/>
      <w:numFmt w:val="decimal"/>
      <w:lvlRestart w:val="1"/>
      <w:lvlText w:val="(%5)"/>
      <w:lvlJc w:val="left"/>
      <w:pPr>
        <w:tabs>
          <w:tab w:val="num" w:pos="794"/>
        </w:tabs>
        <w:ind w:left="794" w:hanging="454"/>
      </w:pPr>
    </w:lvl>
    <w:lvl w:ilvl="5">
      <w:start w:val="1"/>
      <w:numFmt w:val="lowerLetter"/>
      <w:lvlText w:val="(%6)"/>
      <w:lvlJc w:val="left"/>
      <w:pPr>
        <w:tabs>
          <w:tab w:val="num" w:pos="1151"/>
        </w:tabs>
        <w:ind w:left="1151" w:hanging="357"/>
      </w:pPr>
    </w:lvl>
    <w:lvl w:ilvl="6">
      <w:start w:val="1"/>
      <w:numFmt w:val="lowerRoman"/>
      <w:lvlText w:val="(%7)"/>
      <w:lvlJc w:val="left"/>
      <w:pPr>
        <w:tabs>
          <w:tab w:val="num" w:pos="1786"/>
        </w:tabs>
        <w:ind w:left="1786" w:hanging="635"/>
      </w:pPr>
    </w:lvl>
    <w:lvl w:ilvl="7">
      <w:start w:val="1"/>
      <w:numFmt w:val="lowerLetter"/>
      <w:lvlText w:val="%8."/>
      <w:lvlJc w:val="left"/>
      <w:pPr>
        <w:ind w:left="3220" w:hanging="360"/>
      </w:pPr>
    </w:lvl>
    <w:lvl w:ilvl="8">
      <w:start w:val="1"/>
      <w:numFmt w:val="lowerRoman"/>
      <w:lvlText w:val="%9."/>
      <w:lvlJc w:val="left"/>
      <w:pPr>
        <w:ind w:left="3580" w:hanging="360"/>
      </w:pPr>
    </w:lvl>
  </w:abstractNum>
  <w:abstractNum w:abstractNumId="3">
    <w:nsid w:val="3B5B40A8"/>
    <w:multiLevelType w:val="hybridMultilevel"/>
    <w:tmpl w:val="7BFCF0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439575BF"/>
    <w:multiLevelType w:val="hybridMultilevel"/>
    <w:tmpl w:val="520AAE6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444E1809"/>
    <w:multiLevelType w:val="hybridMultilevel"/>
    <w:tmpl w:val="8B549D7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47EA27AF"/>
    <w:multiLevelType w:val="hybridMultilevel"/>
    <w:tmpl w:val="18C0BB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nsid w:val="51487971"/>
    <w:multiLevelType w:val="multilevel"/>
    <w:tmpl w:val="B1FCC85A"/>
    <w:lvl w:ilvl="0">
      <w:start w:val="1"/>
      <w:numFmt w:val="none"/>
      <w:pStyle w:val="AERbodytext"/>
      <w:lvlText w:val="%1"/>
      <w:lvlJc w:val="left"/>
      <w:pPr>
        <w:tabs>
          <w:tab w:val="num" w:pos="0"/>
        </w:tabs>
      </w:pPr>
      <w:rPr>
        <w:rFonts w:cs="Times New Roman" w:hint="default"/>
      </w:rPr>
    </w:lvl>
    <w:lvl w:ilvl="1">
      <w:start w:val="1"/>
      <w:numFmt w:val="decimal"/>
      <w:pStyle w:val="AERnumberedlistfirststyle"/>
      <w:lvlText w:val="%2."/>
      <w:lvlJc w:val="left"/>
      <w:pPr>
        <w:tabs>
          <w:tab w:val="num" w:pos="357"/>
        </w:tabs>
        <w:ind w:left="357" w:hanging="357"/>
      </w:pPr>
      <w:rPr>
        <w:rFonts w:cs="Times New Roman" w:hint="default"/>
      </w:rPr>
    </w:lvl>
    <w:lvl w:ilvl="2">
      <w:start w:val="1"/>
      <w:numFmt w:val="lowerLetter"/>
      <w:pStyle w:val="AERnumberedlistsecondstyle"/>
      <w:lvlText w:val="%3."/>
      <w:lvlJc w:val="left"/>
      <w:pPr>
        <w:tabs>
          <w:tab w:val="num" w:pos="720"/>
        </w:tabs>
        <w:ind w:left="720" w:hanging="363"/>
      </w:pPr>
      <w:rPr>
        <w:rFonts w:cs="Times New Roman" w:hint="default"/>
      </w:rPr>
    </w:lvl>
    <w:lvl w:ilvl="3">
      <w:start w:val="1"/>
      <w:numFmt w:val="lowerRoman"/>
      <w:pStyle w:val="AERnumberedlistthirdstyle"/>
      <w:lvlText w:val="%4."/>
      <w:lvlJc w:val="left"/>
      <w:pPr>
        <w:tabs>
          <w:tab w:val="num" w:pos="1077"/>
        </w:tabs>
        <w:ind w:left="1077" w:hanging="357"/>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8">
    <w:nsid w:val="5C04619A"/>
    <w:multiLevelType w:val="hybridMultilevel"/>
    <w:tmpl w:val="56C093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7E2819EC"/>
    <w:multiLevelType w:val="multilevel"/>
    <w:tmpl w:val="1250F310"/>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7"/>
  </w:num>
  <w:num w:numId="3">
    <w:abstractNumId w:val="1"/>
  </w:num>
  <w:num w:numId="4">
    <w:abstractNumId w:val="1"/>
  </w:num>
  <w:num w:numId="5">
    <w:abstractNumId w:val="8"/>
  </w:num>
  <w:num w:numId="6">
    <w:abstractNumId w:val="4"/>
  </w:num>
  <w:num w:numId="7">
    <w:abstractNumId w:val="3"/>
  </w:num>
  <w:num w:numId="8">
    <w:abstractNumId w:val="5"/>
  </w:num>
  <w:num w:numId="9">
    <w:abstractNumId w:val="0"/>
  </w:num>
  <w:num w:numId="10">
    <w:abstractNumId w:val="1"/>
  </w:num>
  <w:num w:numId="11">
    <w:abstractNumId w:val="1"/>
  </w:num>
  <w:num w:numId="12">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defaultTabStop w:val="720"/>
  <w:characterSpacingControl w:val="doNotCompress"/>
  <w:hdrShapeDefaults>
    <o:shapedefaults v:ext="edit" spidmax="1925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tps://www.aer.gov.au/system/files/AER - Draft decision Ausnet Services transmission determination - Rate of return factsheet - July 2016.docx"/>
  </w:docVars>
  <w:rsids>
    <w:rsidRoot w:val="00021F03"/>
    <w:rsid w:val="00006230"/>
    <w:rsid w:val="00012AC9"/>
    <w:rsid w:val="000173D5"/>
    <w:rsid w:val="000175A4"/>
    <w:rsid w:val="000204CF"/>
    <w:rsid w:val="00021303"/>
    <w:rsid w:val="00021F03"/>
    <w:rsid w:val="00022077"/>
    <w:rsid w:val="00025FFF"/>
    <w:rsid w:val="00027076"/>
    <w:rsid w:val="00032BA0"/>
    <w:rsid w:val="00035993"/>
    <w:rsid w:val="000437AC"/>
    <w:rsid w:val="000454A0"/>
    <w:rsid w:val="00055816"/>
    <w:rsid w:val="00062C55"/>
    <w:rsid w:val="000742B2"/>
    <w:rsid w:val="0007657B"/>
    <w:rsid w:val="00084C36"/>
    <w:rsid w:val="000864DB"/>
    <w:rsid w:val="00096CFF"/>
    <w:rsid w:val="00097937"/>
    <w:rsid w:val="000B05F7"/>
    <w:rsid w:val="000B3EAD"/>
    <w:rsid w:val="000C025A"/>
    <w:rsid w:val="000C07AD"/>
    <w:rsid w:val="000C712D"/>
    <w:rsid w:val="000D4877"/>
    <w:rsid w:val="000E2D55"/>
    <w:rsid w:val="000E3C8E"/>
    <w:rsid w:val="0010059A"/>
    <w:rsid w:val="00113361"/>
    <w:rsid w:val="001152E2"/>
    <w:rsid w:val="00117167"/>
    <w:rsid w:val="00117472"/>
    <w:rsid w:val="00124CB2"/>
    <w:rsid w:val="00131C78"/>
    <w:rsid w:val="0013204E"/>
    <w:rsid w:val="00134644"/>
    <w:rsid w:val="001364E9"/>
    <w:rsid w:val="00140E1A"/>
    <w:rsid w:val="00145690"/>
    <w:rsid w:val="00150133"/>
    <w:rsid w:val="00150203"/>
    <w:rsid w:val="00152151"/>
    <w:rsid w:val="0016071A"/>
    <w:rsid w:val="001609BC"/>
    <w:rsid w:val="00161050"/>
    <w:rsid w:val="00161423"/>
    <w:rsid w:val="00163E50"/>
    <w:rsid w:val="001851E8"/>
    <w:rsid w:val="00193867"/>
    <w:rsid w:val="00194A45"/>
    <w:rsid w:val="001A231A"/>
    <w:rsid w:val="001A23C5"/>
    <w:rsid w:val="001A3711"/>
    <w:rsid w:val="001A3931"/>
    <w:rsid w:val="001A5BC1"/>
    <w:rsid w:val="001B10C7"/>
    <w:rsid w:val="001C1328"/>
    <w:rsid w:val="001D3D87"/>
    <w:rsid w:val="001D4048"/>
    <w:rsid w:val="001D49FD"/>
    <w:rsid w:val="001E42DA"/>
    <w:rsid w:val="001E66EE"/>
    <w:rsid w:val="001F15F8"/>
    <w:rsid w:val="001F2550"/>
    <w:rsid w:val="001F5758"/>
    <w:rsid w:val="00201944"/>
    <w:rsid w:val="00205D80"/>
    <w:rsid w:val="002106B5"/>
    <w:rsid w:val="00211FD6"/>
    <w:rsid w:val="00216967"/>
    <w:rsid w:val="00223084"/>
    <w:rsid w:val="00225391"/>
    <w:rsid w:val="00225620"/>
    <w:rsid w:val="0022594B"/>
    <w:rsid w:val="00235775"/>
    <w:rsid w:val="00235852"/>
    <w:rsid w:val="00236E3C"/>
    <w:rsid w:val="002425E7"/>
    <w:rsid w:val="00244D7A"/>
    <w:rsid w:val="002521D8"/>
    <w:rsid w:val="00257B6D"/>
    <w:rsid w:val="00260768"/>
    <w:rsid w:val="00263811"/>
    <w:rsid w:val="00266275"/>
    <w:rsid w:val="00275F07"/>
    <w:rsid w:val="002856A4"/>
    <w:rsid w:val="00285C21"/>
    <w:rsid w:val="00290C21"/>
    <w:rsid w:val="002952EB"/>
    <w:rsid w:val="002A4196"/>
    <w:rsid w:val="002A473F"/>
    <w:rsid w:val="002A58B5"/>
    <w:rsid w:val="002A5F52"/>
    <w:rsid w:val="002B7BBC"/>
    <w:rsid w:val="002D56B2"/>
    <w:rsid w:val="002E3F5B"/>
    <w:rsid w:val="002E57B4"/>
    <w:rsid w:val="002E7F4D"/>
    <w:rsid w:val="002F5CD2"/>
    <w:rsid w:val="00305687"/>
    <w:rsid w:val="003077EA"/>
    <w:rsid w:val="003118DF"/>
    <w:rsid w:val="0031269F"/>
    <w:rsid w:val="00321193"/>
    <w:rsid w:val="003224AC"/>
    <w:rsid w:val="00327E8A"/>
    <w:rsid w:val="003418CE"/>
    <w:rsid w:val="00342DB1"/>
    <w:rsid w:val="00346F63"/>
    <w:rsid w:val="00354231"/>
    <w:rsid w:val="00354991"/>
    <w:rsid w:val="00355A06"/>
    <w:rsid w:val="00356833"/>
    <w:rsid w:val="00360C93"/>
    <w:rsid w:val="00363D63"/>
    <w:rsid w:val="00374A57"/>
    <w:rsid w:val="003851C0"/>
    <w:rsid w:val="00385BB9"/>
    <w:rsid w:val="00385CF4"/>
    <w:rsid w:val="003870D8"/>
    <w:rsid w:val="003876E1"/>
    <w:rsid w:val="003906E2"/>
    <w:rsid w:val="00391B7D"/>
    <w:rsid w:val="00392D55"/>
    <w:rsid w:val="003A4BA4"/>
    <w:rsid w:val="003A683A"/>
    <w:rsid w:val="003B46EA"/>
    <w:rsid w:val="003B6A3E"/>
    <w:rsid w:val="003C5583"/>
    <w:rsid w:val="003D0B86"/>
    <w:rsid w:val="003F527A"/>
    <w:rsid w:val="003F6819"/>
    <w:rsid w:val="00404570"/>
    <w:rsid w:val="0040796A"/>
    <w:rsid w:val="00422429"/>
    <w:rsid w:val="0042329B"/>
    <w:rsid w:val="004310E5"/>
    <w:rsid w:val="004331D4"/>
    <w:rsid w:val="004404F3"/>
    <w:rsid w:val="00446186"/>
    <w:rsid w:val="0045172C"/>
    <w:rsid w:val="00452BFE"/>
    <w:rsid w:val="004548EF"/>
    <w:rsid w:val="004579EB"/>
    <w:rsid w:val="00457E3A"/>
    <w:rsid w:val="004723CF"/>
    <w:rsid w:val="00474754"/>
    <w:rsid w:val="004842F6"/>
    <w:rsid w:val="004845C7"/>
    <w:rsid w:val="00496333"/>
    <w:rsid w:val="004971B8"/>
    <w:rsid w:val="004B0368"/>
    <w:rsid w:val="004B40E2"/>
    <w:rsid w:val="004C1027"/>
    <w:rsid w:val="004C19B8"/>
    <w:rsid w:val="004C5F9A"/>
    <w:rsid w:val="004D1DC0"/>
    <w:rsid w:val="004D52BB"/>
    <w:rsid w:val="004E0FF6"/>
    <w:rsid w:val="004E1208"/>
    <w:rsid w:val="004E233B"/>
    <w:rsid w:val="004E3507"/>
    <w:rsid w:val="004E4F29"/>
    <w:rsid w:val="004F4392"/>
    <w:rsid w:val="0050430D"/>
    <w:rsid w:val="005064D7"/>
    <w:rsid w:val="00511B82"/>
    <w:rsid w:val="00513FFD"/>
    <w:rsid w:val="00526C37"/>
    <w:rsid w:val="0053230C"/>
    <w:rsid w:val="005324C6"/>
    <w:rsid w:val="005402E5"/>
    <w:rsid w:val="005432E0"/>
    <w:rsid w:val="00544345"/>
    <w:rsid w:val="00546358"/>
    <w:rsid w:val="00547E18"/>
    <w:rsid w:val="005524C5"/>
    <w:rsid w:val="00554E14"/>
    <w:rsid w:val="0055584F"/>
    <w:rsid w:val="00560C48"/>
    <w:rsid w:val="005610D6"/>
    <w:rsid w:val="00564A2D"/>
    <w:rsid w:val="00566A50"/>
    <w:rsid w:val="005746F0"/>
    <w:rsid w:val="00575036"/>
    <w:rsid w:val="00592DF0"/>
    <w:rsid w:val="005A1CBA"/>
    <w:rsid w:val="005A468C"/>
    <w:rsid w:val="005B4ADC"/>
    <w:rsid w:val="005B5BDE"/>
    <w:rsid w:val="005C144C"/>
    <w:rsid w:val="005D2EBB"/>
    <w:rsid w:val="005E0762"/>
    <w:rsid w:val="005E1E92"/>
    <w:rsid w:val="005E4018"/>
    <w:rsid w:val="005F115A"/>
    <w:rsid w:val="005F2D40"/>
    <w:rsid w:val="005F2DC5"/>
    <w:rsid w:val="005F4DFA"/>
    <w:rsid w:val="006030C0"/>
    <w:rsid w:val="00603298"/>
    <w:rsid w:val="0061155D"/>
    <w:rsid w:val="00616F0E"/>
    <w:rsid w:val="00621752"/>
    <w:rsid w:val="006246A9"/>
    <w:rsid w:val="00627C1F"/>
    <w:rsid w:val="00640BD7"/>
    <w:rsid w:val="0064571A"/>
    <w:rsid w:val="00647EF3"/>
    <w:rsid w:val="00652BED"/>
    <w:rsid w:val="00661A9B"/>
    <w:rsid w:val="00662BB4"/>
    <w:rsid w:val="006634B5"/>
    <w:rsid w:val="00664010"/>
    <w:rsid w:val="0066415A"/>
    <w:rsid w:val="006658A5"/>
    <w:rsid w:val="006721DC"/>
    <w:rsid w:val="0067299A"/>
    <w:rsid w:val="006733EE"/>
    <w:rsid w:val="00676CF3"/>
    <w:rsid w:val="00697FF1"/>
    <w:rsid w:val="006A07F6"/>
    <w:rsid w:val="006A5A15"/>
    <w:rsid w:val="006B1A2B"/>
    <w:rsid w:val="006B322A"/>
    <w:rsid w:val="006B39DB"/>
    <w:rsid w:val="006B56F2"/>
    <w:rsid w:val="006B6050"/>
    <w:rsid w:val="006B73DD"/>
    <w:rsid w:val="006C4CC5"/>
    <w:rsid w:val="006D0E7F"/>
    <w:rsid w:val="006D137A"/>
    <w:rsid w:val="006D5C4C"/>
    <w:rsid w:val="006E71FA"/>
    <w:rsid w:val="006F2E4F"/>
    <w:rsid w:val="006F45DD"/>
    <w:rsid w:val="006F47BA"/>
    <w:rsid w:val="006F4929"/>
    <w:rsid w:val="00701628"/>
    <w:rsid w:val="00702500"/>
    <w:rsid w:val="00704EDA"/>
    <w:rsid w:val="007101C1"/>
    <w:rsid w:val="00726CCA"/>
    <w:rsid w:val="00732564"/>
    <w:rsid w:val="007325CC"/>
    <w:rsid w:val="00742DF1"/>
    <w:rsid w:val="00747DBE"/>
    <w:rsid w:val="00753DF7"/>
    <w:rsid w:val="00754FD0"/>
    <w:rsid w:val="00755D16"/>
    <w:rsid w:val="0075714F"/>
    <w:rsid w:val="00776ACC"/>
    <w:rsid w:val="007853FF"/>
    <w:rsid w:val="00785986"/>
    <w:rsid w:val="00787B39"/>
    <w:rsid w:val="00792075"/>
    <w:rsid w:val="00792476"/>
    <w:rsid w:val="007952B3"/>
    <w:rsid w:val="007A0EEB"/>
    <w:rsid w:val="007A1A40"/>
    <w:rsid w:val="007B477B"/>
    <w:rsid w:val="007B591B"/>
    <w:rsid w:val="007B6947"/>
    <w:rsid w:val="007C2122"/>
    <w:rsid w:val="007C2B2C"/>
    <w:rsid w:val="007C3C57"/>
    <w:rsid w:val="007C5329"/>
    <w:rsid w:val="007C54FB"/>
    <w:rsid w:val="007D5946"/>
    <w:rsid w:val="007E692E"/>
    <w:rsid w:val="007F437A"/>
    <w:rsid w:val="00807259"/>
    <w:rsid w:val="00814799"/>
    <w:rsid w:val="0084284A"/>
    <w:rsid w:val="008472A8"/>
    <w:rsid w:val="008535C7"/>
    <w:rsid w:val="00855A4E"/>
    <w:rsid w:val="00856D44"/>
    <w:rsid w:val="00860B4E"/>
    <w:rsid w:val="008663C0"/>
    <w:rsid w:val="008665CD"/>
    <w:rsid w:val="00871903"/>
    <w:rsid w:val="008764A3"/>
    <w:rsid w:val="00877259"/>
    <w:rsid w:val="00877A69"/>
    <w:rsid w:val="0088254F"/>
    <w:rsid w:val="00890964"/>
    <w:rsid w:val="00893B2B"/>
    <w:rsid w:val="008A1608"/>
    <w:rsid w:val="008A7F44"/>
    <w:rsid w:val="008B28DF"/>
    <w:rsid w:val="008B297F"/>
    <w:rsid w:val="008B33C3"/>
    <w:rsid w:val="008B4DBF"/>
    <w:rsid w:val="008C1F3B"/>
    <w:rsid w:val="008C32AF"/>
    <w:rsid w:val="008C5689"/>
    <w:rsid w:val="008D2A86"/>
    <w:rsid w:val="008D722A"/>
    <w:rsid w:val="008E3256"/>
    <w:rsid w:val="008F6C14"/>
    <w:rsid w:val="00901228"/>
    <w:rsid w:val="009032EB"/>
    <w:rsid w:val="00903654"/>
    <w:rsid w:val="00916002"/>
    <w:rsid w:val="0092057B"/>
    <w:rsid w:val="009206D8"/>
    <w:rsid w:val="00930D72"/>
    <w:rsid w:val="00935936"/>
    <w:rsid w:val="00935CAA"/>
    <w:rsid w:val="009462FA"/>
    <w:rsid w:val="00947D6F"/>
    <w:rsid w:val="00960E54"/>
    <w:rsid w:val="009612A1"/>
    <w:rsid w:val="00963F5A"/>
    <w:rsid w:val="00974FE1"/>
    <w:rsid w:val="00990089"/>
    <w:rsid w:val="00990BAD"/>
    <w:rsid w:val="00993D60"/>
    <w:rsid w:val="009A2BB4"/>
    <w:rsid w:val="009A6C91"/>
    <w:rsid w:val="009A702D"/>
    <w:rsid w:val="009B0AC4"/>
    <w:rsid w:val="009B176A"/>
    <w:rsid w:val="009B2454"/>
    <w:rsid w:val="009B4D12"/>
    <w:rsid w:val="009B4E9F"/>
    <w:rsid w:val="009B60B7"/>
    <w:rsid w:val="009C0036"/>
    <w:rsid w:val="009C6DC3"/>
    <w:rsid w:val="009D246A"/>
    <w:rsid w:val="009D3F78"/>
    <w:rsid w:val="009E0E68"/>
    <w:rsid w:val="009E4276"/>
    <w:rsid w:val="009E7CD2"/>
    <w:rsid w:val="009F664C"/>
    <w:rsid w:val="009F6F78"/>
    <w:rsid w:val="009F7619"/>
    <w:rsid w:val="00A02437"/>
    <w:rsid w:val="00A0352C"/>
    <w:rsid w:val="00A0490B"/>
    <w:rsid w:val="00A1351A"/>
    <w:rsid w:val="00A14E17"/>
    <w:rsid w:val="00A16F47"/>
    <w:rsid w:val="00A20B7E"/>
    <w:rsid w:val="00A21083"/>
    <w:rsid w:val="00A23962"/>
    <w:rsid w:val="00A24D2E"/>
    <w:rsid w:val="00A24D5C"/>
    <w:rsid w:val="00A2725A"/>
    <w:rsid w:val="00A30414"/>
    <w:rsid w:val="00A3251E"/>
    <w:rsid w:val="00A32825"/>
    <w:rsid w:val="00A427A5"/>
    <w:rsid w:val="00A43B3F"/>
    <w:rsid w:val="00A43FE2"/>
    <w:rsid w:val="00A45346"/>
    <w:rsid w:val="00A5063D"/>
    <w:rsid w:val="00A50ACB"/>
    <w:rsid w:val="00A70454"/>
    <w:rsid w:val="00A95A1E"/>
    <w:rsid w:val="00A95AD6"/>
    <w:rsid w:val="00A964D1"/>
    <w:rsid w:val="00A97EF7"/>
    <w:rsid w:val="00AA408F"/>
    <w:rsid w:val="00AA44D4"/>
    <w:rsid w:val="00AA4694"/>
    <w:rsid w:val="00AA7208"/>
    <w:rsid w:val="00AB0042"/>
    <w:rsid w:val="00AB2954"/>
    <w:rsid w:val="00AB7321"/>
    <w:rsid w:val="00AC0236"/>
    <w:rsid w:val="00AC5FBF"/>
    <w:rsid w:val="00AD2E4C"/>
    <w:rsid w:val="00AD2EBC"/>
    <w:rsid w:val="00AD53EF"/>
    <w:rsid w:val="00AF26C6"/>
    <w:rsid w:val="00B0183D"/>
    <w:rsid w:val="00B14CC5"/>
    <w:rsid w:val="00B2084F"/>
    <w:rsid w:val="00B221EC"/>
    <w:rsid w:val="00B325BB"/>
    <w:rsid w:val="00B3667B"/>
    <w:rsid w:val="00B4272E"/>
    <w:rsid w:val="00B50F0B"/>
    <w:rsid w:val="00B54743"/>
    <w:rsid w:val="00B54816"/>
    <w:rsid w:val="00B55180"/>
    <w:rsid w:val="00B600D2"/>
    <w:rsid w:val="00B608C6"/>
    <w:rsid w:val="00B64AAB"/>
    <w:rsid w:val="00B73353"/>
    <w:rsid w:val="00B74064"/>
    <w:rsid w:val="00B74543"/>
    <w:rsid w:val="00B74C3C"/>
    <w:rsid w:val="00B80182"/>
    <w:rsid w:val="00B87130"/>
    <w:rsid w:val="00B87356"/>
    <w:rsid w:val="00BA42E7"/>
    <w:rsid w:val="00BA4FD9"/>
    <w:rsid w:val="00BB44A2"/>
    <w:rsid w:val="00BB5A5D"/>
    <w:rsid w:val="00BB6ACB"/>
    <w:rsid w:val="00BB7E86"/>
    <w:rsid w:val="00BB7E90"/>
    <w:rsid w:val="00BC5637"/>
    <w:rsid w:val="00BE5A7F"/>
    <w:rsid w:val="00BF24CD"/>
    <w:rsid w:val="00BF2CFF"/>
    <w:rsid w:val="00BF5D39"/>
    <w:rsid w:val="00C034EE"/>
    <w:rsid w:val="00C039EB"/>
    <w:rsid w:val="00C10B94"/>
    <w:rsid w:val="00C11E06"/>
    <w:rsid w:val="00C12C1F"/>
    <w:rsid w:val="00C13A11"/>
    <w:rsid w:val="00C15796"/>
    <w:rsid w:val="00C162C3"/>
    <w:rsid w:val="00C258B0"/>
    <w:rsid w:val="00C410E6"/>
    <w:rsid w:val="00C42601"/>
    <w:rsid w:val="00C47B15"/>
    <w:rsid w:val="00C5335F"/>
    <w:rsid w:val="00C66EF5"/>
    <w:rsid w:val="00C70125"/>
    <w:rsid w:val="00C71947"/>
    <w:rsid w:val="00C73523"/>
    <w:rsid w:val="00C76528"/>
    <w:rsid w:val="00C82377"/>
    <w:rsid w:val="00C85AF0"/>
    <w:rsid w:val="00C866CD"/>
    <w:rsid w:val="00C87AC3"/>
    <w:rsid w:val="00C90A07"/>
    <w:rsid w:val="00C919E6"/>
    <w:rsid w:val="00C92E99"/>
    <w:rsid w:val="00C93D3E"/>
    <w:rsid w:val="00C949E3"/>
    <w:rsid w:val="00C94C52"/>
    <w:rsid w:val="00C95BF3"/>
    <w:rsid w:val="00C97E4C"/>
    <w:rsid w:val="00CA0863"/>
    <w:rsid w:val="00CA171E"/>
    <w:rsid w:val="00CA4673"/>
    <w:rsid w:val="00CA53B1"/>
    <w:rsid w:val="00CB083F"/>
    <w:rsid w:val="00CB3718"/>
    <w:rsid w:val="00CD4560"/>
    <w:rsid w:val="00CD63B8"/>
    <w:rsid w:val="00CE16B5"/>
    <w:rsid w:val="00CF228C"/>
    <w:rsid w:val="00CF35B3"/>
    <w:rsid w:val="00D015A2"/>
    <w:rsid w:val="00D058F9"/>
    <w:rsid w:val="00D0705E"/>
    <w:rsid w:val="00D113E9"/>
    <w:rsid w:val="00D202AC"/>
    <w:rsid w:val="00D23092"/>
    <w:rsid w:val="00D30B52"/>
    <w:rsid w:val="00D403E1"/>
    <w:rsid w:val="00D52855"/>
    <w:rsid w:val="00D53ED7"/>
    <w:rsid w:val="00D5558F"/>
    <w:rsid w:val="00D61CE8"/>
    <w:rsid w:val="00D6217D"/>
    <w:rsid w:val="00D63A73"/>
    <w:rsid w:val="00D67257"/>
    <w:rsid w:val="00D74296"/>
    <w:rsid w:val="00D84266"/>
    <w:rsid w:val="00D9277B"/>
    <w:rsid w:val="00D94B4D"/>
    <w:rsid w:val="00DA03CB"/>
    <w:rsid w:val="00DA4F7E"/>
    <w:rsid w:val="00DB14DA"/>
    <w:rsid w:val="00DB4F80"/>
    <w:rsid w:val="00DC20AA"/>
    <w:rsid w:val="00DD18BD"/>
    <w:rsid w:val="00DD5448"/>
    <w:rsid w:val="00DE5EEE"/>
    <w:rsid w:val="00DF28BC"/>
    <w:rsid w:val="00DF7134"/>
    <w:rsid w:val="00E0500A"/>
    <w:rsid w:val="00E1275F"/>
    <w:rsid w:val="00E32544"/>
    <w:rsid w:val="00E342E9"/>
    <w:rsid w:val="00E36170"/>
    <w:rsid w:val="00E40E2A"/>
    <w:rsid w:val="00E43302"/>
    <w:rsid w:val="00E44367"/>
    <w:rsid w:val="00E54B7A"/>
    <w:rsid w:val="00E55E88"/>
    <w:rsid w:val="00E56580"/>
    <w:rsid w:val="00E56F4A"/>
    <w:rsid w:val="00E61AE2"/>
    <w:rsid w:val="00E67143"/>
    <w:rsid w:val="00E674FC"/>
    <w:rsid w:val="00E86ED3"/>
    <w:rsid w:val="00E8783E"/>
    <w:rsid w:val="00E90E01"/>
    <w:rsid w:val="00E91EBB"/>
    <w:rsid w:val="00E951DF"/>
    <w:rsid w:val="00E96F53"/>
    <w:rsid w:val="00EA61F6"/>
    <w:rsid w:val="00ED0443"/>
    <w:rsid w:val="00ED6886"/>
    <w:rsid w:val="00EE70D1"/>
    <w:rsid w:val="00EF1802"/>
    <w:rsid w:val="00EF2D77"/>
    <w:rsid w:val="00F02DAD"/>
    <w:rsid w:val="00F06A11"/>
    <w:rsid w:val="00F0776A"/>
    <w:rsid w:val="00F07C7E"/>
    <w:rsid w:val="00F12886"/>
    <w:rsid w:val="00F12DB4"/>
    <w:rsid w:val="00F13827"/>
    <w:rsid w:val="00F209E0"/>
    <w:rsid w:val="00F2534B"/>
    <w:rsid w:val="00F27ABE"/>
    <w:rsid w:val="00F308A5"/>
    <w:rsid w:val="00F335AB"/>
    <w:rsid w:val="00F415A3"/>
    <w:rsid w:val="00F44A65"/>
    <w:rsid w:val="00F4505F"/>
    <w:rsid w:val="00F52FF0"/>
    <w:rsid w:val="00F56BC0"/>
    <w:rsid w:val="00F62290"/>
    <w:rsid w:val="00F67377"/>
    <w:rsid w:val="00F675D7"/>
    <w:rsid w:val="00F7252E"/>
    <w:rsid w:val="00F85337"/>
    <w:rsid w:val="00F91200"/>
    <w:rsid w:val="00F96A16"/>
    <w:rsid w:val="00FA406F"/>
    <w:rsid w:val="00FA71F1"/>
    <w:rsid w:val="00FB1910"/>
    <w:rsid w:val="00FB24BB"/>
    <w:rsid w:val="00FB7D9A"/>
    <w:rsid w:val="00FC4A9B"/>
    <w:rsid w:val="00FC5AB0"/>
    <w:rsid w:val="00FD34FF"/>
    <w:rsid w:val="00FE03E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925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AU"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C258B0"/>
  </w:style>
  <w:style w:type="paragraph" w:styleId="Heading4">
    <w:name w:val="heading 4"/>
    <w:basedOn w:val="Normal"/>
    <w:next w:val="Normal"/>
    <w:link w:val="Heading4Char"/>
    <w:uiPriority w:val="9"/>
    <w:qFormat/>
    <w:rsid w:val="00697FF1"/>
    <w:pPr>
      <w:keepNext/>
      <w:spacing w:after="240" w:line="288" w:lineRule="auto"/>
      <w:jc w:val="both"/>
      <w:outlineLvl w:val="3"/>
    </w:pPr>
    <w:rPr>
      <w:rFonts w:ascii="Gautami" w:eastAsia="Times New Roman" w:hAnsi="Gautami"/>
      <w:b/>
      <w:iCs/>
      <w:color w:val="365F9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ERtextitalic">
    <w:name w:val="AER text italic"/>
    <w:rsid w:val="00AC0236"/>
    <w:rPr>
      <w:i/>
    </w:rPr>
  </w:style>
  <w:style w:type="character" w:customStyle="1" w:styleId="Heading4Char">
    <w:name w:val="Heading 4 Char"/>
    <w:link w:val="Heading4"/>
    <w:uiPriority w:val="9"/>
    <w:rsid w:val="00697FF1"/>
    <w:rPr>
      <w:rFonts w:ascii="Gautami" w:eastAsia="Times New Roman" w:hAnsi="Gautami"/>
      <w:b/>
      <w:iCs/>
      <w:color w:val="365F91"/>
      <w:sz w:val="24"/>
      <w:szCs w:val="24"/>
    </w:rPr>
  </w:style>
  <w:style w:type="character" w:customStyle="1" w:styleId="AERtextbold">
    <w:name w:val="AER text bold"/>
    <w:rsid w:val="00AC0236"/>
    <w:rPr>
      <w:b/>
    </w:rPr>
  </w:style>
  <w:style w:type="paragraph" w:customStyle="1" w:styleId="AERbodytextnospace">
    <w:name w:val="AER body text no space"/>
    <w:basedOn w:val="Normal"/>
    <w:rsid w:val="00AC0236"/>
    <w:pPr>
      <w:spacing w:line="288" w:lineRule="auto"/>
      <w:jc w:val="both"/>
    </w:pPr>
    <w:rPr>
      <w:rFonts w:ascii="Gautami" w:eastAsia="Times New Roman" w:hAnsi="Gautami"/>
      <w:szCs w:val="24"/>
    </w:rPr>
  </w:style>
  <w:style w:type="paragraph" w:customStyle="1" w:styleId="AERbodytext">
    <w:name w:val="AER body text"/>
    <w:rsid w:val="00AC0236"/>
    <w:pPr>
      <w:numPr>
        <w:numId w:val="2"/>
      </w:numPr>
      <w:spacing w:after="240" w:line="288" w:lineRule="auto"/>
      <w:jc w:val="both"/>
    </w:pPr>
    <w:rPr>
      <w:rFonts w:ascii="Gautami" w:eastAsia="Times New Roman" w:hAnsi="Gautami"/>
      <w:szCs w:val="24"/>
    </w:rPr>
  </w:style>
  <w:style w:type="paragraph" w:customStyle="1" w:styleId="AERnumberedlistfirststyle">
    <w:name w:val="AER numbered list (first style)"/>
    <w:basedOn w:val="AERbodytext"/>
    <w:rsid w:val="00AC0236"/>
    <w:pPr>
      <w:numPr>
        <w:ilvl w:val="1"/>
      </w:numPr>
      <w:spacing w:after="200"/>
    </w:pPr>
  </w:style>
  <w:style w:type="paragraph" w:customStyle="1" w:styleId="AERnumberedlistsecondstyle">
    <w:name w:val="AER numbered list (second style)"/>
    <w:basedOn w:val="AERnumberedlistfirststyle"/>
    <w:rsid w:val="00AC0236"/>
    <w:pPr>
      <w:numPr>
        <w:ilvl w:val="2"/>
      </w:numPr>
    </w:pPr>
  </w:style>
  <w:style w:type="paragraph" w:customStyle="1" w:styleId="AERnumberedlistthirdstyle">
    <w:name w:val="AER numbered list (third style)"/>
    <w:basedOn w:val="AERnumberedlistsecondstyle"/>
    <w:rsid w:val="00AC0236"/>
    <w:pPr>
      <w:numPr>
        <w:ilvl w:val="3"/>
      </w:numPr>
    </w:pPr>
  </w:style>
  <w:style w:type="paragraph" w:customStyle="1" w:styleId="Default">
    <w:name w:val="Default"/>
    <w:rsid w:val="00AC0236"/>
    <w:pPr>
      <w:autoSpaceDE w:val="0"/>
      <w:autoSpaceDN w:val="0"/>
      <w:adjustRightInd w:val="0"/>
    </w:pPr>
    <w:rPr>
      <w:rFonts w:ascii="DINOT-Regular" w:eastAsia="Times New Roman" w:hAnsi="DINOT-Regular" w:cs="DINOT-Regular"/>
      <w:color w:val="000000"/>
      <w:sz w:val="24"/>
      <w:szCs w:val="24"/>
    </w:rPr>
  </w:style>
  <w:style w:type="paragraph" w:styleId="NormalWeb">
    <w:name w:val="Normal (Web)"/>
    <w:basedOn w:val="Normal"/>
    <w:uiPriority w:val="99"/>
    <w:unhideWhenUsed/>
    <w:rsid w:val="005324C6"/>
    <w:pPr>
      <w:spacing w:before="100" w:beforeAutospacing="1" w:after="100" w:afterAutospacing="1"/>
    </w:pPr>
    <w:rPr>
      <w:rFonts w:ascii="Times New Roman" w:eastAsia="Times New Roman" w:hAnsi="Times New Roman"/>
      <w:sz w:val="24"/>
      <w:szCs w:val="24"/>
      <w:lang w:eastAsia="en-AU"/>
    </w:rPr>
  </w:style>
  <w:style w:type="character" w:styleId="Hyperlink">
    <w:name w:val="Hyperlink"/>
    <w:uiPriority w:val="99"/>
    <w:unhideWhenUsed/>
    <w:rsid w:val="005324C6"/>
    <w:rPr>
      <w:color w:val="0000FF"/>
      <w:u w:val="single"/>
    </w:rPr>
  </w:style>
  <w:style w:type="paragraph" w:styleId="BalloonText">
    <w:name w:val="Balloon Text"/>
    <w:basedOn w:val="Normal"/>
    <w:link w:val="BalloonTextChar"/>
    <w:uiPriority w:val="99"/>
    <w:semiHidden/>
    <w:unhideWhenUsed/>
    <w:rsid w:val="001D49FD"/>
    <w:rPr>
      <w:rFonts w:ascii="Tahoma" w:hAnsi="Tahoma" w:cs="Tahoma"/>
      <w:sz w:val="16"/>
      <w:szCs w:val="16"/>
    </w:rPr>
  </w:style>
  <w:style w:type="character" w:customStyle="1" w:styleId="BalloonTextChar">
    <w:name w:val="Balloon Text Char"/>
    <w:basedOn w:val="DefaultParagraphFont"/>
    <w:link w:val="BalloonText"/>
    <w:uiPriority w:val="99"/>
    <w:semiHidden/>
    <w:rsid w:val="001D49FD"/>
    <w:rPr>
      <w:rFonts w:ascii="Tahoma" w:hAnsi="Tahoma" w:cs="Tahoma"/>
      <w:sz w:val="16"/>
      <w:szCs w:val="16"/>
    </w:rPr>
  </w:style>
  <w:style w:type="character" w:styleId="CommentReference">
    <w:name w:val="annotation reference"/>
    <w:basedOn w:val="DefaultParagraphFont"/>
    <w:uiPriority w:val="99"/>
    <w:semiHidden/>
    <w:unhideWhenUsed/>
    <w:rsid w:val="008472A8"/>
    <w:rPr>
      <w:sz w:val="16"/>
      <w:szCs w:val="16"/>
    </w:rPr>
  </w:style>
  <w:style w:type="paragraph" w:styleId="CommentText">
    <w:name w:val="annotation text"/>
    <w:basedOn w:val="Normal"/>
    <w:link w:val="CommentTextChar"/>
    <w:uiPriority w:val="99"/>
    <w:semiHidden/>
    <w:unhideWhenUsed/>
    <w:rsid w:val="008472A8"/>
  </w:style>
  <w:style w:type="character" w:customStyle="1" w:styleId="CommentTextChar">
    <w:name w:val="Comment Text Char"/>
    <w:basedOn w:val="DefaultParagraphFont"/>
    <w:link w:val="CommentText"/>
    <w:uiPriority w:val="99"/>
    <w:semiHidden/>
    <w:rsid w:val="008472A8"/>
    <w:rPr>
      <w:sz w:val="20"/>
      <w:szCs w:val="20"/>
    </w:rPr>
  </w:style>
  <w:style w:type="paragraph" w:styleId="CommentSubject">
    <w:name w:val="annotation subject"/>
    <w:basedOn w:val="CommentText"/>
    <w:next w:val="CommentText"/>
    <w:link w:val="CommentSubjectChar"/>
    <w:uiPriority w:val="99"/>
    <w:semiHidden/>
    <w:unhideWhenUsed/>
    <w:rsid w:val="008472A8"/>
    <w:rPr>
      <w:b/>
      <w:bCs/>
    </w:rPr>
  </w:style>
  <w:style w:type="character" w:customStyle="1" w:styleId="CommentSubjectChar">
    <w:name w:val="Comment Subject Char"/>
    <w:basedOn w:val="CommentTextChar"/>
    <w:link w:val="CommentSubject"/>
    <w:uiPriority w:val="99"/>
    <w:semiHidden/>
    <w:rsid w:val="008472A8"/>
    <w:rPr>
      <w:b/>
      <w:bCs/>
      <w:sz w:val="20"/>
      <w:szCs w:val="20"/>
    </w:rPr>
  </w:style>
  <w:style w:type="paragraph" w:customStyle="1" w:styleId="AERfactsheetsubtitle">
    <w:name w:val="AER factsheet subtitle"/>
    <w:basedOn w:val="Subtitle"/>
    <w:next w:val="Normal"/>
    <w:qFormat/>
    <w:rsid w:val="00697FF1"/>
    <w:pPr>
      <w:spacing w:after="0"/>
    </w:pPr>
    <w:rPr>
      <w:rFonts w:ascii="Tunga" w:eastAsia="Times New Roman" w:hAnsi="Tunga" w:cs="Tunga"/>
      <w:i w:val="0"/>
      <w:color w:val="000000"/>
      <w:spacing w:val="16"/>
      <w:kern w:val="20"/>
      <w:szCs w:val="28"/>
    </w:rPr>
  </w:style>
  <w:style w:type="paragraph" w:styleId="Subtitle">
    <w:name w:val="Subtitle"/>
    <w:basedOn w:val="Normal"/>
    <w:next w:val="Normal"/>
    <w:link w:val="SubtitleChar"/>
    <w:uiPriority w:val="11"/>
    <w:qFormat/>
    <w:rsid w:val="00697FF1"/>
    <w:pPr>
      <w:numPr>
        <w:ilvl w:val="1"/>
      </w:numPr>
      <w:spacing w:after="200" w:line="276" w:lineRule="auto"/>
    </w:pPr>
    <w:rPr>
      <w:rFonts w:ascii="Cambria" w:eastAsiaTheme="majorEastAsia" w:hAnsi="Cambria" w:cstheme="majorBidi"/>
      <w:i/>
      <w:iCs/>
      <w:color w:val="4F81BD"/>
      <w:spacing w:val="15"/>
      <w:sz w:val="24"/>
      <w:szCs w:val="24"/>
    </w:rPr>
  </w:style>
  <w:style w:type="character" w:customStyle="1" w:styleId="SubtitleChar">
    <w:name w:val="Subtitle Char"/>
    <w:link w:val="Subtitle"/>
    <w:uiPriority w:val="11"/>
    <w:rsid w:val="00697FF1"/>
    <w:rPr>
      <w:rFonts w:ascii="Cambria" w:eastAsiaTheme="majorEastAsia" w:hAnsi="Cambria" w:cstheme="majorBidi"/>
      <w:i/>
      <w:iCs/>
      <w:color w:val="4F81BD"/>
      <w:spacing w:val="15"/>
      <w:sz w:val="24"/>
      <w:szCs w:val="24"/>
    </w:rPr>
  </w:style>
  <w:style w:type="paragraph" w:customStyle="1" w:styleId="AERFactsheetHeading1">
    <w:name w:val="AER Factsheet Heading 1"/>
    <w:basedOn w:val="Heading4"/>
    <w:qFormat/>
    <w:rsid w:val="00697FF1"/>
    <w:pPr>
      <w:spacing w:before="240" w:after="120" w:line="240" w:lineRule="auto"/>
      <w:jc w:val="left"/>
    </w:pPr>
    <w:rPr>
      <w:rFonts w:ascii="Tunga" w:hAnsi="Tunga" w:cs="Tunga"/>
      <w:color w:val="006A99"/>
      <w:kern w:val="24"/>
    </w:rPr>
  </w:style>
  <w:style w:type="paragraph" w:customStyle="1" w:styleId="AERfactsheetbodytext">
    <w:name w:val="AER factsheet body text"/>
    <w:basedOn w:val="Normal"/>
    <w:uiPriority w:val="99"/>
    <w:qFormat/>
    <w:rsid w:val="00697FF1"/>
    <w:pPr>
      <w:spacing w:after="120" w:line="252" w:lineRule="auto"/>
    </w:pPr>
    <w:rPr>
      <w:rFonts w:ascii="MS Reference Sans Serif" w:hAnsi="MS Reference Sans Serif" w:cs="Shruti"/>
      <w:spacing w:val="-10"/>
      <w:sz w:val="18"/>
      <w:szCs w:val="22"/>
    </w:rPr>
  </w:style>
  <w:style w:type="paragraph" w:customStyle="1" w:styleId="AERfactsheetbulletlist">
    <w:name w:val="AER factsheet bullet list"/>
    <w:basedOn w:val="AERbodytextnospace"/>
    <w:qFormat/>
    <w:rsid w:val="00697FF1"/>
    <w:pPr>
      <w:numPr>
        <w:numId w:val="1"/>
      </w:numPr>
      <w:spacing w:after="120" w:line="252" w:lineRule="auto"/>
      <w:jc w:val="left"/>
    </w:pPr>
    <w:rPr>
      <w:rFonts w:ascii="MS Reference Sans Serif" w:hAnsi="MS Reference Sans Serif" w:cs="Shruti"/>
      <w:spacing w:val="-10"/>
      <w:sz w:val="18"/>
    </w:rPr>
  </w:style>
  <w:style w:type="paragraph" w:styleId="ListParagraph">
    <w:name w:val="List Paragraph"/>
    <w:basedOn w:val="Normal"/>
    <w:uiPriority w:val="34"/>
    <w:qFormat/>
    <w:rsid w:val="00697FF1"/>
    <w:pPr>
      <w:spacing w:after="200" w:line="276" w:lineRule="auto"/>
      <w:ind w:left="720"/>
      <w:contextualSpacing/>
    </w:pPr>
    <w:rPr>
      <w:sz w:val="22"/>
      <w:szCs w:val="22"/>
    </w:rPr>
  </w:style>
  <w:style w:type="paragraph" w:styleId="Caption">
    <w:name w:val="caption"/>
    <w:basedOn w:val="Normal"/>
    <w:next w:val="Normal"/>
    <w:uiPriority w:val="35"/>
    <w:qFormat/>
    <w:rsid w:val="004D1DC0"/>
    <w:pPr>
      <w:keepNext/>
      <w:tabs>
        <w:tab w:val="left" w:pos="1440"/>
      </w:tabs>
      <w:spacing w:before="120" w:after="120" w:line="288" w:lineRule="auto"/>
      <w:ind w:left="1440" w:hanging="1440"/>
      <w:jc w:val="both"/>
    </w:pPr>
    <w:rPr>
      <w:rFonts w:ascii="Gautami" w:eastAsia="Times New Roman" w:hAnsi="Gautami"/>
      <w:b/>
      <w:bCs/>
      <w:szCs w:val="18"/>
    </w:rPr>
  </w:style>
  <w:style w:type="character" w:styleId="FollowedHyperlink">
    <w:name w:val="FollowedHyperlink"/>
    <w:basedOn w:val="DefaultParagraphFont"/>
    <w:uiPriority w:val="99"/>
    <w:semiHidden/>
    <w:unhideWhenUsed/>
    <w:rsid w:val="008D2A86"/>
    <w:rPr>
      <w:color w:val="800080" w:themeColor="followedHyperlink"/>
      <w:u w:val="single"/>
    </w:rPr>
  </w:style>
  <w:style w:type="paragraph" w:styleId="Revision">
    <w:name w:val="Revision"/>
    <w:hidden/>
    <w:uiPriority w:val="99"/>
    <w:semiHidden/>
    <w:rsid w:val="00163E50"/>
  </w:style>
  <w:style w:type="paragraph" w:customStyle="1" w:styleId="AERbulletlistfirststyle">
    <w:name w:val="AER bullet list (first style)"/>
    <w:basedOn w:val="ListBullet"/>
    <w:uiPriority w:val="99"/>
    <w:qFormat/>
    <w:rsid w:val="00025FFF"/>
    <w:pPr>
      <w:tabs>
        <w:tab w:val="left" w:pos="340"/>
      </w:tabs>
      <w:spacing w:before="120" w:line="276" w:lineRule="auto"/>
      <w:ind w:left="357" w:hanging="357"/>
      <w:contextualSpacing w:val="0"/>
    </w:pPr>
    <w:rPr>
      <w:rFonts w:ascii="Arial" w:eastAsiaTheme="minorHAnsi" w:hAnsi="Arial"/>
      <w:sz w:val="22"/>
      <w:szCs w:val="22"/>
    </w:rPr>
  </w:style>
  <w:style w:type="numbering" w:customStyle="1" w:styleId="AERnumberedlist">
    <w:name w:val="AER numbered list"/>
    <w:uiPriority w:val="99"/>
    <w:rsid w:val="00025FFF"/>
  </w:style>
  <w:style w:type="paragraph" w:styleId="ListBullet">
    <w:name w:val="List Bullet"/>
    <w:basedOn w:val="Normal"/>
    <w:uiPriority w:val="99"/>
    <w:semiHidden/>
    <w:unhideWhenUsed/>
    <w:rsid w:val="00025FFF"/>
    <w:pPr>
      <w:ind w:left="360" w:hanging="360"/>
      <w:contextualSpacing/>
    </w:pPr>
  </w:style>
  <w:style w:type="paragraph" w:styleId="Header">
    <w:name w:val="header"/>
    <w:basedOn w:val="Normal"/>
    <w:link w:val="HeaderChar"/>
    <w:uiPriority w:val="99"/>
    <w:unhideWhenUsed/>
    <w:rsid w:val="00BB44A2"/>
    <w:pPr>
      <w:tabs>
        <w:tab w:val="center" w:pos="4513"/>
        <w:tab w:val="right" w:pos="9026"/>
      </w:tabs>
    </w:pPr>
  </w:style>
  <w:style w:type="character" w:customStyle="1" w:styleId="HeaderChar">
    <w:name w:val="Header Char"/>
    <w:basedOn w:val="DefaultParagraphFont"/>
    <w:link w:val="Header"/>
    <w:uiPriority w:val="99"/>
    <w:rsid w:val="00BB44A2"/>
  </w:style>
  <w:style w:type="paragraph" w:styleId="Footer">
    <w:name w:val="footer"/>
    <w:basedOn w:val="Normal"/>
    <w:link w:val="FooterChar"/>
    <w:uiPriority w:val="99"/>
    <w:unhideWhenUsed/>
    <w:rsid w:val="00BB44A2"/>
    <w:pPr>
      <w:tabs>
        <w:tab w:val="center" w:pos="4513"/>
        <w:tab w:val="right" w:pos="9026"/>
      </w:tabs>
    </w:pPr>
  </w:style>
  <w:style w:type="character" w:customStyle="1" w:styleId="FooterChar">
    <w:name w:val="Footer Char"/>
    <w:basedOn w:val="DefaultParagraphFont"/>
    <w:link w:val="Footer"/>
    <w:uiPriority w:val="99"/>
    <w:rsid w:val="00BB44A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AU"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C258B0"/>
  </w:style>
  <w:style w:type="paragraph" w:styleId="Heading4">
    <w:name w:val="heading 4"/>
    <w:basedOn w:val="Normal"/>
    <w:next w:val="Normal"/>
    <w:link w:val="Heading4Char"/>
    <w:uiPriority w:val="9"/>
    <w:qFormat/>
    <w:rsid w:val="00697FF1"/>
    <w:pPr>
      <w:keepNext/>
      <w:spacing w:after="240" w:line="288" w:lineRule="auto"/>
      <w:jc w:val="both"/>
      <w:outlineLvl w:val="3"/>
    </w:pPr>
    <w:rPr>
      <w:rFonts w:ascii="Gautami" w:eastAsia="Times New Roman" w:hAnsi="Gautami"/>
      <w:b/>
      <w:iCs/>
      <w:color w:val="365F9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ERtextitalic">
    <w:name w:val="AER text italic"/>
    <w:rsid w:val="00AC0236"/>
    <w:rPr>
      <w:i/>
    </w:rPr>
  </w:style>
  <w:style w:type="character" w:customStyle="1" w:styleId="Heading4Char">
    <w:name w:val="Heading 4 Char"/>
    <w:link w:val="Heading4"/>
    <w:uiPriority w:val="9"/>
    <w:rsid w:val="00697FF1"/>
    <w:rPr>
      <w:rFonts w:ascii="Gautami" w:eastAsia="Times New Roman" w:hAnsi="Gautami"/>
      <w:b/>
      <w:iCs/>
      <w:color w:val="365F91"/>
      <w:sz w:val="24"/>
      <w:szCs w:val="24"/>
    </w:rPr>
  </w:style>
  <w:style w:type="character" w:customStyle="1" w:styleId="AERtextbold">
    <w:name w:val="AER text bold"/>
    <w:rsid w:val="00AC0236"/>
    <w:rPr>
      <w:b/>
    </w:rPr>
  </w:style>
  <w:style w:type="paragraph" w:customStyle="1" w:styleId="AERbodytextnospace">
    <w:name w:val="AER body text no space"/>
    <w:basedOn w:val="Normal"/>
    <w:rsid w:val="00AC0236"/>
    <w:pPr>
      <w:spacing w:line="288" w:lineRule="auto"/>
      <w:jc w:val="both"/>
    </w:pPr>
    <w:rPr>
      <w:rFonts w:ascii="Gautami" w:eastAsia="Times New Roman" w:hAnsi="Gautami"/>
      <w:szCs w:val="24"/>
    </w:rPr>
  </w:style>
  <w:style w:type="paragraph" w:customStyle="1" w:styleId="AERbodytext">
    <w:name w:val="AER body text"/>
    <w:rsid w:val="00AC0236"/>
    <w:pPr>
      <w:numPr>
        <w:numId w:val="2"/>
      </w:numPr>
      <w:spacing w:after="240" w:line="288" w:lineRule="auto"/>
      <w:jc w:val="both"/>
    </w:pPr>
    <w:rPr>
      <w:rFonts w:ascii="Gautami" w:eastAsia="Times New Roman" w:hAnsi="Gautami"/>
      <w:szCs w:val="24"/>
    </w:rPr>
  </w:style>
  <w:style w:type="paragraph" w:customStyle="1" w:styleId="AERnumberedlistfirststyle">
    <w:name w:val="AER numbered list (first style)"/>
    <w:basedOn w:val="AERbodytext"/>
    <w:rsid w:val="00AC0236"/>
    <w:pPr>
      <w:numPr>
        <w:ilvl w:val="1"/>
      </w:numPr>
      <w:spacing w:after="200"/>
    </w:pPr>
  </w:style>
  <w:style w:type="paragraph" w:customStyle="1" w:styleId="AERnumberedlistsecondstyle">
    <w:name w:val="AER numbered list (second style)"/>
    <w:basedOn w:val="AERnumberedlistfirststyle"/>
    <w:rsid w:val="00AC0236"/>
    <w:pPr>
      <w:numPr>
        <w:ilvl w:val="2"/>
      </w:numPr>
    </w:pPr>
  </w:style>
  <w:style w:type="paragraph" w:customStyle="1" w:styleId="AERnumberedlistthirdstyle">
    <w:name w:val="AER numbered list (third style)"/>
    <w:basedOn w:val="AERnumberedlistsecondstyle"/>
    <w:rsid w:val="00AC0236"/>
    <w:pPr>
      <w:numPr>
        <w:ilvl w:val="3"/>
      </w:numPr>
    </w:pPr>
  </w:style>
  <w:style w:type="paragraph" w:customStyle="1" w:styleId="Default">
    <w:name w:val="Default"/>
    <w:rsid w:val="00AC0236"/>
    <w:pPr>
      <w:autoSpaceDE w:val="0"/>
      <w:autoSpaceDN w:val="0"/>
      <w:adjustRightInd w:val="0"/>
    </w:pPr>
    <w:rPr>
      <w:rFonts w:ascii="DINOT-Regular" w:eastAsia="Times New Roman" w:hAnsi="DINOT-Regular" w:cs="DINOT-Regular"/>
      <w:color w:val="000000"/>
      <w:sz w:val="24"/>
      <w:szCs w:val="24"/>
    </w:rPr>
  </w:style>
  <w:style w:type="paragraph" w:styleId="NormalWeb">
    <w:name w:val="Normal (Web)"/>
    <w:basedOn w:val="Normal"/>
    <w:uiPriority w:val="99"/>
    <w:unhideWhenUsed/>
    <w:rsid w:val="005324C6"/>
    <w:pPr>
      <w:spacing w:before="100" w:beforeAutospacing="1" w:after="100" w:afterAutospacing="1"/>
    </w:pPr>
    <w:rPr>
      <w:rFonts w:ascii="Times New Roman" w:eastAsia="Times New Roman" w:hAnsi="Times New Roman"/>
      <w:sz w:val="24"/>
      <w:szCs w:val="24"/>
      <w:lang w:eastAsia="en-AU"/>
    </w:rPr>
  </w:style>
  <w:style w:type="character" w:styleId="Hyperlink">
    <w:name w:val="Hyperlink"/>
    <w:uiPriority w:val="99"/>
    <w:unhideWhenUsed/>
    <w:rsid w:val="005324C6"/>
    <w:rPr>
      <w:color w:val="0000FF"/>
      <w:u w:val="single"/>
    </w:rPr>
  </w:style>
  <w:style w:type="paragraph" w:styleId="BalloonText">
    <w:name w:val="Balloon Text"/>
    <w:basedOn w:val="Normal"/>
    <w:link w:val="BalloonTextChar"/>
    <w:uiPriority w:val="99"/>
    <w:semiHidden/>
    <w:unhideWhenUsed/>
    <w:rsid w:val="001D49FD"/>
    <w:rPr>
      <w:rFonts w:ascii="Tahoma" w:hAnsi="Tahoma" w:cs="Tahoma"/>
      <w:sz w:val="16"/>
      <w:szCs w:val="16"/>
    </w:rPr>
  </w:style>
  <w:style w:type="character" w:customStyle="1" w:styleId="BalloonTextChar">
    <w:name w:val="Balloon Text Char"/>
    <w:basedOn w:val="DefaultParagraphFont"/>
    <w:link w:val="BalloonText"/>
    <w:uiPriority w:val="99"/>
    <w:semiHidden/>
    <w:rsid w:val="001D49FD"/>
    <w:rPr>
      <w:rFonts w:ascii="Tahoma" w:hAnsi="Tahoma" w:cs="Tahoma"/>
      <w:sz w:val="16"/>
      <w:szCs w:val="16"/>
    </w:rPr>
  </w:style>
  <w:style w:type="character" w:styleId="CommentReference">
    <w:name w:val="annotation reference"/>
    <w:basedOn w:val="DefaultParagraphFont"/>
    <w:uiPriority w:val="99"/>
    <w:semiHidden/>
    <w:unhideWhenUsed/>
    <w:rsid w:val="008472A8"/>
    <w:rPr>
      <w:sz w:val="16"/>
      <w:szCs w:val="16"/>
    </w:rPr>
  </w:style>
  <w:style w:type="paragraph" w:styleId="CommentText">
    <w:name w:val="annotation text"/>
    <w:basedOn w:val="Normal"/>
    <w:link w:val="CommentTextChar"/>
    <w:uiPriority w:val="99"/>
    <w:semiHidden/>
    <w:unhideWhenUsed/>
    <w:rsid w:val="008472A8"/>
  </w:style>
  <w:style w:type="character" w:customStyle="1" w:styleId="CommentTextChar">
    <w:name w:val="Comment Text Char"/>
    <w:basedOn w:val="DefaultParagraphFont"/>
    <w:link w:val="CommentText"/>
    <w:uiPriority w:val="99"/>
    <w:semiHidden/>
    <w:rsid w:val="008472A8"/>
    <w:rPr>
      <w:sz w:val="20"/>
      <w:szCs w:val="20"/>
    </w:rPr>
  </w:style>
  <w:style w:type="paragraph" w:styleId="CommentSubject">
    <w:name w:val="annotation subject"/>
    <w:basedOn w:val="CommentText"/>
    <w:next w:val="CommentText"/>
    <w:link w:val="CommentSubjectChar"/>
    <w:uiPriority w:val="99"/>
    <w:semiHidden/>
    <w:unhideWhenUsed/>
    <w:rsid w:val="008472A8"/>
    <w:rPr>
      <w:b/>
      <w:bCs/>
    </w:rPr>
  </w:style>
  <w:style w:type="character" w:customStyle="1" w:styleId="CommentSubjectChar">
    <w:name w:val="Comment Subject Char"/>
    <w:basedOn w:val="CommentTextChar"/>
    <w:link w:val="CommentSubject"/>
    <w:uiPriority w:val="99"/>
    <w:semiHidden/>
    <w:rsid w:val="008472A8"/>
    <w:rPr>
      <w:b/>
      <w:bCs/>
      <w:sz w:val="20"/>
      <w:szCs w:val="20"/>
    </w:rPr>
  </w:style>
  <w:style w:type="paragraph" w:customStyle="1" w:styleId="AERfactsheetsubtitle">
    <w:name w:val="AER factsheet subtitle"/>
    <w:basedOn w:val="Subtitle"/>
    <w:next w:val="Normal"/>
    <w:qFormat/>
    <w:rsid w:val="00697FF1"/>
    <w:pPr>
      <w:spacing w:after="0"/>
    </w:pPr>
    <w:rPr>
      <w:rFonts w:ascii="Tunga" w:eastAsia="Times New Roman" w:hAnsi="Tunga" w:cs="Tunga"/>
      <w:i w:val="0"/>
      <w:color w:val="000000"/>
      <w:spacing w:val="16"/>
      <w:kern w:val="20"/>
      <w:szCs w:val="28"/>
    </w:rPr>
  </w:style>
  <w:style w:type="paragraph" w:styleId="Subtitle">
    <w:name w:val="Subtitle"/>
    <w:basedOn w:val="Normal"/>
    <w:next w:val="Normal"/>
    <w:link w:val="SubtitleChar"/>
    <w:uiPriority w:val="11"/>
    <w:qFormat/>
    <w:rsid w:val="00697FF1"/>
    <w:pPr>
      <w:numPr>
        <w:ilvl w:val="1"/>
      </w:numPr>
      <w:spacing w:after="200" w:line="276" w:lineRule="auto"/>
    </w:pPr>
    <w:rPr>
      <w:rFonts w:ascii="Cambria" w:eastAsiaTheme="majorEastAsia" w:hAnsi="Cambria" w:cstheme="majorBidi"/>
      <w:i/>
      <w:iCs/>
      <w:color w:val="4F81BD"/>
      <w:spacing w:val="15"/>
      <w:sz w:val="24"/>
      <w:szCs w:val="24"/>
    </w:rPr>
  </w:style>
  <w:style w:type="character" w:customStyle="1" w:styleId="SubtitleChar">
    <w:name w:val="Subtitle Char"/>
    <w:link w:val="Subtitle"/>
    <w:uiPriority w:val="11"/>
    <w:rsid w:val="00697FF1"/>
    <w:rPr>
      <w:rFonts w:ascii="Cambria" w:eastAsiaTheme="majorEastAsia" w:hAnsi="Cambria" w:cstheme="majorBidi"/>
      <w:i/>
      <w:iCs/>
      <w:color w:val="4F81BD"/>
      <w:spacing w:val="15"/>
      <w:sz w:val="24"/>
      <w:szCs w:val="24"/>
    </w:rPr>
  </w:style>
  <w:style w:type="paragraph" w:customStyle="1" w:styleId="AERFactsheetHeading1">
    <w:name w:val="AER Factsheet Heading 1"/>
    <w:basedOn w:val="Heading4"/>
    <w:qFormat/>
    <w:rsid w:val="00697FF1"/>
    <w:pPr>
      <w:spacing w:before="240" w:after="120" w:line="240" w:lineRule="auto"/>
      <w:jc w:val="left"/>
    </w:pPr>
    <w:rPr>
      <w:rFonts w:ascii="Tunga" w:hAnsi="Tunga" w:cs="Tunga"/>
      <w:color w:val="006A99"/>
      <w:kern w:val="24"/>
    </w:rPr>
  </w:style>
  <w:style w:type="paragraph" w:customStyle="1" w:styleId="AERfactsheetbodytext">
    <w:name w:val="AER factsheet body text"/>
    <w:basedOn w:val="Normal"/>
    <w:uiPriority w:val="99"/>
    <w:qFormat/>
    <w:rsid w:val="00697FF1"/>
    <w:pPr>
      <w:spacing w:after="120" w:line="252" w:lineRule="auto"/>
    </w:pPr>
    <w:rPr>
      <w:rFonts w:ascii="MS Reference Sans Serif" w:hAnsi="MS Reference Sans Serif" w:cs="Shruti"/>
      <w:spacing w:val="-10"/>
      <w:sz w:val="18"/>
      <w:szCs w:val="22"/>
    </w:rPr>
  </w:style>
  <w:style w:type="paragraph" w:customStyle="1" w:styleId="AERfactsheetbulletlist">
    <w:name w:val="AER factsheet bullet list"/>
    <w:basedOn w:val="AERbodytextnospace"/>
    <w:qFormat/>
    <w:rsid w:val="00697FF1"/>
    <w:pPr>
      <w:numPr>
        <w:numId w:val="1"/>
      </w:numPr>
      <w:spacing w:after="120" w:line="252" w:lineRule="auto"/>
      <w:jc w:val="left"/>
    </w:pPr>
    <w:rPr>
      <w:rFonts w:ascii="MS Reference Sans Serif" w:hAnsi="MS Reference Sans Serif" w:cs="Shruti"/>
      <w:spacing w:val="-10"/>
      <w:sz w:val="18"/>
    </w:rPr>
  </w:style>
  <w:style w:type="paragraph" w:styleId="ListParagraph">
    <w:name w:val="List Paragraph"/>
    <w:basedOn w:val="Normal"/>
    <w:uiPriority w:val="34"/>
    <w:qFormat/>
    <w:rsid w:val="00697FF1"/>
    <w:pPr>
      <w:spacing w:after="200" w:line="276" w:lineRule="auto"/>
      <w:ind w:left="720"/>
      <w:contextualSpacing/>
    </w:pPr>
    <w:rPr>
      <w:sz w:val="22"/>
      <w:szCs w:val="22"/>
    </w:rPr>
  </w:style>
  <w:style w:type="paragraph" w:styleId="Caption">
    <w:name w:val="caption"/>
    <w:basedOn w:val="Normal"/>
    <w:next w:val="Normal"/>
    <w:uiPriority w:val="35"/>
    <w:qFormat/>
    <w:rsid w:val="004D1DC0"/>
    <w:pPr>
      <w:keepNext/>
      <w:tabs>
        <w:tab w:val="left" w:pos="1440"/>
      </w:tabs>
      <w:spacing w:before="120" w:after="120" w:line="288" w:lineRule="auto"/>
      <w:ind w:left="1440" w:hanging="1440"/>
      <w:jc w:val="both"/>
    </w:pPr>
    <w:rPr>
      <w:rFonts w:ascii="Gautami" w:eastAsia="Times New Roman" w:hAnsi="Gautami"/>
      <w:b/>
      <w:bCs/>
      <w:szCs w:val="18"/>
    </w:rPr>
  </w:style>
  <w:style w:type="character" w:styleId="FollowedHyperlink">
    <w:name w:val="FollowedHyperlink"/>
    <w:basedOn w:val="DefaultParagraphFont"/>
    <w:uiPriority w:val="99"/>
    <w:semiHidden/>
    <w:unhideWhenUsed/>
    <w:rsid w:val="008D2A86"/>
    <w:rPr>
      <w:color w:val="800080" w:themeColor="followedHyperlink"/>
      <w:u w:val="single"/>
    </w:rPr>
  </w:style>
  <w:style w:type="paragraph" w:styleId="Revision">
    <w:name w:val="Revision"/>
    <w:hidden/>
    <w:uiPriority w:val="99"/>
    <w:semiHidden/>
    <w:rsid w:val="00163E50"/>
  </w:style>
  <w:style w:type="paragraph" w:customStyle="1" w:styleId="AERbulletlistfirststyle">
    <w:name w:val="AER bullet list (first style)"/>
    <w:basedOn w:val="ListBullet"/>
    <w:uiPriority w:val="99"/>
    <w:qFormat/>
    <w:rsid w:val="00025FFF"/>
    <w:pPr>
      <w:tabs>
        <w:tab w:val="left" w:pos="340"/>
      </w:tabs>
      <w:spacing w:before="120" w:line="276" w:lineRule="auto"/>
      <w:ind w:left="357" w:hanging="357"/>
      <w:contextualSpacing w:val="0"/>
    </w:pPr>
    <w:rPr>
      <w:rFonts w:ascii="Arial" w:eastAsiaTheme="minorHAnsi" w:hAnsi="Arial"/>
      <w:sz w:val="22"/>
      <w:szCs w:val="22"/>
    </w:rPr>
  </w:style>
  <w:style w:type="numbering" w:customStyle="1" w:styleId="AERnumberedlist">
    <w:name w:val="AER numbered list"/>
    <w:uiPriority w:val="99"/>
    <w:rsid w:val="00025FFF"/>
  </w:style>
  <w:style w:type="paragraph" w:styleId="ListBullet">
    <w:name w:val="List Bullet"/>
    <w:basedOn w:val="Normal"/>
    <w:uiPriority w:val="99"/>
    <w:semiHidden/>
    <w:unhideWhenUsed/>
    <w:rsid w:val="00025FFF"/>
    <w:pPr>
      <w:ind w:left="360" w:hanging="360"/>
      <w:contextualSpacing/>
    </w:pPr>
  </w:style>
  <w:style w:type="paragraph" w:styleId="Header">
    <w:name w:val="header"/>
    <w:basedOn w:val="Normal"/>
    <w:link w:val="HeaderChar"/>
    <w:uiPriority w:val="99"/>
    <w:unhideWhenUsed/>
    <w:rsid w:val="00BB44A2"/>
    <w:pPr>
      <w:tabs>
        <w:tab w:val="center" w:pos="4513"/>
        <w:tab w:val="right" w:pos="9026"/>
      </w:tabs>
    </w:pPr>
  </w:style>
  <w:style w:type="character" w:customStyle="1" w:styleId="HeaderChar">
    <w:name w:val="Header Char"/>
    <w:basedOn w:val="DefaultParagraphFont"/>
    <w:link w:val="Header"/>
    <w:uiPriority w:val="99"/>
    <w:rsid w:val="00BB44A2"/>
  </w:style>
  <w:style w:type="paragraph" w:styleId="Footer">
    <w:name w:val="footer"/>
    <w:basedOn w:val="Normal"/>
    <w:link w:val="FooterChar"/>
    <w:uiPriority w:val="99"/>
    <w:unhideWhenUsed/>
    <w:rsid w:val="00BB44A2"/>
    <w:pPr>
      <w:tabs>
        <w:tab w:val="center" w:pos="4513"/>
        <w:tab w:val="right" w:pos="9026"/>
      </w:tabs>
    </w:pPr>
  </w:style>
  <w:style w:type="character" w:customStyle="1" w:styleId="FooterChar">
    <w:name w:val="Footer Char"/>
    <w:basedOn w:val="DefaultParagraphFont"/>
    <w:link w:val="Footer"/>
    <w:uiPriority w:val="99"/>
    <w:rsid w:val="00BB44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021846">
      <w:bodyDiv w:val="1"/>
      <w:marLeft w:val="0"/>
      <w:marRight w:val="0"/>
      <w:marTop w:val="0"/>
      <w:marBottom w:val="0"/>
      <w:divBdr>
        <w:top w:val="none" w:sz="0" w:space="0" w:color="auto"/>
        <w:left w:val="none" w:sz="0" w:space="0" w:color="auto"/>
        <w:bottom w:val="none" w:sz="0" w:space="0" w:color="auto"/>
        <w:right w:val="none" w:sz="0" w:space="0" w:color="auto"/>
      </w:divBdr>
    </w:div>
    <w:div w:id="469907805">
      <w:bodyDiv w:val="1"/>
      <w:marLeft w:val="0"/>
      <w:marRight w:val="0"/>
      <w:marTop w:val="0"/>
      <w:marBottom w:val="0"/>
      <w:divBdr>
        <w:top w:val="none" w:sz="0" w:space="0" w:color="auto"/>
        <w:left w:val="none" w:sz="0" w:space="0" w:color="auto"/>
        <w:bottom w:val="none" w:sz="0" w:space="0" w:color="auto"/>
        <w:right w:val="none" w:sz="0" w:space="0" w:color="auto"/>
      </w:divBdr>
    </w:div>
    <w:div w:id="722948943">
      <w:bodyDiv w:val="1"/>
      <w:marLeft w:val="0"/>
      <w:marRight w:val="0"/>
      <w:marTop w:val="0"/>
      <w:marBottom w:val="0"/>
      <w:divBdr>
        <w:top w:val="none" w:sz="0" w:space="0" w:color="auto"/>
        <w:left w:val="none" w:sz="0" w:space="0" w:color="auto"/>
        <w:bottom w:val="none" w:sz="0" w:space="0" w:color="auto"/>
        <w:right w:val="none" w:sz="0" w:space="0" w:color="auto"/>
      </w:divBdr>
    </w:div>
    <w:div w:id="813718009">
      <w:bodyDiv w:val="1"/>
      <w:marLeft w:val="0"/>
      <w:marRight w:val="0"/>
      <w:marTop w:val="0"/>
      <w:marBottom w:val="0"/>
      <w:divBdr>
        <w:top w:val="none" w:sz="0" w:space="0" w:color="auto"/>
        <w:left w:val="none" w:sz="0" w:space="0" w:color="auto"/>
        <w:bottom w:val="none" w:sz="0" w:space="0" w:color="auto"/>
        <w:right w:val="none" w:sz="0" w:space="0" w:color="auto"/>
      </w:divBdr>
    </w:div>
    <w:div w:id="1084447817">
      <w:bodyDiv w:val="1"/>
      <w:marLeft w:val="0"/>
      <w:marRight w:val="0"/>
      <w:marTop w:val="0"/>
      <w:marBottom w:val="0"/>
      <w:divBdr>
        <w:top w:val="none" w:sz="0" w:space="0" w:color="auto"/>
        <w:left w:val="none" w:sz="0" w:space="0" w:color="auto"/>
        <w:bottom w:val="none" w:sz="0" w:space="0" w:color="auto"/>
        <w:right w:val="none" w:sz="0" w:space="0" w:color="auto"/>
      </w:divBdr>
    </w:div>
    <w:div w:id="1452896452">
      <w:bodyDiv w:val="1"/>
      <w:marLeft w:val="0"/>
      <w:marRight w:val="0"/>
      <w:marTop w:val="0"/>
      <w:marBottom w:val="0"/>
      <w:divBdr>
        <w:top w:val="none" w:sz="0" w:space="0" w:color="auto"/>
        <w:left w:val="none" w:sz="0" w:space="0" w:color="auto"/>
        <w:bottom w:val="none" w:sz="0" w:space="0" w:color="auto"/>
        <w:right w:val="none" w:sz="0" w:space="0" w:color="auto"/>
      </w:divBdr>
      <w:divsChild>
        <w:div w:id="303631867">
          <w:marLeft w:val="0"/>
          <w:marRight w:val="0"/>
          <w:marTop w:val="0"/>
          <w:marBottom w:val="0"/>
          <w:divBdr>
            <w:top w:val="none" w:sz="0" w:space="0" w:color="auto"/>
            <w:left w:val="none" w:sz="0" w:space="0" w:color="auto"/>
            <w:bottom w:val="none" w:sz="0" w:space="0" w:color="auto"/>
            <w:right w:val="none" w:sz="0" w:space="0" w:color="auto"/>
          </w:divBdr>
          <w:divsChild>
            <w:div w:id="1918712513">
              <w:marLeft w:val="0"/>
              <w:marRight w:val="0"/>
              <w:marTop w:val="0"/>
              <w:marBottom w:val="0"/>
              <w:divBdr>
                <w:top w:val="none" w:sz="0" w:space="0" w:color="auto"/>
                <w:left w:val="none" w:sz="0" w:space="0" w:color="auto"/>
                <w:bottom w:val="none" w:sz="0" w:space="0" w:color="auto"/>
                <w:right w:val="none" w:sz="0" w:space="0" w:color="auto"/>
              </w:divBdr>
              <w:divsChild>
                <w:div w:id="236206000">
                  <w:marLeft w:val="0"/>
                  <w:marRight w:val="0"/>
                  <w:marTop w:val="0"/>
                  <w:marBottom w:val="0"/>
                  <w:divBdr>
                    <w:top w:val="none" w:sz="0" w:space="0" w:color="auto"/>
                    <w:left w:val="none" w:sz="0" w:space="0" w:color="auto"/>
                    <w:bottom w:val="none" w:sz="0" w:space="0" w:color="auto"/>
                    <w:right w:val="none" w:sz="0" w:space="0" w:color="auto"/>
                  </w:divBdr>
                  <w:divsChild>
                    <w:div w:id="2068411500">
                      <w:marLeft w:val="0"/>
                      <w:marRight w:val="0"/>
                      <w:marTop w:val="0"/>
                      <w:marBottom w:val="0"/>
                      <w:divBdr>
                        <w:top w:val="none" w:sz="0" w:space="0" w:color="auto"/>
                        <w:left w:val="none" w:sz="0" w:space="0" w:color="auto"/>
                        <w:bottom w:val="none" w:sz="0" w:space="0" w:color="auto"/>
                        <w:right w:val="none" w:sz="0" w:space="0" w:color="auto"/>
                      </w:divBdr>
                      <w:divsChild>
                        <w:div w:id="62066969">
                          <w:marLeft w:val="0"/>
                          <w:marRight w:val="0"/>
                          <w:marTop w:val="0"/>
                          <w:marBottom w:val="0"/>
                          <w:divBdr>
                            <w:top w:val="none" w:sz="0" w:space="0" w:color="auto"/>
                            <w:left w:val="none" w:sz="0" w:space="0" w:color="auto"/>
                            <w:bottom w:val="none" w:sz="0" w:space="0" w:color="auto"/>
                            <w:right w:val="none" w:sz="0" w:space="0" w:color="auto"/>
                          </w:divBdr>
                          <w:divsChild>
                            <w:div w:id="767042789">
                              <w:marLeft w:val="0"/>
                              <w:marRight w:val="0"/>
                              <w:marTop w:val="0"/>
                              <w:marBottom w:val="0"/>
                              <w:divBdr>
                                <w:top w:val="none" w:sz="0" w:space="0" w:color="auto"/>
                                <w:left w:val="none" w:sz="0" w:space="0" w:color="auto"/>
                                <w:bottom w:val="none" w:sz="0" w:space="0" w:color="auto"/>
                                <w:right w:val="none" w:sz="0" w:space="0" w:color="auto"/>
                              </w:divBdr>
                              <w:divsChild>
                                <w:div w:id="965504626">
                                  <w:marLeft w:val="0"/>
                                  <w:marRight w:val="0"/>
                                  <w:marTop w:val="0"/>
                                  <w:marBottom w:val="0"/>
                                  <w:divBdr>
                                    <w:top w:val="none" w:sz="0" w:space="0" w:color="auto"/>
                                    <w:left w:val="none" w:sz="0" w:space="0" w:color="auto"/>
                                    <w:bottom w:val="none" w:sz="0" w:space="0" w:color="auto"/>
                                    <w:right w:val="none" w:sz="0" w:space="0" w:color="auto"/>
                                  </w:divBdr>
                                  <w:divsChild>
                                    <w:div w:id="567690350">
                                      <w:marLeft w:val="240"/>
                                      <w:marRight w:val="240"/>
                                      <w:marTop w:val="240"/>
                                      <w:marBottom w:val="0"/>
                                      <w:divBdr>
                                        <w:top w:val="none" w:sz="0" w:space="0" w:color="auto"/>
                                        <w:left w:val="none" w:sz="0" w:space="0" w:color="auto"/>
                                        <w:bottom w:val="none" w:sz="0" w:space="0" w:color="auto"/>
                                        <w:right w:val="none" w:sz="0" w:space="0" w:color="auto"/>
                                      </w:divBdr>
                                      <w:divsChild>
                                        <w:div w:id="302776801">
                                          <w:marLeft w:val="0"/>
                                          <w:marRight w:val="0"/>
                                          <w:marTop w:val="0"/>
                                          <w:marBottom w:val="0"/>
                                          <w:divBdr>
                                            <w:top w:val="none" w:sz="0" w:space="0" w:color="auto"/>
                                            <w:left w:val="none" w:sz="0" w:space="0" w:color="auto"/>
                                            <w:bottom w:val="none" w:sz="0" w:space="0" w:color="auto"/>
                                            <w:right w:val="none" w:sz="0" w:space="0" w:color="auto"/>
                                          </w:divBdr>
                                          <w:divsChild>
                                            <w:div w:id="1606382120">
                                              <w:marLeft w:val="0"/>
                                              <w:marRight w:val="0"/>
                                              <w:marTop w:val="0"/>
                                              <w:marBottom w:val="0"/>
                                              <w:divBdr>
                                                <w:top w:val="none" w:sz="0" w:space="0" w:color="auto"/>
                                                <w:left w:val="none" w:sz="0" w:space="0" w:color="auto"/>
                                                <w:bottom w:val="none" w:sz="0" w:space="0" w:color="auto"/>
                                                <w:right w:val="none" w:sz="0" w:space="0" w:color="auto"/>
                                              </w:divBdr>
                                              <w:divsChild>
                                                <w:div w:id="1830975449">
                                                  <w:marLeft w:val="0"/>
                                                  <w:marRight w:val="0"/>
                                                  <w:marTop w:val="0"/>
                                                  <w:marBottom w:val="0"/>
                                                  <w:divBdr>
                                                    <w:top w:val="none" w:sz="0" w:space="0" w:color="auto"/>
                                                    <w:left w:val="none" w:sz="0" w:space="0" w:color="auto"/>
                                                    <w:bottom w:val="none" w:sz="0" w:space="0" w:color="auto"/>
                                                    <w:right w:val="none" w:sz="0" w:space="0" w:color="auto"/>
                                                  </w:divBdr>
                                                  <w:divsChild>
                                                    <w:div w:id="275675851">
                                                      <w:marLeft w:val="0"/>
                                                      <w:marRight w:val="0"/>
                                                      <w:marTop w:val="0"/>
                                                      <w:marBottom w:val="120"/>
                                                      <w:divBdr>
                                                        <w:top w:val="none" w:sz="0" w:space="0" w:color="auto"/>
                                                        <w:left w:val="none" w:sz="0" w:space="0" w:color="auto"/>
                                                        <w:bottom w:val="none" w:sz="0" w:space="0" w:color="auto"/>
                                                        <w:right w:val="none" w:sz="0" w:space="0" w:color="auto"/>
                                                      </w:divBdr>
                                                      <w:divsChild>
                                                        <w:div w:id="1022050746">
                                                          <w:marLeft w:val="0"/>
                                                          <w:marRight w:val="0"/>
                                                          <w:marTop w:val="0"/>
                                                          <w:marBottom w:val="0"/>
                                                          <w:divBdr>
                                                            <w:top w:val="none" w:sz="0" w:space="0" w:color="auto"/>
                                                            <w:left w:val="none" w:sz="0" w:space="0" w:color="auto"/>
                                                            <w:bottom w:val="none" w:sz="0" w:space="0" w:color="auto"/>
                                                            <w:right w:val="none" w:sz="0" w:space="0" w:color="auto"/>
                                                          </w:divBdr>
                                                          <w:divsChild>
                                                            <w:div w:id="521017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16787808">
      <w:bodyDiv w:val="1"/>
      <w:marLeft w:val="0"/>
      <w:marRight w:val="0"/>
      <w:marTop w:val="0"/>
      <w:marBottom w:val="0"/>
      <w:divBdr>
        <w:top w:val="none" w:sz="0" w:space="0" w:color="auto"/>
        <w:left w:val="none" w:sz="0" w:space="0" w:color="auto"/>
        <w:bottom w:val="none" w:sz="0" w:space="0" w:color="auto"/>
        <w:right w:val="none" w:sz="0" w:space="0" w:color="auto"/>
      </w:divBdr>
      <w:divsChild>
        <w:div w:id="1820069765">
          <w:marLeft w:val="0"/>
          <w:marRight w:val="0"/>
          <w:marTop w:val="0"/>
          <w:marBottom w:val="0"/>
          <w:divBdr>
            <w:top w:val="none" w:sz="0" w:space="0" w:color="auto"/>
            <w:left w:val="none" w:sz="0" w:space="0" w:color="auto"/>
            <w:bottom w:val="none" w:sz="0" w:space="0" w:color="auto"/>
            <w:right w:val="none" w:sz="0" w:space="0" w:color="auto"/>
          </w:divBdr>
          <w:divsChild>
            <w:div w:id="556089852">
              <w:marLeft w:val="-225"/>
              <w:marRight w:val="-225"/>
              <w:marTop w:val="0"/>
              <w:marBottom w:val="0"/>
              <w:divBdr>
                <w:top w:val="none" w:sz="0" w:space="0" w:color="auto"/>
                <w:left w:val="none" w:sz="0" w:space="0" w:color="auto"/>
                <w:bottom w:val="none" w:sz="0" w:space="0" w:color="auto"/>
                <w:right w:val="none" w:sz="0" w:space="0" w:color="auto"/>
              </w:divBdr>
              <w:divsChild>
                <w:div w:id="1506821522">
                  <w:marLeft w:val="0"/>
                  <w:marRight w:val="0"/>
                  <w:marTop w:val="0"/>
                  <w:marBottom w:val="0"/>
                  <w:divBdr>
                    <w:top w:val="none" w:sz="0" w:space="0" w:color="auto"/>
                    <w:left w:val="none" w:sz="0" w:space="0" w:color="auto"/>
                    <w:bottom w:val="none" w:sz="0" w:space="0" w:color="auto"/>
                    <w:right w:val="none" w:sz="0" w:space="0" w:color="auto"/>
                  </w:divBdr>
                  <w:divsChild>
                    <w:div w:id="971859751">
                      <w:marLeft w:val="0"/>
                      <w:marRight w:val="0"/>
                      <w:marTop w:val="0"/>
                      <w:marBottom w:val="0"/>
                      <w:divBdr>
                        <w:top w:val="none" w:sz="0" w:space="0" w:color="auto"/>
                        <w:left w:val="none" w:sz="0" w:space="0" w:color="auto"/>
                        <w:bottom w:val="none" w:sz="0" w:space="0" w:color="auto"/>
                        <w:right w:val="none" w:sz="0" w:space="0" w:color="auto"/>
                      </w:divBdr>
                      <w:divsChild>
                        <w:div w:id="1040663271">
                          <w:marLeft w:val="0"/>
                          <w:marRight w:val="0"/>
                          <w:marTop w:val="0"/>
                          <w:marBottom w:val="0"/>
                          <w:divBdr>
                            <w:top w:val="none" w:sz="0" w:space="0" w:color="auto"/>
                            <w:left w:val="none" w:sz="0" w:space="0" w:color="auto"/>
                            <w:bottom w:val="none" w:sz="0" w:space="0" w:color="auto"/>
                            <w:right w:val="none" w:sz="0" w:space="0" w:color="auto"/>
                          </w:divBdr>
                          <w:divsChild>
                            <w:div w:id="1482425950">
                              <w:marLeft w:val="0"/>
                              <w:marRight w:val="0"/>
                              <w:marTop w:val="0"/>
                              <w:marBottom w:val="0"/>
                              <w:divBdr>
                                <w:top w:val="none" w:sz="0" w:space="0" w:color="auto"/>
                                <w:left w:val="none" w:sz="0" w:space="0" w:color="auto"/>
                                <w:bottom w:val="none" w:sz="0" w:space="0" w:color="auto"/>
                                <w:right w:val="none" w:sz="0" w:space="0" w:color="auto"/>
                              </w:divBdr>
                              <w:divsChild>
                                <w:div w:id="208957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1683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aer.gov.au/node/18859" TargetMode="External"/><Relationship Id="rId2" Type="http://schemas.openxmlformats.org/officeDocument/2006/relationships/numbering" Target="numbering.xml"/><Relationship Id="rId16"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6E0EE3-7CE9-470C-B388-BF9AA17E45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877EFD01</Template>
  <TotalTime>0</TotalTime>
  <Pages>3</Pages>
  <Words>1501</Words>
  <Characters>8561</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10042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2017-07-04T01:06:00Z</dcterms:created>
  <dcterms:modified xsi:type="dcterms:W3CDTF">2017-07-05T20:41:00Z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