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7E3" w:rsidRPr="008836E3" w:rsidRDefault="009177E3" w:rsidP="009177E3">
      <w:pPr>
        <w:pStyle w:val="AERbodytextleftalign"/>
        <w:rPr>
          <w:rStyle w:val="AERbody"/>
        </w:rPr>
      </w:pPr>
      <w:bookmarkStart w:id="0" w:name="_GoBack"/>
      <w:bookmarkEnd w:id="0"/>
      <w:r>
        <w:rPr>
          <w:rFonts w:ascii="Arial" w:hAnsi="Arial"/>
          <w:noProof/>
          <w:sz w:val="22"/>
          <w:lang w:eastAsia="en-AU"/>
        </w:rPr>
        <w:drawing>
          <wp:anchor distT="0" distB="0" distL="114300" distR="114300" simplePos="0" relativeHeight="251658240" behindDoc="1" locked="0" layoutInCell="1" allowOverlap="1">
            <wp:simplePos x="0" y="0"/>
            <wp:positionH relativeFrom="column">
              <wp:posOffset>-1113666</wp:posOffset>
            </wp:positionH>
            <wp:positionV relativeFrom="paragraph">
              <wp:posOffset>-935727</wp:posOffset>
            </wp:positionV>
            <wp:extent cx="7494905" cy="10591800"/>
            <wp:effectExtent l="0" t="0" r="0" b="0"/>
            <wp:wrapNone/>
            <wp:docPr id="1" name="Picture 1"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Energy Regulator Report Cove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494905" cy="10591800"/>
                    </a:xfrm>
                    <a:prstGeom prst="rect">
                      <a:avLst/>
                    </a:prstGeom>
                    <a:noFill/>
                  </pic:spPr>
                </pic:pic>
              </a:graphicData>
            </a:graphic>
            <wp14:sizeRelH relativeFrom="page">
              <wp14:pctWidth>0</wp14:pctWidth>
            </wp14:sizeRelH>
            <wp14:sizeRelV relativeFrom="page">
              <wp14:pctHeight>0</wp14:pctHeight>
            </wp14:sizeRelV>
          </wp:anchor>
        </w:drawing>
      </w:r>
    </w:p>
    <w:p w:rsidR="009177E3" w:rsidRPr="00290C63" w:rsidRDefault="009177E3" w:rsidP="009177E3">
      <w:pPr>
        <w:pStyle w:val="AERbodytextcentre"/>
      </w:pPr>
    </w:p>
    <w:p w:rsidR="009177E3" w:rsidRDefault="009177E3" w:rsidP="009177E3">
      <w:pPr>
        <w:pStyle w:val="AERbodytextcentre"/>
      </w:pPr>
    </w:p>
    <w:p w:rsidR="009177E3" w:rsidRDefault="009177E3" w:rsidP="009177E3">
      <w:pPr>
        <w:pStyle w:val="AERbodytextcentre"/>
      </w:pPr>
    </w:p>
    <w:p w:rsidR="009177E3" w:rsidRDefault="009177E3" w:rsidP="009177E3"/>
    <w:p w:rsidR="009177E3" w:rsidRDefault="009177E3" w:rsidP="009177E3"/>
    <w:p w:rsidR="009177E3" w:rsidRDefault="009177E3" w:rsidP="009177E3"/>
    <w:p w:rsidR="009177E3" w:rsidRDefault="009177E3" w:rsidP="009177E3">
      <w:pPr>
        <w:pStyle w:val="ReportDate"/>
      </w:pPr>
      <w:r>
        <w:tab/>
      </w:r>
    </w:p>
    <w:p w:rsidR="009177E3" w:rsidRDefault="004315A9" w:rsidP="009177E3">
      <w:pPr>
        <w:pStyle w:val="ReportSubtitle"/>
      </w:pPr>
      <w:r>
        <w:t xml:space="preserve">Positions </w:t>
      </w:r>
      <w:r w:rsidR="009177E3">
        <w:t>paper</w:t>
      </w:r>
    </w:p>
    <w:p w:rsidR="006751F7" w:rsidRDefault="006751F7" w:rsidP="009177E3">
      <w:pPr>
        <w:pStyle w:val="ReportSubtitle"/>
      </w:pPr>
    </w:p>
    <w:p w:rsidR="009177E3" w:rsidRDefault="006751F7" w:rsidP="009177E3">
      <w:pPr>
        <w:pStyle w:val="ReportSubtitle"/>
      </w:pPr>
      <w:r>
        <w:t>Review of</w:t>
      </w:r>
      <w:r w:rsidR="009177E3">
        <w:t xml:space="preserve"> the rate of return guide</w:t>
      </w:r>
      <w:r w:rsidR="00A51112">
        <w:t>lines</w:t>
      </w:r>
      <w:r w:rsidR="009F3C2A">
        <w:t>— Process for the guideline review</w:t>
      </w:r>
    </w:p>
    <w:p w:rsidR="009177E3" w:rsidRDefault="009177E3" w:rsidP="009177E3">
      <w:pPr>
        <w:pStyle w:val="ReportDate"/>
      </w:pPr>
    </w:p>
    <w:p w:rsidR="009177E3" w:rsidRDefault="009177E3" w:rsidP="009177E3">
      <w:pPr>
        <w:pStyle w:val="ReportDate"/>
      </w:pPr>
    </w:p>
    <w:p w:rsidR="009177E3" w:rsidRDefault="009177E3" w:rsidP="009177E3">
      <w:pPr>
        <w:pStyle w:val="ReportDate"/>
      </w:pPr>
    </w:p>
    <w:p w:rsidR="009177E3" w:rsidRPr="00327A1E" w:rsidRDefault="004315A9" w:rsidP="009177E3">
      <w:pPr>
        <w:pStyle w:val="ReportDate"/>
      </w:pPr>
      <w:r>
        <w:t xml:space="preserve">November </w:t>
      </w:r>
      <w:r w:rsidR="009177E3">
        <w:t>2017</w:t>
      </w:r>
    </w:p>
    <w:p w:rsidR="009177E3" w:rsidRPr="00290C63" w:rsidRDefault="009177E3" w:rsidP="009177E3">
      <w:r>
        <w:br w:type="page"/>
      </w:r>
    </w:p>
    <w:p w:rsidR="009177E3" w:rsidRPr="009177E3" w:rsidRDefault="009177E3" w:rsidP="009177E3">
      <w:r w:rsidRPr="009177E3">
        <w:lastRenderedPageBreak/>
        <w:t>© Commonwealth of Australia 2017</w:t>
      </w:r>
    </w:p>
    <w:p w:rsidR="009177E3" w:rsidRPr="009177E3" w:rsidRDefault="009177E3" w:rsidP="009177E3">
      <w:r w:rsidRPr="009177E3">
        <w:t>This work is copyright. In addition to any use permitted under the Copyright Act 1968, all material contained within this work is provided under a Creative Commons Attributions 3.0 Australia licence, with the exception of:</w:t>
      </w:r>
    </w:p>
    <w:p w:rsidR="009177E3" w:rsidRPr="009177E3" w:rsidRDefault="009177E3" w:rsidP="009177E3">
      <w:pPr>
        <w:pStyle w:val="AERbulletlistfirststyle"/>
      </w:pPr>
      <w:r w:rsidRPr="009177E3">
        <w:t>the Commonwealth Coat of Arms</w:t>
      </w:r>
    </w:p>
    <w:p w:rsidR="009177E3" w:rsidRPr="009177E3" w:rsidRDefault="009177E3" w:rsidP="009177E3">
      <w:pPr>
        <w:pStyle w:val="AERbulletlistfirststyle"/>
      </w:pPr>
      <w:r w:rsidRPr="009177E3">
        <w:t>the ACCC and AER logos</w:t>
      </w:r>
    </w:p>
    <w:p w:rsidR="009177E3" w:rsidRPr="009177E3" w:rsidRDefault="009177E3" w:rsidP="009177E3">
      <w:pPr>
        <w:pStyle w:val="AERbulletlistfirststyle"/>
      </w:pPr>
      <w:r w:rsidRPr="009177E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177E3" w:rsidRPr="009177E3" w:rsidRDefault="009177E3" w:rsidP="009177E3">
      <w:r w:rsidRPr="009177E3">
        <w:t>Requests and inquiries concerning reproduction and rights should be addressed to the:</w:t>
      </w:r>
    </w:p>
    <w:p w:rsidR="009177E3" w:rsidRPr="009177E3" w:rsidRDefault="009177E3" w:rsidP="009177E3">
      <w:r w:rsidRPr="009177E3">
        <w:t>Director, Corporate Communications</w:t>
      </w:r>
      <w:r w:rsidRPr="009177E3">
        <w:br/>
        <w:t xml:space="preserve">Australian Competition and Consumer Commission </w:t>
      </w:r>
      <w:r w:rsidRPr="009177E3">
        <w:br/>
        <w:t>GPO Box 4141, Canberra ACT 2601</w:t>
      </w:r>
    </w:p>
    <w:p w:rsidR="009177E3" w:rsidRPr="009177E3" w:rsidRDefault="009177E3" w:rsidP="009177E3">
      <w:proofErr w:type="gramStart"/>
      <w:r w:rsidRPr="009177E3">
        <w:t>or</w:t>
      </w:r>
      <w:proofErr w:type="gramEnd"/>
      <w:r w:rsidRPr="009177E3">
        <w:t xml:space="preserve"> </w:t>
      </w:r>
      <w:hyperlink r:id="rId11" w:history="1">
        <w:r w:rsidRPr="009177E3">
          <w:rPr>
            <w:rStyle w:val="Hyperlink"/>
          </w:rPr>
          <w:t>publishing.unit@accc.gov.au</w:t>
        </w:r>
      </w:hyperlink>
      <w:r w:rsidRPr="009177E3">
        <w:t>.</w:t>
      </w:r>
    </w:p>
    <w:p w:rsidR="009177E3" w:rsidRPr="009177E3" w:rsidRDefault="009177E3" w:rsidP="009177E3">
      <w:r w:rsidRPr="009177E3">
        <w:t>Inquiries about this publication should be addressed to:</w:t>
      </w:r>
    </w:p>
    <w:p w:rsidR="009177E3" w:rsidRPr="009177E3" w:rsidRDefault="009177E3" w:rsidP="009177E3">
      <w:r w:rsidRPr="009177E3">
        <w:t>Australian Energy Regulator</w:t>
      </w:r>
      <w:r w:rsidRPr="009177E3">
        <w:br/>
        <w:t>GPO Box 520</w:t>
      </w:r>
      <w:r w:rsidRPr="009177E3">
        <w:br/>
        <w:t>Melbourne Vic 3001</w:t>
      </w:r>
    </w:p>
    <w:p w:rsidR="009177E3" w:rsidRPr="009177E3" w:rsidRDefault="009177E3" w:rsidP="009177E3">
      <w:r w:rsidRPr="009177E3">
        <w:t>Tel: (03) 9290 1444</w:t>
      </w:r>
      <w:r w:rsidRPr="009177E3">
        <w:br/>
        <w:t>Fax: (03) 9290 1457</w:t>
      </w:r>
    </w:p>
    <w:p w:rsidR="009177E3" w:rsidRPr="00041D6D" w:rsidRDefault="009177E3" w:rsidP="009177E3">
      <w:pPr>
        <w:rPr>
          <w:color w:val="0000FF"/>
          <w:u w:val="single"/>
        </w:rPr>
      </w:pPr>
      <w:r w:rsidRPr="009177E3">
        <w:t xml:space="preserve">Email: </w:t>
      </w:r>
      <w:hyperlink r:id="rId12" w:history="1">
        <w:r w:rsidR="00AE4355" w:rsidRPr="007E4578">
          <w:rPr>
            <w:rStyle w:val="Hyperlink"/>
          </w:rPr>
          <w:t>rateofreturn@aer.gov.au</w:t>
        </w:r>
      </w:hyperlink>
    </w:p>
    <w:p w:rsidR="00502F8B" w:rsidRPr="00756BF5" w:rsidRDefault="00502F8B" w:rsidP="00502F8B">
      <w:pPr>
        <w:pStyle w:val="Heading1"/>
        <w:numPr>
          <w:ilvl w:val="0"/>
          <w:numId w:val="0"/>
        </w:numPr>
        <w:ind w:left="432" w:hanging="432"/>
      </w:pPr>
      <w:bookmarkStart w:id="1" w:name="_Toc488913351"/>
      <w:bookmarkStart w:id="2" w:name="_Toc494800878"/>
      <w:r w:rsidRPr="002E134A">
        <w:lastRenderedPageBreak/>
        <w:t>Shortened</w:t>
      </w:r>
      <w:r w:rsidRPr="00756BF5">
        <w:t xml:space="preserve"> forms</w:t>
      </w:r>
      <w:bookmarkEnd w:id="1"/>
      <w:bookmarkEnd w:id="2"/>
    </w:p>
    <w:tbl>
      <w:tblPr>
        <w:tblStyle w:val="AERtable-text0"/>
        <w:tblW w:w="0" w:type="auto"/>
        <w:tblLook w:val="04A0" w:firstRow="1" w:lastRow="0" w:firstColumn="1" w:lastColumn="0" w:noHBand="0" w:noVBand="1"/>
      </w:tblPr>
      <w:tblGrid>
        <w:gridCol w:w="4340"/>
        <w:gridCol w:w="4353"/>
      </w:tblGrid>
      <w:tr w:rsidR="00502F8B" w:rsidRPr="00A549B0" w:rsidTr="0034660E">
        <w:trPr>
          <w:cnfStyle w:val="100000000000" w:firstRow="1" w:lastRow="0" w:firstColumn="0" w:lastColumn="0" w:oddVBand="0" w:evenVBand="0" w:oddHBand="0" w:evenHBand="0" w:firstRowFirstColumn="0" w:firstRowLastColumn="0" w:lastRowFirstColumn="0" w:lastRowLastColumn="0"/>
        </w:trPr>
        <w:tc>
          <w:tcPr>
            <w:tcW w:w="4340" w:type="dxa"/>
          </w:tcPr>
          <w:p w:rsidR="00502F8B" w:rsidRPr="00A549B0" w:rsidRDefault="00502F8B" w:rsidP="0034660E">
            <w:pPr>
              <w:numPr>
                <w:ilvl w:val="0"/>
                <w:numId w:val="24"/>
              </w:numPr>
            </w:pPr>
            <w:r w:rsidRPr="00A549B0">
              <w:t>Shortened form</w:t>
            </w:r>
          </w:p>
        </w:tc>
        <w:tc>
          <w:tcPr>
            <w:tcW w:w="4353" w:type="dxa"/>
          </w:tcPr>
          <w:p w:rsidR="00502F8B" w:rsidRPr="00A549B0" w:rsidRDefault="00502F8B" w:rsidP="0034660E">
            <w:pPr>
              <w:numPr>
                <w:ilvl w:val="0"/>
                <w:numId w:val="24"/>
              </w:numPr>
            </w:pPr>
            <w:r w:rsidRPr="00A549B0">
              <w:t>Extended form</w:t>
            </w:r>
          </w:p>
        </w:tc>
      </w:tr>
      <w:tr w:rsidR="00987D7F" w:rsidRPr="00A549B0" w:rsidTr="0034660E">
        <w:tc>
          <w:tcPr>
            <w:tcW w:w="4340" w:type="dxa"/>
          </w:tcPr>
          <w:p w:rsidR="00987D7F" w:rsidRDefault="00987D7F" w:rsidP="0034660E">
            <w:pPr>
              <w:numPr>
                <w:ilvl w:val="0"/>
                <w:numId w:val="24"/>
              </w:numPr>
            </w:pPr>
            <w:r>
              <w:t>ABS</w:t>
            </w:r>
          </w:p>
        </w:tc>
        <w:tc>
          <w:tcPr>
            <w:tcW w:w="4353" w:type="dxa"/>
          </w:tcPr>
          <w:p w:rsidR="00987D7F" w:rsidRDefault="00987D7F" w:rsidP="0034660E">
            <w:pPr>
              <w:numPr>
                <w:ilvl w:val="0"/>
                <w:numId w:val="24"/>
              </w:numPr>
            </w:pPr>
            <w:r>
              <w:t>Australian Bureau of Statistics</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Pr="00A549B0" w:rsidRDefault="00502F8B" w:rsidP="0034660E">
            <w:pPr>
              <w:numPr>
                <w:ilvl w:val="0"/>
                <w:numId w:val="24"/>
              </w:numPr>
            </w:pPr>
            <w:r>
              <w:t>AEMC</w:t>
            </w:r>
          </w:p>
        </w:tc>
        <w:tc>
          <w:tcPr>
            <w:tcW w:w="4353" w:type="dxa"/>
          </w:tcPr>
          <w:p w:rsidR="00502F8B" w:rsidRPr="00A549B0" w:rsidRDefault="00502F8B" w:rsidP="0034660E">
            <w:pPr>
              <w:numPr>
                <w:ilvl w:val="0"/>
                <w:numId w:val="24"/>
              </w:numPr>
            </w:pPr>
            <w:r>
              <w:t>Australian Energy Market Commission</w:t>
            </w:r>
          </w:p>
        </w:tc>
      </w:tr>
      <w:tr w:rsidR="00502F8B" w:rsidRPr="00A549B0" w:rsidTr="0034660E">
        <w:tc>
          <w:tcPr>
            <w:tcW w:w="4340" w:type="dxa"/>
          </w:tcPr>
          <w:p w:rsidR="00502F8B" w:rsidRPr="00A549B0" w:rsidRDefault="00502F8B" w:rsidP="0034660E">
            <w:pPr>
              <w:numPr>
                <w:ilvl w:val="0"/>
                <w:numId w:val="24"/>
              </w:numPr>
            </w:pPr>
            <w:r w:rsidRPr="00A549B0">
              <w:t>AER</w:t>
            </w:r>
          </w:p>
        </w:tc>
        <w:tc>
          <w:tcPr>
            <w:tcW w:w="4353" w:type="dxa"/>
          </w:tcPr>
          <w:p w:rsidR="00502F8B" w:rsidRPr="00A549B0" w:rsidRDefault="00502F8B" w:rsidP="0034660E">
            <w:pPr>
              <w:numPr>
                <w:ilvl w:val="0"/>
                <w:numId w:val="24"/>
              </w:numPr>
            </w:pPr>
            <w:r w:rsidRPr="00A549B0">
              <w:t>Australian Energy Regulator</w:t>
            </w:r>
          </w:p>
        </w:tc>
      </w:tr>
      <w:tr w:rsidR="00987D7F"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987D7F" w:rsidRPr="00A549B0" w:rsidRDefault="00987D7F" w:rsidP="0034660E">
            <w:pPr>
              <w:numPr>
                <w:ilvl w:val="0"/>
                <w:numId w:val="24"/>
              </w:numPr>
            </w:pPr>
            <w:r>
              <w:t>ATO</w:t>
            </w:r>
          </w:p>
        </w:tc>
        <w:tc>
          <w:tcPr>
            <w:tcW w:w="4353" w:type="dxa"/>
          </w:tcPr>
          <w:p w:rsidR="00987D7F" w:rsidRPr="00A549B0" w:rsidRDefault="00987D7F" w:rsidP="0034660E">
            <w:pPr>
              <w:numPr>
                <w:ilvl w:val="0"/>
                <w:numId w:val="24"/>
              </w:numPr>
            </w:pPr>
            <w:r>
              <w:t>Australian Tax Office</w:t>
            </w:r>
          </w:p>
        </w:tc>
      </w:tr>
      <w:tr w:rsidR="00502F8B" w:rsidRPr="00A549B0" w:rsidTr="0034660E">
        <w:tc>
          <w:tcPr>
            <w:tcW w:w="4340" w:type="dxa"/>
          </w:tcPr>
          <w:p w:rsidR="00502F8B" w:rsidRPr="00A549B0" w:rsidRDefault="00502F8B" w:rsidP="0034660E">
            <w:pPr>
              <w:numPr>
                <w:ilvl w:val="0"/>
                <w:numId w:val="24"/>
              </w:numPr>
            </w:pPr>
            <w:r w:rsidRPr="00A549B0">
              <w:t>CCP</w:t>
            </w:r>
          </w:p>
        </w:tc>
        <w:tc>
          <w:tcPr>
            <w:tcW w:w="4353" w:type="dxa"/>
          </w:tcPr>
          <w:p w:rsidR="00502F8B" w:rsidRPr="00A549B0" w:rsidRDefault="00502F8B" w:rsidP="0034660E">
            <w:pPr>
              <w:numPr>
                <w:ilvl w:val="0"/>
                <w:numId w:val="24"/>
              </w:numPr>
            </w:pPr>
            <w:r w:rsidRPr="00A549B0">
              <w:t>Consumer Challenge Panel</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Pr="00A549B0" w:rsidRDefault="00502F8B" w:rsidP="0034660E">
            <w:pPr>
              <w:numPr>
                <w:ilvl w:val="0"/>
                <w:numId w:val="24"/>
              </w:numPr>
            </w:pPr>
            <w:r>
              <w:t>COAG</w:t>
            </w:r>
          </w:p>
        </w:tc>
        <w:tc>
          <w:tcPr>
            <w:tcW w:w="4353" w:type="dxa"/>
          </w:tcPr>
          <w:p w:rsidR="00502F8B" w:rsidRPr="00A549B0" w:rsidRDefault="00502F8B" w:rsidP="0034660E">
            <w:pPr>
              <w:numPr>
                <w:ilvl w:val="0"/>
                <w:numId w:val="24"/>
              </w:numPr>
            </w:pPr>
            <w:r>
              <w:t>the Council of Australian Governments</w:t>
            </w:r>
          </w:p>
        </w:tc>
      </w:tr>
      <w:tr w:rsidR="00FA3D91" w:rsidRPr="00A549B0" w:rsidTr="0034660E">
        <w:tc>
          <w:tcPr>
            <w:tcW w:w="4340" w:type="dxa"/>
          </w:tcPr>
          <w:p w:rsidR="00FA3D91" w:rsidRDefault="00FA3D91" w:rsidP="0034660E">
            <w:r>
              <w:t>DGM</w:t>
            </w:r>
          </w:p>
        </w:tc>
        <w:tc>
          <w:tcPr>
            <w:tcW w:w="4353" w:type="dxa"/>
          </w:tcPr>
          <w:p w:rsidR="00FA3D91" w:rsidRDefault="00FA3D91" w:rsidP="0034660E">
            <w:pPr>
              <w:numPr>
                <w:ilvl w:val="0"/>
                <w:numId w:val="24"/>
              </w:numPr>
            </w:pPr>
            <w:r>
              <w:t>dividend growth model</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Default="00502F8B" w:rsidP="0034660E">
            <w:r>
              <w:t>energy networks</w:t>
            </w:r>
          </w:p>
        </w:tc>
        <w:tc>
          <w:tcPr>
            <w:tcW w:w="4353" w:type="dxa"/>
          </w:tcPr>
          <w:p w:rsidR="00502F8B" w:rsidRDefault="00502F8B" w:rsidP="0034660E">
            <w:pPr>
              <w:numPr>
                <w:ilvl w:val="0"/>
                <w:numId w:val="24"/>
              </w:numPr>
            </w:pPr>
            <w:r>
              <w:t>electricity and gas network service providers</w:t>
            </w:r>
          </w:p>
        </w:tc>
      </w:tr>
      <w:tr w:rsidR="00502F8B" w:rsidRPr="00A549B0" w:rsidTr="0034660E">
        <w:tc>
          <w:tcPr>
            <w:tcW w:w="4340" w:type="dxa"/>
          </w:tcPr>
          <w:p w:rsidR="00502F8B" w:rsidRPr="00A549B0" w:rsidRDefault="00502F8B" w:rsidP="0034660E">
            <w:pPr>
              <w:numPr>
                <w:ilvl w:val="0"/>
                <w:numId w:val="24"/>
              </w:numPr>
            </w:pPr>
            <w:r>
              <w:t>the Guideline</w:t>
            </w:r>
          </w:p>
        </w:tc>
        <w:tc>
          <w:tcPr>
            <w:tcW w:w="4353" w:type="dxa"/>
          </w:tcPr>
          <w:p w:rsidR="00502F8B" w:rsidRPr="00A549B0" w:rsidRDefault="00502F8B" w:rsidP="0034660E">
            <w:pPr>
              <w:numPr>
                <w:ilvl w:val="0"/>
                <w:numId w:val="24"/>
              </w:numPr>
            </w:pPr>
            <w:r>
              <w:t>the allowed rate of return guideline</w:t>
            </w:r>
          </w:p>
        </w:tc>
      </w:tr>
      <w:tr w:rsidR="002D7937"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2D7937" w:rsidRPr="00A549B0" w:rsidRDefault="002D7937" w:rsidP="0034660E">
            <w:pPr>
              <w:numPr>
                <w:ilvl w:val="0"/>
                <w:numId w:val="24"/>
              </w:numPr>
            </w:pPr>
            <w:r>
              <w:t>MRP</w:t>
            </w:r>
          </w:p>
        </w:tc>
        <w:tc>
          <w:tcPr>
            <w:tcW w:w="4353" w:type="dxa"/>
          </w:tcPr>
          <w:p w:rsidR="002D7937" w:rsidRPr="00A549B0" w:rsidRDefault="002D7937" w:rsidP="002D7937">
            <w:r>
              <w:t>market risk premium</w:t>
            </w:r>
          </w:p>
        </w:tc>
      </w:tr>
      <w:tr w:rsidR="00502F8B" w:rsidRPr="00A549B0" w:rsidTr="0034660E">
        <w:tc>
          <w:tcPr>
            <w:tcW w:w="4340" w:type="dxa"/>
          </w:tcPr>
          <w:p w:rsidR="00502F8B" w:rsidRPr="00A549B0" w:rsidRDefault="00502F8B" w:rsidP="0034660E">
            <w:pPr>
              <w:numPr>
                <w:ilvl w:val="0"/>
                <w:numId w:val="24"/>
              </w:numPr>
            </w:pPr>
            <w:r w:rsidRPr="00A549B0">
              <w:t>NEL</w:t>
            </w:r>
          </w:p>
        </w:tc>
        <w:tc>
          <w:tcPr>
            <w:tcW w:w="4353" w:type="dxa"/>
          </w:tcPr>
          <w:p w:rsidR="00502F8B" w:rsidRPr="00A549B0" w:rsidRDefault="00502F8B" w:rsidP="0034660E">
            <w:pPr>
              <w:numPr>
                <w:ilvl w:val="0"/>
                <w:numId w:val="24"/>
              </w:numPr>
            </w:pPr>
            <w:r w:rsidRPr="00A549B0">
              <w:t>national electricity law</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Pr="00A549B0" w:rsidRDefault="00502F8B" w:rsidP="0034660E">
            <w:pPr>
              <w:numPr>
                <w:ilvl w:val="0"/>
                <w:numId w:val="24"/>
              </w:numPr>
            </w:pPr>
            <w:r w:rsidRPr="00A549B0">
              <w:t>NEO</w:t>
            </w:r>
          </w:p>
        </w:tc>
        <w:tc>
          <w:tcPr>
            <w:tcW w:w="4353" w:type="dxa"/>
          </w:tcPr>
          <w:p w:rsidR="00502F8B" w:rsidRPr="00A549B0" w:rsidRDefault="00502F8B" w:rsidP="0034660E">
            <w:pPr>
              <w:numPr>
                <w:ilvl w:val="0"/>
                <w:numId w:val="24"/>
              </w:numPr>
            </w:pPr>
            <w:r w:rsidRPr="00A549B0">
              <w:t>national electricity objective</w:t>
            </w:r>
          </w:p>
        </w:tc>
      </w:tr>
      <w:tr w:rsidR="00502F8B" w:rsidRPr="00A549B0" w:rsidTr="0034660E">
        <w:tc>
          <w:tcPr>
            <w:tcW w:w="4340" w:type="dxa"/>
          </w:tcPr>
          <w:p w:rsidR="00502F8B" w:rsidRPr="00A549B0" w:rsidRDefault="00502F8B" w:rsidP="0034660E">
            <w:pPr>
              <w:numPr>
                <w:ilvl w:val="0"/>
                <w:numId w:val="24"/>
              </w:numPr>
            </w:pPr>
            <w:r w:rsidRPr="00A549B0">
              <w:t>NER</w:t>
            </w:r>
          </w:p>
        </w:tc>
        <w:tc>
          <w:tcPr>
            <w:tcW w:w="4353" w:type="dxa"/>
          </w:tcPr>
          <w:p w:rsidR="00502F8B" w:rsidRPr="00A549B0" w:rsidRDefault="00502F8B" w:rsidP="0034660E">
            <w:pPr>
              <w:numPr>
                <w:ilvl w:val="0"/>
                <w:numId w:val="24"/>
              </w:numPr>
            </w:pPr>
            <w:r w:rsidRPr="00A549B0">
              <w:t>national electricity rules</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Pr="009177E3" w:rsidRDefault="00502F8B" w:rsidP="0034660E">
            <w:r>
              <w:t>NG</w:t>
            </w:r>
            <w:r w:rsidRPr="009177E3">
              <w:t>L</w:t>
            </w:r>
          </w:p>
        </w:tc>
        <w:tc>
          <w:tcPr>
            <w:tcW w:w="4353" w:type="dxa"/>
          </w:tcPr>
          <w:p w:rsidR="00502F8B" w:rsidRPr="009177E3" w:rsidRDefault="00502F8B" w:rsidP="0034660E">
            <w:r w:rsidRPr="00DE1882">
              <w:t xml:space="preserve">national </w:t>
            </w:r>
            <w:r w:rsidRPr="009177E3">
              <w:t>gas law</w:t>
            </w:r>
          </w:p>
        </w:tc>
      </w:tr>
      <w:tr w:rsidR="00502F8B" w:rsidRPr="00A549B0" w:rsidTr="0034660E">
        <w:tc>
          <w:tcPr>
            <w:tcW w:w="4340" w:type="dxa"/>
          </w:tcPr>
          <w:p w:rsidR="00502F8B" w:rsidRPr="009177E3" w:rsidRDefault="00502F8B" w:rsidP="0034660E">
            <w:r>
              <w:t>NG</w:t>
            </w:r>
            <w:r w:rsidRPr="009177E3">
              <w:t>O</w:t>
            </w:r>
          </w:p>
        </w:tc>
        <w:tc>
          <w:tcPr>
            <w:tcW w:w="4353" w:type="dxa"/>
          </w:tcPr>
          <w:p w:rsidR="00502F8B" w:rsidRPr="009177E3" w:rsidRDefault="00502F8B" w:rsidP="0034660E">
            <w:r w:rsidRPr="00DE1882">
              <w:t xml:space="preserve">national </w:t>
            </w:r>
            <w:r w:rsidRPr="009177E3">
              <w:t>gas objective</w:t>
            </w:r>
          </w:p>
        </w:tc>
      </w:tr>
      <w:tr w:rsidR="00502F8B"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502F8B" w:rsidRPr="009177E3" w:rsidRDefault="00502F8B" w:rsidP="0034660E">
            <w:r>
              <w:t>NG</w:t>
            </w:r>
            <w:r w:rsidRPr="009177E3">
              <w:t>R</w:t>
            </w:r>
          </w:p>
        </w:tc>
        <w:tc>
          <w:tcPr>
            <w:tcW w:w="4353" w:type="dxa"/>
          </w:tcPr>
          <w:p w:rsidR="00502F8B" w:rsidRPr="009177E3" w:rsidRDefault="00502F8B" w:rsidP="0034660E">
            <w:r w:rsidRPr="00DE1882">
              <w:t xml:space="preserve">national </w:t>
            </w:r>
            <w:r w:rsidRPr="009177E3">
              <w:t>gas rules</w:t>
            </w:r>
          </w:p>
        </w:tc>
      </w:tr>
      <w:tr w:rsidR="002D7937" w:rsidRPr="00A549B0" w:rsidTr="0034660E">
        <w:tc>
          <w:tcPr>
            <w:tcW w:w="4340" w:type="dxa"/>
          </w:tcPr>
          <w:p w:rsidR="002D7937" w:rsidRDefault="002D7937" w:rsidP="0034660E">
            <w:r>
              <w:t>RBA</w:t>
            </w:r>
          </w:p>
        </w:tc>
        <w:tc>
          <w:tcPr>
            <w:tcW w:w="4353" w:type="dxa"/>
          </w:tcPr>
          <w:p w:rsidR="002D7937" w:rsidRDefault="002D7937" w:rsidP="0034660E">
            <w:r>
              <w:t>the Reserve Bank of Australia</w:t>
            </w:r>
          </w:p>
        </w:tc>
      </w:tr>
      <w:tr w:rsidR="00D11939" w:rsidRPr="00A549B0" w:rsidTr="0034660E">
        <w:trPr>
          <w:cnfStyle w:val="000000010000" w:firstRow="0" w:lastRow="0" w:firstColumn="0" w:lastColumn="0" w:oddVBand="0" w:evenVBand="0" w:oddHBand="0" w:evenHBand="1" w:firstRowFirstColumn="0" w:firstRowLastColumn="0" w:lastRowFirstColumn="0" w:lastRowLastColumn="0"/>
        </w:trPr>
        <w:tc>
          <w:tcPr>
            <w:tcW w:w="4340" w:type="dxa"/>
          </w:tcPr>
          <w:p w:rsidR="00D11939" w:rsidRDefault="00D11939" w:rsidP="0034660E">
            <w:r>
              <w:t>regulatory period</w:t>
            </w:r>
          </w:p>
        </w:tc>
        <w:tc>
          <w:tcPr>
            <w:tcW w:w="4353" w:type="dxa"/>
          </w:tcPr>
          <w:p w:rsidR="00D11939" w:rsidRPr="00DE1882" w:rsidRDefault="00D11939" w:rsidP="0034660E">
            <w:r>
              <w:t>an access arrangement period for gas network service providers and/or a regulatory control period for electricity network service providers</w:t>
            </w:r>
          </w:p>
        </w:tc>
      </w:tr>
      <w:tr w:rsidR="00502F8B" w:rsidRPr="00A549B0" w:rsidTr="0034660E">
        <w:tc>
          <w:tcPr>
            <w:tcW w:w="4340" w:type="dxa"/>
          </w:tcPr>
          <w:p w:rsidR="00502F8B" w:rsidRDefault="00502F8B" w:rsidP="0034660E">
            <w:r>
              <w:t>the rules</w:t>
            </w:r>
          </w:p>
        </w:tc>
        <w:tc>
          <w:tcPr>
            <w:tcW w:w="4353" w:type="dxa"/>
          </w:tcPr>
          <w:p w:rsidR="00502F8B" w:rsidRPr="00DE1882" w:rsidRDefault="00D11939" w:rsidP="0034660E">
            <w:r>
              <w:t>c</w:t>
            </w:r>
            <w:r w:rsidR="00502F8B">
              <w:t>ollectively, the NER and NGR</w:t>
            </w:r>
          </w:p>
        </w:tc>
      </w:tr>
    </w:tbl>
    <w:p w:rsidR="009177E3" w:rsidRDefault="009177E3" w:rsidP="009177E3">
      <w:r>
        <w:br w:type="page"/>
      </w:r>
    </w:p>
    <w:p w:rsidR="009177E3" w:rsidRPr="00A72B34" w:rsidRDefault="009177E3" w:rsidP="009177E3">
      <w:pPr>
        <w:pStyle w:val="TOCHeading"/>
      </w:pPr>
      <w:bookmarkStart w:id="3" w:name="_Toc403144133"/>
      <w:bookmarkStart w:id="4" w:name="_Toc432083534"/>
      <w:bookmarkStart w:id="5" w:name="_Toc433787709"/>
      <w:r>
        <w:lastRenderedPageBreak/>
        <w:t>Contents</w:t>
      </w:r>
      <w:bookmarkEnd w:id="3"/>
    </w:p>
    <w:p w:rsidR="00B87031" w:rsidRDefault="009177E3">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94800877" w:history="1">
        <w:r w:rsidR="00B87031" w:rsidRPr="001F15CA">
          <w:rPr>
            <w:rStyle w:val="Hyperlink"/>
          </w:rPr>
          <w:t>Request for submissions</w:t>
        </w:r>
        <w:r w:rsidR="00B87031">
          <w:rPr>
            <w:webHidden/>
          </w:rPr>
          <w:tab/>
        </w:r>
        <w:r w:rsidR="00B87031">
          <w:rPr>
            <w:webHidden/>
          </w:rPr>
          <w:fldChar w:fldCharType="begin"/>
        </w:r>
        <w:r w:rsidR="00B87031">
          <w:rPr>
            <w:webHidden/>
          </w:rPr>
          <w:instrText xml:space="preserve"> PAGEREF _Toc494800877 \h </w:instrText>
        </w:r>
        <w:r w:rsidR="00B87031">
          <w:rPr>
            <w:webHidden/>
          </w:rPr>
        </w:r>
        <w:r w:rsidR="00B87031">
          <w:rPr>
            <w:webHidden/>
          </w:rPr>
          <w:fldChar w:fldCharType="separate"/>
        </w:r>
        <w:r w:rsidR="00B87031">
          <w:rPr>
            <w:webHidden/>
          </w:rPr>
          <w:t>3</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78" w:history="1">
        <w:r w:rsidR="00B87031" w:rsidRPr="001F15CA">
          <w:rPr>
            <w:rStyle w:val="Hyperlink"/>
          </w:rPr>
          <w:t>Shortened forms</w:t>
        </w:r>
        <w:r w:rsidR="00B87031">
          <w:rPr>
            <w:webHidden/>
          </w:rPr>
          <w:tab/>
        </w:r>
        <w:r w:rsidR="00B87031">
          <w:rPr>
            <w:webHidden/>
          </w:rPr>
          <w:fldChar w:fldCharType="begin"/>
        </w:r>
        <w:r w:rsidR="00B87031">
          <w:rPr>
            <w:webHidden/>
          </w:rPr>
          <w:instrText xml:space="preserve"> PAGEREF _Toc494800878 \h </w:instrText>
        </w:r>
        <w:r w:rsidR="00B87031">
          <w:rPr>
            <w:webHidden/>
          </w:rPr>
        </w:r>
        <w:r w:rsidR="00B87031">
          <w:rPr>
            <w:webHidden/>
          </w:rPr>
          <w:fldChar w:fldCharType="separate"/>
        </w:r>
        <w:r w:rsidR="00B87031">
          <w:rPr>
            <w:webHidden/>
          </w:rPr>
          <w:t>4</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79" w:history="1">
        <w:r w:rsidR="00B87031" w:rsidRPr="001F15CA">
          <w:rPr>
            <w:rStyle w:val="Hyperlink"/>
          </w:rPr>
          <w:t>1</w:t>
        </w:r>
        <w:r w:rsidR="00B87031">
          <w:rPr>
            <w:rFonts w:asciiTheme="minorHAnsi" w:eastAsiaTheme="minorEastAsia" w:hAnsiTheme="minorHAnsi"/>
            <w:b w:val="0"/>
            <w:color w:val="auto"/>
            <w:sz w:val="22"/>
            <w:lang w:val="en-AU" w:eastAsia="en-AU"/>
          </w:rPr>
          <w:tab/>
        </w:r>
        <w:r w:rsidR="00B87031" w:rsidRPr="001F15CA">
          <w:rPr>
            <w:rStyle w:val="Hyperlink"/>
          </w:rPr>
          <w:t>Introduction</w:t>
        </w:r>
        <w:r w:rsidR="00B87031">
          <w:rPr>
            <w:webHidden/>
          </w:rPr>
          <w:tab/>
        </w:r>
        <w:r w:rsidR="00B87031">
          <w:rPr>
            <w:webHidden/>
          </w:rPr>
          <w:fldChar w:fldCharType="begin"/>
        </w:r>
        <w:r w:rsidR="00B87031">
          <w:rPr>
            <w:webHidden/>
          </w:rPr>
          <w:instrText xml:space="preserve"> PAGEREF _Toc494800879 \h </w:instrText>
        </w:r>
        <w:r w:rsidR="00B87031">
          <w:rPr>
            <w:webHidden/>
          </w:rPr>
        </w:r>
        <w:r w:rsidR="00B87031">
          <w:rPr>
            <w:webHidden/>
          </w:rPr>
          <w:fldChar w:fldCharType="separate"/>
        </w:r>
        <w:r w:rsidR="00B87031">
          <w:rPr>
            <w:webHidden/>
          </w:rPr>
          <w:t>6</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80" w:history="1">
        <w:r w:rsidR="00B87031" w:rsidRPr="001F15CA">
          <w:rPr>
            <w:rStyle w:val="Hyperlink"/>
          </w:rPr>
          <w:t>2</w:t>
        </w:r>
        <w:r w:rsidR="00B87031">
          <w:rPr>
            <w:rFonts w:asciiTheme="minorHAnsi" w:eastAsiaTheme="minorEastAsia" w:hAnsiTheme="minorHAnsi"/>
            <w:b w:val="0"/>
            <w:color w:val="auto"/>
            <w:sz w:val="22"/>
            <w:lang w:val="en-AU" w:eastAsia="en-AU"/>
          </w:rPr>
          <w:tab/>
        </w:r>
        <w:r w:rsidR="00B87031" w:rsidRPr="001F15CA">
          <w:rPr>
            <w:rStyle w:val="Hyperlink"/>
          </w:rPr>
          <w:t>Background</w:t>
        </w:r>
        <w:r w:rsidR="00B87031">
          <w:rPr>
            <w:webHidden/>
          </w:rPr>
          <w:tab/>
        </w:r>
        <w:r w:rsidR="00B87031">
          <w:rPr>
            <w:webHidden/>
          </w:rPr>
          <w:fldChar w:fldCharType="begin"/>
        </w:r>
        <w:r w:rsidR="00B87031">
          <w:rPr>
            <w:webHidden/>
          </w:rPr>
          <w:instrText xml:space="preserve"> PAGEREF _Toc494800880 \h </w:instrText>
        </w:r>
        <w:r w:rsidR="00B87031">
          <w:rPr>
            <w:webHidden/>
          </w:rPr>
        </w:r>
        <w:r w:rsidR="00B87031">
          <w:rPr>
            <w:webHidden/>
          </w:rPr>
          <w:fldChar w:fldCharType="separate"/>
        </w:r>
        <w:r w:rsidR="00B87031">
          <w:rPr>
            <w:webHidden/>
          </w:rPr>
          <w:t>8</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1" w:history="1">
        <w:r w:rsidR="00B87031" w:rsidRPr="001F15CA">
          <w:rPr>
            <w:rStyle w:val="Hyperlink"/>
          </w:rPr>
          <w:t>2.1</w:t>
        </w:r>
        <w:r w:rsidR="00B87031">
          <w:rPr>
            <w:rFonts w:asciiTheme="minorHAnsi" w:eastAsiaTheme="minorEastAsia" w:hAnsiTheme="minorHAnsi"/>
            <w:b w:val="0"/>
            <w:color w:val="auto"/>
            <w:sz w:val="22"/>
            <w:lang w:eastAsia="en-AU"/>
          </w:rPr>
          <w:tab/>
        </w:r>
        <w:r w:rsidR="00B87031" w:rsidRPr="001F15CA">
          <w:rPr>
            <w:rStyle w:val="Hyperlink"/>
          </w:rPr>
          <w:t>About the Guideline review</w:t>
        </w:r>
        <w:r w:rsidR="00B87031">
          <w:rPr>
            <w:webHidden/>
          </w:rPr>
          <w:tab/>
        </w:r>
        <w:r w:rsidR="00B87031">
          <w:rPr>
            <w:webHidden/>
          </w:rPr>
          <w:fldChar w:fldCharType="begin"/>
        </w:r>
        <w:r w:rsidR="00B87031">
          <w:rPr>
            <w:webHidden/>
          </w:rPr>
          <w:instrText xml:space="preserve"> PAGEREF _Toc494800881 \h </w:instrText>
        </w:r>
        <w:r w:rsidR="00B87031">
          <w:rPr>
            <w:webHidden/>
          </w:rPr>
        </w:r>
        <w:r w:rsidR="00B87031">
          <w:rPr>
            <w:webHidden/>
          </w:rPr>
          <w:fldChar w:fldCharType="separate"/>
        </w:r>
        <w:r w:rsidR="00B87031">
          <w:rPr>
            <w:webHidden/>
          </w:rPr>
          <w:t>8</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2" w:history="1">
        <w:r w:rsidR="00B87031" w:rsidRPr="001F15CA">
          <w:rPr>
            <w:rStyle w:val="Hyperlink"/>
          </w:rPr>
          <w:t>2.2</w:t>
        </w:r>
        <w:r w:rsidR="00B87031">
          <w:rPr>
            <w:rFonts w:asciiTheme="minorHAnsi" w:eastAsiaTheme="minorEastAsia" w:hAnsiTheme="minorHAnsi"/>
            <w:b w:val="0"/>
            <w:color w:val="auto"/>
            <w:sz w:val="22"/>
            <w:lang w:eastAsia="en-AU"/>
          </w:rPr>
          <w:tab/>
        </w:r>
        <w:r w:rsidR="00B87031" w:rsidRPr="001F15CA">
          <w:rPr>
            <w:rStyle w:val="Hyperlink"/>
          </w:rPr>
          <w:t>The objective for the consultation process</w:t>
        </w:r>
        <w:r w:rsidR="00B87031">
          <w:rPr>
            <w:webHidden/>
          </w:rPr>
          <w:tab/>
        </w:r>
        <w:r w:rsidR="00B87031">
          <w:rPr>
            <w:webHidden/>
          </w:rPr>
          <w:fldChar w:fldCharType="begin"/>
        </w:r>
        <w:r w:rsidR="00B87031">
          <w:rPr>
            <w:webHidden/>
          </w:rPr>
          <w:instrText xml:space="preserve"> PAGEREF _Toc494800882 \h </w:instrText>
        </w:r>
        <w:r w:rsidR="00B87031">
          <w:rPr>
            <w:webHidden/>
          </w:rPr>
        </w:r>
        <w:r w:rsidR="00B87031">
          <w:rPr>
            <w:webHidden/>
          </w:rPr>
          <w:fldChar w:fldCharType="separate"/>
        </w:r>
        <w:r w:rsidR="00B87031">
          <w:rPr>
            <w:webHidden/>
          </w:rPr>
          <w:t>10</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83" w:history="1">
        <w:r w:rsidR="00B87031" w:rsidRPr="001F15CA">
          <w:rPr>
            <w:rStyle w:val="Hyperlink"/>
          </w:rPr>
          <w:t>3</w:t>
        </w:r>
        <w:r w:rsidR="00B87031">
          <w:rPr>
            <w:rFonts w:asciiTheme="minorHAnsi" w:eastAsiaTheme="minorEastAsia" w:hAnsiTheme="minorHAnsi"/>
            <w:b w:val="0"/>
            <w:color w:val="auto"/>
            <w:sz w:val="22"/>
            <w:lang w:val="en-AU" w:eastAsia="en-AU"/>
          </w:rPr>
          <w:tab/>
        </w:r>
        <w:r w:rsidR="00B87031" w:rsidRPr="001F15CA">
          <w:rPr>
            <w:rStyle w:val="Hyperlink"/>
          </w:rPr>
          <w:t>Independent panel review of the draft guideline</w:t>
        </w:r>
        <w:r w:rsidR="00B87031">
          <w:rPr>
            <w:webHidden/>
          </w:rPr>
          <w:tab/>
        </w:r>
        <w:r w:rsidR="00B87031">
          <w:rPr>
            <w:webHidden/>
          </w:rPr>
          <w:fldChar w:fldCharType="begin"/>
        </w:r>
        <w:r w:rsidR="00B87031">
          <w:rPr>
            <w:webHidden/>
          </w:rPr>
          <w:instrText xml:space="preserve"> PAGEREF _Toc494800883 \h </w:instrText>
        </w:r>
        <w:r w:rsidR="00B87031">
          <w:rPr>
            <w:webHidden/>
          </w:rPr>
        </w:r>
        <w:r w:rsidR="00B87031">
          <w:rPr>
            <w:webHidden/>
          </w:rPr>
          <w:fldChar w:fldCharType="separate"/>
        </w:r>
        <w:r w:rsidR="00B87031">
          <w:rPr>
            <w:webHidden/>
          </w:rPr>
          <w:t>11</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4" w:history="1">
        <w:r w:rsidR="00B87031" w:rsidRPr="001F15CA">
          <w:rPr>
            <w:rStyle w:val="Hyperlink"/>
          </w:rPr>
          <w:t>3.1</w:t>
        </w:r>
        <w:r w:rsidR="00B87031">
          <w:rPr>
            <w:rFonts w:asciiTheme="minorHAnsi" w:eastAsiaTheme="minorEastAsia" w:hAnsiTheme="minorHAnsi"/>
            <w:b w:val="0"/>
            <w:color w:val="auto"/>
            <w:sz w:val="22"/>
            <w:lang w:eastAsia="en-AU"/>
          </w:rPr>
          <w:tab/>
        </w:r>
        <w:r w:rsidR="00B87031" w:rsidRPr="001F15CA">
          <w:rPr>
            <w:rStyle w:val="Hyperlink"/>
          </w:rPr>
          <w:t>Consultation paper</w:t>
        </w:r>
        <w:r w:rsidR="00B87031">
          <w:rPr>
            <w:webHidden/>
          </w:rPr>
          <w:tab/>
        </w:r>
        <w:r w:rsidR="00B87031">
          <w:rPr>
            <w:webHidden/>
          </w:rPr>
          <w:fldChar w:fldCharType="begin"/>
        </w:r>
        <w:r w:rsidR="00B87031">
          <w:rPr>
            <w:webHidden/>
          </w:rPr>
          <w:instrText xml:space="preserve"> PAGEREF _Toc494800884 \h </w:instrText>
        </w:r>
        <w:r w:rsidR="00B87031">
          <w:rPr>
            <w:webHidden/>
          </w:rPr>
        </w:r>
        <w:r w:rsidR="00B87031">
          <w:rPr>
            <w:webHidden/>
          </w:rPr>
          <w:fldChar w:fldCharType="separate"/>
        </w:r>
        <w:r w:rsidR="00B87031">
          <w:rPr>
            <w:webHidden/>
          </w:rPr>
          <w:t>11</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5" w:history="1">
        <w:r w:rsidR="00B87031" w:rsidRPr="001F15CA">
          <w:rPr>
            <w:rStyle w:val="Hyperlink"/>
          </w:rPr>
          <w:t>3.2</w:t>
        </w:r>
        <w:r w:rsidR="00B87031">
          <w:rPr>
            <w:rFonts w:asciiTheme="minorHAnsi" w:eastAsiaTheme="minorEastAsia" w:hAnsiTheme="minorHAnsi"/>
            <w:b w:val="0"/>
            <w:color w:val="auto"/>
            <w:sz w:val="22"/>
            <w:lang w:eastAsia="en-AU"/>
          </w:rPr>
          <w:tab/>
        </w:r>
        <w:r w:rsidR="00B87031" w:rsidRPr="001F15CA">
          <w:rPr>
            <w:rStyle w:val="Hyperlink"/>
          </w:rPr>
          <w:t>Submissions</w:t>
        </w:r>
        <w:r w:rsidR="00B87031">
          <w:rPr>
            <w:webHidden/>
          </w:rPr>
          <w:tab/>
        </w:r>
        <w:r w:rsidR="00B87031">
          <w:rPr>
            <w:webHidden/>
          </w:rPr>
          <w:fldChar w:fldCharType="begin"/>
        </w:r>
        <w:r w:rsidR="00B87031">
          <w:rPr>
            <w:webHidden/>
          </w:rPr>
          <w:instrText xml:space="preserve"> PAGEREF _Toc494800885 \h </w:instrText>
        </w:r>
        <w:r w:rsidR="00B87031">
          <w:rPr>
            <w:webHidden/>
          </w:rPr>
        </w:r>
        <w:r w:rsidR="00B87031">
          <w:rPr>
            <w:webHidden/>
          </w:rPr>
          <w:fldChar w:fldCharType="separate"/>
        </w:r>
        <w:r w:rsidR="00B87031">
          <w:rPr>
            <w:webHidden/>
          </w:rPr>
          <w:t>11</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6" w:history="1">
        <w:r w:rsidR="00B87031" w:rsidRPr="001F15CA">
          <w:rPr>
            <w:rStyle w:val="Hyperlink"/>
          </w:rPr>
          <w:t>3.3</w:t>
        </w:r>
        <w:r w:rsidR="00B87031">
          <w:rPr>
            <w:rFonts w:asciiTheme="minorHAnsi" w:eastAsiaTheme="minorEastAsia" w:hAnsiTheme="minorHAnsi"/>
            <w:b w:val="0"/>
            <w:color w:val="auto"/>
            <w:sz w:val="22"/>
            <w:lang w:eastAsia="en-AU"/>
          </w:rPr>
          <w:tab/>
        </w:r>
        <w:r w:rsidR="00B87031" w:rsidRPr="001F15CA">
          <w:rPr>
            <w:rStyle w:val="Hyperlink"/>
          </w:rPr>
          <w:t>Our views</w:t>
        </w:r>
        <w:r w:rsidR="00B87031">
          <w:rPr>
            <w:webHidden/>
          </w:rPr>
          <w:tab/>
        </w:r>
        <w:r w:rsidR="00B87031">
          <w:rPr>
            <w:webHidden/>
          </w:rPr>
          <w:fldChar w:fldCharType="begin"/>
        </w:r>
        <w:r w:rsidR="00B87031">
          <w:rPr>
            <w:webHidden/>
          </w:rPr>
          <w:instrText xml:space="preserve"> PAGEREF _Toc494800886 \h </w:instrText>
        </w:r>
        <w:r w:rsidR="00B87031">
          <w:rPr>
            <w:webHidden/>
          </w:rPr>
        </w:r>
        <w:r w:rsidR="00B87031">
          <w:rPr>
            <w:webHidden/>
          </w:rPr>
          <w:fldChar w:fldCharType="separate"/>
        </w:r>
        <w:r w:rsidR="00B87031">
          <w:rPr>
            <w:webHidden/>
          </w:rPr>
          <w:t>11</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87" w:history="1">
        <w:r w:rsidR="00B87031" w:rsidRPr="001F15CA">
          <w:rPr>
            <w:rStyle w:val="Hyperlink"/>
          </w:rPr>
          <w:t>4</w:t>
        </w:r>
        <w:r w:rsidR="00B87031">
          <w:rPr>
            <w:rFonts w:asciiTheme="minorHAnsi" w:eastAsiaTheme="minorEastAsia" w:hAnsiTheme="minorHAnsi"/>
            <w:b w:val="0"/>
            <w:color w:val="auto"/>
            <w:sz w:val="22"/>
            <w:lang w:val="en-AU" w:eastAsia="en-AU"/>
          </w:rPr>
          <w:tab/>
        </w:r>
        <w:r w:rsidR="00B87031" w:rsidRPr="001F15CA">
          <w:rPr>
            <w:rStyle w:val="Hyperlink"/>
          </w:rPr>
          <w:t>Concurrent evidence sessions (expert hot-tub)</w:t>
        </w:r>
        <w:r w:rsidR="00B87031">
          <w:rPr>
            <w:webHidden/>
          </w:rPr>
          <w:tab/>
        </w:r>
        <w:r w:rsidR="00B87031">
          <w:rPr>
            <w:webHidden/>
          </w:rPr>
          <w:fldChar w:fldCharType="begin"/>
        </w:r>
        <w:r w:rsidR="00B87031">
          <w:rPr>
            <w:webHidden/>
          </w:rPr>
          <w:instrText xml:space="preserve"> PAGEREF _Toc494800887 \h </w:instrText>
        </w:r>
        <w:r w:rsidR="00B87031">
          <w:rPr>
            <w:webHidden/>
          </w:rPr>
        </w:r>
        <w:r w:rsidR="00B87031">
          <w:rPr>
            <w:webHidden/>
          </w:rPr>
          <w:fldChar w:fldCharType="separate"/>
        </w:r>
        <w:r w:rsidR="00B87031">
          <w:rPr>
            <w:webHidden/>
          </w:rPr>
          <w:t>14</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8" w:history="1">
        <w:r w:rsidR="00B87031" w:rsidRPr="001F15CA">
          <w:rPr>
            <w:rStyle w:val="Hyperlink"/>
          </w:rPr>
          <w:t>4.1</w:t>
        </w:r>
        <w:r w:rsidR="00B87031">
          <w:rPr>
            <w:rFonts w:asciiTheme="minorHAnsi" w:eastAsiaTheme="minorEastAsia" w:hAnsiTheme="minorHAnsi"/>
            <w:b w:val="0"/>
            <w:color w:val="auto"/>
            <w:sz w:val="22"/>
            <w:lang w:eastAsia="en-AU"/>
          </w:rPr>
          <w:tab/>
        </w:r>
        <w:r w:rsidR="00B87031" w:rsidRPr="001F15CA">
          <w:rPr>
            <w:rStyle w:val="Hyperlink"/>
          </w:rPr>
          <w:t>Consultation paper</w:t>
        </w:r>
        <w:r w:rsidR="00B87031">
          <w:rPr>
            <w:webHidden/>
          </w:rPr>
          <w:tab/>
        </w:r>
        <w:r w:rsidR="00B87031">
          <w:rPr>
            <w:webHidden/>
          </w:rPr>
          <w:fldChar w:fldCharType="begin"/>
        </w:r>
        <w:r w:rsidR="00B87031">
          <w:rPr>
            <w:webHidden/>
          </w:rPr>
          <w:instrText xml:space="preserve"> PAGEREF _Toc494800888 \h </w:instrText>
        </w:r>
        <w:r w:rsidR="00B87031">
          <w:rPr>
            <w:webHidden/>
          </w:rPr>
        </w:r>
        <w:r w:rsidR="00B87031">
          <w:rPr>
            <w:webHidden/>
          </w:rPr>
          <w:fldChar w:fldCharType="separate"/>
        </w:r>
        <w:r w:rsidR="00B87031">
          <w:rPr>
            <w:webHidden/>
          </w:rPr>
          <w:t>14</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89" w:history="1">
        <w:r w:rsidR="00B87031" w:rsidRPr="001F15CA">
          <w:rPr>
            <w:rStyle w:val="Hyperlink"/>
          </w:rPr>
          <w:t>4.2</w:t>
        </w:r>
        <w:r w:rsidR="00B87031">
          <w:rPr>
            <w:rFonts w:asciiTheme="minorHAnsi" w:eastAsiaTheme="minorEastAsia" w:hAnsiTheme="minorHAnsi"/>
            <w:b w:val="0"/>
            <w:color w:val="auto"/>
            <w:sz w:val="22"/>
            <w:lang w:eastAsia="en-AU"/>
          </w:rPr>
          <w:tab/>
        </w:r>
        <w:r w:rsidR="00B87031" w:rsidRPr="001F15CA">
          <w:rPr>
            <w:rStyle w:val="Hyperlink"/>
          </w:rPr>
          <w:t>Submissions</w:t>
        </w:r>
        <w:r w:rsidR="00B87031">
          <w:rPr>
            <w:webHidden/>
          </w:rPr>
          <w:tab/>
        </w:r>
        <w:r w:rsidR="00B87031">
          <w:rPr>
            <w:webHidden/>
          </w:rPr>
          <w:fldChar w:fldCharType="begin"/>
        </w:r>
        <w:r w:rsidR="00B87031">
          <w:rPr>
            <w:webHidden/>
          </w:rPr>
          <w:instrText xml:space="preserve"> PAGEREF _Toc494800889 \h </w:instrText>
        </w:r>
        <w:r w:rsidR="00B87031">
          <w:rPr>
            <w:webHidden/>
          </w:rPr>
        </w:r>
        <w:r w:rsidR="00B87031">
          <w:rPr>
            <w:webHidden/>
          </w:rPr>
          <w:fldChar w:fldCharType="separate"/>
        </w:r>
        <w:r w:rsidR="00B87031">
          <w:rPr>
            <w:webHidden/>
          </w:rPr>
          <w:t>14</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90" w:history="1">
        <w:r w:rsidR="00B87031" w:rsidRPr="001F15CA">
          <w:rPr>
            <w:rStyle w:val="Hyperlink"/>
          </w:rPr>
          <w:t>4.3</w:t>
        </w:r>
        <w:r w:rsidR="00B87031">
          <w:rPr>
            <w:rFonts w:asciiTheme="minorHAnsi" w:eastAsiaTheme="minorEastAsia" w:hAnsiTheme="minorHAnsi"/>
            <w:b w:val="0"/>
            <w:color w:val="auto"/>
            <w:sz w:val="22"/>
            <w:lang w:eastAsia="en-AU"/>
          </w:rPr>
          <w:tab/>
        </w:r>
        <w:r w:rsidR="00B87031" w:rsidRPr="001F15CA">
          <w:rPr>
            <w:rStyle w:val="Hyperlink"/>
          </w:rPr>
          <w:t>Our views</w:t>
        </w:r>
        <w:r w:rsidR="00B87031">
          <w:rPr>
            <w:webHidden/>
          </w:rPr>
          <w:tab/>
        </w:r>
        <w:r w:rsidR="00B87031">
          <w:rPr>
            <w:webHidden/>
          </w:rPr>
          <w:fldChar w:fldCharType="begin"/>
        </w:r>
        <w:r w:rsidR="00B87031">
          <w:rPr>
            <w:webHidden/>
          </w:rPr>
          <w:instrText xml:space="preserve"> PAGEREF _Toc494800890 \h </w:instrText>
        </w:r>
        <w:r w:rsidR="00B87031">
          <w:rPr>
            <w:webHidden/>
          </w:rPr>
        </w:r>
        <w:r w:rsidR="00B87031">
          <w:rPr>
            <w:webHidden/>
          </w:rPr>
          <w:fldChar w:fldCharType="separate"/>
        </w:r>
        <w:r w:rsidR="00B87031">
          <w:rPr>
            <w:webHidden/>
          </w:rPr>
          <w:t>14</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91" w:history="1">
        <w:r w:rsidR="00B87031" w:rsidRPr="001F15CA">
          <w:rPr>
            <w:rStyle w:val="Hyperlink"/>
          </w:rPr>
          <w:t>5</w:t>
        </w:r>
        <w:r w:rsidR="00B87031">
          <w:rPr>
            <w:rFonts w:asciiTheme="minorHAnsi" w:eastAsiaTheme="minorEastAsia" w:hAnsiTheme="minorHAnsi"/>
            <w:b w:val="0"/>
            <w:color w:val="auto"/>
            <w:sz w:val="22"/>
            <w:lang w:val="en-AU" w:eastAsia="en-AU"/>
          </w:rPr>
          <w:tab/>
        </w:r>
        <w:r w:rsidR="00B87031" w:rsidRPr="001F15CA">
          <w:rPr>
            <w:rStyle w:val="Hyperlink"/>
          </w:rPr>
          <w:t>Consumer reference group</w:t>
        </w:r>
        <w:r w:rsidR="00B87031">
          <w:rPr>
            <w:webHidden/>
          </w:rPr>
          <w:tab/>
        </w:r>
        <w:r w:rsidR="00B87031">
          <w:rPr>
            <w:webHidden/>
          </w:rPr>
          <w:fldChar w:fldCharType="begin"/>
        </w:r>
        <w:r w:rsidR="00B87031">
          <w:rPr>
            <w:webHidden/>
          </w:rPr>
          <w:instrText xml:space="preserve"> PAGEREF _Toc494800891 \h </w:instrText>
        </w:r>
        <w:r w:rsidR="00B87031">
          <w:rPr>
            <w:webHidden/>
          </w:rPr>
        </w:r>
        <w:r w:rsidR="00B87031">
          <w:rPr>
            <w:webHidden/>
          </w:rPr>
          <w:fldChar w:fldCharType="separate"/>
        </w:r>
        <w:r w:rsidR="00B87031">
          <w:rPr>
            <w:webHidden/>
          </w:rPr>
          <w:t>15</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92" w:history="1">
        <w:r w:rsidR="00B87031" w:rsidRPr="001F15CA">
          <w:rPr>
            <w:rStyle w:val="Hyperlink"/>
          </w:rPr>
          <w:t>5.1</w:t>
        </w:r>
        <w:r w:rsidR="00B87031">
          <w:rPr>
            <w:rFonts w:asciiTheme="minorHAnsi" w:eastAsiaTheme="minorEastAsia" w:hAnsiTheme="minorHAnsi"/>
            <w:b w:val="0"/>
            <w:color w:val="auto"/>
            <w:sz w:val="22"/>
            <w:lang w:eastAsia="en-AU"/>
          </w:rPr>
          <w:tab/>
        </w:r>
        <w:r w:rsidR="00B87031" w:rsidRPr="001F15CA">
          <w:rPr>
            <w:rStyle w:val="Hyperlink"/>
          </w:rPr>
          <w:t>Consultation paper</w:t>
        </w:r>
        <w:r w:rsidR="00B87031">
          <w:rPr>
            <w:webHidden/>
          </w:rPr>
          <w:tab/>
        </w:r>
        <w:r w:rsidR="00B87031">
          <w:rPr>
            <w:webHidden/>
          </w:rPr>
          <w:fldChar w:fldCharType="begin"/>
        </w:r>
        <w:r w:rsidR="00B87031">
          <w:rPr>
            <w:webHidden/>
          </w:rPr>
          <w:instrText xml:space="preserve"> PAGEREF _Toc494800892 \h </w:instrText>
        </w:r>
        <w:r w:rsidR="00B87031">
          <w:rPr>
            <w:webHidden/>
          </w:rPr>
        </w:r>
        <w:r w:rsidR="00B87031">
          <w:rPr>
            <w:webHidden/>
          </w:rPr>
          <w:fldChar w:fldCharType="separate"/>
        </w:r>
        <w:r w:rsidR="00B87031">
          <w:rPr>
            <w:webHidden/>
          </w:rPr>
          <w:t>15</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93" w:history="1">
        <w:r w:rsidR="00B87031" w:rsidRPr="001F15CA">
          <w:rPr>
            <w:rStyle w:val="Hyperlink"/>
          </w:rPr>
          <w:t>5.2</w:t>
        </w:r>
        <w:r w:rsidR="00B87031">
          <w:rPr>
            <w:rFonts w:asciiTheme="minorHAnsi" w:eastAsiaTheme="minorEastAsia" w:hAnsiTheme="minorHAnsi"/>
            <w:b w:val="0"/>
            <w:color w:val="auto"/>
            <w:sz w:val="22"/>
            <w:lang w:eastAsia="en-AU"/>
          </w:rPr>
          <w:tab/>
        </w:r>
        <w:r w:rsidR="00B87031" w:rsidRPr="001F15CA">
          <w:rPr>
            <w:rStyle w:val="Hyperlink"/>
          </w:rPr>
          <w:t>Submissions</w:t>
        </w:r>
        <w:r w:rsidR="00B87031">
          <w:rPr>
            <w:webHidden/>
          </w:rPr>
          <w:tab/>
        </w:r>
        <w:r w:rsidR="00B87031">
          <w:rPr>
            <w:webHidden/>
          </w:rPr>
          <w:fldChar w:fldCharType="begin"/>
        </w:r>
        <w:r w:rsidR="00B87031">
          <w:rPr>
            <w:webHidden/>
          </w:rPr>
          <w:instrText xml:space="preserve"> PAGEREF _Toc494800893 \h </w:instrText>
        </w:r>
        <w:r w:rsidR="00B87031">
          <w:rPr>
            <w:webHidden/>
          </w:rPr>
        </w:r>
        <w:r w:rsidR="00B87031">
          <w:rPr>
            <w:webHidden/>
          </w:rPr>
          <w:fldChar w:fldCharType="separate"/>
        </w:r>
        <w:r w:rsidR="00B87031">
          <w:rPr>
            <w:webHidden/>
          </w:rPr>
          <w:t>15</w:t>
        </w:r>
        <w:r w:rsidR="00B87031">
          <w:rPr>
            <w:webHidden/>
          </w:rPr>
          <w:fldChar w:fldCharType="end"/>
        </w:r>
      </w:hyperlink>
    </w:p>
    <w:p w:rsidR="00B87031" w:rsidRDefault="00E07C46">
      <w:pPr>
        <w:pStyle w:val="TOC2"/>
        <w:rPr>
          <w:rFonts w:asciiTheme="minorHAnsi" w:eastAsiaTheme="minorEastAsia" w:hAnsiTheme="minorHAnsi"/>
          <w:b w:val="0"/>
          <w:color w:val="auto"/>
          <w:sz w:val="22"/>
          <w:lang w:eastAsia="en-AU"/>
        </w:rPr>
      </w:pPr>
      <w:hyperlink w:anchor="_Toc494800894" w:history="1">
        <w:r w:rsidR="00B87031" w:rsidRPr="001F15CA">
          <w:rPr>
            <w:rStyle w:val="Hyperlink"/>
          </w:rPr>
          <w:t>5.3</w:t>
        </w:r>
        <w:r w:rsidR="00B87031">
          <w:rPr>
            <w:rFonts w:asciiTheme="minorHAnsi" w:eastAsiaTheme="minorEastAsia" w:hAnsiTheme="minorHAnsi"/>
            <w:b w:val="0"/>
            <w:color w:val="auto"/>
            <w:sz w:val="22"/>
            <w:lang w:eastAsia="en-AU"/>
          </w:rPr>
          <w:tab/>
        </w:r>
        <w:r w:rsidR="00B87031" w:rsidRPr="001F15CA">
          <w:rPr>
            <w:rStyle w:val="Hyperlink"/>
          </w:rPr>
          <w:t>Our views</w:t>
        </w:r>
        <w:r w:rsidR="00B87031">
          <w:rPr>
            <w:webHidden/>
          </w:rPr>
          <w:tab/>
        </w:r>
        <w:r w:rsidR="00B87031">
          <w:rPr>
            <w:webHidden/>
          </w:rPr>
          <w:fldChar w:fldCharType="begin"/>
        </w:r>
        <w:r w:rsidR="00B87031">
          <w:rPr>
            <w:webHidden/>
          </w:rPr>
          <w:instrText xml:space="preserve"> PAGEREF _Toc494800894 \h </w:instrText>
        </w:r>
        <w:r w:rsidR="00B87031">
          <w:rPr>
            <w:webHidden/>
          </w:rPr>
        </w:r>
        <w:r w:rsidR="00B87031">
          <w:rPr>
            <w:webHidden/>
          </w:rPr>
          <w:fldChar w:fldCharType="separate"/>
        </w:r>
        <w:r w:rsidR="00B87031">
          <w:rPr>
            <w:webHidden/>
          </w:rPr>
          <w:t>15</w:t>
        </w:r>
        <w:r w:rsidR="00B87031">
          <w:rPr>
            <w:webHidden/>
          </w:rPr>
          <w:fldChar w:fldCharType="end"/>
        </w:r>
      </w:hyperlink>
    </w:p>
    <w:p w:rsidR="00B87031" w:rsidRDefault="00E07C46">
      <w:pPr>
        <w:pStyle w:val="TOC1"/>
        <w:rPr>
          <w:rFonts w:asciiTheme="minorHAnsi" w:eastAsiaTheme="minorEastAsia" w:hAnsiTheme="minorHAnsi"/>
          <w:b w:val="0"/>
          <w:color w:val="auto"/>
          <w:sz w:val="22"/>
          <w:lang w:val="en-AU" w:eastAsia="en-AU"/>
        </w:rPr>
      </w:pPr>
      <w:hyperlink w:anchor="_Toc494800895" w:history="1">
        <w:r w:rsidR="00B87031" w:rsidRPr="001F15CA">
          <w:rPr>
            <w:rStyle w:val="Hyperlink"/>
          </w:rPr>
          <w:t>A</w:t>
        </w:r>
        <w:r w:rsidR="00B87031">
          <w:rPr>
            <w:rFonts w:asciiTheme="minorHAnsi" w:eastAsiaTheme="minorEastAsia" w:hAnsiTheme="minorHAnsi"/>
            <w:b w:val="0"/>
            <w:color w:val="auto"/>
            <w:sz w:val="22"/>
            <w:lang w:val="en-AU" w:eastAsia="en-AU"/>
          </w:rPr>
          <w:tab/>
        </w:r>
        <w:r w:rsidR="00B87031" w:rsidRPr="001F15CA">
          <w:rPr>
            <w:rStyle w:val="Hyperlink"/>
          </w:rPr>
          <w:t>Summary of stakeholder submissions on our consultation paper</w:t>
        </w:r>
        <w:r w:rsidR="00B87031">
          <w:rPr>
            <w:webHidden/>
          </w:rPr>
          <w:tab/>
        </w:r>
        <w:r w:rsidR="00B87031">
          <w:rPr>
            <w:webHidden/>
          </w:rPr>
          <w:fldChar w:fldCharType="begin"/>
        </w:r>
        <w:r w:rsidR="00B87031">
          <w:rPr>
            <w:webHidden/>
          </w:rPr>
          <w:instrText xml:space="preserve"> PAGEREF _Toc494800895 \h </w:instrText>
        </w:r>
        <w:r w:rsidR="00B87031">
          <w:rPr>
            <w:webHidden/>
          </w:rPr>
        </w:r>
        <w:r w:rsidR="00B87031">
          <w:rPr>
            <w:webHidden/>
          </w:rPr>
          <w:fldChar w:fldCharType="separate"/>
        </w:r>
        <w:r w:rsidR="00B87031">
          <w:rPr>
            <w:webHidden/>
          </w:rPr>
          <w:t>16</w:t>
        </w:r>
        <w:r w:rsidR="00B87031">
          <w:rPr>
            <w:webHidden/>
          </w:rPr>
          <w:fldChar w:fldCharType="end"/>
        </w:r>
      </w:hyperlink>
    </w:p>
    <w:p w:rsidR="009177E3" w:rsidRDefault="009177E3" w:rsidP="009177E3">
      <w:pPr>
        <w:pStyle w:val="TOC1"/>
      </w:pPr>
      <w:r>
        <w:fldChar w:fldCharType="end"/>
      </w:r>
    </w:p>
    <w:p w:rsidR="009177E3" w:rsidRPr="0034660E" w:rsidRDefault="009177E3" w:rsidP="009177E3">
      <w:pPr>
        <w:rPr>
          <w:rStyle w:val="Strong"/>
          <w:b w:val="0"/>
          <w:bCs w:val="0"/>
        </w:rPr>
      </w:pPr>
      <w:r>
        <w:t xml:space="preserve"> </w:t>
      </w:r>
    </w:p>
    <w:p w:rsidR="00CA61EF" w:rsidRPr="009177E3" w:rsidRDefault="00502F8B" w:rsidP="00B471B9">
      <w:pPr>
        <w:pStyle w:val="Heading1"/>
        <w:tabs>
          <w:tab w:val="clear" w:pos="680"/>
        </w:tabs>
        <w:ind w:left="993" w:hanging="993"/>
      </w:pPr>
      <w:bookmarkStart w:id="6" w:name="_Toc494800879"/>
      <w:r>
        <w:lastRenderedPageBreak/>
        <w:t>Introduction</w:t>
      </w:r>
      <w:bookmarkEnd w:id="6"/>
    </w:p>
    <w:p w:rsidR="009A222A" w:rsidRDefault="009A222A" w:rsidP="009177E3">
      <w:r>
        <w:t xml:space="preserve">The Rate of Return Guideline (Guideline) outlines our approach to setting the allowed rate of return for regulated gas and electricity network services. We are currently reviewing the Guideline. </w:t>
      </w:r>
    </w:p>
    <w:p w:rsidR="00A421A3" w:rsidRDefault="00B87031" w:rsidP="009177E3">
      <w:r>
        <w:t>In our consultation paper</w:t>
      </w:r>
      <w:r w:rsidR="00A339A3">
        <w:rPr>
          <w:rStyle w:val="FootnoteReference"/>
        </w:rPr>
        <w:footnoteReference w:id="1"/>
      </w:r>
      <w:r>
        <w:t xml:space="preserve"> we</w:t>
      </w:r>
      <w:r w:rsidR="00D96CF7">
        <w:t xml:space="preserve"> set out our preliminary views on consultation processes for the review of the rate of return guideline</w:t>
      </w:r>
      <w:r w:rsidR="00D27C2E">
        <w:t>.</w:t>
      </w:r>
      <w:r w:rsidR="00145CF3">
        <w:t xml:space="preserve"> </w:t>
      </w:r>
      <w:r w:rsidR="00D96CF7">
        <w:t>To assist our thinking</w:t>
      </w:r>
      <w:r w:rsidR="00D27C2E">
        <w:t xml:space="preserve"> on development of the process</w:t>
      </w:r>
      <w:r w:rsidR="00D96CF7">
        <w:t>, we</w:t>
      </w:r>
      <w:r>
        <w:t xml:space="preserve"> sought stakeholder feedback on </w:t>
      </w:r>
      <w:r w:rsidR="00D96CF7">
        <w:t xml:space="preserve">the value of </w:t>
      </w:r>
      <w:r w:rsidR="00D27C2E">
        <w:t xml:space="preserve">individual process steps </w:t>
      </w:r>
      <w:r w:rsidR="00D96CF7">
        <w:t>and how they would best be implemented</w:t>
      </w:r>
      <w:r>
        <w:t xml:space="preserve">. </w:t>
      </w:r>
      <w:r w:rsidR="00D96CF7">
        <w:t xml:space="preserve">We have now received those submissions and have had regard to them in developing this </w:t>
      </w:r>
      <w:r w:rsidR="00D27C2E">
        <w:t xml:space="preserve">positions </w:t>
      </w:r>
      <w:r w:rsidR="00D96CF7">
        <w:t>paper.</w:t>
      </w:r>
      <w:r w:rsidR="00A5673F">
        <w:t xml:space="preserve"> </w:t>
      </w:r>
      <w:r w:rsidR="00A421A3">
        <w:t>We have also published a separate issues paper which sets out our preliminary views of the substantive issues that we have identified as priorities for the guideline review.</w:t>
      </w:r>
      <w:r w:rsidR="00A421A3">
        <w:rPr>
          <w:rStyle w:val="FootnoteReference"/>
        </w:rPr>
        <w:footnoteReference w:id="2"/>
      </w:r>
      <w:r w:rsidR="00A421A3">
        <w:t xml:space="preserve"> This positions paper focusses exclusively on the process for the review, rather than our methodology for estimating the rate of return.</w:t>
      </w:r>
    </w:p>
    <w:p w:rsidR="00E323BF" w:rsidRDefault="00A5673F" w:rsidP="009177E3">
      <w:r>
        <w:t>There are some further specific issues noted in this paper where we welcome further stakeholder feedback. However, in order to commence work on the processes and to provide certainty to stakeholders, we have now largely settled our views on how the processes will run.</w:t>
      </w:r>
    </w:p>
    <w:p w:rsidR="00D96CF7" w:rsidRDefault="00D96CF7" w:rsidP="009177E3">
      <w:r>
        <w:t xml:space="preserve">In particular, this </w:t>
      </w:r>
      <w:r w:rsidR="00D27C2E">
        <w:t xml:space="preserve">positions </w:t>
      </w:r>
      <w:r>
        <w:t>paper sets out</w:t>
      </w:r>
      <w:r w:rsidR="00145CF3">
        <w:t xml:space="preserve"> our </w:t>
      </w:r>
      <w:r w:rsidR="00885C31">
        <w:t xml:space="preserve">positions </w:t>
      </w:r>
      <w:r>
        <w:t>on:</w:t>
      </w:r>
    </w:p>
    <w:p w:rsidR="002D3D5F" w:rsidRDefault="002D3D5F" w:rsidP="002D3D5F">
      <w:pPr>
        <w:pStyle w:val="ListParagraph"/>
        <w:numPr>
          <w:ilvl w:val="0"/>
          <w:numId w:val="43"/>
        </w:numPr>
      </w:pPr>
      <w:r>
        <w:t>The independent panel review of the draft guideline— we have set out a draft terms of reference and details about the process for identifying and appointing panel members.</w:t>
      </w:r>
    </w:p>
    <w:p w:rsidR="002D3D5F" w:rsidRDefault="002D3D5F" w:rsidP="001F5DF5">
      <w:pPr>
        <w:pStyle w:val="ListParagraph"/>
        <w:numPr>
          <w:ilvl w:val="0"/>
          <w:numId w:val="43"/>
        </w:numPr>
      </w:pPr>
      <w:r>
        <w:t>The concurrent expert evidence sessions (‘hot-tubbing’</w:t>
      </w:r>
      <w:proofErr w:type="gramStart"/>
      <w:r>
        <w:t>)—</w:t>
      </w:r>
      <w:proofErr w:type="gramEnd"/>
      <w:r>
        <w:t xml:space="preserve"> we set out detail on how the process will run </w:t>
      </w:r>
      <w:r w:rsidR="00C7238D">
        <w:t xml:space="preserve">in the phases </w:t>
      </w:r>
      <w:r>
        <w:t>before, during and after the sessions.</w:t>
      </w:r>
    </w:p>
    <w:p w:rsidR="00D96CF7" w:rsidRDefault="00D96CF7" w:rsidP="00D96CF7">
      <w:pPr>
        <w:pStyle w:val="ListParagraph"/>
        <w:numPr>
          <w:ilvl w:val="0"/>
          <w:numId w:val="43"/>
        </w:numPr>
      </w:pPr>
      <w:r>
        <w:t xml:space="preserve">The consumer reference group— including </w:t>
      </w:r>
      <w:r w:rsidR="004315A9">
        <w:t xml:space="preserve">a </w:t>
      </w:r>
      <w:r>
        <w:t>clearer definition of the role we expect of the CRG and how we plan to engage with it</w:t>
      </w:r>
    </w:p>
    <w:p w:rsidR="00BC6A4E" w:rsidRDefault="00BC6A4E" w:rsidP="00BC6A4E">
      <w:r>
        <w:t xml:space="preserve">We have also addressed other recommendations raised by stakeholders in submissions, and at the pre-issues paper forum held in Sydney on September 18. </w:t>
      </w:r>
      <w:r>
        <w:rPr>
          <w:rStyle w:val="FootnoteReference"/>
        </w:rPr>
        <w:footnoteReference w:id="3"/>
      </w:r>
    </w:p>
    <w:p w:rsidR="00A421A3" w:rsidRDefault="00A421A3" w:rsidP="00041D6D">
      <w:pPr>
        <w:pStyle w:val="Heading2"/>
      </w:pPr>
      <w:r>
        <w:t>Further submissions</w:t>
      </w:r>
    </w:p>
    <w:p w:rsidR="00A421A3" w:rsidRPr="00520C91" w:rsidRDefault="00A421A3" w:rsidP="00041D6D">
      <w:pPr>
        <w:rPr>
          <w:sz w:val="16"/>
        </w:rPr>
      </w:pPr>
      <w:r>
        <w:rPr>
          <w:rStyle w:val="Hyperlink"/>
          <w:color w:val="auto"/>
          <w:u w:val="none"/>
        </w:rPr>
        <w:t xml:space="preserve">In this positions paper, we invite </w:t>
      </w:r>
      <w:r>
        <w:rPr>
          <w:rStyle w:val="AERbody"/>
        </w:rPr>
        <w:t>i</w:t>
      </w:r>
      <w:r w:rsidRPr="009177E3">
        <w:rPr>
          <w:rStyle w:val="AERbody"/>
        </w:rPr>
        <w:t xml:space="preserve">nterested parties to make </w:t>
      </w:r>
      <w:r w:rsidRPr="00520C91">
        <w:t xml:space="preserve">recommendations on classes of individuals (for example members of specific organizations) who would be </w:t>
      </w:r>
      <w:r w:rsidRPr="00520C91">
        <w:lastRenderedPageBreak/>
        <w:t>suitable to participant as a member of the independent panel for reviewing the draft guideline.</w:t>
      </w:r>
      <w:r w:rsidR="00D22062">
        <w:t xml:space="preserve"> We are also open to recommendations of specific individuals, but request that any such recommendations be </w:t>
      </w:r>
      <w:r w:rsidR="00117A1D">
        <w:t>in confidence</w:t>
      </w:r>
      <w:r w:rsidR="00D22062">
        <w:t xml:space="preserve">. Please make any submissions on potential panel members by </w:t>
      </w:r>
      <w:r w:rsidR="00D22062" w:rsidRPr="00041D6D">
        <w:rPr>
          <w:rStyle w:val="Strong"/>
        </w:rPr>
        <w:t xml:space="preserve">COB </w:t>
      </w:r>
      <w:r w:rsidR="009E3109">
        <w:rPr>
          <w:rStyle w:val="Strong"/>
        </w:rPr>
        <w:t xml:space="preserve">21 </w:t>
      </w:r>
      <w:r w:rsidR="00D22062" w:rsidRPr="00041D6D">
        <w:rPr>
          <w:rStyle w:val="Strong"/>
        </w:rPr>
        <w:t>December.</w:t>
      </w:r>
    </w:p>
    <w:p w:rsidR="00A421A3" w:rsidRPr="00520C91" w:rsidRDefault="00A421A3" w:rsidP="00041D6D">
      <w:pPr>
        <w:rPr>
          <w:sz w:val="16"/>
        </w:rPr>
      </w:pPr>
      <w:r w:rsidRPr="00520C91">
        <w:t xml:space="preserve">Once the deadline for submissions on </w:t>
      </w:r>
      <w:r w:rsidR="00117A1D">
        <w:t>our</w:t>
      </w:r>
      <w:r w:rsidRPr="00520C91">
        <w:t xml:space="preserve"> issues paper has closed, we will publish an indicative view of issues </w:t>
      </w:r>
      <w:r w:rsidR="00117A1D">
        <w:t>to be addressed</w:t>
      </w:r>
      <w:r w:rsidRPr="00520C91">
        <w:t xml:space="preserve"> in the concurrent expert evidence sessions. At that stage, we will nominate a window within which we will seek stakeholders’ views on those same issues.</w:t>
      </w:r>
    </w:p>
    <w:p w:rsidR="00A421A3" w:rsidRPr="00A421A3" w:rsidRDefault="00A421A3" w:rsidP="00A421A3">
      <w:r>
        <w:t xml:space="preserve">Please direct </w:t>
      </w:r>
      <w:proofErr w:type="gramStart"/>
      <w:r>
        <w:t>enquires</w:t>
      </w:r>
      <w:proofErr w:type="gramEnd"/>
      <w:r>
        <w:t xml:space="preserve"> about this paper, or about lodging submissions to</w:t>
      </w:r>
      <w:r w:rsidRPr="009177E3">
        <w:t xml:space="preserve"> </w:t>
      </w:r>
      <w:hyperlink r:id="rId13" w:history="1">
        <w:r w:rsidRPr="007E4578">
          <w:rPr>
            <w:rStyle w:val="Hyperlink"/>
          </w:rPr>
          <w:t>rateofreturn@aer.gov.au</w:t>
        </w:r>
      </w:hyperlink>
      <w:r>
        <w:t xml:space="preserve"> o</w:t>
      </w:r>
      <w:r>
        <w:rPr>
          <w:rStyle w:val="Hyperlink"/>
          <w:color w:val="auto"/>
          <w:u w:val="none"/>
        </w:rPr>
        <w:t>r to Matt Simpson on (03) 9290 1969.</w:t>
      </w:r>
    </w:p>
    <w:p w:rsidR="00DD29CB" w:rsidRDefault="000F466D" w:rsidP="000F466D">
      <w:pPr>
        <w:pStyle w:val="Heading1"/>
      </w:pPr>
      <w:bookmarkStart w:id="7" w:name="_Toc494800880"/>
      <w:r>
        <w:lastRenderedPageBreak/>
        <w:t>Background</w:t>
      </w:r>
      <w:bookmarkEnd w:id="7"/>
    </w:p>
    <w:bookmarkEnd w:id="4"/>
    <w:bookmarkEnd w:id="5"/>
    <w:p w:rsidR="00A339A3" w:rsidRDefault="00A339A3" w:rsidP="00A339A3">
      <w:r>
        <w:t xml:space="preserve">The Australian Energy Regulator (AER) regulates energy markets and networks under national energy market legislation and rules. Our network regulatory functions relate to energy networks in all Australian states and territories, except Western Australia. They include setting the amount of revenue that monopoly network businesses can recover from customers for using networks (electricity poles and wires and gas pipelines) that transport energy. </w:t>
      </w:r>
    </w:p>
    <w:p w:rsidR="00A339A3" w:rsidRDefault="00A339A3" w:rsidP="00A339A3">
      <w:r w:rsidRPr="00737315">
        <w:t>Significant investment is required to build a gas</w:t>
      </w:r>
      <w:r>
        <w:t xml:space="preserve"> or electricity</w:t>
      </w:r>
      <w:r w:rsidRPr="00737315">
        <w:t xml:space="preserve"> network. The allowed rate of return is a forecast of the cost of funds a network business requires to attract investment in the network.</w:t>
      </w:r>
    </w:p>
    <w:p w:rsidR="00A339A3" w:rsidRDefault="00A339A3" w:rsidP="00A339A3">
      <w:r w:rsidRPr="00FE4C49">
        <w:t>We estimate the rate of return by combining the returns of the two sources of funds for investments—equity and debt. The return on equity is the return shareholders of the business will require for them to continue to invest.</w:t>
      </w:r>
      <w:r>
        <w:t xml:space="preserve"> </w:t>
      </w:r>
      <w:r w:rsidRPr="00FE4C49">
        <w:t>The return on debt is the interest rate the network business pays when it borrows money to invest.</w:t>
      </w:r>
    </w:p>
    <w:p w:rsidR="00A339A3" w:rsidRDefault="00A339A3" w:rsidP="00A339A3">
      <w:r>
        <w:t xml:space="preserve">The current Guideline was published in December 2013 and it </w:t>
      </w:r>
      <w:r w:rsidRPr="009177E3">
        <w:t xml:space="preserve">sets out </w:t>
      </w:r>
      <w:r>
        <w:t>our</w:t>
      </w:r>
      <w:r w:rsidRPr="009177E3">
        <w:t xml:space="preserve"> approach </w:t>
      </w:r>
      <w:r>
        <w:t>for estimating</w:t>
      </w:r>
      <w:r w:rsidRPr="009177E3">
        <w:t xml:space="preserve"> the </w:t>
      </w:r>
      <w:r>
        <w:t xml:space="preserve">rate of return, including the components of the </w:t>
      </w:r>
      <w:r w:rsidRPr="009177E3">
        <w:t>return on debt, return on equity and the value of imputation credits (gamma). Estimation of the rate of return is complex and the rate of return is a significant driver of</w:t>
      </w:r>
      <w:r>
        <w:t xml:space="preserve"> regulated revenue for energy networks.  </w:t>
      </w:r>
    </w:p>
    <w:p w:rsidR="00A339A3" w:rsidRDefault="00A339A3" w:rsidP="00A339A3">
      <w:r w:rsidRPr="00FE4C49">
        <w:t>A good estimate of the rate of return is necessary to promote efficient prices in the long term interests of consumers. If the rate of return is set too low, the network business may not be able to attract sufficient funds to be able to make the required investments in the network and reliability may decline. Alternatively, if the rate of return of return is set too high, the network business may seek to spend too much and consumers will pay inefficiently high prices.</w:t>
      </w:r>
    </w:p>
    <w:p w:rsidR="00A339A3" w:rsidRDefault="00A339A3" w:rsidP="00A339A3">
      <w:r>
        <w:t>While the G</w:t>
      </w:r>
      <w:r w:rsidRPr="009177E3">
        <w:t>uideline</w:t>
      </w:r>
      <w:r>
        <w:t xml:space="preserve"> is </w:t>
      </w:r>
      <w:r w:rsidRPr="009177E3">
        <w:t>currently not binding on how we make rate of return decisions, it should provide a high degree of certainty and transparency for stakeholders.</w:t>
      </w:r>
      <w:r>
        <w:t xml:space="preserve"> However, we note that the </w:t>
      </w:r>
      <w:proofErr w:type="spellStart"/>
      <w:r>
        <w:t>CoAG</w:t>
      </w:r>
      <w:proofErr w:type="spellEnd"/>
      <w:r>
        <w:t xml:space="preserve"> Energy Council has signalled its intention to introduce legislation to make the Guideline binding on both the energy networks we regulate and us.</w:t>
      </w:r>
      <w:r>
        <w:rPr>
          <w:rStyle w:val="FootnoteReference"/>
        </w:rPr>
        <w:footnoteReference w:id="4"/>
      </w:r>
    </w:p>
    <w:p w:rsidR="00A339A3" w:rsidRPr="00FB28FA" w:rsidRDefault="00A339A3" w:rsidP="00885C31">
      <w:pPr>
        <w:pStyle w:val="Heading2"/>
      </w:pPr>
      <w:bookmarkStart w:id="8" w:name="_Toc497741552"/>
      <w:r w:rsidRPr="00FB28FA">
        <w:t>About the Guideline review</w:t>
      </w:r>
      <w:bookmarkEnd w:id="8"/>
    </w:p>
    <w:p w:rsidR="00A339A3" w:rsidRPr="009177E3" w:rsidRDefault="00A339A3" w:rsidP="00A339A3">
      <w:r>
        <w:t>Under the national gas and electricity rules</w:t>
      </w:r>
      <w:r w:rsidRPr="009177E3">
        <w:t xml:space="preserve">, we </w:t>
      </w:r>
      <w:r>
        <w:t xml:space="preserve">must </w:t>
      </w:r>
      <w:r w:rsidRPr="009177E3">
        <w:t xml:space="preserve">review the </w:t>
      </w:r>
      <w:r>
        <w:t>Guideline</w:t>
      </w:r>
      <w:r w:rsidRPr="009177E3">
        <w:t xml:space="preserve"> within five years of </w:t>
      </w:r>
      <w:r>
        <w:t>its first publication</w:t>
      </w:r>
      <w:r w:rsidRPr="009177E3">
        <w:t>.</w:t>
      </w:r>
      <w:r w:rsidRPr="009177E3">
        <w:rPr>
          <w:rStyle w:val="FootnoteReference"/>
        </w:rPr>
        <w:footnoteReference w:id="5"/>
      </w:r>
      <w:r w:rsidRPr="00E504A7">
        <w:t xml:space="preserve"> </w:t>
      </w:r>
      <w:r>
        <w:t>As such, we will complete the Guideline review by 17 December 2018.</w:t>
      </w:r>
    </w:p>
    <w:p w:rsidR="00A339A3" w:rsidRDefault="00A339A3" w:rsidP="00A339A3">
      <w:r w:rsidRPr="009177E3">
        <w:lastRenderedPageBreak/>
        <w:t xml:space="preserve">This </w:t>
      </w:r>
      <w:r w:rsidR="009A222A">
        <w:t>positions</w:t>
      </w:r>
      <w:r>
        <w:t xml:space="preserve"> paper is an important part of the Guideline</w:t>
      </w:r>
      <w:r w:rsidRPr="009177E3">
        <w:t xml:space="preserve"> review. </w:t>
      </w:r>
      <w:r>
        <w:t xml:space="preserve">It follows a consultation paper we published in July 2017, which sought views on how we can make </w:t>
      </w:r>
      <w:r w:rsidRPr="009177E3">
        <w:t xml:space="preserve">our </w:t>
      </w:r>
      <w:r>
        <w:t>Guideline</w:t>
      </w:r>
      <w:r w:rsidRPr="009177E3">
        <w:t xml:space="preserve"> review process more accessible, transparent and collaborative</w:t>
      </w:r>
      <w:r>
        <w:t xml:space="preserve">. </w:t>
      </w:r>
    </w:p>
    <w:p w:rsidR="00A339A3" w:rsidRDefault="00A339A3" w:rsidP="00A339A3">
      <w:r>
        <w:t xml:space="preserve">Having considered the Rules, feedback on our consultation paper and feedback from our pre-issues paper forum, we have developed the Guideline review process set out in </w:t>
      </w:r>
      <w:r>
        <w:fldChar w:fldCharType="begin"/>
      </w:r>
      <w:r>
        <w:instrText xml:space="preserve"> REF  _Ref485035357 \* Lower \h </w:instrText>
      </w:r>
      <w:r>
        <w:fldChar w:fldCharType="separate"/>
      </w:r>
      <w:r w:rsidRPr="009177E3">
        <w:t xml:space="preserve">table </w:t>
      </w:r>
      <w:r>
        <w:rPr>
          <w:noProof/>
        </w:rPr>
        <w:t>1</w:t>
      </w:r>
      <w:r>
        <w:fldChar w:fldCharType="end"/>
      </w:r>
      <w:r>
        <w:t>. Details on these further considerations are set out in our consultation paper.</w:t>
      </w:r>
      <w:r>
        <w:rPr>
          <w:rStyle w:val="FootnoteReference"/>
        </w:rPr>
        <w:footnoteReference w:id="6"/>
      </w:r>
      <w:r>
        <w:t xml:space="preserve">  </w:t>
      </w:r>
    </w:p>
    <w:p w:rsidR="00A339A3" w:rsidRPr="009177E3" w:rsidRDefault="00A339A3" w:rsidP="00A339A3">
      <w:pPr>
        <w:pStyle w:val="Caption"/>
      </w:pPr>
      <w:r w:rsidRPr="009177E3">
        <w:t xml:space="preserve">Table </w:t>
      </w:r>
      <w:r w:rsidR="00E07C46">
        <w:fldChar w:fldCharType="begin"/>
      </w:r>
      <w:r w:rsidR="00E07C46">
        <w:instrText xml:space="preserve"> SEQ Table \* ARABIC </w:instrText>
      </w:r>
      <w:r w:rsidR="00E07C46">
        <w:fldChar w:fldCharType="separate"/>
      </w:r>
      <w:r w:rsidR="00626AD1">
        <w:rPr>
          <w:noProof/>
        </w:rPr>
        <w:t>1</w:t>
      </w:r>
      <w:r w:rsidR="00E07C46">
        <w:rPr>
          <w:noProof/>
        </w:rPr>
        <w:fldChar w:fldCharType="end"/>
      </w:r>
      <w:r>
        <w:tab/>
      </w:r>
      <w:r w:rsidR="00642896">
        <w:tab/>
      </w:r>
      <w:r>
        <w:t>Indicative timeline for the G</w:t>
      </w:r>
      <w:r w:rsidRPr="009177E3">
        <w:t>uideline review process</w:t>
      </w:r>
    </w:p>
    <w:tbl>
      <w:tblPr>
        <w:tblStyle w:val="AERtable-text0"/>
        <w:tblW w:w="0" w:type="auto"/>
        <w:tblLook w:val="04A0" w:firstRow="1" w:lastRow="0" w:firstColumn="1" w:lastColumn="0" w:noHBand="0" w:noVBand="1"/>
      </w:tblPr>
      <w:tblGrid>
        <w:gridCol w:w="4346"/>
        <w:gridCol w:w="4347"/>
      </w:tblGrid>
      <w:tr w:rsidR="00A339A3" w:rsidRPr="009623C5" w:rsidTr="004315A9">
        <w:trPr>
          <w:cnfStyle w:val="100000000000" w:firstRow="1" w:lastRow="0" w:firstColumn="0" w:lastColumn="0" w:oddVBand="0" w:evenVBand="0" w:oddHBand="0" w:evenHBand="0" w:firstRowFirstColumn="0" w:firstRowLastColumn="0" w:lastRowFirstColumn="0" w:lastRowLastColumn="0"/>
        </w:trPr>
        <w:tc>
          <w:tcPr>
            <w:tcW w:w="4346" w:type="dxa"/>
          </w:tcPr>
          <w:p w:rsidR="00A339A3" w:rsidRPr="009177E3" w:rsidRDefault="00A339A3" w:rsidP="004315A9">
            <w:r w:rsidRPr="009177E3">
              <w:t>Date</w:t>
            </w:r>
          </w:p>
        </w:tc>
        <w:tc>
          <w:tcPr>
            <w:tcW w:w="4347" w:type="dxa"/>
          </w:tcPr>
          <w:p w:rsidR="00A339A3" w:rsidRPr="009177E3" w:rsidRDefault="00A339A3" w:rsidP="004315A9">
            <w:r w:rsidRPr="009177E3">
              <w:t>Milestone</w:t>
            </w:r>
          </w:p>
        </w:tc>
      </w:tr>
      <w:tr w:rsidR="00A339A3" w:rsidRPr="009623C5" w:rsidTr="004315A9">
        <w:tc>
          <w:tcPr>
            <w:tcW w:w="4346" w:type="dxa"/>
          </w:tcPr>
          <w:p w:rsidR="00A339A3" w:rsidRPr="009177E3" w:rsidRDefault="00A339A3" w:rsidP="004315A9">
            <w:r w:rsidRPr="009177E3">
              <w:t>July 2017</w:t>
            </w:r>
          </w:p>
        </w:tc>
        <w:tc>
          <w:tcPr>
            <w:tcW w:w="4347" w:type="dxa"/>
          </w:tcPr>
          <w:p w:rsidR="00A339A3" w:rsidRPr="009177E3" w:rsidRDefault="00A339A3" w:rsidP="004315A9">
            <w:r w:rsidRPr="009177E3">
              <w:t>Review process consultation paper</w:t>
            </w:r>
          </w:p>
        </w:tc>
      </w:tr>
      <w:tr w:rsidR="00A339A3" w:rsidRPr="009623C5" w:rsidTr="004315A9">
        <w:trPr>
          <w:cnfStyle w:val="000000010000" w:firstRow="0" w:lastRow="0" w:firstColumn="0" w:lastColumn="0" w:oddVBand="0" w:evenVBand="0" w:oddHBand="0" w:evenHBand="1" w:firstRowFirstColumn="0" w:firstRowLastColumn="0" w:lastRowFirstColumn="0" w:lastRowLastColumn="0"/>
        </w:trPr>
        <w:tc>
          <w:tcPr>
            <w:tcW w:w="4346" w:type="dxa"/>
          </w:tcPr>
          <w:p w:rsidR="00A339A3" w:rsidRPr="009177E3" w:rsidRDefault="00A339A3" w:rsidP="004315A9">
            <w:r w:rsidRPr="009177E3">
              <w:t>October 2017</w:t>
            </w:r>
          </w:p>
        </w:tc>
        <w:tc>
          <w:tcPr>
            <w:tcW w:w="4347" w:type="dxa"/>
          </w:tcPr>
          <w:p w:rsidR="00A339A3" w:rsidRPr="009177E3" w:rsidRDefault="00A339A3" w:rsidP="004315A9">
            <w:r w:rsidRPr="009177E3">
              <w:t>Issues paper</w:t>
            </w:r>
          </w:p>
        </w:tc>
      </w:tr>
      <w:tr w:rsidR="00626AD1" w:rsidRPr="009623C5" w:rsidTr="004315A9">
        <w:tc>
          <w:tcPr>
            <w:tcW w:w="4346" w:type="dxa"/>
          </w:tcPr>
          <w:p w:rsidR="00626AD1" w:rsidRPr="009177E3" w:rsidRDefault="00626AD1" w:rsidP="004315A9">
            <w:r>
              <w:t>November 2017</w:t>
            </w:r>
          </w:p>
        </w:tc>
        <w:tc>
          <w:tcPr>
            <w:tcW w:w="4347" w:type="dxa"/>
          </w:tcPr>
          <w:p w:rsidR="00626AD1" w:rsidRPr="009177E3" w:rsidRDefault="00626AD1" w:rsidP="004315A9">
            <w:r>
              <w:t>Positions paper- process</w:t>
            </w:r>
          </w:p>
        </w:tc>
      </w:tr>
      <w:tr w:rsidR="00A339A3" w:rsidRPr="009623C5" w:rsidTr="004315A9">
        <w:trPr>
          <w:cnfStyle w:val="000000010000" w:firstRow="0" w:lastRow="0" w:firstColumn="0" w:lastColumn="0" w:oddVBand="0" w:evenVBand="0" w:oddHBand="0" w:evenHBand="1" w:firstRowFirstColumn="0" w:firstRowLastColumn="0" w:lastRowFirstColumn="0" w:lastRowLastColumn="0"/>
        </w:trPr>
        <w:tc>
          <w:tcPr>
            <w:tcW w:w="4346" w:type="dxa"/>
          </w:tcPr>
          <w:p w:rsidR="00A339A3" w:rsidRPr="009177E3" w:rsidRDefault="00A339A3" w:rsidP="004315A9">
            <w:r w:rsidRPr="009177E3">
              <w:t>November 2017 – December 2017</w:t>
            </w:r>
          </w:p>
        </w:tc>
        <w:tc>
          <w:tcPr>
            <w:tcW w:w="4347" w:type="dxa"/>
          </w:tcPr>
          <w:p w:rsidR="00A339A3" w:rsidRPr="009177E3" w:rsidRDefault="00A339A3" w:rsidP="004315A9">
            <w:r w:rsidRPr="009177E3">
              <w:t>Submissions on issues paper</w:t>
            </w:r>
          </w:p>
        </w:tc>
      </w:tr>
      <w:tr w:rsidR="00A339A3" w:rsidRPr="009623C5" w:rsidTr="004315A9">
        <w:tc>
          <w:tcPr>
            <w:tcW w:w="4346" w:type="dxa"/>
          </w:tcPr>
          <w:p w:rsidR="00A339A3" w:rsidRPr="009177E3" w:rsidRDefault="00A339A3" w:rsidP="004315A9">
            <w:r>
              <w:t>March 201</w:t>
            </w:r>
            <w:r w:rsidR="009A222A">
              <w:t>8</w:t>
            </w:r>
            <w:r w:rsidR="009E4D7D">
              <w:rPr>
                <w:rStyle w:val="FootnoteReference"/>
              </w:rPr>
              <w:footnoteReference w:id="7"/>
            </w:r>
          </w:p>
        </w:tc>
        <w:tc>
          <w:tcPr>
            <w:tcW w:w="4347" w:type="dxa"/>
          </w:tcPr>
          <w:p w:rsidR="00A339A3" w:rsidRPr="009177E3" w:rsidRDefault="00A339A3" w:rsidP="004315A9">
            <w:r>
              <w:t>Concurrent evidence</w:t>
            </w:r>
            <w:r w:rsidRPr="009177E3">
              <w:t xml:space="preserve"> sessions</w:t>
            </w:r>
          </w:p>
        </w:tc>
      </w:tr>
      <w:tr w:rsidR="00A339A3" w:rsidRPr="009623C5" w:rsidTr="004315A9">
        <w:trPr>
          <w:cnfStyle w:val="000000010000" w:firstRow="0" w:lastRow="0" w:firstColumn="0" w:lastColumn="0" w:oddVBand="0" w:evenVBand="0" w:oddHBand="0" w:evenHBand="1" w:firstRowFirstColumn="0" w:firstRowLastColumn="0" w:lastRowFirstColumn="0" w:lastRowLastColumn="0"/>
        </w:trPr>
        <w:tc>
          <w:tcPr>
            <w:tcW w:w="4346" w:type="dxa"/>
          </w:tcPr>
          <w:p w:rsidR="00A339A3" w:rsidRPr="009177E3" w:rsidRDefault="00A339A3" w:rsidP="004315A9">
            <w:r w:rsidRPr="009177E3">
              <w:t>May 2018</w:t>
            </w:r>
          </w:p>
        </w:tc>
        <w:tc>
          <w:tcPr>
            <w:tcW w:w="4347" w:type="dxa"/>
          </w:tcPr>
          <w:p w:rsidR="00A339A3" w:rsidRPr="009177E3" w:rsidRDefault="00A339A3" w:rsidP="004315A9">
            <w:r>
              <w:t xml:space="preserve">Publish draft Guideline </w:t>
            </w:r>
          </w:p>
        </w:tc>
      </w:tr>
      <w:tr w:rsidR="00A339A3" w:rsidRPr="009623C5" w:rsidTr="004315A9">
        <w:tc>
          <w:tcPr>
            <w:tcW w:w="4346" w:type="dxa"/>
          </w:tcPr>
          <w:p w:rsidR="00A339A3" w:rsidRPr="009177E3" w:rsidRDefault="00A339A3" w:rsidP="004315A9">
            <w:r w:rsidRPr="009177E3">
              <w:t>June–August 2018 (approximately 10 weeks)</w:t>
            </w:r>
          </w:p>
        </w:tc>
        <w:tc>
          <w:tcPr>
            <w:tcW w:w="4347" w:type="dxa"/>
          </w:tcPr>
          <w:p w:rsidR="00A339A3" w:rsidRPr="009177E3" w:rsidRDefault="00A339A3" w:rsidP="004315A9">
            <w:r>
              <w:t>Independent</w:t>
            </w:r>
            <w:r w:rsidRPr="009177E3">
              <w:t xml:space="preserve"> panel process</w:t>
            </w:r>
          </w:p>
        </w:tc>
      </w:tr>
      <w:tr w:rsidR="00A339A3" w:rsidRPr="009623C5" w:rsidTr="004315A9">
        <w:trPr>
          <w:cnfStyle w:val="000000010000" w:firstRow="0" w:lastRow="0" w:firstColumn="0" w:lastColumn="0" w:oddVBand="0" w:evenVBand="0" w:oddHBand="0" w:evenHBand="1" w:firstRowFirstColumn="0" w:firstRowLastColumn="0" w:lastRowFirstColumn="0" w:lastRowLastColumn="0"/>
        </w:trPr>
        <w:tc>
          <w:tcPr>
            <w:tcW w:w="4346" w:type="dxa"/>
          </w:tcPr>
          <w:p w:rsidR="00A339A3" w:rsidRPr="009177E3" w:rsidRDefault="00A339A3" w:rsidP="004315A9">
            <w:r w:rsidRPr="009177E3">
              <w:t>August 2018</w:t>
            </w:r>
          </w:p>
        </w:tc>
        <w:tc>
          <w:tcPr>
            <w:tcW w:w="4347" w:type="dxa"/>
          </w:tcPr>
          <w:p w:rsidR="00A339A3" w:rsidRPr="009177E3" w:rsidRDefault="00A339A3" w:rsidP="004315A9">
            <w:r>
              <w:t>Submissions on draft G</w:t>
            </w:r>
            <w:r w:rsidRPr="009177E3">
              <w:t>uideline</w:t>
            </w:r>
          </w:p>
        </w:tc>
      </w:tr>
      <w:tr w:rsidR="00A339A3" w:rsidRPr="009623C5" w:rsidTr="004315A9">
        <w:tc>
          <w:tcPr>
            <w:tcW w:w="4346" w:type="dxa"/>
          </w:tcPr>
          <w:p w:rsidR="00A339A3" w:rsidRPr="009177E3" w:rsidRDefault="00A339A3" w:rsidP="004315A9">
            <w:r w:rsidRPr="009177E3">
              <w:t>17 December 2018</w:t>
            </w:r>
            <w:r w:rsidRPr="009177E3">
              <w:rPr>
                <w:rStyle w:val="FootnoteReference"/>
              </w:rPr>
              <w:footnoteReference w:id="8"/>
            </w:r>
          </w:p>
        </w:tc>
        <w:tc>
          <w:tcPr>
            <w:tcW w:w="4347" w:type="dxa"/>
          </w:tcPr>
          <w:p w:rsidR="00A339A3" w:rsidRPr="009177E3" w:rsidRDefault="00A339A3" w:rsidP="004315A9">
            <w:r>
              <w:t>Publish final Guideline</w:t>
            </w:r>
          </w:p>
        </w:tc>
      </w:tr>
    </w:tbl>
    <w:p w:rsidR="00A339A3" w:rsidRDefault="00A339A3" w:rsidP="00A339A3">
      <w:r>
        <w:fldChar w:fldCharType="begin"/>
      </w:r>
      <w:r>
        <w:instrText xml:space="preserve"> REF _Ref488826697 \h </w:instrText>
      </w:r>
      <w:r>
        <w:fldChar w:fldCharType="separate"/>
      </w:r>
      <w:r w:rsidRPr="009177E3">
        <w:t xml:space="preserve">Table </w:t>
      </w:r>
      <w:r>
        <w:rPr>
          <w:noProof/>
        </w:rPr>
        <w:t>2</w:t>
      </w:r>
      <w:r>
        <w:fldChar w:fldCharType="end"/>
      </w:r>
      <w:r>
        <w:t xml:space="preserve"> outlines how the Guideline will apply to our ongoing and upcoming regulatory determinations, based on</w:t>
      </w:r>
      <w:r w:rsidRPr="009177E3">
        <w:t xml:space="preserve"> the current legislative framework</w:t>
      </w:r>
      <w:r>
        <w:t xml:space="preserve"> (including relevant transitional provisions). However, we note that there may be </w:t>
      </w:r>
      <w:r w:rsidRPr="009177E3">
        <w:t>changes to relevant leg</w:t>
      </w:r>
      <w:r>
        <w:t>islation and rules that will affect</w:t>
      </w:r>
      <w:r w:rsidRPr="009177E3">
        <w:t xml:space="preserve"> the </w:t>
      </w:r>
      <w:r>
        <w:t xml:space="preserve">timings in </w:t>
      </w:r>
      <w:r>
        <w:fldChar w:fldCharType="begin"/>
      </w:r>
      <w:r>
        <w:instrText xml:space="preserve"> REF  _Ref488826697 \* Lower \h </w:instrText>
      </w:r>
      <w:r>
        <w:fldChar w:fldCharType="separate"/>
      </w:r>
      <w:r w:rsidRPr="009177E3">
        <w:t xml:space="preserve">table </w:t>
      </w:r>
      <w:r>
        <w:rPr>
          <w:noProof/>
        </w:rPr>
        <w:t>2</w:t>
      </w:r>
      <w:r>
        <w:fldChar w:fldCharType="end"/>
      </w:r>
      <w:r>
        <w:t xml:space="preserve"> (see section </w:t>
      </w:r>
      <w:r>
        <w:fldChar w:fldCharType="begin"/>
      </w:r>
      <w:r>
        <w:instrText xml:space="preserve"> REF _Ref496094423 \r \h </w:instrText>
      </w:r>
      <w:r>
        <w:fldChar w:fldCharType="separate"/>
      </w:r>
      <w:r>
        <w:t>2.2</w:t>
      </w:r>
      <w:r>
        <w:fldChar w:fldCharType="end"/>
      </w:r>
      <w:r>
        <w:t xml:space="preserve">). </w:t>
      </w:r>
    </w:p>
    <w:p w:rsidR="00A339A3" w:rsidRPr="009177E3" w:rsidRDefault="00A339A3" w:rsidP="00642896">
      <w:pPr>
        <w:pStyle w:val="Caption"/>
        <w:ind w:left="1360" w:hanging="1360"/>
      </w:pPr>
      <w:r w:rsidRPr="009177E3">
        <w:t xml:space="preserve">Table </w:t>
      </w:r>
      <w:r w:rsidR="00E07C46">
        <w:fldChar w:fldCharType="begin"/>
      </w:r>
      <w:r w:rsidR="00E07C46">
        <w:instrText xml:space="preserve"> SEQ Table \* ARABIC </w:instrText>
      </w:r>
      <w:r w:rsidR="00E07C46">
        <w:fldChar w:fldCharType="separate"/>
      </w:r>
      <w:r w:rsidR="00626AD1">
        <w:rPr>
          <w:noProof/>
        </w:rPr>
        <w:t>2</w:t>
      </w:r>
      <w:r w:rsidR="00E07C46">
        <w:rPr>
          <w:noProof/>
        </w:rPr>
        <w:fldChar w:fldCharType="end"/>
      </w:r>
      <w:r w:rsidRPr="009177E3">
        <w:tab/>
      </w:r>
      <w:r>
        <w:t>Current application of the G</w:t>
      </w:r>
      <w:r w:rsidRPr="009177E3">
        <w:t xml:space="preserve">uideline </w:t>
      </w:r>
      <w:r>
        <w:t>to regulatory determinations</w:t>
      </w:r>
    </w:p>
    <w:tbl>
      <w:tblPr>
        <w:tblStyle w:val="AERtable-text0"/>
        <w:tblW w:w="5000" w:type="pct"/>
        <w:tblLook w:val="04A0" w:firstRow="1" w:lastRow="0" w:firstColumn="1" w:lastColumn="0" w:noHBand="0" w:noVBand="1"/>
      </w:tblPr>
      <w:tblGrid>
        <w:gridCol w:w="3794"/>
        <w:gridCol w:w="4899"/>
      </w:tblGrid>
      <w:tr w:rsidR="00A339A3" w:rsidTr="004315A9">
        <w:trPr>
          <w:cnfStyle w:val="100000000000" w:firstRow="1" w:lastRow="0" w:firstColumn="0" w:lastColumn="0" w:oddVBand="0" w:evenVBand="0" w:oddHBand="0" w:evenHBand="0" w:firstRowFirstColumn="0" w:firstRowLastColumn="0" w:lastRowFirstColumn="0" w:lastRowLastColumn="0"/>
        </w:trPr>
        <w:tc>
          <w:tcPr>
            <w:tcW w:w="2182" w:type="pct"/>
          </w:tcPr>
          <w:p w:rsidR="00A339A3" w:rsidRDefault="00A339A3" w:rsidP="004315A9">
            <w:r>
              <w:t>Applicable Guideline</w:t>
            </w:r>
          </w:p>
        </w:tc>
        <w:tc>
          <w:tcPr>
            <w:tcW w:w="2818" w:type="pct"/>
          </w:tcPr>
          <w:p w:rsidR="00A339A3" w:rsidRDefault="00A339A3" w:rsidP="004315A9">
            <w:r>
              <w:t>Regulatory determinations</w:t>
            </w:r>
          </w:p>
        </w:tc>
      </w:tr>
      <w:tr w:rsidR="00A339A3" w:rsidTr="004315A9">
        <w:tc>
          <w:tcPr>
            <w:tcW w:w="2182" w:type="pct"/>
          </w:tcPr>
          <w:p w:rsidR="00A339A3" w:rsidRDefault="00A339A3" w:rsidP="004315A9">
            <w:r>
              <w:t xml:space="preserve">2013 Guideline </w:t>
            </w:r>
          </w:p>
        </w:tc>
        <w:tc>
          <w:tcPr>
            <w:tcW w:w="2818" w:type="pct"/>
          </w:tcPr>
          <w:p w:rsidR="00A339A3" w:rsidRDefault="00A339A3" w:rsidP="00A339A3">
            <w:pPr>
              <w:pStyle w:val="AERbulletlistfirststyle"/>
              <w:ind w:left="357" w:hanging="357"/>
            </w:pPr>
            <w:r>
              <w:t xml:space="preserve">AusNet Services, AGN, </w:t>
            </w:r>
            <w:proofErr w:type="spellStart"/>
            <w:r>
              <w:t>MultiNet</w:t>
            </w:r>
            <w:proofErr w:type="spellEnd"/>
            <w:r>
              <w:t xml:space="preserve">, APAVTS 2018-22 access arrangements </w:t>
            </w:r>
          </w:p>
          <w:p w:rsidR="00A339A3" w:rsidRDefault="00A339A3" w:rsidP="00A339A3">
            <w:pPr>
              <w:pStyle w:val="AERbulletlistfirststyle"/>
              <w:ind w:left="357" w:hanging="357"/>
            </w:pPr>
            <w:proofErr w:type="spellStart"/>
            <w:r>
              <w:t>ElectraNet</w:t>
            </w:r>
            <w:proofErr w:type="spellEnd"/>
            <w:r>
              <w:t xml:space="preserve">, </w:t>
            </w:r>
            <w:proofErr w:type="spellStart"/>
            <w:r>
              <w:t>Murraylink</w:t>
            </w:r>
            <w:proofErr w:type="spellEnd"/>
            <w:r>
              <w:t xml:space="preserve">, </w:t>
            </w:r>
            <w:proofErr w:type="spellStart"/>
            <w:r>
              <w:t>TransGrid</w:t>
            </w:r>
            <w:proofErr w:type="spellEnd"/>
            <w:r>
              <w:t xml:space="preserve"> 2018-23 transmission determinations </w:t>
            </w:r>
          </w:p>
          <w:p w:rsidR="00A339A3" w:rsidRDefault="00A339A3" w:rsidP="00A339A3">
            <w:pPr>
              <w:pStyle w:val="AERbulletlistfirststyle"/>
              <w:ind w:left="357" w:hanging="357"/>
            </w:pPr>
            <w:proofErr w:type="spellStart"/>
            <w:r>
              <w:t>Ausgrid</w:t>
            </w:r>
            <w:proofErr w:type="spellEnd"/>
            <w:r>
              <w:t xml:space="preserve">, Endeavour Energy, Essential Energy, </w:t>
            </w:r>
            <w:proofErr w:type="spellStart"/>
            <w:r>
              <w:t>ActewAGL</w:t>
            </w:r>
            <w:proofErr w:type="spellEnd"/>
            <w:r>
              <w:t xml:space="preserve">, NT Power and Water 2019-24 distribution determinations </w:t>
            </w:r>
          </w:p>
          <w:p w:rsidR="00A339A3" w:rsidRDefault="00A339A3" w:rsidP="00A339A3">
            <w:pPr>
              <w:pStyle w:val="AERbulletlistfirststyle"/>
              <w:ind w:left="357" w:hanging="357"/>
            </w:pPr>
            <w:proofErr w:type="spellStart"/>
            <w:r w:rsidRPr="002C567F">
              <w:lastRenderedPageBreak/>
              <w:t>TasNetworks</w:t>
            </w:r>
            <w:proofErr w:type="spellEnd"/>
            <w:r>
              <w:t xml:space="preserve"> 20</w:t>
            </w:r>
            <w:r w:rsidRPr="002C567F">
              <w:t xml:space="preserve">19-24 transmission determination </w:t>
            </w:r>
          </w:p>
        </w:tc>
      </w:tr>
      <w:tr w:rsidR="00A339A3" w:rsidTr="004315A9">
        <w:trPr>
          <w:cnfStyle w:val="000000010000" w:firstRow="0" w:lastRow="0" w:firstColumn="0" w:lastColumn="0" w:oddVBand="0" w:evenVBand="0" w:oddHBand="0" w:evenHBand="1" w:firstRowFirstColumn="0" w:firstRowLastColumn="0" w:lastRowFirstColumn="0" w:lastRowLastColumn="0"/>
        </w:trPr>
        <w:tc>
          <w:tcPr>
            <w:tcW w:w="2182" w:type="pct"/>
          </w:tcPr>
          <w:p w:rsidR="00A339A3" w:rsidRPr="00922E05" w:rsidRDefault="00A339A3" w:rsidP="004315A9">
            <w:r>
              <w:lastRenderedPageBreak/>
              <w:t>If a potential rule change is made, the 2013 Guideline.</w:t>
            </w:r>
            <w:r>
              <w:rPr>
                <w:rStyle w:val="FootnoteReference"/>
              </w:rPr>
              <w:footnoteReference w:id="9"/>
            </w:r>
            <w:r>
              <w:t xml:space="preserve"> If not, the </w:t>
            </w:r>
            <w:r w:rsidRPr="0034660E">
              <w:t xml:space="preserve">2018 Guideline </w:t>
            </w:r>
            <w:r>
              <w:t>will only apply to the final decision.</w:t>
            </w:r>
          </w:p>
        </w:tc>
        <w:tc>
          <w:tcPr>
            <w:tcW w:w="2818" w:type="pct"/>
          </w:tcPr>
          <w:p w:rsidR="00A339A3" w:rsidRDefault="00A339A3" w:rsidP="004315A9">
            <w:proofErr w:type="spellStart"/>
            <w:r w:rsidRPr="002C567F">
              <w:t>TasNetworks</w:t>
            </w:r>
            <w:proofErr w:type="spellEnd"/>
            <w:r>
              <w:t xml:space="preserve"> 2019-24 distribution determinations </w:t>
            </w:r>
          </w:p>
        </w:tc>
      </w:tr>
      <w:tr w:rsidR="00A339A3" w:rsidTr="004315A9">
        <w:tc>
          <w:tcPr>
            <w:tcW w:w="2182" w:type="pct"/>
          </w:tcPr>
          <w:p w:rsidR="00A339A3" w:rsidRPr="002C567F" w:rsidRDefault="00A339A3" w:rsidP="004315A9">
            <w:r>
              <w:t>2013 Guideline applies to initial access arrangement proposal, but the 2018 Guideline applies thereafter</w:t>
            </w:r>
          </w:p>
        </w:tc>
        <w:tc>
          <w:tcPr>
            <w:tcW w:w="2818" w:type="pct"/>
          </w:tcPr>
          <w:p w:rsidR="00A339A3" w:rsidRDefault="00A339A3" w:rsidP="004315A9">
            <w:r>
              <w:t>Central Ranges Pipeline 2019-24 access arrangement</w:t>
            </w:r>
          </w:p>
        </w:tc>
      </w:tr>
      <w:tr w:rsidR="00A339A3" w:rsidTr="004315A9">
        <w:trPr>
          <w:cnfStyle w:val="000000010000" w:firstRow="0" w:lastRow="0" w:firstColumn="0" w:lastColumn="0" w:oddVBand="0" w:evenVBand="0" w:oddHBand="0" w:evenHBand="1" w:firstRowFirstColumn="0" w:firstRowLastColumn="0" w:lastRowFirstColumn="0" w:lastRowLastColumn="0"/>
        </w:trPr>
        <w:tc>
          <w:tcPr>
            <w:tcW w:w="2182" w:type="pct"/>
          </w:tcPr>
          <w:p w:rsidR="00A339A3" w:rsidRPr="002C567F" w:rsidRDefault="00A339A3" w:rsidP="004315A9">
            <w:r>
              <w:t xml:space="preserve">2018 Guideline </w:t>
            </w:r>
          </w:p>
        </w:tc>
        <w:tc>
          <w:tcPr>
            <w:tcW w:w="2818" w:type="pct"/>
          </w:tcPr>
          <w:p w:rsidR="00A339A3" w:rsidRDefault="00A339A3" w:rsidP="00A339A3">
            <w:pPr>
              <w:pStyle w:val="AERbulletlistfirststyle"/>
              <w:ind w:left="357" w:hanging="357"/>
            </w:pPr>
            <w:proofErr w:type="spellStart"/>
            <w:r w:rsidRPr="002C567F">
              <w:t>Directlink</w:t>
            </w:r>
            <w:proofErr w:type="spellEnd"/>
            <w:r>
              <w:t xml:space="preserve"> 20</w:t>
            </w:r>
            <w:r w:rsidRPr="002C567F">
              <w:t>20-25</w:t>
            </w:r>
            <w:r>
              <w:t xml:space="preserve"> transmission determination </w:t>
            </w:r>
          </w:p>
          <w:p w:rsidR="00A339A3" w:rsidRDefault="00A339A3" w:rsidP="00A339A3">
            <w:pPr>
              <w:pStyle w:val="AERbulletlistfirststyle"/>
              <w:ind w:left="357" w:hanging="357"/>
            </w:pPr>
            <w:r>
              <w:t>SA Power Networks, Energex,</w:t>
            </w:r>
            <w:r w:rsidRPr="002C567F">
              <w:t xml:space="preserve"> Ergon Energy</w:t>
            </w:r>
            <w:r>
              <w:t xml:space="preserve"> 2020-25 </w:t>
            </w:r>
            <w:r w:rsidRPr="002C567F">
              <w:t>distributio</w:t>
            </w:r>
            <w:r>
              <w:t>n determinations</w:t>
            </w:r>
          </w:p>
          <w:p w:rsidR="00A339A3" w:rsidRDefault="00A339A3" w:rsidP="00A339A3">
            <w:pPr>
              <w:pStyle w:val="AERbulletlistfirststyle"/>
              <w:ind w:left="357" w:hanging="357"/>
            </w:pPr>
            <w:r w:rsidRPr="002C567F">
              <w:t>Jemena Gas Networks</w:t>
            </w:r>
            <w:r>
              <w:t xml:space="preserve"> 2020-25 access arrangement </w:t>
            </w:r>
          </w:p>
          <w:p w:rsidR="00A339A3" w:rsidRDefault="00A339A3" w:rsidP="00A339A3">
            <w:pPr>
              <w:pStyle w:val="AERbulletlistfirststyle"/>
              <w:ind w:left="357" w:hanging="357"/>
            </w:pPr>
            <w:r w:rsidRPr="002C567F">
              <w:t xml:space="preserve">AusNet Services, CitiPower, Jemena Electricity Networks, </w:t>
            </w:r>
            <w:proofErr w:type="spellStart"/>
            <w:r w:rsidRPr="002C567F">
              <w:t>Powercor</w:t>
            </w:r>
            <w:proofErr w:type="spellEnd"/>
            <w:r w:rsidRPr="002C567F">
              <w:t>, United Energy</w:t>
            </w:r>
            <w:r>
              <w:t xml:space="preserve"> 2021-25</w:t>
            </w:r>
            <w:r w:rsidRPr="002C567F">
              <w:t xml:space="preserve"> distribution determinations </w:t>
            </w:r>
          </w:p>
        </w:tc>
      </w:tr>
    </w:tbl>
    <w:p w:rsidR="00A339A3" w:rsidRDefault="00A339A3" w:rsidP="00A339A3">
      <w:pPr>
        <w:pStyle w:val="AERtablesource"/>
      </w:pPr>
      <w:r>
        <w:t xml:space="preserve">Source: </w:t>
      </w:r>
      <w:r>
        <w:tab/>
        <w:t>NER, clauses 6.5.2(p</w:t>
      </w:r>
      <w:proofErr w:type="gramStart"/>
      <w:r>
        <w:t>)(</w:t>
      </w:r>
      <w:proofErr w:type="gramEnd"/>
      <w:r>
        <w:t>1), 6A.6.2(p)(1), and Part ZZU; NGR, sub-rule 87(16)(a).</w:t>
      </w:r>
    </w:p>
    <w:p w:rsidR="00A339A3" w:rsidRDefault="00A339A3" w:rsidP="00A339A3">
      <w:pPr>
        <w:pStyle w:val="AERtablesource"/>
      </w:pPr>
      <w:r>
        <w:tab/>
        <w:t xml:space="preserve">See also </w:t>
      </w:r>
      <w:r w:rsidRPr="001602BC">
        <w:rPr>
          <w:rStyle w:val="AERtextitalic"/>
        </w:rPr>
        <w:t>AEMC National Electricity Amendment (Rate of Return Guidelines Review) Rule 2016 No. 9</w:t>
      </w:r>
      <w:r>
        <w:t xml:space="preserve">, and </w:t>
      </w:r>
      <w:r w:rsidRPr="001602BC">
        <w:rPr>
          <w:rStyle w:val="AERtextitalic"/>
        </w:rPr>
        <w:t>AEMC National Gas Amendment (Rate of Return Guidelines Review) Rule 2016 No. 2</w:t>
      </w:r>
      <w:r>
        <w:t xml:space="preserve"> (Commenced 20 October 2016).</w:t>
      </w:r>
    </w:p>
    <w:p w:rsidR="00A339A3" w:rsidRDefault="00A339A3" w:rsidP="00885C31">
      <w:pPr>
        <w:pStyle w:val="Heading2"/>
      </w:pPr>
      <w:bookmarkStart w:id="9" w:name="_Ref496094423"/>
      <w:bookmarkStart w:id="10" w:name="_Toc497741553"/>
      <w:r>
        <w:t>Framework changes</w:t>
      </w:r>
      <w:bookmarkEnd w:id="9"/>
      <w:bookmarkEnd w:id="10"/>
    </w:p>
    <w:p w:rsidR="00A339A3" w:rsidRDefault="00A339A3" w:rsidP="00A339A3">
      <w:pPr>
        <w:pStyle w:val="AERbulletlistfirststyle"/>
        <w:numPr>
          <w:ilvl w:val="0"/>
          <w:numId w:val="0"/>
        </w:numPr>
      </w:pPr>
      <w:r>
        <w:t>The COAG Energy Council Senior Committee of Officials (SCO) recently published a bulletin clarifying its expectation that this Guideline review process will ultimately serve as the basis for a binding rate of return instrument.</w:t>
      </w:r>
      <w:r>
        <w:rPr>
          <w:rStyle w:val="FootnoteReference"/>
        </w:rPr>
        <w:footnoteReference w:id="10"/>
      </w:r>
    </w:p>
    <w:p w:rsidR="00A339A3" w:rsidRDefault="00A339A3" w:rsidP="00A339A3">
      <w:r>
        <w:t xml:space="preserve">This will require some changes to the current rules frameworks for estimating the allowed rate of return, as </w:t>
      </w:r>
      <w:r w:rsidR="00117A1D">
        <w:t>the current rules</w:t>
      </w:r>
      <w:r>
        <w:t xml:space="preserve"> set out provisions for development and application of a non-binding Guideline. The timing of this process is uncertain, but we will proceed on the basis that the policy intent is to arrive at a binding rate of return instrument. Despite the uncertain timing, we note that the SCO bulletin </w:t>
      </w:r>
      <w:r w:rsidR="00360DDB">
        <w:t xml:space="preserve">states </w:t>
      </w:r>
      <w:r w:rsidR="00783552">
        <w:t>the</w:t>
      </w:r>
      <w:r w:rsidR="00626BC6">
        <w:t xml:space="preserve"> </w:t>
      </w:r>
      <w:r>
        <w:t>intention that:</w:t>
      </w:r>
    </w:p>
    <w:p w:rsidR="00A339A3" w:rsidRDefault="00A339A3" w:rsidP="00A339A3">
      <w:pPr>
        <w:pStyle w:val="AERquote"/>
      </w:pPr>
      <w:r w:rsidRPr="004C7B24">
        <w:t>Under the proposed transitional arrangements, and subject to passage of the relevant Bills, the current guideline development process, including consultation processes, will be taken to satisfy the process requirements for the first binding guideline.</w:t>
      </w:r>
    </w:p>
    <w:p w:rsidR="00A339A3" w:rsidRDefault="00A339A3" w:rsidP="00A339A3">
      <w:r>
        <w:t>We will continue to refer to the most up-to-date information about the framework that is publicly available as we proceed with the process.</w:t>
      </w:r>
    </w:p>
    <w:p w:rsidR="00A339A3" w:rsidRPr="003C0618" w:rsidRDefault="00A339A3" w:rsidP="00A339A3">
      <w:r>
        <w:lastRenderedPageBreak/>
        <w:t xml:space="preserve">Most important at this stage is that </w:t>
      </w:r>
      <w:proofErr w:type="gramStart"/>
      <w:r>
        <w:t>stakeholders</w:t>
      </w:r>
      <w:proofErr w:type="gramEnd"/>
      <w:r>
        <w:t xml:space="preserve"> approach their submissions having regard to an instrument that may be made binding and that will apply to our subsequent regulatory determinations.</w:t>
      </w:r>
    </w:p>
    <w:p w:rsidR="00B87031" w:rsidRDefault="00E47C71" w:rsidP="00E47C71">
      <w:pPr>
        <w:pStyle w:val="Heading2"/>
      </w:pPr>
      <w:bookmarkStart w:id="11" w:name="_Toc470005394"/>
      <w:bookmarkStart w:id="12" w:name="_Toc470005478"/>
      <w:bookmarkStart w:id="13" w:name="_Toc470005395"/>
      <w:bookmarkStart w:id="14" w:name="_Toc470005479"/>
      <w:bookmarkStart w:id="15" w:name="_Toc470005396"/>
      <w:bookmarkStart w:id="16" w:name="_Toc470005480"/>
      <w:bookmarkStart w:id="17" w:name="_Toc470005397"/>
      <w:bookmarkStart w:id="18" w:name="_Toc470005481"/>
      <w:bookmarkStart w:id="19" w:name="_Toc470005398"/>
      <w:bookmarkStart w:id="20" w:name="_Toc470005482"/>
      <w:bookmarkStart w:id="21" w:name="_Toc470005399"/>
      <w:bookmarkStart w:id="22" w:name="_Toc470005483"/>
      <w:bookmarkStart w:id="23" w:name="_Toc470005400"/>
      <w:bookmarkStart w:id="24" w:name="_Toc470005484"/>
      <w:bookmarkStart w:id="25" w:name="_Toc470005401"/>
      <w:bookmarkStart w:id="26" w:name="_Toc470005485"/>
      <w:bookmarkStart w:id="27" w:name="_Toc470005402"/>
      <w:bookmarkStart w:id="28" w:name="_Toc470005486"/>
      <w:bookmarkStart w:id="29" w:name="_Toc470005403"/>
      <w:bookmarkStart w:id="30" w:name="_Toc470005487"/>
      <w:bookmarkStart w:id="31" w:name="_Toc470005404"/>
      <w:bookmarkStart w:id="32" w:name="_Toc470005488"/>
      <w:bookmarkStart w:id="33" w:name="_Toc470005405"/>
      <w:bookmarkStart w:id="34" w:name="_Toc470005489"/>
      <w:bookmarkStart w:id="35" w:name="_Toc470005406"/>
      <w:bookmarkStart w:id="36" w:name="_Toc470005490"/>
      <w:bookmarkStart w:id="37" w:name="_Toc470005407"/>
      <w:bookmarkStart w:id="38" w:name="_Toc470005491"/>
      <w:bookmarkStart w:id="39" w:name="_Toc470005408"/>
      <w:bookmarkStart w:id="40" w:name="_Toc470005492"/>
      <w:bookmarkStart w:id="41" w:name="_Toc494800882"/>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r>
        <w:t>The objective for the consultation process</w:t>
      </w:r>
      <w:bookmarkEnd w:id="41"/>
    </w:p>
    <w:p w:rsidR="00E3076A" w:rsidRDefault="00E3076A" w:rsidP="00B87031">
      <w:r>
        <w:t xml:space="preserve">Our role in network regulation is ultimately governed by the overarching objectives in the NEL and NGL, most particularly the national electricity and gas objectives. </w:t>
      </w:r>
    </w:p>
    <w:p w:rsidR="00E3076A" w:rsidRPr="00E47C71" w:rsidRDefault="00E3076A" w:rsidP="00E3076A">
      <w:r>
        <w:t>However, stakeholders</w:t>
      </w:r>
      <w:r w:rsidR="00705348">
        <w:t xml:space="preserve"> including the ENA</w:t>
      </w:r>
      <w:r>
        <w:t xml:space="preserve"> proposed in submissions that we should adopt a specific objective for designing the consultation process.</w:t>
      </w:r>
      <w:r>
        <w:rPr>
          <w:rStyle w:val="FootnoteReference"/>
        </w:rPr>
        <w:footnoteReference w:id="11"/>
      </w:r>
      <w:r>
        <w:t xml:space="preserve"> We discussed the proposed objective further at the pre-issues paper forum</w:t>
      </w:r>
      <w:r w:rsidR="00117A1D">
        <w:t xml:space="preserve"> on 18 September 2017</w:t>
      </w:r>
      <w:r>
        <w:t>.</w:t>
      </w:r>
      <w:r>
        <w:rPr>
          <w:rStyle w:val="FootnoteReference"/>
        </w:rPr>
        <w:footnoteReference w:id="12"/>
      </w:r>
    </w:p>
    <w:p w:rsidR="003D131B" w:rsidRDefault="00E3076A" w:rsidP="00B87031">
      <w:r>
        <w:t xml:space="preserve">We agree that there is value in </w:t>
      </w:r>
      <w:r w:rsidR="00777D8B">
        <w:t>having such an objective</w:t>
      </w:r>
      <w:r>
        <w:t>. As such</w:t>
      </w:r>
      <w:r w:rsidR="002D3D5F">
        <w:t>,</w:t>
      </w:r>
      <w:r>
        <w:t xml:space="preserve"> we have aimed to design</w:t>
      </w:r>
      <w:r w:rsidR="002D3D5F">
        <w:t xml:space="preserve"> </w:t>
      </w:r>
      <w:r>
        <w:t xml:space="preserve">a consultation </w:t>
      </w:r>
      <w:r w:rsidR="00B87031">
        <w:t xml:space="preserve">process </w:t>
      </w:r>
      <w:r>
        <w:t>that is</w:t>
      </w:r>
      <w:r w:rsidR="002D3D5F">
        <w:t xml:space="preserve"> capable of </w:t>
      </w:r>
      <w:r w:rsidR="00B87031">
        <w:t>contribut</w:t>
      </w:r>
      <w:r w:rsidR="002D3D5F">
        <w:t xml:space="preserve">ing to the acceptance of the </w:t>
      </w:r>
      <w:r w:rsidR="00F40B49">
        <w:t>next rate of return guideline</w:t>
      </w:r>
      <w:r w:rsidR="002D3D5F">
        <w:t xml:space="preserve"> by all stakeholders</w:t>
      </w:r>
      <w:r w:rsidR="003D131B">
        <w:t xml:space="preserve"> (consultation process objective)</w:t>
      </w:r>
      <w:r w:rsidR="002D3D5F">
        <w:t xml:space="preserve">. </w:t>
      </w:r>
      <w:r w:rsidR="00AF6E9A">
        <w:t>Importantly, the process must also meet any transitional requirements that arise in COAG EC’s implementation of a binding rate of return guideline.</w:t>
      </w:r>
      <w:r w:rsidR="00AF6E9A">
        <w:rPr>
          <w:rStyle w:val="FootnoteReference"/>
        </w:rPr>
        <w:footnoteReference w:id="13"/>
      </w:r>
    </w:p>
    <w:p w:rsidR="00B3433F" w:rsidRDefault="00777D8B" w:rsidP="00E47C71">
      <w:r w:rsidRPr="00033591">
        <w:t>Estimating the rate of return is complex, and reasonable minds can be expected to differ in its calculation.</w:t>
      </w:r>
      <w:r>
        <w:rPr>
          <w:lang w:val="en"/>
        </w:rPr>
        <w:t xml:space="preserve"> </w:t>
      </w:r>
      <w:r>
        <w:t xml:space="preserve">  As a result, we would expect that not all stakeholders will necessarily agree on the final methodologies or parameter estimates set out in the guideline.</w:t>
      </w:r>
      <w:r w:rsidR="007C1B0C">
        <w:t xml:space="preserve"> Nonetheless, </w:t>
      </w:r>
      <w:r w:rsidR="008B306C">
        <w:t>if stakeholders are satisfied that the guideline consultation process gave them sufficient opportunity to expres</w:t>
      </w:r>
      <w:r w:rsidR="00D96CF7">
        <w:t>s views and transparently addressed those views, we expect that stakeholders can feel confident in the rigour of the process and decision-making.</w:t>
      </w:r>
      <w:r w:rsidR="003D131B">
        <w:t xml:space="preserve"> This should lead to the acceptance of the </w:t>
      </w:r>
      <w:r w:rsidR="00F40F31">
        <w:t>guideline review process</w:t>
      </w:r>
      <w:r w:rsidR="003D131B">
        <w:t xml:space="preserve"> by all stakeholders, although some may disagree on technical aspects.</w:t>
      </w:r>
      <w:r w:rsidR="003D131B" w:rsidRPr="003D131B">
        <w:t xml:space="preserve"> </w:t>
      </w:r>
    </w:p>
    <w:p w:rsidR="004E6DC2" w:rsidRDefault="00622D02" w:rsidP="00B471B9">
      <w:pPr>
        <w:pStyle w:val="Heading1"/>
        <w:tabs>
          <w:tab w:val="clear" w:pos="680"/>
        </w:tabs>
        <w:ind w:left="993" w:hanging="993"/>
      </w:pPr>
      <w:bookmarkStart w:id="42" w:name="_Toc494800883"/>
      <w:r>
        <w:lastRenderedPageBreak/>
        <w:t>Independent panel review of the draft guideline</w:t>
      </w:r>
      <w:bookmarkEnd w:id="42"/>
    </w:p>
    <w:p w:rsidR="00777D8B" w:rsidRDefault="00777D8B" w:rsidP="00622D02">
      <w:r>
        <w:t>As an independent regulator, it is our role to ensure that our decisions are well-reasoned and based on robust consultation. We aim to explain our decisions in a way that allows stakeholders to follow a clear chain of logic from evidence to decision. Nonetheless, we recognise that there are times when an additional perspective on this process can provide stakeholders with further confidence in our decision-making process.</w:t>
      </w:r>
    </w:p>
    <w:p w:rsidR="00777D8B" w:rsidRDefault="00777D8B" w:rsidP="00622D02">
      <w:r>
        <w:t xml:space="preserve">In our consultation paper, we proposed to establish an independent panel to review the draft guideline and to publish a report setting out its findings. </w:t>
      </w:r>
    </w:p>
    <w:p w:rsidR="00622D02" w:rsidRDefault="00622D02" w:rsidP="00622D02">
      <w:r>
        <w:t xml:space="preserve">We will </w:t>
      </w:r>
      <w:r w:rsidR="002D64E3">
        <w:t>have regard to</w:t>
      </w:r>
      <w:r>
        <w:t xml:space="preserve"> the independent panel’s report in making our final guideline.</w:t>
      </w:r>
    </w:p>
    <w:p w:rsidR="00EB096A" w:rsidRDefault="00EB096A" w:rsidP="00EB096A">
      <w:pPr>
        <w:pStyle w:val="Heading2"/>
      </w:pPr>
      <w:bookmarkStart w:id="43" w:name="_Toc494800884"/>
      <w:r>
        <w:t>Consultation paper</w:t>
      </w:r>
      <w:bookmarkEnd w:id="43"/>
    </w:p>
    <w:p w:rsidR="006E546F" w:rsidRDefault="006706D6" w:rsidP="00885C31">
      <w:r>
        <w:t>In our consultation paper, we set out the following preliminary thoughts on the independent panel review:</w:t>
      </w:r>
    </w:p>
    <w:p w:rsidR="006706D6" w:rsidRPr="006706D6" w:rsidRDefault="006706D6" w:rsidP="00642896">
      <w:pPr>
        <w:keepNext/>
        <w:spacing w:before="240" w:after="120"/>
        <w:ind w:left="1360" w:hanging="1360"/>
        <w:rPr>
          <w:b/>
          <w:bCs/>
          <w:color w:val="076A92" w:themeColor="text1"/>
          <w:sz w:val="24"/>
          <w:szCs w:val="18"/>
        </w:rPr>
      </w:pPr>
      <w:r w:rsidRPr="006706D6">
        <w:rPr>
          <w:b/>
          <w:bCs/>
          <w:color w:val="076A92" w:themeColor="text1"/>
          <w:sz w:val="24"/>
          <w:szCs w:val="18"/>
        </w:rPr>
        <w:t xml:space="preserve">Table </w:t>
      </w:r>
      <w:r w:rsidRPr="006706D6">
        <w:rPr>
          <w:b/>
          <w:bCs/>
          <w:color w:val="076A92" w:themeColor="text1"/>
          <w:sz w:val="24"/>
          <w:szCs w:val="18"/>
        </w:rPr>
        <w:fldChar w:fldCharType="begin"/>
      </w:r>
      <w:r w:rsidRPr="006706D6">
        <w:rPr>
          <w:b/>
          <w:bCs/>
          <w:color w:val="076A92" w:themeColor="text1"/>
          <w:sz w:val="24"/>
          <w:szCs w:val="18"/>
        </w:rPr>
        <w:instrText xml:space="preserve"> SEQ Table \* ARABIC </w:instrText>
      </w:r>
      <w:r w:rsidRPr="006706D6">
        <w:rPr>
          <w:b/>
          <w:bCs/>
          <w:color w:val="076A92" w:themeColor="text1"/>
          <w:sz w:val="24"/>
          <w:szCs w:val="18"/>
        </w:rPr>
        <w:fldChar w:fldCharType="separate"/>
      </w:r>
      <w:r w:rsidR="00626AD1">
        <w:rPr>
          <w:b/>
          <w:bCs/>
          <w:noProof/>
          <w:color w:val="076A92" w:themeColor="text1"/>
          <w:sz w:val="24"/>
          <w:szCs w:val="18"/>
        </w:rPr>
        <w:t>3</w:t>
      </w:r>
      <w:r w:rsidRPr="006706D6">
        <w:rPr>
          <w:b/>
          <w:bCs/>
          <w:color w:val="076A92" w:themeColor="text1"/>
          <w:sz w:val="24"/>
          <w:szCs w:val="18"/>
        </w:rPr>
        <w:fldChar w:fldCharType="end"/>
      </w:r>
      <w:r w:rsidRPr="006706D6">
        <w:rPr>
          <w:b/>
          <w:bCs/>
          <w:color w:val="076A92" w:themeColor="text1"/>
          <w:sz w:val="24"/>
          <w:szCs w:val="18"/>
        </w:rPr>
        <w:tab/>
        <w:t>Preliminary thoughts on an independent panel review of the draft guidelines</w:t>
      </w:r>
      <w:r w:rsidR="00626AD1">
        <w:rPr>
          <w:b/>
          <w:bCs/>
          <w:color w:val="076A92" w:themeColor="text1"/>
          <w:sz w:val="24"/>
          <w:szCs w:val="18"/>
        </w:rPr>
        <w:t xml:space="preserve">— </w:t>
      </w:r>
      <w:proofErr w:type="gramStart"/>
      <w:r w:rsidR="00626AD1">
        <w:rPr>
          <w:b/>
          <w:bCs/>
          <w:color w:val="076A92" w:themeColor="text1"/>
          <w:sz w:val="24"/>
          <w:szCs w:val="18"/>
        </w:rPr>
        <w:t>From</w:t>
      </w:r>
      <w:proofErr w:type="gramEnd"/>
      <w:r w:rsidR="00626AD1">
        <w:rPr>
          <w:b/>
          <w:bCs/>
          <w:color w:val="076A92" w:themeColor="text1"/>
          <w:sz w:val="24"/>
          <w:szCs w:val="18"/>
        </w:rPr>
        <w:t xml:space="preserve"> our consultation paper</w:t>
      </w:r>
    </w:p>
    <w:tbl>
      <w:tblPr>
        <w:tblStyle w:val="AERtable-text2"/>
        <w:tblW w:w="0" w:type="auto"/>
        <w:tblLook w:val="04A0" w:firstRow="1" w:lastRow="0" w:firstColumn="1" w:lastColumn="0" w:noHBand="0" w:noVBand="1"/>
      </w:tblPr>
      <w:tblGrid>
        <w:gridCol w:w="1384"/>
        <w:gridCol w:w="7309"/>
      </w:tblGrid>
      <w:tr w:rsidR="006706D6" w:rsidRPr="006706D6" w:rsidTr="00DF27EB">
        <w:trPr>
          <w:cnfStyle w:val="100000000000" w:firstRow="1" w:lastRow="0" w:firstColumn="0" w:lastColumn="0" w:oddVBand="0" w:evenVBand="0" w:oddHBand="0" w:evenHBand="0" w:firstRowFirstColumn="0" w:firstRowLastColumn="0" w:lastRowFirstColumn="0" w:lastRowLastColumn="0"/>
        </w:trPr>
        <w:tc>
          <w:tcPr>
            <w:tcW w:w="1384" w:type="dxa"/>
          </w:tcPr>
          <w:p w:rsidR="006706D6" w:rsidRPr="006706D6" w:rsidRDefault="006706D6" w:rsidP="006706D6">
            <w:r w:rsidRPr="006706D6">
              <w:t>Issue</w:t>
            </w:r>
          </w:p>
        </w:tc>
        <w:tc>
          <w:tcPr>
            <w:tcW w:w="7309" w:type="dxa"/>
          </w:tcPr>
          <w:p w:rsidR="006706D6" w:rsidRPr="006706D6" w:rsidRDefault="006706D6" w:rsidP="006706D6">
            <w:r w:rsidRPr="006706D6">
              <w:t>AER's preliminary thoughts</w:t>
            </w:r>
          </w:p>
        </w:tc>
      </w:tr>
      <w:tr w:rsidR="006706D6" w:rsidRPr="006706D6" w:rsidTr="00DF27EB">
        <w:tc>
          <w:tcPr>
            <w:tcW w:w="1384" w:type="dxa"/>
          </w:tcPr>
          <w:p w:rsidR="006706D6" w:rsidRPr="006706D6" w:rsidRDefault="006706D6" w:rsidP="006706D6">
            <w:r w:rsidRPr="006706D6">
              <w:t>Purpose?</w:t>
            </w:r>
          </w:p>
        </w:tc>
        <w:tc>
          <w:tcPr>
            <w:tcW w:w="7309" w:type="dxa"/>
          </w:tcPr>
          <w:p w:rsidR="006706D6" w:rsidRPr="006706D6" w:rsidRDefault="006706D6" w:rsidP="006706D6">
            <w:r w:rsidRPr="006706D6">
              <w:t>The main purposes of the independent panel process is to give us the benefit of an independent review, and to promote confidence amongst stakeholders that our findings on rate of return issues are robust and have been tested by a group of independent experts.</w:t>
            </w:r>
          </w:p>
        </w:tc>
      </w:tr>
      <w:tr w:rsidR="006706D6" w:rsidRPr="006706D6" w:rsidTr="00DF27EB">
        <w:trPr>
          <w:cnfStyle w:val="000000010000" w:firstRow="0" w:lastRow="0" w:firstColumn="0" w:lastColumn="0" w:oddVBand="0" w:evenVBand="0" w:oddHBand="0" w:evenHBand="1" w:firstRowFirstColumn="0" w:firstRowLastColumn="0" w:lastRowFirstColumn="0" w:lastRowLastColumn="0"/>
        </w:trPr>
        <w:tc>
          <w:tcPr>
            <w:tcW w:w="1384" w:type="dxa"/>
          </w:tcPr>
          <w:p w:rsidR="006706D6" w:rsidRPr="006706D6" w:rsidRDefault="006706D6" w:rsidP="006706D6">
            <w:r w:rsidRPr="006706D6">
              <w:t>When?</w:t>
            </w:r>
          </w:p>
        </w:tc>
        <w:tc>
          <w:tcPr>
            <w:tcW w:w="7309" w:type="dxa"/>
          </w:tcPr>
          <w:p w:rsidR="006706D6" w:rsidRPr="006706D6" w:rsidRDefault="006706D6" w:rsidP="006706D6">
            <w:r w:rsidRPr="006706D6">
              <w:t>June-August 2018.</w:t>
            </w:r>
            <w:r w:rsidRPr="006706D6">
              <w:br/>
            </w:r>
            <w:r w:rsidRPr="006706D6">
              <w:br/>
              <w:t xml:space="preserve">In our view, the most productive opportunity for an independent panel to participate in the process is immediately following publication of the draft guidelines.  That would allow the panel to review our complete draft decision and </w:t>
            </w:r>
            <w:proofErr w:type="gramStart"/>
            <w:r w:rsidRPr="006706D6">
              <w:t>reasoning ,</w:t>
            </w:r>
            <w:proofErr w:type="gramEnd"/>
            <w:r w:rsidRPr="006706D6">
              <w:t xml:space="preserve"> and would give sufficient opportunity for us to take the panel's views into account in making a final decision.</w:t>
            </w:r>
          </w:p>
        </w:tc>
      </w:tr>
      <w:tr w:rsidR="006706D6" w:rsidRPr="006706D6" w:rsidTr="00DF27EB">
        <w:tc>
          <w:tcPr>
            <w:tcW w:w="1384" w:type="dxa"/>
          </w:tcPr>
          <w:p w:rsidR="006706D6" w:rsidRPr="006706D6" w:rsidRDefault="006706D6" w:rsidP="006706D6">
            <w:r w:rsidRPr="006706D6">
              <w:t>Who would participate?</w:t>
            </w:r>
          </w:p>
        </w:tc>
        <w:tc>
          <w:tcPr>
            <w:tcW w:w="7309" w:type="dxa"/>
          </w:tcPr>
          <w:p w:rsidR="006706D6" w:rsidRPr="006706D6" w:rsidRDefault="006706D6" w:rsidP="006706D6">
            <w:r w:rsidRPr="006706D6">
              <w:t>Selection of members for the panel will be a key aspect of the process. It is critical that panel members are both independent of the regulatory processes and have the relevant expertise.</w:t>
            </w:r>
          </w:p>
          <w:p w:rsidR="006706D6" w:rsidRPr="006706D6" w:rsidRDefault="006706D6" w:rsidP="006706D6">
            <w:r w:rsidRPr="006706D6">
              <w:t>Our preliminary proposal is that we would specify a series of selection criteria that might include factors such as:</w:t>
            </w:r>
          </w:p>
          <w:p w:rsidR="006706D6" w:rsidRPr="006706D6" w:rsidRDefault="006706D6" w:rsidP="006706D6">
            <w:pPr>
              <w:numPr>
                <w:ilvl w:val="0"/>
                <w:numId w:val="2"/>
              </w:numPr>
              <w:tabs>
                <w:tab w:val="left" w:pos="340"/>
              </w:tabs>
              <w:ind w:left="357" w:hanging="357"/>
            </w:pPr>
            <w:r w:rsidRPr="006706D6">
              <w:t>Panel members should have relevant finance, economic and/or regulatory expertise.</w:t>
            </w:r>
          </w:p>
          <w:p w:rsidR="006706D6" w:rsidRPr="006706D6" w:rsidRDefault="006706D6" w:rsidP="006706D6">
            <w:pPr>
              <w:numPr>
                <w:ilvl w:val="0"/>
                <w:numId w:val="2"/>
              </w:numPr>
              <w:tabs>
                <w:tab w:val="left" w:pos="340"/>
              </w:tabs>
              <w:ind w:left="357" w:hanging="357"/>
            </w:pPr>
            <w:r w:rsidRPr="006706D6">
              <w:t>Panel members must not have been engaged to provide advice to a network business or the AER on any AER regulatory determination processes within the preceding 2 years.</w:t>
            </w:r>
          </w:p>
          <w:p w:rsidR="006706D6" w:rsidRPr="006706D6" w:rsidRDefault="006706D6" w:rsidP="006706D6">
            <w:pPr>
              <w:numPr>
                <w:ilvl w:val="0"/>
                <w:numId w:val="2"/>
              </w:numPr>
              <w:tabs>
                <w:tab w:val="left" w:pos="340"/>
              </w:tabs>
              <w:ind w:left="357" w:hanging="357"/>
            </w:pPr>
            <w:r w:rsidRPr="006706D6">
              <w:t>Panel members must be available for the two months following publication of the draft rate of return guidelines.</w:t>
            </w:r>
          </w:p>
          <w:p w:rsidR="006706D6" w:rsidRPr="006706D6" w:rsidRDefault="006706D6" w:rsidP="006706D6">
            <w:pPr>
              <w:tabs>
                <w:tab w:val="left" w:pos="340"/>
              </w:tabs>
            </w:pPr>
            <w:r w:rsidRPr="006706D6">
              <w:t>The AER will engage and fund the independent panel.</w:t>
            </w:r>
          </w:p>
        </w:tc>
      </w:tr>
      <w:tr w:rsidR="006706D6" w:rsidRPr="006706D6" w:rsidTr="00DF27EB">
        <w:trPr>
          <w:cnfStyle w:val="000000010000" w:firstRow="0" w:lastRow="0" w:firstColumn="0" w:lastColumn="0" w:oddVBand="0" w:evenVBand="0" w:oddHBand="0" w:evenHBand="1" w:firstRowFirstColumn="0" w:firstRowLastColumn="0" w:lastRowFirstColumn="0" w:lastRowLastColumn="0"/>
        </w:trPr>
        <w:tc>
          <w:tcPr>
            <w:tcW w:w="1384" w:type="dxa"/>
          </w:tcPr>
          <w:p w:rsidR="006706D6" w:rsidRPr="006706D6" w:rsidRDefault="006706D6" w:rsidP="006706D6">
            <w:r w:rsidRPr="006706D6">
              <w:t>What would the panel be required to do?</w:t>
            </w:r>
          </w:p>
        </w:tc>
        <w:tc>
          <w:tcPr>
            <w:tcW w:w="7309" w:type="dxa"/>
          </w:tcPr>
          <w:p w:rsidR="006706D6" w:rsidRPr="006706D6" w:rsidRDefault="006706D6" w:rsidP="006706D6">
            <w:r w:rsidRPr="006706D6">
              <w:t>To promote stakeholder confidence in the independent panel process, we propose to publish the terms of reference for panel members. Our preliminary view is that the terms of reference would ask the panel to assess whether we have undertaken an effective review process; engaged with the material before us with an open mind; and have reached a decision that is supported by our stated reasons and the information available to us.</w:t>
            </w:r>
          </w:p>
        </w:tc>
      </w:tr>
      <w:tr w:rsidR="006706D6" w:rsidRPr="006706D6" w:rsidTr="00DF27EB">
        <w:tc>
          <w:tcPr>
            <w:tcW w:w="1384" w:type="dxa"/>
          </w:tcPr>
          <w:p w:rsidR="006706D6" w:rsidRPr="006706D6" w:rsidRDefault="006706D6" w:rsidP="006706D6">
            <w:r w:rsidRPr="006706D6">
              <w:lastRenderedPageBreak/>
              <w:t>What would be the outcome of the independent panel process?</w:t>
            </w:r>
          </w:p>
        </w:tc>
        <w:tc>
          <w:tcPr>
            <w:tcW w:w="7309" w:type="dxa"/>
          </w:tcPr>
          <w:p w:rsidR="006706D6" w:rsidRPr="006706D6" w:rsidRDefault="006706D6" w:rsidP="006706D6">
            <w:r w:rsidRPr="006706D6">
              <w:t>We expect that the independent panel would provide us with a report on the outcomes of its review. We would then have regard to this report in finalising the guidelines.</w:t>
            </w:r>
          </w:p>
        </w:tc>
      </w:tr>
    </w:tbl>
    <w:p w:rsidR="00EB096A" w:rsidRDefault="00EB096A" w:rsidP="00EB096A">
      <w:pPr>
        <w:pStyle w:val="Heading2"/>
      </w:pPr>
      <w:bookmarkStart w:id="44" w:name="_Toc494800885"/>
      <w:r>
        <w:t>Submissions</w:t>
      </w:r>
      <w:bookmarkEnd w:id="44"/>
    </w:p>
    <w:p w:rsidR="00853182" w:rsidRDefault="00C371DF" w:rsidP="00853182">
      <w:r>
        <w:t xml:space="preserve">We received submissions on the independent panel review. They are set out in </w:t>
      </w:r>
      <w:r>
        <w:fldChar w:fldCharType="begin"/>
      </w:r>
      <w:r>
        <w:instrText xml:space="preserve"> REF _Ref495052230 \h </w:instrText>
      </w:r>
      <w:r>
        <w:fldChar w:fldCharType="separate"/>
      </w:r>
      <w:r>
        <w:t xml:space="preserve">Table </w:t>
      </w:r>
      <w:r>
        <w:rPr>
          <w:noProof/>
        </w:rPr>
        <w:t>3</w:t>
      </w:r>
      <w:r>
        <w:fldChar w:fldCharType="end"/>
      </w:r>
      <w:r>
        <w:t xml:space="preserve"> below. In the table we have tried to capture instances where the substance of particular submissions overlap and have </w:t>
      </w:r>
      <w:r w:rsidR="000D1054">
        <w:t xml:space="preserve">attributed a single description of the issue to all submissions that we understand to </w:t>
      </w:r>
      <w:r w:rsidR="007412A4">
        <w:t>support</w:t>
      </w:r>
      <w:r w:rsidR="000D1054">
        <w:t xml:space="preserve"> the same </w:t>
      </w:r>
      <w:r w:rsidR="007412A4">
        <w:t>position</w:t>
      </w:r>
      <w:r w:rsidR="000D1054">
        <w:t>.</w:t>
      </w:r>
      <w:r w:rsidR="002D3D5F">
        <w:rPr>
          <w:rStyle w:val="FootnoteReference"/>
        </w:rPr>
        <w:footnoteReference w:id="14"/>
      </w:r>
      <w:r>
        <w:t xml:space="preserve">  </w:t>
      </w:r>
    </w:p>
    <w:p w:rsidR="00853182" w:rsidRPr="00853182" w:rsidRDefault="00C371DF" w:rsidP="00C371DF">
      <w:pPr>
        <w:pStyle w:val="Caption"/>
      </w:pPr>
      <w:bookmarkStart w:id="45" w:name="_Ref495052230"/>
      <w:r>
        <w:t xml:space="preserve">Table </w:t>
      </w:r>
      <w:r w:rsidR="00E07C46">
        <w:fldChar w:fldCharType="begin"/>
      </w:r>
      <w:r w:rsidR="00E07C46">
        <w:instrText xml:space="preserve"> SEQ Table \* ARABIC </w:instrText>
      </w:r>
      <w:r w:rsidR="00E07C46">
        <w:fldChar w:fldCharType="separate"/>
      </w:r>
      <w:r w:rsidR="00626AD1">
        <w:rPr>
          <w:noProof/>
        </w:rPr>
        <w:t>4</w:t>
      </w:r>
      <w:r w:rsidR="00E07C46">
        <w:rPr>
          <w:noProof/>
        </w:rPr>
        <w:fldChar w:fldCharType="end"/>
      </w:r>
      <w:bookmarkEnd w:id="45"/>
      <w:r>
        <w:tab/>
      </w:r>
      <w:r w:rsidR="00642896">
        <w:tab/>
      </w:r>
      <w:r>
        <w:t>Submissions on the independent panel review</w:t>
      </w:r>
    </w:p>
    <w:tbl>
      <w:tblPr>
        <w:tblStyle w:val="AERtable-text0"/>
        <w:tblW w:w="0" w:type="auto"/>
        <w:tblLook w:val="04A0" w:firstRow="1" w:lastRow="0" w:firstColumn="1" w:lastColumn="0" w:noHBand="0" w:noVBand="1"/>
      </w:tblPr>
      <w:tblGrid>
        <w:gridCol w:w="1390"/>
        <w:gridCol w:w="7303"/>
      </w:tblGrid>
      <w:tr w:rsidR="00853182" w:rsidRPr="009177E3" w:rsidTr="00041D6D">
        <w:trPr>
          <w:cnfStyle w:val="100000000000" w:firstRow="1" w:lastRow="0" w:firstColumn="0" w:lastColumn="0" w:oddVBand="0" w:evenVBand="0" w:oddHBand="0" w:evenHBand="0" w:firstRowFirstColumn="0" w:firstRowLastColumn="0" w:lastRowFirstColumn="0" w:lastRowLastColumn="0"/>
        </w:trPr>
        <w:tc>
          <w:tcPr>
            <w:tcW w:w="1390" w:type="dxa"/>
          </w:tcPr>
          <w:p w:rsidR="00853182" w:rsidRPr="009177E3" w:rsidRDefault="00853182" w:rsidP="00145CF3">
            <w:bookmarkStart w:id="46" w:name="_Toc494800886"/>
            <w:r>
              <w:t>Stakeholder</w:t>
            </w:r>
          </w:p>
        </w:tc>
        <w:tc>
          <w:tcPr>
            <w:tcW w:w="7303" w:type="dxa"/>
          </w:tcPr>
          <w:p w:rsidR="00853182" w:rsidRPr="009177E3" w:rsidRDefault="00853182" w:rsidP="00145CF3">
            <w:r>
              <w:t>Submission</w:t>
            </w:r>
          </w:p>
        </w:tc>
      </w:tr>
      <w:tr w:rsidR="00853182" w:rsidRPr="00F12379" w:rsidTr="00041D6D">
        <w:tc>
          <w:tcPr>
            <w:tcW w:w="1390" w:type="dxa"/>
          </w:tcPr>
          <w:p w:rsidR="00853182" w:rsidRDefault="00853182" w:rsidP="00145CF3"/>
        </w:tc>
        <w:tc>
          <w:tcPr>
            <w:tcW w:w="7303" w:type="dxa"/>
          </w:tcPr>
          <w:p w:rsidR="00853182" w:rsidRPr="00F12379" w:rsidRDefault="00853182" w:rsidP="00145CF3">
            <w:pPr>
              <w:rPr>
                <w:b/>
              </w:rPr>
            </w:pPr>
            <w:r>
              <w:rPr>
                <w:b/>
              </w:rPr>
              <w:t>Role of the independent panel</w:t>
            </w:r>
          </w:p>
        </w:tc>
      </w:tr>
      <w:tr w:rsidR="00853182" w:rsidRPr="009177E3" w:rsidTr="00041D6D">
        <w:trPr>
          <w:cnfStyle w:val="000000010000" w:firstRow="0" w:lastRow="0" w:firstColumn="0" w:lastColumn="0" w:oddVBand="0" w:evenVBand="0" w:oddHBand="0" w:evenHBand="1" w:firstRowFirstColumn="0" w:firstRowLastColumn="0" w:lastRowFirstColumn="0" w:lastRowLastColumn="0"/>
        </w:trPr>
        <w:tc>
          <w:tcPr>
            <w:tcW w:w="1390" w:type="dxa"/>
          </w:tcPr>
          <w:p w:rsidR="00853182" w:rsidRPr="009177E3" w:rsidRDefault="00853182" w:rsidP="00145CF3">
            <w:r>
              <w:t xml:space="preserve">CCP, AGN, ENA, AusNet Services, </w:t>
            </w:r>
            <w:proofErr w:type="spellStart"/>
            <w:r>
              <w:t>TransGrid,Spark</w:t>
            </w:r>
            <w:proofErr w:type="spellEnd"/>
            <w:r>
              <w:t xml:space="preserve"> Infrastructure, Energex and Ergon Energy</w:t>
            </w:r>
          </w:p>
        </w:tc>
        <w:tc>
          <w:tcPr>
            <w:tcW w:w="7303" w:type="dxa"/>
          </w:tcPr>
          <w:p w:rsidR="00853182" w:rsidRPr="009177E3" w:rsidRDefault="00853182" w:rsidP="00C371DF">
            <w:r>
              <w:t xml:space="preserve">The independent panel should also provide advice to the AER on the issues and proposals being considered from the perspective of finance and regulatory theory and practice. </w:t>
            </w:r>
          </w:p>
        </w:tc>
      </w:tr>
      <w:tr w:rsidR="00853182" w:rsidTr="00041D6D">
        <w:tc>
          <w:tcPr>
            <w:tcW w:w="1390" w:type="dxa"/>
          </w:tcPr>
          <w:p w:rsidR="00853182" w:rsidRDefault="00853182" w:rsidP="00145CF3">
            <w:r>
              <w:t>ENA</w:t>
            </w:r>
          </w:p>
        </w:tc>
        <w:tc>
          <w:tcPr>
            <w:tcW w:w="7303" w:type="dxa"/>
          </w:tcPr>
          <w:p w:rsidR="00853182" w:rsidRDefault="00853182" w:rsidP="00145CF3">
            <w:r>
              <w:t>The expert panel should also consider consistency with the ARORO, and with the chain of logic between evidence and decision</w:t>
            </w:r>
          </w:p>
        </w:tc>
      </w:tr>
      <w:tr w:rsidR="00853182" w:rsidTr="00041D6D">
        <w:trPr>
          <w:cnfStyle w:val="000000010000" w:firstRow="0" w:lastRow="0" w:firstColumn="0" w:lastColumn="0" w:oddVBand="0" w:evenVBand="0" w:oddHBand="0" w:evenHBand="1" w:firstRowFirstColumn="0" w:firstRowLastColumn="0" w:lastRowFirstColumn="0" w:lastRowLastColumn="0"/>
        </w:trPr>
        <w:tc>
          <w:tcPr>
            <w:tcW w:w="1390" w:type="dxa"/>
          </w:tcPr>
          <w:p w:rsidR="00853182" w:rsidRDefault="00853182" w:rsidP="00145CF3">
            <w:r>
              <w:t>APA</w:t>
            </w:r>
          </w:p>
        </w:tc>
        <w:tc>
          <w:tcPr>
            <w:tcW w:w="7303" w:type="dxa"/>
          </w:tcPr>
          <w:p w:rsidR="00853182" w:rsidRDefault="00853182" w:rsidP="00145CF3">
            <w:r>
              <w:t>An independent review of the draft guidelines focussed on process rather than the substance of the rate of return guidelines has the potential to create uncertainty about the outcome</w:t>
            </w:r>
          </w:p>
        </w:tc>
      </w:tr>
      <w:tr w:rsidR="00853182" w:rsidTr="00041D6D">
        <w:tc>
          <w:tcPr>
            <w:tcW w:w="1390" w:type="dxa"/>
            <w:vAlign w:val="top"/>
          </w:tcPr>
          <w:p w:rsidR="00853182" w:rsidRPr="00CA7EE4" w:rsidRDefault="00853182" w:rsidP="00145CF3">
            <w:r w:rsidRPr="00CA7EE4">
              <w:t>MEU</w:t>
            </w:r>
          </w:p>
        </w:tc>
        <w:tc>
          <w:tcPr>
            <w:tcW w:w="7303" w:type="dxa"/>
            <w:vAlign w:val="top"/>
          </w:tcPr>
          <w:p w:rsidR="00853182" w:rsidRDefault="00853182" w:rsidP="00145CF3">
            <w:r w:rsidRPr="00CA7EE4">
              <w:t>The MEU supports the role for the independent panel set out in the AER’s consultation paper.</w:t>
            </w:r>
          </w:p>
        </w:tc>
      </w:tr>
      <w:tr w:rsidR="00853182" w:rsidRPr="00F12379" w:rsidTr="00041D6D">
        <w:trPr>
          <w:cnfStyle w:val="000000010000" w:firstRow="0" w:lastRow="0" w:firstColumn="0" w:lastColumn="0" w:oddVBand="0" w:evenVBand="0" w:oddHBand="0" w:evenHBand="1" w:firstRowFirstColumn="0" w:firstRowLastColumn="0" w:lastRowFirstColumn="0" w:lastRowLastColumn="0"/>
        </w:trPr>
        <w:tc>
          <w:tcPr>
            <w:tcW w:w="1390" w:type="dxa"/>
            <w:vAlign w:val="top"/>
          </w:tcPr>
          <w:p w:rsidR="00853182" w:rsidRPr="00CA7EE4" w:rsidRDefault="00853182" w:rsidP="00145CF3"/>
        </w:tc>
        <w:tc>
          <w:tcPr>
            <w:tcW w:w="7303" w:type="dxa"/>
            <w:vAlign w:val="top"/>
          </w:tcPr>
          <w:p w:rsidR="00853182" w:rsidRPr="00F12379" w:rsidRDefault="00853182" w:rsidP="00145CF3">
            <w:pPr>
              <w:rPr>
                <w:b/>
              </w:rPr>
            </w:pPr>
            <w:r>
              <w:rPr>
                <w:b/>
              </w:rPr>
              <w:t>Who should be on the panel</w:t>
            </w:r>
          </w:p>
        </w:tc>
      </w:tr>
      <w:tr w:rsidR="00853182" w:rsidRPr="00C21522" w:rsidTr="00041D6D">
        <w:tc>
          <w:tcPr>
            <w:tcW w:w="1390" w:type="dxa"/>
            <w:vAlign w:val="top"/>
          </w:tcPr>
          <w:p w:rsidR="00853182" w:rsidRPr="00C21522" w:rsidRDefault="00853182" w:rsidP="00145CF3">
            <w:r w:rsidRPr="00C21522">
              <w:t>AGN, ENA</w:t>
            </w:r>
          </w:p>
        </w:tc>
        <w:tc>
          <w:tcPr>
            <w:tcW w:w="7303" w:type="dxa"/>
            <w:vAlign w:val="top"/>
          </w:tcPr>
          <w:p w:rsidR="00853182" w:rsidRPr="00C21522" w:rsidRDefault="00853182" w:rsidP="00145CF3">
            <w:r w:rsidRPr="00C21522">
              <w:t>Supports the AER’s 2 year exclusion</w:t>
            </w:r>
          </w:p>
        </w:tc>
      </w:tr>
      <w:tr w:rsidR="00853182" w:rsidRPr="00C21522" w:rsidTr="00041D6D">
        <w:trPr>
          <w:cnfStyle w:val="000000010000" w:firstRow="0" w:lastRow="0" w:firstColumn="0" w:lastColumn="0" w:oddVBand="0" w:evenVBand="0" w:oddHBand="0" w:evenHBand="1" w:firstRowFirstColumn="0" w:firstRowLastColumn="0" w:lastRowFirstColumn="0" w:lastRowLastColumn="0"/>
        </w:trPr>
        <w:tc>
          <w:tcPr>
            <w:tcW w:w="1390" w:type="dxa"/>
            <w:vAlign w:val="top"/>
          </w:tcPr>
          <w:p w:rsidR="00853182" w:rsidRPr="00C21522" w:rsidRDefault="00853182" w:rsidP="00145CF3">
            <w:r w:rsidRPr="00C21522">
              <w:t>ENA</w:t>
            </w:r>
          </w:p>
        </w:tc>
        <w:tc>
          <w:tcPr>
            <w:tcW w:w="7303" w:type="dxa"/>
            <w:vAlign w:val="top"/>
          </w:tcPr>
          <w:p w:rsidR="00853182" w:rsidRPr="00C21522" w:rsidRDefault="00853182" w:rsidP="00145CF3">
            <w:r w:rsidRPr="00C21522">
              <w:t>The AER’s 2 year exclusion should also apply to Tribunal members</w:t>
            </w:r>
          </w:p>
        </w:tc>
      </w:tr>
      <w:tr w:rsidR="00853182" w:rsidRPr="00C21522" w:rsidTr="00041D6D">
        <w:tc>
          <w:tcPr>
            <w:tcW w:w="1390" w:type="dxa"/>
            <w:vAlign w:val="top"/>
          </w:tcPr>
          <w:p w:rsidR="00853182" w:rsidRPr="00C21522" w:rsidRDefault="00853182" w:rsidP="00145CF3">
            <w:r w:rsidRPr="00C21522">
              <w:t>ENA</w:t>
            </w:r>
          </w:p>
        </w:tc>
        <w:tc>
          <w:tcPr>
            <w:tcW w:w="7303" w:type="dxa"/>
            <w:vAlign w:val="top"/>
          </w:tcPr>
          <w:p w:rsidR="00853182" w:rsidRPr="00C21522" w:rsidRDefault="00853182" w:rsidP="00145CF3">
            <w:r w:rsidRPr="00C21522">
              <w:t>The AER should consider capital market practitioners or independent economic expertise for example including input from the RBA, the Productivity Commission, the AOFM or the Future Fund.</w:t>
            </w:r>
          </w:p>
        </w:tc>
      </w:tr>
      <w:tr w:rsidR="00853182" w:rsidRPr="00C21522" w:rsidTr="00041D6D">
        <w:trPr>
          <w:cnfStyle w:val="000000010000" w:firstRow="0" w:lastRow="0" w:firstColumn="0" w:lastColumn="0" w:oddVBand="0" w:evenVBand="0" w:oddHBand="0" w:evenHBand="1" w:firstRowFirstColumn="0" w:firstRowLastColumn="0" w:lastRowFirstColumn="0" w:lastRowLastColumn="0"/>
        </w:trPr>
        <w:tc>
          <w:tcPr>
            <w:tcW w:w="1390" w:type="dxa"/>
            <w:vAlign w:val="top"/>
          </w:tcPr>
          <w:p w:rsidR="00853182" w:rsidRPr="00C21522" w:rsidRDefault="00853182" w:rsidP="00145CF3">
            <w:r w:rsidRPr="00C21522">
              <w:t>AGN</w:t>
            </w:r>
          </w:p>
        </w:tc>
        <w:tc>
          <w:tcPr>
            <w:tcW w:w="7303" w:type="dxa"/>
            <w:vAlign w:val="top"/>
          </w:tcPr>
          <w:p w:rsidR="00853182" w:rsidRPr="00C21522" w:rsidRDefault="00853182" w:rsidP="00145CF3">
            <w:r w:rsidRPr="00C21522">
              <w:t>The AER should choose panel members, acting in good faith and considering the views of all stakeholders</w:t>
            </w:r>
          </w:p>
        </w:tc>
      </w:tr>
      <w:tr w:rsidR="00853182" w:rsidTr="00041D6D">
        <w:tc>
          <w:tcPr>
            <w:tcW w:w="1390" w:type="dxa"/>
            <w:vAlign w:val="top"/>
          </w:tcPr>
          <w:p w:rsidR="00853182" w:rsidRPr="00C21522" w:rsidRDefault="00853182" w:rsidP="00145CF3">
            <w:proofErr w:type="spellStart"/>
            <w:r w:rsidRPr="00C21522">
              <w:t>TransGrid</w:t>
            </w:r>
            <w:proofErr w:type="spellEnd"/>
          </w:p>
        </w:tc>
        <w:tc>
          <w:tcPr>
            <w:tcW w:w="7303" w:type="dxa"/>
            <w:vAlign w:val="top"/>
          </w:tcPr>
          <w:p w:rsidR="00853182" w:rsidRDefault="00853182" w:rsidP="00145CF3">
            <w:r w:rsidRPr="00C21522">
              <w:t>The AER should seek agreement of industry representatives on the membership of the panel.</w:t>
            </w:r>
          </w:p>
        </w:tc>
      </w:tr>
      <w:tr w:rsidR="00853182" w:rsidTr="00041D6D">
        <w:trPr>
          <w:cnfStyle w:val="000000010000" w:firstRow="0" w:lastRow="0" w:firstColumn="0" w:lastColumn="0" w:oddVBand="0" w:evenVBand="0" w:oddHBand="0" w:evenHBand="1" w:firstRowFirstColumn="0" w:firstRowLastColumn="0" w:lastRowFirstColumn="0" w:lastRowLastColumn="0"/>
        </w:trPr>
        <w:tc>
          <w:tcPr>
            <w:tcW w:w="1390" w:type="dxa"/>
            <w:vAlign w:val="top"/>
          </w:tcPr>
          <w:p w:rsidR="00853182" w:rsidRPr="00DB7C37" w:rsidRDefault="00853182" w:rsidP="00145CF3">
            <w:proofErr w:type="spellStart"/>
            <w:r w:rsidRPr="00DB7C37">
              <w:t>TaCOSS</w:t>
            </w:r>
            <w:proofErr w:type="spellEnd"/>
            <w:r w:rsidRPr="00DB7C37">
              <w:t>, PIAC</w:t>
            </w:r>
          </w:p>
        </w:tc>
        <w:tc>
          <w:tcPr>
            <w:tcW w:w="7303" w:type="dxa"/>
            <w:vAlign w:val="top"/>
          </w:tcPr>
          <w:p w:rsidR="00853182" w:rsidRDefault="00853182" w:rsidP="00145CF3">
            <w:r w:rsidRPr="00DB7C37">
              <w:t>A consumer voice should be included in the expert panel, with expertise in consumer engagement as part of reviewing how the AER has undertaken an effective process</w:t>
            </w:r>
          </w:p>
        </w:tc>
      </w:tr>
      <w:tr w:rsidR="00853182" w:rsidTr="00041D6D">
        <w:tc>
          <w:tcPr>
            <w:tcW w:w="1390" w:type="dxa"/>
          </w:tcPr>
          <w:p w:rsidR="00853182" w:rsidRDefault="00853182" w:rsidP="00145CF3">
            <w:r>
              <w:t>CCP, Spark Infrastructure</w:t>
            </w:r>
          </w:p>
        </w:tc>
        <w:tc>
          <w:tcPr>
            <w:tcW w:w="7303" w:type="dxa"/>
          </w:tcPr>
          <w:p w:rsidR="00853182" w:rsidRDefault="00853182" w:rsidP="00145CF3">
            <w:r>
              <w:t>The AER’s 2 year exclusion could allow inappropriate panel members and exclude appropriate panel members</w:t>
            </w:r>
          </w:p>
        </w:tc>
      </w:tr>
      <w:tr w:rsidR="00853182" w:rsidRPr="009177E3" w:rsidTr="00041D6D">
        <w:trPr>
          <w:cnfStyle w:val="000000010000" w:firstRow="0" w:lastRow="0" w:firstColumn="0" w:lastColumn="0" w:oddVBand="0" w:evenVBand="0" w:oddHBand="0" w:evenHBand="1" w:firstRowFirstColumn="0" w:firstRowLastColumn="0" w:lastRowFirstColumn="0" w:lastRowLastColumn="0"/>
        </w:trPr>
        <w:tc>
          <w:tcPr>
            <w:tcW w:w="1390" w:type="dxa"/>
          </w:tcPr>
          <w:p w:rsidR="00853182" w:rsidRPr="009177E3" w:rsidRDefault="00853182" w:rsidP="00145CF3">
            <w:r>
              <w:lastRenderedPageBreak/>
              <w:t>CCP, ENA</w:t>
            </w:r>
          </w:p>
        </w:tc>
        <w:tc>
          <w:tcPr>
            <w:tcW w:w="7303" w:type="dxa"/>
          </w:tcPr>
          <w:p w:rsidR="00853182" w:rsidRPr="009177E3" w:rsidRDefault="00853182" w:rsidP="00145CF3">
            <w:r>
              <w:t>There are precedents for this sort of panel, see NZCC 2006 for assistance in its review of the return on capital.</w:t>
            </w:r>
          </w:p>
        </w:tc>
      </w:tr>
      <w:tr w:rsidR="00853182" w:rsidRPr="00F12379" w:rsidTr="00041D6D">
        <w:tc>
          <w:tcPr>
            <w:tcW w:w="1390" w:type="dxa"/>
          </w:tcPr>
          <w:p w:rsidR="00853182" w:rsidRDefault="00853182" w:rsidP="00145CF3"/>
        </w:tc>
        <w:tc>
          <w:tcPr>
            <w:tcW w:w="7303" w:type="dxa"/>
          </w:tcPr>
          <w:p w:rsidR="00853182" w:rsidRPr="00F12379" w:rsidRDefault="00853182" w:rsidP="00145CF3">
            <w:pPr>
              <w:rPr>
                <w:b/>
              </w:rPr>
            </w:pPr>
            <w:r w:rsidRPr="00F12379">
              <w:rPr>
                <w:b/>
              </w:rPr>
              <w:t>Other issues</w:t>
            </w:r>
          </w:p>
        </w:tc>
      </w:tr>
      <w:tr w:rsidR="00853182" w:rsidRPr="009177E3" w:rsidTr="00041D6D">
        <w:trPr>
          <w:cnfStyle w:val="000000010000" w:firstRow="0" w:lastRow="0" w:firstColumn="0" w:lastColumn="0" w:oddVBand="0" w:evenVBand="0" w:oddHBand="0" w:evenHBand="1" w:firstRowFirstColumn="0" w:firstRowLastColumn="0" w:lastRowFirstColumn="0" w:lastRowLastColumn="0"/>
        </w:trPr>
        <w:tc>
          <w:tcPr>
            <w:tcW w:w="1390" w:type="dxa"/>
          </w:tcPr>
          <w:p w:rsidR="00853182" w:rsidRPr="009177E3" w:rsidRDefault="00853182" w:rsidP="00145CF3">
            <w:r>
              <w:t>CCP, Spark Infrastructure, Energex and Ergon Energy</w:t>
            </w:r>
          </w:p>
        </w:tc>
        <w:tc>
          <w:tcPr>
            <w:tcW w:w="7303" w:type="dxa"/>
          </w:tcPr>
          <w:p w:rsidR="00853182" w:rsidRPr="009177E3" w:rsidRDefault="00853182" w:rsidP="00145CF3">
            <w:r>
              <w:t>The panel could be formed before the draft guideline and participate in the ‘hot-tubbing’</w:t>
            </w:r>
          </w:p>
        </w:tc>
      </w:tr>
      <w:tr w:rsidR="00853182" w:rsidTr="00041D6D">
        <w:tc>
          <w:tcPr>
            <w:tcW w:w="1390" w:type="dxa"/>
          </w:tcPr>
          <w:p w:rsidR="00853182" w:rsidRPr="009177E3" w:rsidRDefault="00853182" w:rsidP="00145CF3">
            <w:r>
              <w:t xml:space="preserve">CCP, AGN, </w:t>
            </w:r>
            <w:proofErr w:type="spellStart"/>
            <w:r>
              <w:t>TransGrid</w:t>
            </w:r>
            <w:proofErr w:type="spellEnd"/>
            <w:r>
              <w:t>, Spark Infrastructure</w:t>
            </w:r>
          </w:p>
        </w:tc>
        <w:tc>
          <w:tcPr>
            <w:tcW w:w="7303" w:type="dxa"/>
          </w:tcPr>
          <w:p w:rsidR="00853182" w:rsidRDefault="00853182" w:rsidP="00145CF3">
            <w:r>
              <w:t>The panel’s findings should be made public</w:t>
            </w:r>
          </w:p>
        </w:tc>
      </w:tr>
      <w:tr w:rsidR="00853182" w:rsidTr="00041D6D">
        <w:trPr>
          <w:cnfStyle w:val="000000010000" w:firstRow="0" w:lastRow="0" w:firstColumn="0" w:lastColumn="0" w:oddVBand="0" w:evenVBand="0" w:oddHBand="0" w:evenHBand="1" w:firstRowFirstColumn="0" w:firstRowLastColumn="0" w:lastRowFirstColumn="0" w:lastRowLastColumn="0"/>
        </w:trPr>
        <w:tc>
          <w:tcPr>
            <w:tcW w:w="1390" w:type="dxa"/>
          </w:tcPr>
          <w:p w:rsidR="00853182" w:rsidRDefault="00853182" w:rsidP="00145CF3">
            <w:proofErr w:type="spellStart"/>
            <w:r>
              <w:t>TransGrid</w:t>
            </w:r>
            <w:proofErr w:type="spellEnd"/>
          </w:p>
        </w:tc>
        <w:tc>
          <w:tcPr>
            <w:tcW w:w="7303" w:type="dxa"/>
          </w:tcPr>
          <w:p w:rsidR="00853182" w:rsidRDefault="00853182" w:rsidP="00145CF3">
            <w:r>
              <w:t>The AER should be required to review and remedy any deficiencies highlighted by the panel review</w:t>
            </w:r>
          </w:p>
        </w:tc>
      </w:tr>
      <w:tr w:rsidR="00853182" w:rsidTr="00041D6D">
        <w:tc>
          <w:tcPr>
            <w:tcW w:w="1390" w:type="dxa"/>
          </w:tcPr>
          <w:p w:rsidR="00853182" w:rsidRDefault="00853182" w:rsidP="00145CF3">
            <w:r>
              <w:t>Energex and Ergon Energy</w:t>
            </w:r>
          </w:p>
        </w:tc>
        <w:tc>
          <w:tcPr>
            <w:tcW w:w="7303" w:type="dxa"/>
          </w:tcPr>
          <w:p w:rsidR="00853182" w:rsidRDefault="00853182" w:rsidP="00145CF3">
            <w:r>
              <w:t>To give the independent panel freedom to meaningfully engage with expert material, the panel should be given a limited opportunity for written clarifications to clarify issues raised by the draft guidelines</w:t>
            </w:r>
          </w:p>
        </w:tc>
      </w:tr>
    </w:tbl>
    <w:p w:rsidR="000D1054" w:rsidRDefault="000D1054" w:rsidP="00041D6D">
      <w:pPr>
        <w:pStyle w:val="AERtablesource"/>
        <w:ind w:left="1020" w:hanging="1020"/>
      </w:pPr>
      <w:r>
        <w:t xml:space="preserve">References: </w:t>
      </w:r>
      <w:r w:rsidR="003F3255">
        <w:tab/>
        <w:t xml:space="preserve">Consumer Challenge Panel (subpanel 16), </w:t>
      </w:r>
      <w:r w:rsidR="003F3255" w:rsidRPr="00041D6D">
        <w:rPr>
          <w:rStyle w:val="AERtextitalic"/>
        </w:rPr>
        <w:t>Submission to the AER on its consultation paper on a process for review of the rate of return guideline</w:t>
      </w:r>
      <w:r w:rsidR="003F3255">
        <w:t xml:space="preserve">, August 2017; AGN, </w:t>
      </w:r>
      <w:r w:rsidR="003F3255" w:rsidRPr="00041D6D">
        <w:rPr>
          <w:rStyle w:val="AERtextitalic"/>
        </w:rPr>
        <w:t>Letter re: Process for Reviewing the Rate of Return Guidelines</w:t>
      </w:r>
      <w:r w:rsidR="003F3255">
        <w:t xml:space="preserve">, August 2017; </w:t>
      </w:r>
      <w:r w:rsidR="003F3255" w:rsidRPr="003F3255">
        <w:t xml:space="preserve"> </w:t>
      </w:r>
      <w:r w:rsidR="003F3255">
        <w:t xml:space="preserve">ENA, </w:t>
      </w:r>
      <w:r w:rsidR="003F3255" w:rsidRPr="00753FD1">
        <w:rPr>
          <w:rStyle w:val="AERtextitalic"/>
        </w:rPr>
        <w:t>Process for reviewing the rate of return guidelines—Response to AER consultation paper</w:t>
      </w:r>
      <w:r w:rsidR="003F3255">
        <w:t xml:space="preserve">, August 2017; AusNet Services, </w:t>
      </w:r>
      <w:r w:rsidR="003F3255" w:rsidRPr="00041D6D">
        <w:rPr>
          <w:rStyle w:val="AERtextitalic"/>
        </w:rPr>
        <w:t>Letter re: Consultation paper—Process for reviewing the rate of return guidelines</w:t>
      </w:r>
      <w:r w:rsidR="003F3255">
        <w:t xml:space="preserve">, August 2017; </w:t>
      </w:r>
      <w:proofErr w:type="spellStart"/>
      <w:r w:rsidR="003F3255">
        <w:t>Transgrid</w:t>
      </w:r>
      <w:proofErr w:type="spellEnd"/>
      <w:r w:rsidR="003F3255">
        <w:t xml:space="preserve">, </w:t>
      </w:r>
      <w:r w:rsidR="003F3255" w:rsidRPr="00041D6D">
        <w:rPr>
          <w:rStyle w:val="AERtextitalic"/>
        </w:rPr>
        <w:t>Letter re: Consultation paper—Process for reviewing the rate of return guidelines</w:t>
      </w:r>
      <w:r w:rsidR="003F3255">
        <w:t xml:space="preserve">, August 2017; </w:t>
      </w:r>
      <w:r w:rsidR="00FD1237">
        <w:t xml:space="preserve">Major Energy Users, </w:t>
      </w:r>
      <w:r w:rsidR="00FD1237" w:rsidRPr="00041D6D">
        <w:rPr>
          <w:rStyle w:val="AERtextitalic"/>
        </w:rPr>
        <w:t>Process for reviewing the rate of return guidelines consultation paper</w:t>
      </w:r>
      <w:r w:rsidR="00FD1237">
        <w:t xml:space="preserve">, August 2017; </w:t>
      </w:r>
      <w:r w:rsidR="00347E13">
        <w:t xml:space="preserve">Spark Infrastructure, </w:t>
      </w:r>
      <w:r w:rsidR="00347E13" w:rsidRPr="00041D6D">
        <w:rPr>
          <w:rStyle w:val="AERtextitalic"/>
        </w:rPr>
        <w:t>Letter re: Process for reviewing the rate of return guidelines</w:t>
      </w:r>
      <w:r w:rsidR="00347E13">
        <w:t xml:space="preserve">, August 2017; </w:t>
      </w:r>
      <w:r w:rsidR="00DE29F8">
        <w:t xml:space="preserve">APA, </w:t>
      </w:r>
      <w:r w:rsidR="00DE29F8" w:rsidRPr="00041D6D">
        <w:rPr>
          <w:rStyle w:val="AERtextitalic"/>
        </w:rPr>
        <w:t>APA submission on rate of return review consultation paper</w:t>
      </w:r>
      <w:r w:rsidR="00DE29F8">
        <w:t xml:space="preserve">, August 2017; Essential Energy, </w:t>
      </w:r>
      <w:r w:rsidR="00DE29F8" w:rsidRPr="00041D6D">
        <w:rPr>
          <w:rStyle w:val="AERtextitalic"/>
        </w:rPr>
        <w:t>Essential Energy submission to the rate of return guideline review process consultation paper</w:t>
      </w:r>
      <w:r w:rsidR="00DE29F8">
        <w:t xml:space="preserve">, August 2017; Tasmanian Council of Social Service, </w:t>
      </w:r>
      <w:r w:rsidR="00DE29F8" w:rsidRPr="00041D6D">
        <w:rPr>
          <w:rStyle w:val="AERtextitalic"/>
        </w:rPr>
        <w:t>Submission to the AER consultation paper: Process for reviewing the rate of return guidelines</w:t>
      </w:r>
      <w:r w:rsidR="00DE29F8">
        <w:t xml:space="preserve">, August 2017; Energex and Ergon Energy, </w:t>
      </w:r>
      <w:r w:rsidR="00DE29F8" w:rsidRPr="00041D6D">
        <w:rPr>
          <w:rStyle w:val="AERtextitalic"/>
        </w:rPr>
        <w:t>Process for reviewing the rate of return guidelines—Consultation paper</w:t>
      </w:r>
      <w:r w:rsidR="00DE29F8">
        <w:t xml:space="preserve">, August 2017; </w:t>
      </w:r>
      <w:r w:rsidR="003E5C73">
        <w:t xml:space="preserve">Public Interest Advocacy Centre, </w:t>
      </w:r>
      <w:r w:rsidR="003E5C73" w:rsidRPr="00041D6D">
        <w:rPr>
          <w:rStyle w:val="AERtextitalic"/>
        </w:rPr>
        <w:t>Submission on process for reviewing the rate of return guidelines</w:t>
      </w:r>
      <w:r w:rsidR="003E5C73">
        <w:t xml:space="preserve">, August 2017. </w:t>
      </w:r>
      <w:proofErr w:type="gramStart"/>
      <w:r w:rsidR="003E5C73">
        <w:t xml:space="preserve">Queensland Electricity Users Network, </w:t>
      </w:r>
      <w:r w:rsidR="003E5C73" w:rsidRPr="00041D6D">
        <w:rPr>
          <w:rStyle w:val="AERtextitalic"/>
        </w:rPr>
        <w:t>Submission to the AER on the process for reviewing the rate of return guideline</w:t>
      </w:r>
      <w:r w:rsidR="003E5C73">
        <w:t>, August 2017.</w:t>
      </w:r>
      <w:proofErr w:type="gramEnd"/>
    </w:p>
    <w:p w:rsidR="0004380A" w:rsidRPr="0004380A" w:rsidRDefault="0004380A" w:rsidP="00033591">
      <w:pPr>
        <w:pStyle w:val="AERtablesource"/>
        <w:ind w:left="1020" w:hanging="1020"/>
      </w:pPr>
      <w:r>
        <w:t xml:space="preserve">Notes: </w:t>
      </w:r>
      <w:r>
        <w:tab/>
      </w:r>
      <w:r>
        <w:tab/>
        <w:t xml:space="preserve">We have tried to capture instances where the </w:t>
      </w:r>
      <w:proofErr w:type="gramStart"/>
      <w:r>
        <w:t>substance of particular submissions overlap</w:t>
      </w:r>
      <w:proofErr w:type="gramEnd"/>
      <w:r>
        <w:t xml:space="preserve"> and have attributed a single description of the issue to all submissions that we understand to be making the same argument. For the specific language used by individual stakeholders, we recommend reading the full submissions as published on our website.</w:t>
      </w:r>
    </w:p>
    <w:p w:rsidR="00EB096A" w:rsidRDefault="00EB096A" w:rsidP="00EB096A">
      <w:pPr>
        <w:pStyle w:val="Heading2"/>
      </w:pPr>
      <w:bookmarkStart w:id="47" w:name="_Ref498594041"/>
      <w:r>
        <w:t xml:space="preserve">Our </w:t>
      </w:r>
      <w:bookmarkEnd w:id="46"/>
      <w:r w:rsidR="00352A83">
        <w:t>position</w:t>
      </w:r>
      <w:bookmarkEnd w:id="47"/>
    </w:p>
    <w:p w:rsidR="00D96295" w:rsidRDefault="00D96295" w:rsidP="00D96295">
      <w:pPr>
        <w:pStyle w:val="HeadingBoldItalic"/>
      </w:pPr>
      <w:r>
        <w:t>Objective</w:t>
      </w:r>
    </w:p>
    <w:p w:rsidR="00FD5448" w:rsidRDefault="007A1055" w:rsidP="00885C31">
      <w:r>
        <w:t>In our view, the</w:t>
      </w:r>
      <w:r w:rsidR="00B87031">
        <w:t xml:space="preserve"> objective of the</w:t>
      </w:r>
      <w:r>
        <w:t xml:space="preserve"> independent panel </w:t>
      </w:r>
      <w:r w:rsidR="00B87031">
        <w:t>is to</w:t>
      </w:r>
      <w:r>
        <w:t xml:space="preserve"> </w:t>
      </w:r>
      <w:r w:rsidR="00721597">
        <w:t>assist the AER in making the best possible final guideline</w:t>
      </w:r>
      <w:r w:rsidR="00F40B49">
        <w:t xml:space="preserve"> by providing an</w:t>
      </w:r>
      <w:r w:rsidR="00893AE5">
        <w:t xml:space="preserve"> independent perspective on </w:t>
      </w:r>
      <w:r w:rsidR="004A5B16">
        <w:t>the development of the draft guideline.</w:t>
      </w:r>
      <w:r w:rsidR="00A339A3">
        <w:t xml:space="preserve"> </w:t>
      </w:r>
      <w:r w:rsidR="00860203">
        <w:t>In doing so, the independent panel should also promote stakeholder confidence in the guideline review process and confidence that the final guideline is capable of achieving the national gas and electricity objectives.</w:t>
      </w:r>
    </w:p>
    <w:p w:rsidR="00D96295" w:rsidRDefault="00D96295" w:rsidP="00D96295">
      <w:pPr>
        <w:pStyle w:val="HeadingBoldItalic"/>
      </w:pPr>
      <w:r>
        <w:t>What question will the panel be asked?</w:t>
      </w:r>
    </w:p>
    <w:p w:rsidR="00E47C71" w:rsidRDefault="00B94D86" w:rsidP="00E47C71">
      <w:r>
        <w:lastRenderedPageBreak/>
        <w:t>W</w:t>
      </w:r>
      <w:r w:rsidR="00DA3283">
        <w:t>e will ask t</w:t>
      </w:r>
      <w:r w:rsidR="00E47C71">
        <w:t>he independent panel to address the following question as part of the terms of reference.</w:t>
      </w:r>
    </w:p>
    <w:p w:rsidR="00E47C71" w:rsidRDefault="00E47C71" w:rsidP="00E47C71">
      <w:pPr>
        <w:pStyle w:val="AERquote"/>
      </w:pPr>
      <w:r w:rsidRPr="00E47C71">
        <w:t xml:space="preserve">In your view, is </w:t>
      </w:r>
      <w:r w:rsidR="00A74814">
        <w:t xml:space="preserve">the draft guideline supported by sound reasoning based on the available information such that it is capable of promoting achievement of the </w:t>
      </w:r>
      <w:r w:rsidR="00B426A1">
        <w:t>national gas and electricity objectives</w:t>
      </w:r>
      <w:r w:rsidR="00A74814">
        <w:t>?</w:t>
      </w:r>
    </w:p>
    <w:p w:rsidR="00E94B94" w:rsidRDefault="00E47C71" w:rsidP="00E94B94">
      <w:r>
        <w:t>This is a</w:t>
      </w:r>
      <w:r w:rsidR="00A74814">
        <w:t xml:space="preserve"> </w:t>
      </w:r>
      <w:r>
        <w:t xml:space="preserve">broader role for the panel </w:t>
      </w:r>
      <w:r w:rsidR="008B306C">
        <w:t>than we set out in</w:t>
      </w:r>
      <w:r w:rsidR="00E94B94">
        <w:t xml:space="preserve"> our consultation paper</w:t>
      </w:r>
      <w:r w:rsidR="00F40B49">
        <w:t xml:space="preserve">. </w:t>
      </w:r>
      <w:r w:rsidR="00FD294D">
        <w:t xml:space="preserve">In particular, while it still focusses on the chain of reasoning from the evidence we rely on to </w:t>
      </w:r>
      <w:r w:rsidR="00426C24">
        <w:t xml:space="preserve">make </w:t>
      </w:r>
      <w:r w:rsidR="00FD294D">
        <w:t xml:space="preserve">our decision, it asks the panel to consider this within the context of achieving the </w:t>
      </w:r>
      <w:r w:rsidR="00B426A1">
        <w:t>national gas and electricity objectives</w:t>
      </w:r>
      <w:r w:rsidR="00A74814">
        <w:t>.</w:t>
      </w:r>
      <w:r w:rsidR="00DF27EB">
        <w:rPr>
          <w:rStyle w:val="FootnoteReference"/>
        </w:rPr>
        <w:footnoteReference w:id="15"/>
      </w:r>
      <w:r w:rsidR="00A74814">
        <w:t xml:space="preserve"> In our consultation paper,</w:t>
      </w:r>
      <w:r w:rsidR="008B306C">
        <w:t xml:space="preserve"> </w:t>
      </w:r>
      <w:r w:rsidR="00E94B94">
        <w:t>we proposed a role for the independent panel</w:t>
      </w:r>
      <w:r w:rsidR="00AE0D80">
        <w:t xml:space="preserve"> as follows:</w:t>
      </w:r>
      <w:r w:rsidR="00AE0D80">
        <w:rPr>
          <w:rStyle w:val="FootnoteReference"/>
        </w:rPr>
        <w:footnoteReference w:id="16"/>
      </w:r>
    </w:p>
    <w:p w:rsidR="00AE0D80" w:rsidRDefault="00AE0D80" w:rsidP="00AE0D80">
      <w:pPr>
        <w:pStyle w:val="AERquote"/>
      </w:pPr>
      <w:r>
        <w:t>[o]</w:t>
      </w:r>
      <w:proofErr w:type="spellStart"/>
      <w:proofErr w:type="gramStart"/>
      <w:r>
        <w:t>ur</w:t>
      </w:r>
      <w:proofErr w:type="spellEnd"/>
      <w:proofErr w:type="gramEnd"/>
      <w:r>
        <w:t xml:space="preserve"> preliminary view is that the terms of reference would ask the panel to assess whether we have undertaken an effective review process; engaged with the material before us with an open mind; and have reached a decision that is supported by our stated reasons and the information available to us.</w:t>
      </w:r>
    </w:p>
    <w:p w:rsidR="007A1055" w:rsidRDefault="00F40F31" w:rsidP="00AE0D80">
      <w:r>
        <w:t>Several s</w:t>
      </w:r>
      <w:r w:rsidR="008B306C">
        <w:t>ubmissions</w:t>
      </w:r>
      <w:r w:rsidR="00AE0D80">
        <w:t xml:space="preserve"> on the consultation paper </w:t>
      </w:r>
      <w:r w:rsidR="008B306C">
        <w:t xml:space="preserve">also </w:t>
      </w:r>
      <w:r w:rsidR="00AE0D80">
        <w:t xml:space="preserve">called </w:t>
      </w:r>
      <w:r w:rsidR="00E47C71">
        <w:t>for a wider scope than</w:t>
      </w:r>
      <w:r w:rsidR="007412A4">
        <w:t xml:space="preserve"> </w:t>
      </w:r>
      <w:r w:rsidR="00860203">
        <w:t>the</w:t>
      </w:r>
      <w:r w:rsidR="007412A4">
        <w:t xml:space="preserve"> preliminary view</w:t>
      </w:r>
      <w:r w:rsidR="00E47C71">
        <w:t xml:space="preserve"> se</w:t>
      </w:r>
      <w:r w:rsidR="006F4E3D">
        <w:t xml:space="preserve">t out in </w:t>
      </w:r>
      <w:r w:rsidR="007412A4">
        <w:t>the consultation paper</w:t>
      </w:r>
      <w:r w:rsidR="006F4E3D">
        <w:t xml:space="preserve">. </w:t>
      </w:r>
      <w:r w:rsidR="008B306C">
        <w:t>Most stakeholders</w:t>
      </w:r>
      <w:r w:rsidR="006F4E3D">
        <w:t xml:space="preserve"> recommended that the panel should address the </w:t>
      </w:r>
      <w:r w:rsidR="00860203">
        <w:t xml:space="preserve">draft guideline </w:t>
      </w:r>
      <w:r w:rsidR="00254876">
        <w:t>itself and</w:t>
      </w:r>
      <w:r w:rsidR="008B306C">
        <w:t xml:space="preserve"> the evidence relied on</w:t>
      </w:r>
      <w:r w:rsidR="007A1055">
        <w:t>, rather than</w:t>
      </w:r>
      <w:r w:rsidR="008B306C">
        <w:t xml:space="preserve"> being restricted to</w:t>
      </w:r>
      <w:r w:rsidR="007A1055">
        <w:t xml:space="preserve"> the process and explanation of judgements that lead to the draft guideline.</w:t>
      </w:r>
    </w:p>
    <w:p w:rsidR="00611B3A" w:rsidRDefault="00C47573" w:rsidP="00DB69C9">
      <w:r>
        <w:t xml:space="preserve">However, we consider it is possible for the panel to give an independent perspective on the </w:t>
      </w:r>
      <w:r w:rsidR="00A74814">
        <w:t>soundness of the reasoning based on the available information</w:t>
      </w:r>
      <w:r>
        <w:t>.</w:t>
      </w:r>
      <w:r w:rsidR="00352A83">
        <w:t xml:space="preserve"> </w:t>
      </w:r>
      <w:r w:rsidR="007412A4">
        <w:t>To promote this outcome, the independent panel:</w:t>
      </w:r>
    </w:p>
    <w:p w:rsidR="00DB69C9" w:rsidRDefault="007412A4" w:rsidP="00885C31">
      <w:pPr>
        <w:pStyle w:val="AERbulletlistfirststyle"/>
      </w:pPr>
      <w:r>
        <w:t>Will produce a report at the draft guideline stage which we will have regard to in making a final guideline</w:t>
      </w:r>
    </w:p>
    <w:p w:rsidR="007412A4" w:rsidRDefault="00DB69C9" w:rsidP="00885C31">
      <w:pPr>
        <w:pStyle w:val="AERbulletlistfirststyle"/>
      </w:pPr>
      <w:r>
        <w:t>Will comment on the draft guideline, and will not be asked to propose its own alternative or amended guideline</w:t>
      </w:r>
      <w:r w:rsidR="007412A4">
        <w:t>.</w:t>
      </w:r>
      <w:r>
        <w:t xml:space="preserve">  </w:t>
      </w:r>
    </w:p>
    <w:p w:rsidR="0005296B" w:rsidRPr="00041D6D" w:rsidRDefault="0005296B" w:rsidP="00041D6D">
      <w:r w:rsidRPr="00041D6D">
        <w:t>Equally, it is important that the independent panel does not become a ‘second regulator’. Estimation of the rate of return is complex and reasonable minds may differ about certain specifics of estimation methodologies. For this reason, the role of the independent panel is not to have a separate body propose its preferred means of promoting the NEO and NGO. This would not promote the best regulatory process, and could lead to different rather than better outcomes.</w:t>
      </w:r>
    </w:p>
    <w:p w:rsidR="004A5B16" w:rsidRDefault="004A5B16" w:rsidP="004A5B16">
      <w:pPr>
        <w:pStyle w:val="HeadingItalic"/>
      </w:pPr>
      <w:r>
        <w:t>Factors to consider</w:t>
      </w:r>
    </w:p>
    <w:p w:rsidR="004A5B16" w:rsidRDefault="004A5B16" w:rsidP="004A5B16">
      <w:r>
        <w:t xml:space="preserve">To guide the independent panel’s consideration in addressing that question, the terms of reference will </w:t>
      </w:r>
      <w:r w:rsidR="00315428">
        <w:t>require the panel to consider</w:t>
      </w:r>
      <w:r>
        <w:t xml:space="preserve"> the following factors:</w:t>
      </w:r>
    </w:p>
    <w:p w:rsidR="004A5B16" w:rsidRDefault="004A5B16" w:rsidP="004A5B16">
      <w:pPr>
        <w:pStyle w:val="AERbulletlistfirststyle"/>
      </w:pPr>
      <w:r w:rsidRPr="004A5B16">
        <w:lastRenderedPageBreak/>
        <w:t>The impact of the guideline as a whole rather than issue-by-issue analysis</w:t>
      </w:r>
    </w:p>
    <w:p w:rsidR="004A5B16" w:rsidRDefault="004A5B16" w:rsidP="004A5B16">
      <w:pPr>
        <w:pStyle w:val="AERbulletlistfirststyle"/>
      </w:pPr>
      <w:r w:rsidRPr="004A5B16">
        <w:t xml:space="preserve">The revenue and pricing principles in the </w:t>
      </w:r>
      <w:r w:rsidR="00734453">
        <w:t>NEL and NGL</w:t>
      </w:r>
    </w:p>
    <w:p w:rsidR="00A609A0" w:rsidRDefault="00A609A0" w:rsidP="004A5B16">
      <w:pPr>
        <w:pStyle w:val="AERbulletlistfirststyle"/>
      </w:pPr>
      <w:r>
        <w:t xml:space="preserve">The rate of return provisions in the </w:t>
      </w:r>
      <w:r w:rsidR="00734453">
        <w:t>NER and NGR</w:t>
      </w:r>
    </w:p>
    <w:p w:rsidR="00A421A3" w:rsidRDefault="00A421A3" w:rsidP="004A5B16">
      <w:pPr>
        <w:pStyle w:val="AERbulletlistfirststyle"/>
      </w:pPr>
      <w:r>
        <w:t>COAG EC’s ongoing reforms to implement a binding rate of return instrument.</w:t>
      </w:r>
    </w:p>
    <w:p w:rsidR="004A5B16" w:rsidRDefault="004A5B16" w:rsidP="000851B9">
      <w:pPr>
        <w:pStyle w:val="AERbulletlistfirststyle"/>
      </w:pPr>
      <w:r w:rsidRPr="004A5B16">
        <w:t>Whether the AER has had regard to relevant information in reaching its conclusions</w:t>
      </w:r>
    </w:p>
    <w:p w:rsidR="004A5B16" w:rsidRDefault="004A5B16" w:rsidP="000851B9">
      <w:pPr>
        <w:pStyle w:val="AERbulletlistfirststyle"/>
      </w:pPr>
      <w:r w:rsidRPr="004A5B16">
        <w:t>Whether there is a clear link between the AER’s conclusions and the information</w:t>
      </w:r>
      <w:r w:rsidR="00626AD1">
        <w:t xml:space="preserve"> on which</w:t>
      </w:r>
      <w:r w:rsidRPr="004A5B16">
        <w:t xml:space="preserve"> it relied </w:t>
      </w:r>
    </w:p>
    <w:p w:rsidR="004A5B16" w:rsidRDefault="004A5B16" w:rsidP="000851B9">
      <w:pPr>
        <w:pStyle w:val="AERbulletlistfirststyle"/>
      </w:pPr>
      <w:r w:rsidRPr="004A5B16">
        <w:t>Whether, in your view, the methodology set out in the draft guideline will allow stakeholders to replicate the AER’s estimate at a point in time</w:t>
      </w:r>
    </w:p>
    <w:p w:rsidR="004A5B16" w:rsidRPr="00A5673F" w:rsidRDefault="004A5B16" w:rsidP="000851B9">
      <w:pPr>
        <w:pStyle w:val="AERbulletlistfirststyle"/>
      </w:pPr>
      <w:r w:rsidRPr="004A5B16">
        <w:t xml:space="preserve">Interactions with other components </w:t>
      </w:r>
      <w:r w:rsidR="005443C4">
        <w:t xml:space="preserve">of our regulatory determinations </w:t>
      </w:r>
      <w:r w:rsidRPr="004A5B16">
        <w:t>and the relevant rules impacting estimation of those components</w:t>
      </w:r>
    </w:p>
    <w:p w:rsidR="004A5B16" w:rsidRDefault="004A5B16" w:rsidP="004A5B16">
      <w:r>
        <w:t>Our reasons for including these factors are as follows:</w:t>
      </w:r>
    </w:p>
    <w:p w:rsidR="004A5B16" w:rsidRDefault="00626AD1" w:rsidP="00642896">
      <w:pPr>
        <w:pStyle w:val="Caption"/>
        <w:ind w:left="1360" w:hanging="1360"/>
      </w:pPr>
      <w:r>
        <w:t xml:space="preserve">Table </w:t>
      </w:r>
      <w:r w:rsidR="00E07C46">
        <w:fldChar w:fldCharType="begin"/>
      </w:r>
      <w:r w:rsidR="00E07C46">
        <w:instrText xml:space="preserve"> SEQ Table \* ARABIC </w:instrText>
      </w:r>
      <w:r w:rsidR="00E07C46">
        <w:fldChar w:fldCharType="separate"/>
      </w:r>
      <w:r>
        <w:rPr>
          <w:noProof/>
        </w:rPr>
        <w:t>5</w:t>
      </w:r>
      <w:r w:rsidR="00E07C46">
        <w:rPr>
          <w:noProof/>
        </w:rPr>
        <w:fldChar w:fldCharType="end"/>
      </w:r>
      <w:r>
        <w:tab/>
        <w:t xml:space="preserve">Reasons for the specific factors to which the panel should have regard </w:t>
      </w:r>
    </w:p>
    <w:tbl>
      <w:tblPr>
        <w:tblStyle w:val="AERtable-text0"/>
        <w:tblW w:w="0" w:type="auto"/>
        <w:tblLook w:val="04A0" w:firstRow="1" w:lastRow="0" w:firstColumn="1" w:lastColumn="0" w:noHBand="0" w:noVBand="1"/>
      </w:tblPr>
      <w:tblGrid>
        <w:gridCol w:w="4346"/>
        <w:gridCol w:w="4347"/>
      </w:tblGrid>
      <w:tr w:rsidR="004A5B16" w:rsidTr="004315A9">
        <w:trPr>
          <w:cnfStyle w:val="100000000000" w:firstRow="1" w:lastRow="0" w:firstColumn="0" w:lastColumn="0" w:oddVBand="0" w:evenVBand="0" w:oddHBand="0" w:evenHBand="0" w:firstRowFirstColumn="0" w:firstRowLastColumn="0" w:lastRowFirstColumn="0" w:lastRowLastColumn="0"/>
        </w:trPr>
        <w:tc>
          <w:tcPr>
            <w:tcW w:w="4346" w:type="dxa"/>
          </w:tcPr>
          <w:p w:rsidR="004A5B16" w:rsidRDefault="004A5B16" w:rsidP="004315A9">
            <w:r>
              <w:t>Factor</w:t>
            </w:r>
          </w:p>
        </w:tc>
        <w:tc>
          <w:tcPr>
            <w:tcW w:w="4347" w:type="dxa"/>
          </w:tcPr>
          <w:p w:rsidR="004A5B16" w:rsidRDefault="004A5B16" w:rsidP="004315A9">
            <w:r>
              <w:t>Comments</w:t>
            </w:r>
          </w:p>
        </w:tc>
      </w:tr>
      <w:tr w:rsidR="004A5B16" w:rsidTr="004315A9">
        <w:tc>
          <w:tcPr>
            <w:tcW w:w="4346" w:type="dxa"/>
            <w:vAlign w:val="top"/>
          </w:tcPr>
          <w:p w:rsidR="004A5B16" w:rsidRPr="00B3433F" w:rsidRDefault="004A5B16" w:rsidP="004315A9">
            <w:r w:rsidRPr="00B3433F">
              <w:t>The impact of the guideline as a whole rather than issue-by-issue analysis</w:t>
            </w:r>
            <w:r w:rsidRPr="00B3433F">
              <w:br/>
            </w:r>
          </w:p>
        </w:tc>
        <w:tc>
          <w:tcPr>
            <w:tcW w:w="4347" w:type="dxa"/>
          </w:tcPr>
          <w:p w:rsidR="004A5B16" w:rsidRDefault="004A5B16" w:rsidP="008C4800">
            <w:r>
              <w:t xml:space="preserve">This will encourage the independent panel to engage with </w:t>
            </w:r>
            <w:r w:rsidR="008C4800">
              <w:t>potential</w:t>
            </w:r>
            <w:r>
              <w:t xml:space="preserve"> trade-offs</w:t>
            </w:r>
            <w:r w:rsidR="008C4800">
              <w:t xml:space="preserve"> and to focus on the overall achievement of the national gas and electricity objectives</w:t>
            </w:r>
          </w:p>
        </w:tc>
      </w:tr>
      <w:tr w:rsidR="004A5B16" w:rsidTr="004315A9">
        <w:trPr>
          <w:cnfStyle w:val="000000010000" w:firstRow="0" w:lastRow="0" w:firstColumn="0" w:lastColumn="0" w:oddVBand="0" w:evenVBand="0" w:oddHBand="0" w:evenHBand="1" w:firstRowFirstColumn="0" w:firstRowLastColumn="0" w:lastRowFirstColumn="0" w:lastRowLastColumn="0"/>
        </w:trPr>
        <w:tc>
          <w:tcPr>
            <w:tcW w:w="4346" w:type="dxa"/>
            <w:vAlign w:val="top"/>
          </w:tcPr>
          <w:p w:rsidR="004A5B16" w:rsidRPr="00B3433F" w:rsidRDefault="004A5B16" w:rsidP="00734453">
            <w:r w:rsidRPr="00B3433F">
              <w:t xml:space="preserve">The revenue and pricing principles in the </w:t>
            </w:r>
            <w:r w:rsidR="00734453">
              <w:t>NGL and NEL</w:t>
            </w:r>
            <w:r w:rsidRPr="00B3433F">
              <w:br/>
            </w:r>
          </w:p>
        </w:tc>
        <w:tc>
          <w:tcPr>
            <w:tcW w:w="4347" w:type="dxa"/>
          </w:tcPr>
          <w:p w:rsidR="004A5B16" w:rsidRDefault="004A5B16" w:rsidP="008C4800">
            <w:r>
              <w:t xml:space="preserve">These add some practical guidance for the panel in interpreting the balance to be struck in promoting achievement of the </w:t>
            </w:r>
            <w:r w:rsidR="008C4800">
              <w:t>national gas and electricity objectives</w:t>
            </w:r>
          </w:p>
        </w:tc>
      </w:tr>
      <w:tr w:rsidR="008F0BEF" w:rsidTr="004315A9">
        <w:tc>
          <w:tcPr>
            <w:tcW w:w="4346" w:type="dxa"/>
            <w:vAlign w:val="top"/>
          </w:tcPr>
          <w:p w:rsidR="008F0BEF" w:rsidRPr="00B3433F" w:rsidRDefault="008F0BEF" w:rsidP="00734453">
            <w:r w:rsidRPr="008F0BEF">
              <w:t xml:space="preserve">The rate of return provisions in the </w:t>
            </w:r>
            <w:r w:rsidR="00734453">
              <w:t>NER and NGR</w:t>
            </w:r>
            <w:r w:rsidR="00B71007">
              <w:t>. The panel should also have regard to any material reform underway.</w:t>
            </w:r>
          </w:p>
        </w:tc>
        <w:tc>
          <w:tcPr>
            <w:tcW w:w="4347" w:type="dxa"/>
          </w:tcPr>
          <w:p w:rsidR="008F0BEF" w:rsidRDefault="008F0BEF">
            <w:r>
              <w:t>While the NEO and the NGO should most prominently guide the panel’s thinking, it is important that the panel also has regard to the relevant rate of return provisions in the national electricity and gas rules as they impact directly on our decision-making.</w:t>
            </w:r>
          </w:p>
        </w:tc>
      </w:tr>
      <w:tr w:rsidR="00303491" w:rsidTr="004315A9">
        <w:trPr>
          <w:cnfStyle w:val="000000010000" w:firstRow="0" w:lastRow="0" w:firstColumn="0" w:lastColumn="0" w:oddVBand="0" w:evenVBand="0" w:oddHBand="0" w:evenHBand="1" w:firstRowFirstColumn="0" w:firstRowLastColumn="0" w:lastRowFirstColumn="0" w:lastRowLastColumn="0"/>
        </w:trPr>
        <w:tc>
          <w:tcPr>
            <w:tcW w:w="4346" w:type="dxa"/>
            <w:vAlign w:val="top"/>
          </w:tcPr>
          <w:p w:rsidR="00303491" w:rsidRPr="008F0BEF" w:rsidRDefault="00303491" w:rsidP="00303491">
            <w:r>
              <w:t>COAG EC’s ongoing reforms to implement a binding rate of return instrument.</w:t>
            </w:r>
          </w:p>
        </w:tc>
        <w:tc>
          <w:tcPr>
            <w:tcW w:w="4347" w:type="dxa"/>
          </w:tcPr>
          <w:p w:rsidR="00303491" w:rsidRDefault="00303491" w:rsidP="00867CF8">
            <w:r w:rsidRPr="00303491">
              <w:t>As part of the COAG Energy Council’s proposed implementation of a binding guideline, there will need to be changes to the rules framework for estimating the rate of return. This is because the framework for the current non-binding guideline is specified within the national gas and electricity rule</w:t>
            </w:r>
            <w:r>
              <w:t xml:space="preserve">s. </w:t>
            </w:r>
            <w:r w:rsidR="00867CF8">
              <w:t xml:space="preserve">When the independent panel has regard to the current rules framework, it should also have regard to whatever information is available about the framework that would result from the reform process. </w:t>
            </w:r>
          </w:p>
        </w:tc>
      </w:tr>
      <w:tr w:rsidR="004A5B16" w:rsidTr="004315A9">
        <w:tc>
          <w:tcPr>
            <w:tcW w:w="4346" w:type="dxa"/>
            <w:vAlign w:val="top"/>
          </w:tcPr>
          <w:p w:rsidR="004A5B16" w:rsidRPr="00B3433F" w:rsidRDefault="004A5B16" w:rsidP="004315A9">
            <w:r w:rsidRPr="00B3433F">
              <w:t>Whether the AER has had regard to relevant information in reaching its conclusions</w:t>
            </w:r>
            <w:r w:rsidRPr="00B3433F">
              <w:br/>
            </w:r>
          </w:p>
        </w:tc>
        <w:tc>
          <w:tcPr>
            <w:tcW w:w="4347" w:type="dxa"/>
          </w:tcPr>
          <w:p w:rsidR="004A5B16" w:rsidRDefault="004A5B16" w:rsidP="004445C2">
            <w:r>
              <w:t xml:space="preserve">This is a typical requirement to assess the procedural </w:t>
            </w:r>
            <w:r w:rsidR="004445C2">
              <w:t xml:space="preserve">fairness </w:t>
            </w:r>
            <w:r>
              <w:t>of a decision.</w:t>
            </w:r>
          </w:p>
        </w:tc>
      </w:tr>
      <w:tr w:rsidR="004A5B16" w:rsidTr="004315A9">
        <w:trPr>
          <w:cnfStyle w:val="000000010000" w:firstRow="0" w:lastRow="0" w:firstColumn="0" w:lastColumn="0" w:oddVBand="0" w:evenVBand="0" w:oddHBand="0" w:evenHBand="1" w:firstRowFirstColumn="0" w:firstRowLastColumn="0" w:lastRowFirstColumn="0" w:lastRowLastColumn="0"/>
        </w:trPr>
        <w:tc>
          <w:tcPr>
            <w:tcW w:w="4346" w:type="dxa"/>
            <w:vAlign w:val="top"/>
          </w:tcPr>
          <w:p w:rsidR="004A5B16" w:rsidRPr="00B3433F" w:rsidRDefault="004A5B16" w:rsidP="00626AD1">
            <w:r w:rsidRPr="00B3433F">
              <w:t>Whether there is a clear link between the AER’s conclusions and the information</w:t>
            </w:r>
            <w:r w:rsidR="00626AD1">
              <w:t xml:space="preserve"> on which</w:t>
            </w:r>
            <w:r w:rsidRPr="00B3433F">
              <w:t xml:space="preserve"> it relied </w:t>
            </w:r>
            <w:r w:rsidRPr="00B3433F">
              <w:br/>
            </w:r>
          </w:p>
        </w:tc>
        <w:tc>
          <w:tcPr>
            <w:tcW w:w="4347" w:type="dxa"/>
          </w:tcPr>
          <w:p w:rsidR="004A5B16" w:rsidRDefault="004445C2" w:rsidP="004315A9">
            <w:r>
              <w:t xml:space="preserve">Estimation of the rate of return is complex and reasonable minds may disagree on aspects of the guideline. As a result, it is critical that there is a clear chain of logic between information and conclusions. </w:t>
            </w:r>
            <w:r w:rsidR="004A5B16">
              <w:t>Stakeholders signalled at the pre-issues paper forum that this was an important requirement to have confidence in the process</w:t>
            </w:r>
          </w:p>
        </w:tc>
      </w:tr>
      <w:tr w:rsidR="004A5B16" w:rsidTr="004315A9">
        <w:tc>
          <w:tcPr>
            <w:tcW w:w="4346" w:type="dxa"/>
            <w:vAlign w:val="top"/>
          </w:tcPr>
          <w:p w:rsidR="004A5B16" w:rsidRPr="00B3433F" w:rsidRDefault="004A5B16" w:rsidP="00626AD1">
            <w:r w:rsidRPr="00B3433F">
              <w:t xml:space="preserve">Whether, in </w:t>
            </w:r>
            <w:r w:rsidR="00626AD1">
              <w:t>the panel’s</w:t>
            </w:r>
            <w:r w:rsidR="00626AD1" w:rsidRPr="00B3433F">
              <w:t xml:space="preserve"> </w:t>
            </w:r>
            <w:r w:rsidRPr="00B3433F">
              <w:t xml:space="preserve">view, the methodology set out in </w:t>
            </w:r>
            <w:r w:rsidRPr="00B3433F">
              <w:lastRenderedPageBreak/>
              <w:t>the draft guideline will allow stakeholders to replicate the AER’s estimate at a point in time</w:t>
            </w:r>
            <w:r w:rsidRPr="00B3433F">
              <w:br/>
            </w:r>
          </w:p>
        </w:tc>
        <w:tc>
          <w:tcPr>
            <w:tcW w:w="4347" w:type="dxa"/>
          </w:tcPr>
          <w:p w:rsidR="004A5B16" w:rsidRDefault="004445C2" w:rsidP="004315A9">
            <w:r>
              <w:lastRenderedPageBreak/>
              <w:t xml:space="preserve">Linked to the above point, we consider stakeholders </w:t>
            </w:r>
            <w:r>
              <w:lastRenderedPageBreak/>
              <w:t>should be able to read the guideline and then replicate to</w:t>
            </w:r>
            <w:r w:rsidR="00214DF3">
              <w:t xml:space="preserve"> </w:t>
            </w:r>
            <w:r>
              <w:t xml:space="preserve">a reasonable degree of accuracy our estimates at a point in time. This is important for transparency and predictability. </w:t>
            </w:r>
            <w:r w:rsidR="004A5B16">
              <w:t xml:space="preserve">Stakeholders signalled at the pre-issues paper forum that this was an important requirement to have confidence in the process </w:t>
            </w:r>
          </w:p>
        </w:tc>
      </w:tr>
      <w:tr w:rsidR="004A5B16" w:rsidTr="004315A9">
        <w:trPr>
          <w:cnfStyle w:val="000000010000" w:firstRow="0" w:lastRow="0" w:firstColumn="0" w:lastColumn="0" w:oddVBand="0" w:evenVBand="0" w:oddHBand="0" w:evenHBand="1" w:firstRowFirstColumn="0" w:firstRowLastColumn="0" w:lastRowFirstColumn="0" w:lastRowLastColumn="0"/>
        </w:trPr>
        <w:tc>
          <w:tcPr>
            <w:tcW w:w="4346" w:type="dxa"/>
            <w:vAlign w:val="top"/>
          </w:tcPr>
          <w:p w:rsidR="004A5B16" w:rsidRPr="00B3433F" w:rsidRDefault="004A5B16" w:rsidP="005443C4">
            <w:r w:rsidRPr="00B3433F">
              <w:lastRenderedPageBreak/>
              <w:t xml:space="preserve">Interactions with other components </w:t>
            </w:r>
            <w:r w:rsidR="005443C4">
              <w:t xml:space="preserve">of our regulatory determinations </w:t>
            </w:r>
            <w:r w:rsidRPr="00B3433F">
              <w:t>and the relevant rules impacting estimation of those components</w:t>
            </w:r>
          </w:p>
        </w:tc>
        <w:tc>
          <w:tcPr>
            <w:tcW w:w="4347" w:type="dxa"/>
          </w:tcPr>
          <w:p w:rsidR="004A5B16" w:rsidRDefault="004A5B16" w:rsidP="004315A9">
            <w:r>
              <w:t>This is to make sure that any views from the panel are made in the context of the existing building block revenue framework and having reference to other relevant factors (for example, any methodologies defined in the binding PTRM/RFM methodologies)</w:t>
            </w:r>
          </w:p>
        </w:tc>
      </w:tr>
    </w:tbl>
    <w:p w:rsidR="004A5B16" w:rsidRDefault="004A5B16" w:rsidP="004A5B16">
      <w:pPr>
        <w:pStyle w:val="HeadingBoldItalic"/>
      </w:pPr>
      <w:r>
        <w:t xml:space="preserve">Why the </w:t>
      </w:r>
      <w:r w:rsidR="005443C4">
        <w:t>national gas and electricity objectives</w:t>
      </w:r>
      <w:r>
        <w:t>?</w:t>
      </w:r>
    </w:p>
    <w:p w:rsidR="006A1858" w:rsidRDefault="006A1858" w:rsidP="00885C31">
      <w:r>
        <w:t>Under the current rules, we set the allowed rate of return to achieve the national gas and electricity objectives and the allowed rate of return objective.</w:t>
      </w:r>
      <w:r w:rsidRPr="00885C31">
        <w:t xml:space="preserve"> </w:t>
      </w:r>
      <w:r>
        <w:t xml:space="preserve">In setting the allowed rate of return, we must also have regard to the revenue and pricing principles. </w:t>
      </w:r>
    </w:p>
    <w:p w:rsidR="006A1858" w:rsidRDefault="006A1858" w:rsidP="006A1858">
      <w:r>
        <w:t>The national gas and electricity objectives require promoting efficient investment in, and efficient operation and use of, energy network services for the long-term interests of energy consumers.</w:t>
      </w:r>
      <w:r w:rsidRPr="00885C31">
        <w:t xml:space="preserve"> </w:t>
      </w:r>
      <w:r>
        <w:t xml:space="preserve">The national gas and electricity objectives govern every aspect of our regulatory determinations and have primacy, including over the allowed rate of return objective. </w:t>
      </w:r>
    </w:p>
    <w:p w:rsidR="006A1858" w:rsidRDefault="006A1858" w:rsidP="006A1858">
      <w:r>
        <w:t>The allowed rate of return objective is a rate of return commensurate with efficient financing costs and the risks involved in providing energy network services.</w:t>
      </w:r>
    </w:p>
    <w:p w:rsidR="004A5B16" w:rsidRDefault="004A5B16" w:rsidP="006A1858">
      <w:r>
        <w:t>Some stakeholders submitted that the independent panel should be asked to consider whether the draft guideline is capable of achieving the allowed rate of return objective. We agree that the panel’s deliberations should by shaped by the relevant decision-making framework, however in our view this should</w:t>
      </w:r>
      <w:r w:rsidR="00613A2A">
        <w:t xml:space="preserve"> primarily</w:t>
      </w:r>
      <w:r>
        <w:t xml:space="preserve"> be the </w:t>
      </w:r>
      <w:r w:rsidR="005443C4">
        <w:t>national gas</w:t>
      </w:r>
      <w:r>
        <w:t xml:space="preserve"> and </w:t>
      </w:r>
      <w:r w:rsidR="005443C4">
        <w:t>electricity objectives</w:t>
      </w:r>
      <w:r>
        <w:t xml:space="preserve"> with reference to the revenue and pricing principles. </w:t>
      </w:r>
      <w:r w:rsidR="00613A2A">
        <w:t xml:space="preserve">As such we have specified the NEO and NGO within the panel’s primary question, and have listed the relevant rate of return provisions in the rules as a factor for the panel to have </w:t>
      </w:r>
      <w:proofErr w:type="gramStart"/>
      <w:r w:rsidR="00613A2A">
        <w:t>regard</w:t>
      </w:r>
      <w:proofErr w:type="gramEnd"/>
      <w:r w:rsidR="00613A2A">
        <w:t xml:space="preserve"> to. </w:t>
      </w:r>
      <w:r>
        <w:t>We hold this view for the following reasons:</w:t>
      </w:r>
    </w:p>
    <w:p w:rsidR="004A5B16" w:rsidRDefault="006A1858" w:rsidP="00885C31">
      <w:pPr>
        <w:pStyle w:val="AERbulletlistfirststyle"/>
      </w:pPr>
      <w:r>
        <w:t>T</w:t>
      </w:r>
      <w:r w:rsidR="004A5B16">
        <w:t xml:space="preserve">he </w:t>
      </w:r>
      <w:r w:rsidR="005443C4">
        <w:t>national gas</w:t>
      </w:r>
      <w:r w:rsidR="004A5B16">
        <w:t xml:space="preserve"> and </w:t>
      </w:r>
      <w:r w:rsidR="005443C4">
        <w:t>electricity objectives</w:t>
      </w:r>
      <w:r w:rsidR="004A5B16">
        <w:t xml:space="preserve"> are the overarching objectives for the </w:t>
      </w:r>
      <w:r>
        <w:t xml:space="preserve">entire energy regulatory </w:t>
      </w:r>
      <w:r w:rsidR="004A5B16">
        <w:t>framework. Rather than focus simply on the technical exercise of estimating the rate of return, it is important the approach we determine should be capable of contributing to achievement of those overall objectives.</w:t>
      </w:r>
    </w:p>
    <w:p w:rsidR="004A5B16" w:rsidRDefault="004A5B16" w:rsidP="00885C31">
      <w:pPr>
        <w:pStyle w:val="AERbulletlistfirststyle"/>
      </w:pPr>
      <w:r>
        <w:t xml:space="preserve">In our view, a focus on the </w:t>
      </w:r>
      <w:r w:rsidR="005443C4">
        <w:t>national gas and electricity</w:t>
      </w:r>
      <w:r>
        <w:t xml:space="preserve"> objectives </w:t>
      </w:r>
      <w:r w:rsidR="005443C4">
        <w:t xml:space="preserve">and the revenue and pricing principles </w:t>
      </w:r>
      <w:r>
        <w:t>will still engage with the key concepts</w:t>
      </w:r>
      <w:r w:rsidR="005443C4">
        <w:rPr>
          <w:rStyle w:val="FootnoteReference"/>
        </w:rPr>
        <w:footnoteReference w:id="17"/>
      </w:r>
      <w:r>
        <w:t xml:space="preserve"> required to </w:t>
      </w:r>
      <w:r w:rsidR="006A1858">
        <w:t>promote</w:t>
      </w:r>
      <w:r>
        <w:t xml:space="preserve"> </w:t>
      </w:r>
      <w:r w:rsidR="006A1858">
        <w:t>the allowed</w:t>
      </w:r>
      <w:r>
        <w:t xml:space="preserve"> rate of return</w:t>
      </w:r>
      <w:r w:rsidR="006A1858">
        <w:t xml:space="preserve"> objective</w:t>
      </w:r>
      <w:r>
        <w:t>, but will do so in a way that draws out the overall objective of the framework.</w:t>
      </w:r>
      <w:r w:rsidR="005443C4" w:rsidRPr="005443C4">
        <w:rPr>
          <w:rStyle w:val="FootnoteReference"/>
        </w:rPr>
        <w:t xml:space="preserve"> </w:t>
      </w:r>
    </w:p>
    <w:p w:rsidR="007412A4" w:rsidRDefault="006A1858" w:rsidP="00885C31">
      <w:pPr>
        <w:pStyle w:val="AERbulletlistfirststyle"/>
      </w:pPr>
      <w:r>
        <w:t>A</w:t>
      </w:r>
      <w:r w:rsidR="004A5B16">
        <w:t>s part of the COAG Energy Council’s proposed implementation of</w:t>
      </w:r>
      <w:r w:rsidR="005443C4">
        <w:t xml:space="preserve"> </w:t>
      </w:r>
      <w:r w:rsidR="004A5B16">
        <w:t xml:space="preserve">a binding guideline, there will need to be changes to the rules framework for estimating the </w:t>
      </w:r>
      <w:r w:rsidR="004A5B16">
        <w:lastRenderedPageBreak/>
        <w:t xml:space="preserve">rate of return. This is because the framework for the current non-binding guideline is specified within the </w:t>
      </w:r>
      <w:r w:rsidR="005443C4">
        <w:t>national gas and electricity rules</w:t>
      </w:r>
      <w:r w:rsidR="004A5B16">
        <w:t>. Given there is uncertainty about the ultimate rules framework, it is in our view preferable from a process perspective that the</w:t>
      </w:r>
      <w:r w:rsidR="00613A2A">
        <w:t xml:space="preserve"> key</w:t>
      </w:r>
      <w:r w:rsidR="004A5B16">
        <w:t xml:space="preserve"> question asked of the panel relates to the </w:t>
      </w:r>
      <w:r w:rsidR="005443C4">
        <w:t>national gas</w:t>
      </w:r>
      <w:r w:rsidR="004A5B16">
        <w:t xml:space="preserve"> and </w:t>
      </w:r>
      <w:r w:rsidR="005443C4">
        <w:t>electricity objectives</w:t>
      </w:r>
      <w:r w:rsidR="004A5B16">
        <w:t xml:space="preserve"> which we expect to remain consistent.</w:t>
      </w:r>
      <w:r w:rsidR="00613A2A">
        <w:t xml:space="preserve"> The panel can then have regard to the current rules framework as well as any rules framework changes underway at the time of the review.</w:t>
      </w:r>
    </w:p>
    <w:p w:rsidR="00D96295" w:rsidRDefault="00D96295" w:rsidP="00D96295">
      <w:pPr>
        <w:pStyle w:val="HeadingBoldItalic"/>
      </w:pPr>
      <w:r>
        <w:t>Selection of panel members</w:t>
      </w:r>
    </w:p>
    <w:p w:rsidR="00885C31" w:rsidRDefault="006F4E3D" w:rsidP="00E47C71">
      <w:r>
        <w:t xml:space="preserve">We will commence a process of identifying and contacting potential panel members following the release of this </w:t>
      </w:r>
      <w:r w:rsidR="0047515D">
        <w:t xml:space="preserve">positions </w:t>
      </w:r>
      <w:r>
        <w:t>paper, using the attached terms of reference as a guide</w:t>
      </w:r>
      <w:r w:rsidR="008F1308">
        <w:t xml:space="preserve"> to the expected role of the panel</w:t>
      </w:r>
      <w:r>
        <w:t>.</w:t>
      </w:r>
      <w:r w:rsidR="008F1308">
        <w:t xml:space="preserve"> </w:t>
      </w:r>
      <w:r w:rsidR="00885C31">
        <w:t>We will make the ultimate decision on the panel members. However, we will consider submissions from stakeholders on the classes of individual or specific individuals that they recommend to be considered for the panel. Where stakeholders wish to recommend a specific individual, they should do so confidentially to avoid creating difficulties for those nominated in case they are either unavailable or ultimately not selected.</w:t>
      </w:r>
    </w:p>
    <w:p w:rsidR="00220450" w:rsidRDefault="00220450" w:rsidP="00E47C71">
      <w:r>
        <w:t>In selecting panel members, we will have regard to the following factors:</w:t>
      </w:r>
    </w:p>
    <w:p w:rsidR="00220450" w:rsidRDefault="00220450" w:rsidP="00642896">
      <w:pPr>
        <w:pStyle w:val="Caption"/>
        <w:ind w:left="1360" w:hanging="1360"/>
      </w:pPr>
      <w:r>
        <w:t xml:space="preserve">Table </w:t>
      </w:r>
      <w:r w:rsidR="00E07C46">
        <w:fldChar w:fldCharType="begin"/>
      </w:r>
      <w:r w:rsidR="00E07C46">
        <w:instrText xml:space="preserve"> SEQ Table \* ARABIC </w:instrText>
      </w:r>
      <w:r w:rsidR="00E07C46">
        <w:fldChar w:fldCharType="separate"/>
      </w:r>
      <w:r w:rsidR="00626AD1">
        <w:rPr>
          <w:noProof/>
        </w:rPr>
        <w:t>6</w:t>
      </w:r>
      <w:r w:rsidR="00E07C46">
        <w:rPr>
          <w:noProof/>
        </w:rPr>
        <w:fldChar w:fldCharType="end"/>
      </w:r>
      <w:r>
        <w:tab/>
        <w:t xml:space="preserve">Factors we will have regard to in </w:t>
      </w:r>
      <w:r w:rsidR="00626AD1">
        <w:t xml:space="preserve">considering potential </w:t>
      </w:r>
      <w:r>
        <w:t>independent panel members</w:t>
      </w:r>
    </w:p>
    <w:tbl>
      <w:tblPr>
        <w:tblStyle w:val="AERtable-text0"/>
        <w:tblW w:w="0" w:type="auto"/>
        <w:tblLook w:val="04A0" w:firstRow="1" w:lastRow="0" w:firstColumn="1" w:lastColumn="0" w:noHBand="0" w:noVBand="1"/>
      </w:tblPr>
      <w:tblGrid>
        <w:gridCol w:w="4346"/>
        <w:gridCol w:w="4347"/>
      </w:tblGrid>
      <w:tr w:rsidR="00220450" w:rsidTr="00885C31">
        <w:trPr>
          <w:cnfStyle w:val="100000000000" w:firstRow="1" w:lastRow="0" w:firstColumn="0" w:lastColumn="0" w:oddVBand="0" w:evenVBand="0" w:oddHBand="0" w:evenHBand="0" w:firstRowFirstColumn="0" w:firstRowLastColumn="0" w:lastRowFirstColumn="0" w:lastRowLastColumn="0"/>
        </w:trPr>
        <w:tc>
          <w:tcPr>
            <w:tcW w:w="4346" w:type="dxa"/>
          </w:tcPr>
          <w:p w:rsidR="00220450" w:rsidRDefault="00220450" w:rsidP="00E47C71">
            <w:r>
              <w:t>Factor</w:t>
            </w:r>
          </w:p>
        </w:tc>
        <w:tc>
          <w:tcPr>
            <w:tcW w:w="4347" w:type="dxa"/>
          </w:tcPr>
          <w:p w:rsidR="00220450" w:rsidRDefault="00220450" w:rsidP="00E47C71">
            <w:r>
              <w:t>Comments</w:t>
            </w:r>
          </w:p>
        </w:tc>
      </w:tr>
      <w:tr w:rsidR="00220450" w:rsidTr="00885C31">
        <w:tc>
          <w:tcPr>
            <w:tcW w:w="4346" w:type="dxa"/>
          </w:tcPr>
          <w:p w:rsidR="00220450" w:rsidRDefault="008505AE" w:rsidP="001E3868">
            <w:r>
              <w:t xml:space="preserve">Panel members should have relevant finance, economic, regulatory, consumer </w:t>
            </w:r>
            <w:r w:rsidR="001E3868">
              <w:t xml:space="preserve">perspectives </w:t>
            </w:r>
            <w:r>
              <w:t xml:space="preserve">or </w:t>
            </w:r>
            <w:r w:rsidR="00885C31">
              <w:t xml:space="preserve">institutional </w:t>
            </w:r>
            <w:r>
              <w:t>investment expertise.</w:t>
            </w:r>
          </w:p>
        </w:tc>
        <w:tc>
          <w:tcPr>
            <w:tcW w:w="4347" w:type="dxa"/>
            <w:vAlign w:val="top"/>
          </w:tcPr>
          <w:p w:rsidR="008505AE" w:rsidRDefault="008505AE" w:rsidP="001F5DF5">
            <w:r>
              <w:t>This is a wider range of relevant experience than we identified in our preliminary positions in the consultation paper. In our view, an independent panel review with respect to the NEO and NGO will require the panel to engage with the range of factors and technical expertise required to achieve those objectives. As such, we propose also to include potential panel members with backgrounds in investment or consumer affairs.</w:t>
            </w:r>
          </w:p>
          <w:p w:rsidR="008505AE" w:rsidRDefault="008505AE" w:rsidP="001F5DF5">
            <w:r>
              <w:t>Importantly, the final make-up of the panel will depend on the availability of suitable panel members. However, to the extent achievable, we will seek to establish a panel representing this range of backgrounds.</w:t>
            </w:r>
          </w:p>
        </w:tc>
      </w:tr>
      <w:tr w:rsidR="008505AE" w:rsidTr="00885C31">
        <w:trPr>
          <w:cnfStyle w:val="000000010000" w:firstRow="0" w:lastRow="0" w:firstColumn="0" w:lastColumn="0" w:oddVBand="0" w:evenVBand="0" w:oddHBand="0" w:evenHBand="1" w:firstRowFirstColumn="0" w:firstRowLastColumn="0" w:lastRowFirstColumn="0" w:lastRowLastColumn="0"/>
        </w:trPr>
        <w:tc>
          <w:tcPr>
            <w:tcW w:w="4346" w:type="dxa"/>
          </w:tcPr>
          <w:p w:rsidR="008505AE" w:rsidRDefault="008505AE" w:rsidP="00885C31">
            <w:r w:rsidRPr="00F55A93">
              <w:t xml:space="preserve">Panel members </w:t>
            </w:r>
            <w:r w:rsidR="00A609A0">
              <w:t>should</w:t>
            </w:r>
            <w:r w:rsidRPr="00F55A93">
              <w:t xml:space="preserve"> not have been engaged to provide advice </w:t>
            </w:r>
            <w:r w:rsidR="00885C31">
              <w:t>in</w:t>
            </w:r>
            <w:r w:rsidRPr="00F55A93">
              <w:t xml:space="preserve"> any AER regulatory determination processes within the preceding 2 years.</w:t>
            </w:r>
            <w:r>
              <w:t xml:space="preserve"> Similarly, panel members </w:t>
            </w:r>
            <w:r w:rsidR="00A609A0">
              <w:t>should</w:t>
            </w:r>
            <w:r>
              <w:t xml:space="preserve"> not have participated in or presided in Australian Competition Tribunal proceedings within the preceding 2 years.</w:t>
            </w:r>
          </w:p>
        </w:tc>
        <w:tc>
          <w:tcPr>
            <w:tcW w:w="4347" w:type="dxa"/>
          </w:tcPr>
          <w:p w:rsidR="008505AE" w:rsidRDefault="008505AE" w:rsidP="008505AE">
            <w:r>
              <w:t xml:space="preserve">Some stakeholders recommended that our proposed criteria for excluding panel members that have provided advice within two years would exclude relevant potential panel members. We agree that the criteria </w:t>
            </w:r>
            <w:r w:rsidR="00A609A0">
              <w:t>could</w:t>
            </w:r>
            <w:r>
              <w:t xml:space="preserve"> exclude potential panel members with relevant expertise, however:</w:t>
            </w:r>
          </w:p>
          <w:p w:rsidR="008505AE" w:rsidRDefault="008505AE" w:rsidP="008505AE">
            <w:r>
              <w:t>•</w:t>
            </w:r>
            <w:r>
              <w:tab/>
              <w:t xml:space="preserve">In our view it is essential that the panel is independent and seen as independent by stakeholders. </w:t>
            </w:r>
          </w:p>
          <w:p w:rsidR="008505AE" w:rsidRDefault="008505AE" w:rsidP="008505AE">
            <w:r>
              <w:t>•</w:t>
            </w:r>
            <w:r>
              <w:tab/>
              <w:t>There are other opportunities such as submissions and the hot-tubbing sessions in which those other parties could contribute their perspectives to the process</w:t>
            </w:r>
          </w:p>
        </w:tc>
      </w:tr>
      <w:tr w:rsidR="008505AE" w:rsidTr="00271941">
        <w:tc>
          <w:tcPr>
            <w:tcW w:w="4346" w:type="dxa"/>
          </w:tcPr>
          <w:p w:rsidR="008505AE" w:rsidRDefault="008505AE">
            <w:r w:rsidRPr="001F5DF5">
              <w:t xml:space="preserve">Panel members </w:t>
            </w:r>
            <w:r w:rsidR="00A609A0">
              <w:t>should</w:t>
            </w:r>
            <w:r w:rsidRPr="001F5DF5">
              <w:t xml:space="preserve"> be available for the </w:t>
            </w:r>
            <w:r>
              <w:t>ten weeks</w:t>
            </w:r>
            <w:r w:rsidRPr="001F5DF5">
              <w:t xml:space="preserve"> following publication of the draft rate of return guidelines</w:t>
            </w:r>
            <w:r w:rsidRPr="008505AE">
              <w:t>.</w:t>
            </w:r>
          </w:p>
        </w:tc>
        <w:tc>
          <w:tcPr>
            <w:tcW w:w="4347" w:type="dxa"/>
          </w:tcPr>
          <w:p w:rsidR="008505AE" w:rsidRDefault="008505AE" w:rsidP="001F5DF5">
            <w:r>
              <w:t xml:space="preserve">We will only engage panel members where they are available on a sufficient basis over the full duration of the report’s preparation. We do not expect that independent panel members will work full time over the 10 weeks, but we will aim to engage them for the equivalent of 1 full day </w:t>
            </w:r>
            <w:r>
              <w:lastRenderedPageBreak/>
              <w:t>per week.</w:t>
            </w:r>
          </w:p>
        </w:tc>
      </w:tr>
    </w:tbl>
    <w:p w:rsidR="00642896" w:rsidRDefault="00642896" w:rsidP="00E47C71"/>
    <w:p w:rsidR="00C74553" w:rsidRDefault="008B306C" w:rsidP="00E47C71">
      <w:r>
        <w:t xml:space="preserve">Broadly, we will aim to </w:t>
      </w:r>
      <w:r w:rsidR="00C74553">
        <w:t xml:space="preserve">appoint five panel members to </w:t>
      </w:r>
      <w:r>
        <w:t>capture a range of relevant experience in the panel which could include: regulatory, finance and economic academia, consumer affairs, investment etc.</w:t>
      </w:r>
      <w:r w:rsidR="003F6016">
        <w:t xml:space="preserve"> </w:t>
      </w:r>
      <w:r w:rsidR="00C74553">
        <w:t xml:space="preserve">We have chosen a five-member panel to accommodate </w:t>
      </w:r>
      <w:r w:rsidR="001E3868">
        <w:t>a</w:t>
      </w:r>
      <w:r w:rsidR="00C74553">
        <w:t xml:space="preserve"> diversity of views, and to mitigate against circumstances where a panel member might need to drop out of the process due to unforeseen reasons.</w:t>
      </w:r>
    </w:p>
    <w:p w:rsidR="008B306C" w:rsidRDefault="001E3868" w:rsidP="00E47C71">
      <w:r>
        <w:t>The skills and background we are seeking for the panel include</w:t>
      </w:r>
      <w:r w:rsidR="003F6016">
        <w:t>:</w:t>
      </w:r>
    </w:p>
    <w:p w:rsidR="003F6016" w:rsidRDefault="003F6016" w:rsidP="00885C31">
      <w:pPr>
        <w:pStyle w:val="AERbulletlistfirststyle"/>
      </w:pPr>
      <w:r>
        <w:t xml:space="preserve">Finance and/or economic background will assist the panel in comprehension of the more technical aspects of the guideline development process. However, it is not the role of the panel to substitute for or duplicate the input of the experts already participating in the review. </w:t>
      </w:r>
      <w:r w:rsidR="00540FFC">
        <w:t xml:space="preserve">Rather, the panel will consider whether our decisions in the draft guideline are based on sound reasoning, including by reference to that previous expert input. </w:t>
      </w:r>
      <w:r>
        <w:t xml:space="preserve">Also, our view is that the decisions making up the guideline and the evidence on which they are based should ultimately be understandable to stakeholders without having this expertise. As a result, we do not think </w:t>
      </w:r>
      <w:r w:rsidR="00540FFC">
        <w:t xml:space="preserve">that all </w:t>
      </w:r>
      <w:r>
        <w:t xml:space="preserve">panel </w:t>
      </w:r>
      <w:r w:rsidR="00540FFC">
        <w:t>members will need to have a finance or economic background</w:t>
      </w:r>
      <w:r>
        <w:t>.</w:t>
      </w:r>
    </w:p>
    <w:p w:rsidR="003F6016" w:rsidRDefault="00540FFC" w:rsidP="00885C31">
      <w:pPr>
        <w:pStyle w:val="AERbulletlistfirststyle"/>
      </w:pPr>
      <w:r>
        <w:t xml:space="preserve">Regulators typically have experience in </w:t>
      </w:r>
      <w:r w:rsidR="008373DB">
        <w:t>considering competing evidence</w:t>
      </w:r>
      <w:r>
        <w:t xml:space="preserve"> </w:t>
      </w:r>
      <w:r w:rsidR="00A421A3">
        <w:t>to</w:t>
      </w:r>
      <w:r>
        <w:t xml:space="preserve"> make decisions which will directly impact on stakeholders. Such </w:t>
      </w:r>
      <w:r w:rsidR="003F6016">
        <w:t xml:space="preserve">experience should assist the panel in forming views on whether the decisions in the guideline </w:t>
      </w:r>
      <w:r w:rsidR="00460A45">
        <w:t>are</w:t>
      </w:r>
      <w:r w:rsidR="003F6016">
        <w:t xml:space="preserve"> based on sound reasoning and a chain of logic that can be followed from evidence to decision.</w:t>
      </w:r>
      <w:r w:rsidR="00460A45">
        <w:t xml:space="preserve"> </w:t>
      </w:r>
    </w:p>
    <w:p w:rsidR="0091030C" w:rsidRDefault="003F6016" w:rsidP="00885C31">
      <w:pPr>
        <w:pStyle w:val="AERbulletlistfirststyle"/>
      </w:pPr>
      <w:r w:rsidRPr="004A5B16">
        <w:t xml:space="preserve">Experience in consumer </w:t>
      </w:r>
      <w:r w:rsidR="00E66E81">
        <w:t>perspectives</w:t>
      </w:r>
      <w:r w:rsidR="00E66E81" w:rsidRPr="004A5B16">
        <w:t xml:space="preserve"> </w:t>
      </w:r>
      <w:r w:rsidRPr="004A5B16">
        <w:t>is important</w:t>
      </w:r>
      <w:r w:rsidR="0091030C" w:rsidRPr="000851B9">
        <w:t xml:space="preserve"> </w:t>
      </w:r>
      <w:r w:rsidR="0091030C" w:rsidRPr="00A5673F">
        <w:t>to have on the panel because the ultimate objective of the regulatory framework is focussed on promoting the long term interests</w:t>
      </w:r>
      <w:r w:rsidR="0091030C" w:rsidRPr="00FA115B">
        <w:t xml:space="preserve"> of consumers. In our view, it is important that the panel </w:t>
      </w:r>
      <w:r w:rsidR="0091030C" w:rsidRPr="009E4D7D">
        <w:t xml:space="preserve">review the </w:t>
      </w:r>
      <w:r w:rsidR="0091030C" w:rsidRPr="004315A9">
        <w:t>draft guideline from a perspective where decisions are clearly linked to how they promote those long term interests. In our view, panel members with consumer-focussed experience are best placed to provide this perspective.</w:t>
      </w:r>
    </w:p>
    <w:p w:rsidR="0091030C" w:rsidRPr="004A5B16" w:rsidRDefault="00885C31" w:rsidP="00885C31">
      <w:pPr>
        <w:pStyle w:val="AERbulletlistfirststyle"/>
      </w:pPr>
      <w:r>
        <w:t>Institutional i</w:t>
      </w:r>
      <w:r w:rsidR="00460A45">
        <w:t>nvestment experience overlaps to some extent with the benefits of finance and/or economic background. However, in our view it is desirable if possible to also have the perspective of panel members with investment experience as distinct from simply having technical familiarity with rate of return issues. This should assist the panel in evaluating whether the replicability and transparency of the methodology is sufficient to promote investor confidence and thus efficient investment.</w:t>
      </w:r>
    </w:p>
    <w:p w:rsidR="00B87031" w:rsidRDefault="00B87031" w:rsidP="00B87031">
      <w:pPr>
        <w:pStyle w:val="HeadingBoldItalic"/>
      </w:pPr>
      <w:r>
        <w:t>Promoting independence</w:t>
      </w:r>
      <w:r w:rsidR="00B71F9B">
        <w:t xml:space="preserve"> and transparency</w:t>
      </w:r>
    </w:p>
    <w:p w:rsidR="00B87031" w:rsidRDefault="00B87031" w:rsidP="00B87031">
      <w:r>
        <w:t>We recognise that</w:t>
      </w:r>
      <w:r w:rsidR="00DA3283">
        <w:t xml:space="preserve"> clear mechanisms to preserve</w:t>
      </w:r>
      <w:r>
        <w:t xml:space="preserve"> the independence</w:t>
      </w:r>
      <w:r w:rsidR="00B71F9B">
        <w:t xml:space="preserve"> and transparency</w:t>
      </w:r>
      <w:r>
        <w:t xml:space="preserve"> of the panel </w:t>
      </w:r>
      <w:r w:rsidR="00DA3283">
        <w:t xml:space="preserve">are </w:t>
      </w:r>
      <w:proofErr w:type="gramStart"/>
      <w:r>
        <w:t>key</w:t>
      </w:r>
      <w:proofErr w:type="gramEnd"/>
      <w:r>
        <w:t xml:space="preserve"> to promoting confidence amongst stakeholders. </w:t>
      </w:r>
      <w:r w:rsidR="00DA3283">
        <w:t>These mechanisms are especially important in this case as the AER will fund participation of independent panel members. So, to reinforce stakeholder confidence in the independence and transparency of the panel’s review</w:t>
      </w:r>
      <w:r w:rsidR="00497246">
        <w:t>:</w:t>
      </w:r>
    </w:p>
    <w:p w:rsidR="00497246" w:rsidRDefault="001E7FC3" w:rsidP="00497246">
      <w:pPr>
        <w:pStyle w:val="AERbulletlistfirststyle"/>
      </w:pPr>
      <w:r>
        <w:lastRenderedPageBreak/>
        <w:t xml:space="preserve">We will engage the </w:t>
      </w:r>
      <w:r w:rsidR="00B71F9B">
        <w:t>panel using a publicly available terms of reference</w:t>
      </w:r>
    </w:p>
    <w:p w:rsidR="004973DB" w:rsidRDefault="004973DB" w:rsidP="00497246">
      <w:pPr>
        <w:pStyle w:val="AERbulletlistfirststyle"/>
      </w:pPr>
      <w:r>
        <w:t>We will only engage panel members where they have not provided advice to the AER or other stakeholders as part of a regulatory process within the past two years. As recommended in submissions, this will extend to members of the Australian Competition Tribunal that have considered appeals of AER determinations within the past two years.</w:t>
      </w:r>
    </w:p>
    <w:p w:rsidR="00B71F9B" w:rsidRDefault="00C475BE" w:rsidP="00497246">
      <w:pPr>
        <w:pStyle w:val="AERbulletlistfirststyle"/>
      </w:pPr>
      <w:r>
        <w:t>Any questions asked by the panel or meetings held with stakeholders or experts must have a minute of the meeting taken and published on the AER’s website so all stakeholders have access to it.</w:t>
      </w:r>
    </w:p>
    <w:p w:rsidR="00DA3283" w:rsidRDefault="004973DB">
      <w:pPr>
        <w:pStyle w:val="AERbulletlistfirststyle"/>
      </w:pPr>
      <w:r>
        <w:t>The panel will have responsibility for drafting its own report, which will be published in full (subject to a confidentiality check) on the AER’s website.</w:t>
      </w:r>
      <w:r w:rsidR="00540FFC">
        <w:t xml:space="preserve"> We expect panel members to strive to reach consensus, but will not restrict panel members from expressing </w:t>
      </w:r>
      <w:r w:rsidR="00A421A3">
        <w:t xml:space="preserve">differences of </w:t>
      </w:r>
      <w:r w:rsidR="00540FFC">
        <w:t>views within the report if that is the ultimate view of the members.</w:t>
      </w:r>
    </w:p>
    <w:p w:rsidR="00D96295" w:rsidRDefault="00D96295" w:rsidP="00D96295">
      <w:pPr>
        <w:pStyle w:val="HeadingBoldItalic"/>
      </w:pPr>
      <w:r>
        <w:t>When will the panel participate and for how long?</w:t>
      </w:r>
    </w:p>
    <w:p w:rsidR="00A94B0B" w:rsidRDefault="00A94B0B" w:rsidP="00A94B0B">
      <w:r>
        <w:t xml:space="preserve">We will convene the </w:t>
      </w:r>
      <w:r w:rsidR="007412A4">
        <w:t>independent</w:t>
      </w:r>
      <w:r>
        <w:t xml:space="preserve"> panel so it is ready to begin its review as soon as the draft guideline is released. This is scheduled to be in May 2018. </w:t>
      </w:r>
    </w:p>
    <w:p w:rsidR="00A94B0B" w:rsidRDefault="00A94B0B" w:rsidP="00A94B0B">
      <w:r>
        <w:t xml:space="preserve">Some stakeholders have proposed that the independent panel should be convened in time to participate in the concurrent evidence process. While this is an important source of evidence that the panel will have access to, </w:t>
      </w:r>
      <w:r w:rsidR="00030A10">
        <w:t xml:space="preserve">we do not see it as necessary for the panel to attend </w:t>
      </w:r>
      <w:r w:rsidR="00642B04">
        <w:t>concurrent evidence</w:t>
      </w:r>
      <w:r w:rsidR="00030A10">
        <w:t xml:space="preserve"> sessions when it will have access to a full transcript of the sessions and a published statement of agreed and disagreed positions.</w:t>
      </w:r>
      <w:r w:rsidR="00517309">
        <w:t xml:space="preserve"> Also, the panel will already be a significant time imposition on panel members. By extending the scope of that commitment leads to greater risk that potential panel members may be unavailable. </w:t>
      </w:r>
    </w:p>
    <w:p w:rsidR="00F32632" w:rsidRDefault="00F32632" w:rsidP="00A94B0B">
      <w:r>
        <w:t>We have specified in the terms of reference that the panel process will run for 50 business days commencing on release of the draft guideline. In choosing this window, we are aiming to balance:</w:t>
      </w:r>
    </w:p>
    <w:p w:rsidR="00F32632" w:rsidRDefault="00F32632" w:rsidP="00F32632">
      <w:pPr>
        <w:pStyle w:val="AERbulletlistfirststyle"/>
      </w:pPr>
      <w:r>
        <w:t>allowing the panel sufficient time and flexibility while working part-time to engage with the draft guideline</w:t>
      </w:r>
    </w:p>
    <w:p w:rsidR="00F32632" w:rsidRPr="00A94B0B" w:rsidRDefault="00F32632" w:rsidP="00F32632">
      <w:pPr>
        <w:pStyle w:val="AERbulletlistfirststyle"/>
      </w:pPr>
      <w:proofErr w:type="gramStart"/>
      <w:r>
        <w:t>providing</w:t>
      </w:r>
      <w:proofErr w:type="gramEnd"/>
      <w:r>
        <w:t xml:space="preserve"> sufficient time after completion of the panel’s report for both ourselves and stakeholders to engage fully with the panel’s findings in advance of making the final guideline.</w:t>
      </w:r>
    </w:p>
    <w:p w:rsidR="00220450" w:rsidRDefault="00220450" w:rsidP="00885C31">
      <w:pPr>
        <w:pStyle w:val="HeadingBoldItalic"/>
      </w:pPr>
      <w:r>
        <w:t>Access to information</w:t>
      </w:r>
    </w:p>
    <w:p w:rsidR="00220450" w:rsidRDefault="00220450" w:rsidP="001F5DF5">
      <w:r>
        <w:t xml:space="preserve">The independent panel will have access to all information submitted to the guideline review process, including submissions and the transcripts of the concurrent evidence sessions. </w:t>
      </w:r>
      <w:r w:rsidR="00540FFC">
        <w:t>T</w:t>
      </w:r>
      <w:r>
        <w:t xml:space="preserve">he panel will be asked to sign confidentiality undertakings to enable them to have regard to any confidential material we have </w:t>
      </w:r>
      <w:r w:rsidR="00642B04">
        <w:t>considered in</w:t>
      </w:r>
      <w:r w:rsidR="00033591">
        <w:t xml:space="preserve"> </w:t>
      </w:r>
      <w:r>
        <w:t xml:space="preserve">making the draft guideline. In order to prevent the release of any confidential material, we will undertake </w:t>
      </w:r>
      <w:r>
        <w:lastRenderedPageBreak/>
        <w:t>a confidentiality check of the independent panel’s report using the ACCC/AER’s confidentiality guideline prior to its release.</w:t>
      </w:r>
    </w:p>
    <w:p w:rsidR="000851B9" w:rsidRDefault="000851B9" w:rsidP="000851B9">
      <w:pPr>
        <w:pStyle w:val="HeadingBoldItalic"/>
      </w:pPr>
      <w:r>
        <w:t>The independent panel’s report</w:t>
      </w:r>
    </w:p>
    <w:p w:rsidR="000851B9" w:rsidRDefault="000851B9" w:rsidP="000851B9">
      <w:r w:rsidRPr="00611B3A">
        <w:t xml:space="preserve">The independent panel will detail its findings in a report which we will publish on our website. We will have regard to the independent panel’s </w:t>
      </w:r>
      <w:r w:rsidR="000C0F35">
        <w:t>report</w:t>
      </w:r>
      <w:r w:rsidR="000C0F35" w:rsidRPr="00611B3A">
        <w:t xml:space="preserve"> </w:t>
      </w:r>
      <w:r w:rsidRPr="00611B3A">
        <w:t>when making our final guideline. Importantly, the panel’s findings will not be binding. Instead, they will be an important and useful source of evidence that we will have regard to in our final decision and that stakeholders may have regard to in preparing submissions on the draft guideline.</w:t>
      </w:r>
    </w:p>
    <w:p w:rsidR="000851B9" w:rsidRDefault="000851B9" w:rsidP="000851B9">
      <w:r>
        <w:t xml:space="preserve">In practice, we expect the panel’s report will be an important addition to the body of evidence provided through the submission process and the concurrent evidence process. </w:t>
      </w:r>
    </w:p>
    <w:p w:rsidR="00F32632" w:rsidRPr="00F32632" w:rsidRDefault="00F32632" w:rsidP="001F5DF5"/>
    <w:p w:rsidR="00F32632" w:rsidRPr="00F32632" w:rsidRDefault="00F32632" w:rsidP="00F32632"/>
    <w:p w:rsidR="00622D02" w:rsidRDefault="00622D02" w:rsidP="0080607C">
      <w:pPr>
        <w:pStyle w:val="Heading1"/>
        <w:tabs>
          <w:tab w:val="clear" w:pos="680"/>
          <w:tab w:val="left" w:pos="993"/>
        </w:tabs>
        <w:ind w:left="993" w:hanging="993"/>
      </w:pPr>
      <w:bookmarkStart w:id="48" w:name="_Toc494800887"/>
      <w:r>
        <w:lastRenderedPageBreak/>
        <w:t>Concurrent</w:t>
      </w:r>
      <w:r w:rsidR="006706D6">
        <w:t xml:space="preserve"> expert</w:t>
      </w:r>
      <w:r>
        <w:t xml:space="preserve"> evidence sessions</w:t>
      </w:r>
      <w:bookmarkEnd w:id="48"/>
    </w:p>
    <w:p w:rsidR="00D055F9" w:rsidRPr="00EE533E" w:rsidRDefault="00D055F9" w:rsidP="00D055F9">
      <w:bookmarkStart w:id="49" w:name="_Toc494800888"/>
      <w:r w:rsidRPr="009177E3">
        <w:t>Expert advisers such as economic and finance consultants</w:t>
      </w:r>
      <w:r w:rsidR="00540FFC">
        <w:t xml:space="preserve"> and academics</w:t>
      </w:r>
      <w:r w:rsidRPr="009177E3">
        <w:t xml:space="preserve"> play a critical role in the development of the rate of return guideline</w:t>
      </w:r>
      <w:r>
        <w:t>s</w:t>
      </w:r>
      <w:r w:rsidRPr="009177E3">
        <w:t xml:space="preserve">. Rate of return issues are complex and often rely on the exercise of expert judgement to resolve. </w:t>
      </w:r>
      <w:r w:rsidR="003F75F0">
        <w:t xml:space="preserve">Concurrent evidence hearings, or </w:t>
      </w:r>
      <w:r w:rsidR="003F75F0" w:rsidRPr="009177E3">
        <w:t>‘hot-tubbing’ of expert advisers, are</w:t>
      </w:r>
      <w:r w:rsidRPr="009177E3">
        <w:t xml:space="preserve"> a mechanism through which we can have concurrent discussions with various experts that are participating in the guideline</w:t>
      </w:r>
      <w:r>
        <w:t>s</w:t>
      </w:r>
      <w:r w:rsidRPr="009177E3">
        <w:t xml:space="preserve"> review process. The mechanism has </w:t>
      </w:r>
      <w:r w:rsidR="00C249F4">
        <w:t>been used</w:t>
      </w:r>
      <w:r w:rsidRPr="009177E3">
        <w:t xml:space="preserve"> in both court and administrative settings. </w:t>
      </w:r>
    </w:p>
    <w:p w:rsidR="00EB096A" w:rsidRDefault="00EB096A" w:rsidP="0080607C">
      <w:pPr>
        <w:pStyle w:val="Heading2"/>
        <w:tabs>
          <w:tab w:val="clear" w:pos="680"/>
          <w:tab w:val="left" w:pos="993"/>
        </w:tabs>
        <w:ind w:left="993" w:hanging="993"/>
      </w:pPr>
      <w:r>
        <w:t>Consultation paper</w:t>
      </w:r>
      <w:bookmarkEnd w:id="49"/>
    </w:p>
    <w:p w:rsidR="006706D6" w:rsidRDefault="006706D6" w:rsidP="006706D6">
      <w:r>
        <w:t>In our consultation paper, we set out the following preliminary thoughts on the concurrent expert evidence (hot-tubbing) sessions:</w:t>
      </w:r>
    </w:p>
    <w:p w:rsidR="006706D6" w:rsidRPr="006706D6" w:rsidRDefault="006706D6" w:rsidP="00642896">
      <w:pPr>
        <w:keepNext/>
        <w:spacing w:before="240" w:after="120"/>
        <w:ind w:left="1360" w:hanging="1360"/>
        <w:rPr>
          <w:b/>
          <w:bCs/>
          <w:color w:val="076A92" w:themeColor="text1"/>
          <w:sz w:val="24"/>
          <w:szCs w:val="18"/>
        </w:rPr>
      </w:pPr>
      <w:proofErr w:type="gramStart"/>
      <w:r w:rsidRPr="006706D6">
        <w:rPr>
          <w:b/>
          <w:bCs/>
          <w:color w:val="076A92" w:themeColor="text1"/>
          <w:sz w:val="24"/>
          <w:szCs w:val="18"/>
        </w:rPr>
        <w:t xml:space="preserve">Table  </w:t>
      </w:r>
      <w:proofErr w:type="gramEnd"/>
      <w:r w:rsidRPr="006706D6">
        <w:rPr>
          <w:b/>
          <w:bCs/>
          <w:color w:val="076A92" w:themeColor="text1"/>
          <w:sz w:val="24"/>
          <w:szCs w:val="18"/>
        </w:rPr>
        <w:fldChar w:fldCharType="begin"/>
      </w:r>
      <w:r w:rsidRPr="006706D6">
        <w:rPr>
          <w:b/>
          <w:bCs/>
          <w:color w:val="076A92" w:themeColor="text1"/>
          <w:sz w:val="24"/>
          <w:szCs w:val="18"/>
        </w:rPr>
        <w:instrText xml:space="preserve"> SEQ Table \* ARABIC </w:instrText>
      </w:r>
      <w:r w:rsidRPr="006706D6">
        <w:rPr>
          <w:b/>
          <w:bCs/>
          <w:color w:val="076A92" w:themeColor="text1"/>
          <w:sz w:val="24"/>
          <w:szCs w:val="18"/>
        </w:rPr>
        <w:fldChar w:fldCharType="separate"/>
      </w:r>
      <w:r w:rsidR="00626AD1">
        <w:rPr>
          <w:b/>
          <w:bCs/>
          <w:noProof/>
          <w:color w:val="076A92" w:themeColor="text1"/>
          <w:sz w:val="24"/>
          <w:szCs w:val="18"/>
        </w:rPr>
        <w:t>7</w:t>
      </w:r>
      <w:r w:rsidRPr="006706D6">
        <w:rPr>
          <w:b/>
          <w:bCs/>
          <w:color w:val="076A92" w:themeColor="text1"/>
          <w:sz w:val="24"/>
          <w:szCs w:val="18"/>
        </w:rPr>
        <w:fldChar w:fldCharType="end"/>
      </w:r>
      <w:r w:rsidRPr="006706D6">
        <w:rPr>
          <w:b/>
          <w:bCs/>
          <w:color w:val="076A92" w:themeColor="text1"/>
          <w:sz w:val="24"/>
          <w:szCs w:val="18"/>
        </w:rPr>
        <w:tab/>
        <w:t xml:space="preserve">Preliminary thoughts on an </w:t>
      </w:r>
      <w:r>
        <w:rPr>
          <w:b/>
          <w:bCs/>
          <w:color w:val="076A92" w:themeColor="text1"/>
          <w:sz w:val="24"/>
          <w:szCs w:val="18"/>
        </w:rPr>
        <w:t>concurrent expert evidence sessions</w:t>
      </w:r>
      <w:r w:rsidR="00626AD1">
        <w:rPr>
          <w:b/>
          <w:bCs/>
          <w:color w:val="076A92" w:themeColor="text1"/>
          <w:sz w:val="24"/>
          <w:szCs w:val="18"/>
        </w:rPr>
        <w:t>— From our consultation paper</w:t>
      </w:r>
    </w:p>
    <w:tbl>
      <w:tblPr>
        <w:tblStyle w:val="AERtable-text3"/>
        <w:tblW w:w="0" w:type="auto"/>
        <w:tblLook w:val="04A0" w:firstRow="1" w:lastRow="0" w:firstColumn="1" w:lastColumn="0" w:noHBand="0" w:noVBand="1"/>
      </w:tblPr>
      <w:tblGrid>
        <w:gridCol w:w="1384"/>
        <w:gridCol w:w="7309"/>
      </w:tblGrid>
      <w:tr w:rsidR="006706D6" w:rsidRPr="006706D6" w:rsidTr="00DF27EB">
        <w:trPr>
          <w:cnfStyle w:val="100000000000" w:firstRow="1" w:lastRow="0" w:firstColumn="0" w:lastColumn="0" w:oddVBand="0" w:evenVBand="0" w:oddHBand="0" w:evenHBand="0" w:firstRowFirstColumn="0" w:firstRowLastColumn="0" w:lastRowFirstColumn="0" w:lastRowLastColumn="0"/>
        </w:trPr>
        <w:tc>
          <w:tcPr>
            <w:tcW w:w="1384" w:type="dxa"/>
          </w:tcPr>
          <w:p w:rsidR="006706D6" w:rsidRPr="006706D6" w:rsidRDefault="006706D6" w:rsidP="006706D6">
            <w:r w:rsidRPr="006706D6">
              <w:t>Issue</w:t>
            </w:r>
          </w:p>
        </w:tc>
        <w:tc>
          <w:tcPr>
            <w:tcW w:w="7309" w:type="dxa"/>
          </w:tcPr>
          <w:p w:rsidR="006706D6" w:rsidRPr="006706D6" w:rsidRDefault="006706D6" w:rsidP="006706D6">
            <w:r w:rsidRPr="006706D6">
              <w:t>AER's preliminary thoughts</w:t>
            </w:r>
          </w:p>
        </w:tc>
      </w:tr>
      <w:tr w:rsidR="006706D6" w:rsidRPr="006706D6" w:rsidTr="00DF27EB">
        <w:tc>
          <w:tcPr>
            <w:tcW w:w="1384" w:type="dxa"/>
          </w:tcPr>
          <w:p w:rsidR="006706D6" w:rsidRPr="006706D6" w:rsidRDefault="006706D6" w:rsidP="006706D6">
            <w:r w:rsidRPr="006706D6">
              <w:t>Purpose?</w:t>
            </w:r>
          </w:p>
        </w:tc>
        <w:tc>
          <w:tcPr>
            <w:tcW w:w="7309" w:type="dxa"/>
          </w:tcPr>
          <w:p w:rsidR="006706D6" w:rsidRPr="006706D6" w:rsidRDefault="006706D6" w:rsidP="006706D6">
            <w:r w:rsidRPr="006706D6">
              <w:t xml:space="preserve">The main purpose of the </w:t>
            </w:r>
            <w:r w:rsidR="00885C31">
              <w:t>concurrent expert evidence (</w:t>
            </w:r>
            <w:r w:rsidRPr="006706D6">
              <w:t>hot-tubbing</w:t>
            </w:r>
            <w:r w:rsidR="00885C31">
              <w:t>)</w:t>
            </w:r>
            <w:r w:rsidRPr="006706D6">
              <w:t xml:space="preserve"> session</w:t>
            </w:r>
            <w:r w:rsidR="00885C31">
              <w:t>s</w:t>
            </w:r>
            <w:r w:rsidRPr="006706D6">
              <w:t xml:space="preserve"> is to highlight material issues of agreement and disagreement between experts to aid us in consideration of submission material.  </w:t>
            </w:r>
          </w:p>
        </w:tc>
      </w:tr>
      <w:tr w:rsidR="006706D6" w:rsidRPr="006706D6" w:rsidTr="00DF27EB">
        <w:trPr>
          <w:cnfStyle w:val="000000010000" w:firstRow="0" w:lastRow="0" w:firstColumn="0" w:lastColumn="0" w:oddVBand="0" w:evenVBand="0" w:oddHBand="0" w:evenHBand="1" w:firstRowFirstColumn="0" w:firstRowLastColumn="0" w:lastRowFirstColumn="0" w:lastRowLastColumn="0"/>
        </w:trPr>
        <w:tc>
          <w:tcPr>
            <w:tcW w:w="1384" w:type="dxa"/>
          </w:tcPr>
          <w:p w:rsidR="006706D6" w:rsidRPr="006706D6" w:rsidRDefault="006706D6" w:rsidP="006706D6">
            <w:r w:rsidRPr="006706D6">
              <w:t>When?</w:t>
            </w:r>
          </w:p>
        </w:tc>
        <w:tc>
          <w:tcPr>
            <w:tcW w:w="7309" w:type="dxa"/>
          </w:tcPr>
          <w:p w:rsidR="006706D6" w:rsidRPr="006706D6" w:rsidRDefault="006706D6" w:rsidP="006706D6">
            <w:r w:rsidRPr="006706D6">
              <w:t>Beginning in February 2018. This allows time for stakeholders to make submissions on the issues paper and for these to shape the areas of expertise and issues to be discussed in the hot-tubbing sessions. We expect that we would be in a position to make invitations to experts to participate during March 2018.</w:t>
            </w:r>
            <w:r w:rsidRPr="006706D6">
              <w:br/>
            </w:r>
            <w:r w:rsidRPr="006706D6">
              <w:br/>
              <w:t xml:space="preserve">Following the </w:t>
            </w:r>
            <w:r w:rsidR="00885C31">
              <w:t>concurrent expert evidence (</w:t>
            </w:r>
            <w:r w:rsidRPr="006706D6">
              <w:t>hot-</w:t>
            </w:r>
            <w:proofErr w:type="gramStart"/>
            <w:r w:rsidRPr="006706D6">
              <w:t xml:space="preserve">tubbing </w:t>
            </w:r>
            <w:r w:rsidR="00885C31">
              <w:t>)</w:t>
            </w:r>
            <w:proofErr w:type="gramEnd"/>
            <w:r w:rsidR="00885C31">
              <w:t xml:space="preserve"> </w:t>
            </w:r>
            <w:r w:rsidRPr="006706D6">
              <w:t xml:space="preserve">sessions we will have approximately two months to take account of the 'hot-tubbing' discussions in making our draft decision. </w:t>
            </w:r>
          </w:p>
        </w:tc>
      </w:tr>
      <w:tr w:rsidR="006706D6" w:rsidRPr="006706D6" w:rsidTr="00DF27EB">
        <w:tc>
          <w:tcPr>
            <w:tcW w:w="1384" w:type="dxa"/>
          </w:tcPr>
          <w:p w:rsidR="006706D6" w:rsidRPr="006706D6" w:rsidRDefault="006706D6" w:rsidP="006706D6">
            <w:r w:rsidRPr="006706D6">
              <w:t>Who would participate?</w:t>
            </w:r>
          </w:p>
        </w:tc>
        <w:tc>
          <w:tcPr>
            <w:tcW w:w="7309" w:type="dxa"/>
          </w:tcPr>
          <w:p w:rsidR="006706D6" w:rsidRPr="006706D6" w:rsidRDefault="006706D6" w:rsidP="006706D6">
            <w:r w:rsidRPr="006706D6">
              <w:t xml:space="preserve">We will be responsible for establishing the meetings. </w:t>
            </w:r>
          </w:p>
          <w:p w:rsidR="006706D6" w:rsidRPr="006706D6" w:rsidRDefault="006706D6" w:rsidP="006706D6">
            <w:r w:rsidRPr="006706D6">
              <w:t xml:space="preserve">In our view it is important to retain some flexibility about how many and which experts would be involved in a </w:t>
            </w:r>
            <w:r w:rsidR="00885C31">
              <w:t>concurrent expert evidence (</w:t>
            </w:r>
            <w:r w:rsidRPr="006706D6">
              <w:t>hot-tubbing</w:t>
            </w:r>
            <w:r w:rsidR="00885C31">
              <w:t>)</w:t>
            </w:r>
            <w:r w:rsidRPr="006706D6">
              <w:t xml:space="preserve"> session. In making invitations to participate, we would aim to balance:</w:t>
            </w:r>
          </w:p>
          <w:p w:rsidR="006706D6" w:rsidRPr="006706D6" w:rsidRDefault="006706D6" w:rsidP="006706D6">
            <w:pPr>
              <w:numPr>
                <w:ilvl w:val="0"/>
                <w:numId w:val="2"/>
              </w:numPr>
              <w:tabs>
                <w:tab w:val="left" w:pos="340"/>
              </w:tabs>
              <w:ind w:left="357" w:hanging="357"/>
            </w:pPr>
            <w:r w:rsidRPr="006706D6">
              <w:t>making sure that the spectrum of views is well-represented</w:t>
            </w:r>
          </w:p>
          <w:p w:rsidR="006706D6" w:rsidRPr="006706D6" w:rsidRDefault="006706D6" w:rsidP="006706D6">
            <w:pPr>
              <w:numPr>
                <w:ilvl w:val="0"/>
                <w:numId w:val="2"/>
              </w:numPr>
              <w:tabs>
                <w:tab w:val="left" w:pos="340"/>
              </w:tabs>
              <w:ind w:left="357" w:hanging="357"/>
            </w:pPr>
            <w:r w:rsidRPr="006706D6">
              <w:t>keeping the number of participants at a manageable level to allow for effective discussion of the issues</w:t>
            </w:r>
          </w:p>
          <w:p w:rsidR="006706D6" w:rsidRPr="006706D6" w:rsidRDefault="006706D6" w:rsidP="006706D6">
            <w:r w:rsidRPr="006706D6">
              <w:t xml:space="preserve">We expect that we would go through this selection process for each scheduled </w:t>
            </w:r>
            <w:r w:rsidR="00885C31">
              <w:t>concurrent expert evidence (</w:t>
            </w:r>
            <w:r w:rsidRPr="006706D6">
              <w:t>hot-tubbing</w:t>
            </w:r>
            <w:r w:rsidR="00885C31">
              <w:t>)</w:t>
            </w:r>
            <w:r w:rsidRPr="006706D6">
              <w:t xml:space="preserve"> session, meaning the participating experts might vary across issues.</w:t>
            </w:r>
          </w:p>
        </w:tc>
      </w:tr>
      <w:tr w:rsidR="006706D6" w:rsidRPr="006706D6" w:rsidTr="00DF27EB">
        <w:trPr>
          <w:cnfStyle w:val="000000010000" w:firstRow="0" w:lastRow="0" w:firstColumn="0" w:lastColumn="0" w:oddVBand="0" w:evenVBand="0" w:oddHBand="0" w:evenHBand="1" w:firstRowFirstColumn="0" w:firstRowLastColumn="0" w:lastRowFirstColumn="0" w:lastRowLastColumn="0"/>
        </w:trPr>
        <w:tc>
          <w:tcPr>
            <w:tcW w:w="1384" w:type="dxa"/>
          </w:tcPr>
          <w:p w:rsidR="006706D6" w:rsidRPr="006706D6" w:rsidRDefault="006706D6" w:rsidP="006706D6">
            <w:r w:rsidRPr="006706D6">
              <w:t xml:space="preserve">How would the issues be divided? </w:t>
            </w:r>
          </w:p>
        </w:tc>
        <w:tc>
          <w:tcPr>
            <w:tcW w:w="7309" w:type="dxa"/>
          </w:tcPr>
          <w:p w:rsidR="006706D6" w:rsidRPr="006706D6" w:rsidRDefault="006706D6" w:rsidP="006706D6">
            <w:r w:rsidRPr="006706D6">
              <w:t xml:space="preserve">We propose to maintain some flexibility in the specific composition and timing of issues, but we expect it may be practical to divide </w:t>
            </w:r>
            <w:r w:rsidR="00885C31">
              <w:t>concurrent expert evidence (</w:t>
            </w:r>
            <w:r w:rsidRPr="006706D6">
              <w:t>hot-tubbing</w:t>
            </w:r>
            <w:r w:rsidR="00885C31">
              <w:t>)</w:t>
            </w:r>
            <w:r w:rsidRPr="006706D6">
              <w:t xml:space="preserve"> sessions based on specific content areas. For example, we might hold individual sessions on:</w:t>
            </w:r>
          </w:p>
          <w:p w:rsidR="006706D6" w:rsidRPr="006706D6" w:rsidRDefault="006706D6" w:rsidP="006706D6">
            <w:pPr>
              <w:numPr>
                <w:ilvl w:val="0"/>
                <w:numId w:val="2"/>
              </w:numPr>
              <w:tabs>
                <w:tab w:val="left" w:pos="340"/>
              </w:tabs>
              <w:ind w:left="357" w:hanging="357"/>
            </w:pPr>
            <w:r w:rsidRPr="006706D6">
              <w:t>Return on equity</w:t>
            </w:r>
          </w:p>
          <w:p w:rsidR="006706D6" w:rsidRPr="006706D6" w:rsidRDefault="006706D6" w:rsidP="006706D6">
            <w:pPr>
              <w:numPr>
                <w:ilvl w:val="0"/>
                <w:numId w:val="2"/>
              </w:numPr>
              <w:tabs>
                <w:tab w:val="left" w:pos="340"/>
              </w:tabs>
              <w:ind w:left="357" w:hanging="357"/>
            </w:pPr>
            <w:r w:rsidRPr="006706D6">
              <w:t>Return on debt</w:t>
            </w:r>
          </w:p>
          <w:p w:rsidR="006706D6" w:rsidRPr="006706D6" w:rsidRDefault="006706D6" w:rsidP="006706D6">
            <w:pPr>
              <w:numPr>
                <w:ilvl w:val="0"/>
                <w:numId w:val="2"/>
              </w:numPr>
              <w:tabs>
                <w:tab w:val="left" w:pos="340"/>
              </w:tabs>
              <w:ind w:left="357" w:hanging="357"/>
            </w:pPr>
            <w:r w:rsidRPr="006706D6">
              <w:t>Value of imputation credits</w:t>
            </w:r>
          </w:p>
          <w:p w:rsidR="006706D6" w:rsidRPr="006706D6" w:rsidRDefault="006706D6" w:rsidP="006706D6">
            <w:pPr>
              <w:numPr>
                <w:ilvl w:val="0"/>
                <w:numId w:val="2"/>
              </w:numPr>
              <w:tabs>
                <w:tab w:val="left" w:pos="340"/>
              </w:tabs>
              <w:ind w:left="357" w:hanging="357"/>
            </w:pPr>
            <w:r w:rsidRPr="006706D6">
              <w:t>Interrelationships and the overall rate of return.</w:t>
            </w:r>
          </w:p>
          <w:p w:rsidR="006706D6" w:rsidRPr="006706D6" w:rsidRDefault="006706D6" w:rsidP="006706D6">
            <w:r w:rsidRPr="006706D6">
              <w:t>We may wish to settle areas of agreement before exploring areas of potential disagreement between the experts.</w:t>
            </w:r>
          </w:p>
        </w:tc>
      </w:tr>
      <w:tr w:rsidR="006706D6" w:rsidRPr="006706D6" w:rsidTr="00DF27EB">
        <w:trPr>
          <w:cantSplit/>
        </w:trPr>
        <w:tc>
          <w:tcPr>
            <w:tcW w:w="1384" w:type="dxa"/>
          </w:tcPr>
          <w:p w:rsidR="006706D6" w:rsidRPr="006706D6" w:rsidRDefault="006706D6" w:rsidP="006706D6">
            <w:r w:rsidRPr="006706D6">
              <w:lastRenderedPageBreak/>
              <w:t>What would be the outcome of the hot-tubbing process?</w:t>
            </w:r>
          </w:p>
        </w:tc>
        <w:tc>
          <w:tcPr>
            <w:tcW w:w="7309" w:type="dxa"/>
          </w:tcPr>
          <w:p w:rsidR="006706D6" w:rsidRPr="006706D6" w:rsidRDefault="006706D6" w:rsidP="006706D6">
            <w:r w:rsidRPr="006706D6">
              <w:t xml:space="preserve">Prior to the meeting, we would circulate a draft set of agreed positions and request participants to discuss, make any necessary changes, and sign off on the statement. </w:t>
            </w:r>
            <w:r w:rsidRPr="006706D6">
              <w:br/>
            </w:r>
            <w:r w:rsidRPr="006706D6">
              <w:br/>
              <w:t>We also expect we would document outcomes of the meeting through either or both of:</w:t>
            </w:r>
          </w:p>
          <w:p w:rsidR="006706D6" w:rsidRPr="006706D6" w:rsidRDefault="006706D6" w:rsidP="006706D6">
            <w:pPr>
              <w:numPr>
                <w:ilvl w:val="0"/>
                <w:numId w:val="2"/>
              </w:numPr>
              <w:tabs>
                <w:tab w:val="left" w:pos="340"/>
              </w:tabs>
              <w:ind w:left="357" w:hanging="357"/>
            </w:pPr>
            <w:r w:rsidRPr="006706D6">
              <w:t>publishing a minute of the hot-tubbing session</w:t>
            </w:r>
          </w:p>
          <w:p w:rsidR="006706D6" w:rsidRPr="006706D6" w:rsidRDefault="006706D6" w:rsidP="006706D6">
            <w:pPr>
              <w:numPr>
                <w:ilvl w:val="0"/>
                <w:numId w:val="2"/>
              </w:numPr>
              <w:tabs>
                <w:tab w:val="left" w:pos="340"/>
              </w:tabs>
              <w:ind w:left="357" w:hanging="357"/>
            </w:pPr>
            <w:r w:rsidRPr="006706D6">
              <w:t>a final statement of key issues  in which we summarise the important issues or assumptions on which the experts’ views differ</w:t>
            </w:r>
          </w:p>
          <w:p w:rsidR="006706D6" w:rsidRPr="006706D6" w:rsidRDefault="006706D6" w:rsidP="006706D6">
            <w:r w:rsidRPr="006706D6">
              <w:t>In either case we consider there may be value in having the relevant experts 'sign-off' on the minute and final statement of key issues.</w:t>
            </w:r>
          </w:p>
          <w:p w:rsidR="006706D6" w:rsidRPr="006706D6" w:rsidRDefault="006706D6" w:rsidP="006706D6">
            <w:r w:rsidRPr="006706D6">
              <w:t xml:space="preserve">We will take the outcomes of the </w:t>
            </w:r>
            <w:r w:rsidR="00885C31">
              <w:t>concurrent expert evidence (</w:t>
            </w:r>
            <w:r w:rsidRPr="006706D6">
              <w:t>hot-tubbing</w:t>
            </w:r>
            <w:r w:rsidR="00885C31">
              <w:t>)</w:t>
            </w:r>
            <w:r w:rsidRPr="006706D6">
              <w:t xml:space="preserve"> sessions into account in making our draft and final decisions. </w:t>
            </w:r>
          </w:p>
        </w:tc>
      </w:tr>
    </w:tbl>
    <w:p w:rsidR="006706D6" w:rsidRPr="00E97E29" w:rsidRDefault="006706D6" w:rsidP="00885C31"/>
    <w:p w:rsidR="00D055F9" w:rsidRDefault="00D055F9" w:rsidP="0080607C">
      <w:pPr>
        <w:pStyle w:val="Heading2"/>
        <w:tabs>
          <w:tab w:val="clear" w:pos="680"/>
          <w:tab w:val="left" w:pos="993"/>
        </w:tabs>
        <w:ind w:left="993" w:hanging="993"/>
      </w:pPr>
      <w:bookmarkStart w:id="50" w:name="_Toc494800889"/>
      <w:r>
        <w:t>Submissions</w:t>
      </w:r>
      <w:bookmarkEnd w:id="50"/>
    </w:p>
    <w:p w:rsidR="000D1054" w:rsidRDefault="003F75F0" w:rsidP="000D1054">
      <w:r>
        <w:t>S</w:t>
      </w:r>
      <w:r w:rsidR="000D1054">
        <w:t xml:space="preserve">ubmissions on the concurrent evidence sessions </w:t>
      </w:r>
      <w:r>
        <w:t xml:space="preserve">are </w:t>
      </w:r>
      <w:r w:rsidR="000D1054">
        <w:t xml:space="preserve">set out in </w:t>
      </w:r>
      <w:r w:rsidR="000D1054">
        <w:fldChar w:fldCharType="begin"/>
      </w:r>
      <w:r w:rsidR="000D1054">
        <w:instrText xml:space="preserve"> REF _Ref495052230 \h </w:instrText>
      </w:r>
      <w:r w:rsidR="000D1054">
        <w:fldChar w:fldCharType="separate"/>
      </w:r>
      <w:r w:rsidR="000D1054">
        <w:t xml:space="preserve">Table </w:t>
      </w:r>
      <w:r w:rsidR="000D1054">
        <w:rPr>
          <w:noProof/>
        </w:rPr>
        <w:t>3</w:t>
      </w:r>
      <w:r w:rsidR="000D1054">
        <w:fldChar w:fldCharType="end"/>
      </w:r>
      <w:r w:rsidR="000D1054">
        <w:t xml:space="preserve"> below. </w:t>
      </w:r>
      <w:r>
        <w:t>Overall, submissions were supportive of the inclusion of concurrent evidence sessions as part of our guideline review. Submissions focussed on the selection of issues to be explored in the concurrent evidence sessions, selection of participants and attendees for the sessions, and access to information generated from the sessions.</w:t>
      </w:r>
      <w:r w:rsidR="00843198">
        <w:t xml:space="preserve"> Our positions on the operation of the concurrent evidence sessions, and our responses to these submissions, are in section </w:t>
      </w:r>
      <w:r w:rsidR="00843198">
        <w:fldChar w:fldCharType="begin"/>
      </w:r>
      <w:r w:rsidR="00843198">
        <w:instrText xml:space="preserve"> REF _Ref496112516 \r \h </w:instrText>
      </w:r>
      <w:r w:rsidR="00843198">
        <w:fldChar w:fldCharType="separate"/>
      </w:r>
      <w:r w:rsidR="00843198">
        <w:t>4.3</w:t>
      </w:r>
      <w:r w:rsidR="00843198">
        <w:fldChar w:fldCharType="end"/>
      </w:r>
      <w:r w:rsidR="00843198">
        <w:t xml:space="preserve"> below.</w:t>
      </w:r>
    </w:p>
    <w:p w:rsidR="000D1054" w:rsidRPr="00853182" w:rsidRDefault="000D1054" w:rsidP="000D1054">
      <w:pPr>
        <w:pStyle w:val="Caption"/>
      </w:pPr>
      <w:r>
        <w:t xml:space="preserve">Table </w:t>
      </w:r>
      <w:r w:rsidR="00E07C46">
        <w:fldChar w:fldCharType="begin"/>
      </w:r>
      <w:r w:rsidR="00E07C46">
        <w:instrText xml:space="preserve"> SEQ Table \* ARABIC </w:instrText>
      </w:r>
      <w:r w:rsidR="00E07C46">
        <w:fldChar w:fldCharType="separate"/>
      </w:r>
      <w:r w:rsidR="00626AD1">
        <w:rPr>
          <w:noProof/>
        </w:rPr>
        <w:t>8</w:t>
      </w:r>
      <w:r w:rsidR="00E07C46">
        <w:rPr>
          <w:noProof/>
        </w:rPr>
        <w:fldChar w:fldCharType="end"/>
      </w:r>
      <w:r>
        <w:tab/>
        <w:t>Submissions on the concurrent evidence sessions</w:t>
      </w:r>
    </w:p>
    <w:tbl>
      <w:tblPr>
        <w:tblStyle w:val="AERtable-text0"/>
        <w:tblW w:w="0" w:type="auto"/>
        <w:tblLook w:val="04A0" w:firstRow="1" w:lastRow="0" w:firstColumn="1" w:lastColumn="0" w:noHBand="0" w:noVBand="1"/>
      </w:tblPr>
      <w:tblGrid>
        <w:gridCol w:w="1384"/>
        <w:gridCol w:w="7309"/>
      </w:tblGrid>
      <w:tr w:rsidR="000D1054" w:rsidRPr="009177E3" w:rsidTr="00145CF3">
        <w:trPr>
          <w:cnfStyle w:val="100000000000" w:firstRow="1" w:lastRow="0" w:firstColumn="0" w:lastColumn="0" w:oddVBand="0" w:evenVBand="0" w:oddHBand="0" w:evenHBand="0" w:firstRowFirstColumn="0" w:firstRowLastColumn="0" w:lastRowFirstColumn="0" w:lastRowLastColumn="0"/>
        </w:trPr>
        <w:tc>
          <w:tcPr>
            <w:tcW w:w="1384" w:type="dxa"/>
          </w:tcPr>
          <w:p w:rsidR="000D1054" w:rsidRPr="009177E3" w:rsidRDefault="000D1054" w:rsidP="00145CF3">
            <w:r>
              <w:t>Stakeholder</w:t>
            </w:r>
          </w:p>
        </w:tc>
        <w:tc>
          <w:tcPr>
            <w:tcW w:w="7309" w:type="dxa"/>
          </w:tcPr>
          <w:p w:rsidR="000D1054" w:rsidRPr="009177E3" w:rsidRDefault="000D1054" w:rsidP="00145CF3">
            <w:r>
              <w:t>Submission</w:t>
            </w:r>
          </w:p>
        </w:tc>
      </w:tr>
      <w:tr w:rsidR="000D1054" w:rsidRPr="009177E3" w:rsidTr="00145CF3">
        <w:tc>
          <w:tcPr>
            <w:tcW w:w="1384" w:type="dxa"/>
          </w:tcPr>
          <w:p w:rsidR="000D1054" w:rsidRPr="009177E3" w:rsidRDefault="000D1054" w:rsidP="00145CF3">
            <w:r>
              <w:t>CCP</w:t>
            </w:r>
          </w:p>
        </w:tc>
        <w:tc>
          <w:tcPr>
            <w:tcW w:w="7309" w:type="dxa"/>
          </w:tcPr>
          <w:p w:rsidR="000D1054" w:rsidRPr="009177E3" w:rsidRDefault="000D1054" w:rsidP="00145CF3">
            <w:r>
              <w:t>Participants should be recognised experts in their field</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Pr="009177E3" w:rsidRDefault="000D1054" w:rsidP="00145CF3">
            <w:r>
              <w:t>CCP</w:t>
            </w:r>
          </w:p>
        </w:tc>
        <w:tc>
          <w:tcPr>
            <w:tcW w:w="7309" w:type="dxa"/>
          </w:tcPr>
          <w:p w:rsidR="000D1054" w:rsidRPr="009177E3" w:rsidRDefault="000D1054" w:rsidP="00145CF3">
            <w:r>
              <w:t xml:space="preserve">Experts should be focussed on the objective of the review, being development of an approach to that is consistent with the NEO, the NGO and the RPPs </w:t>
            </w:r>
          </w:p>
        </w:tc>
      </w:tr>
      <w:tr w:rsidR="000D1054" w:rsidRPr="009177E3" w:rsidTr="00145CF3">
        <w:tc>
          <w:tcPr>
            <w:tcW w:w="1384" w:type="dxa"/>
          </w:tcPr>
          <w:p w:rsidR="000D1054" w:rsidRDefault="000D1054" w:rsidP="00145CF3">
            <w:r>
              <w:t>CCP</w:t>
            </w:r>
          </w:p>
        </w:tc>
        <w:tc>
          <w:tcPr>
            <w:tcW w:w="7309" w:type="dxa"/>
          </w:tcPr>
          <w:p w:rsidR="000D1054" w:rsidRDefault="000D1054" w:rsidP="00145CF3">
            <w:r>
              <w:t>AER should consider funding experts that are appointed by consumer interests</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r>
              <w:t>CCP</w:t>
            </w:r>
          </w:p>
        </w:tc>
        <w:tc>
          <w:tcPr>
            <w:tcW w:w="7309" w:type="dxa"/>
          </w:tcPr>
          <w:p w:rsidR="000D1054" w:rsidRDefault="000D1054" w:rsidP="00145CF3">
            <w:r>
              <w:t>A record of the discussions and conclusions reached should be published, either in summary form or as a full transcript of proceedings</w:t>
            </w:r>
          </w:p>
        </w:tc>
      </w:tr>
      <w:tr w:rsidR="000D1054" w:rsidRPr="009177E3" w:rsidTr="00145CF3">
        <w:tc>
          <w:tcPr>
            <w:tcW w:w="1384" w:type="dxa"/>
          </w:tcPr>
          <w:p w:rsidR="000D1054" w:rsidRDefault="000D1054" w:rsidP="00145CF3">
            <w:r>
              <w:t xml:space="preserve">AGN, ENA, </w:t>
            </w:r>
            <w:proofErr w:type="spellStart"/>
            <w:r>
              <w:t>TransGrid</w:t>
            </w:r>
            <w:proofErr w:type="spellEnd"/>
            <w:r>
              <w:t>, Spark Infrastructure</w:t>
            </w:r>
          </w:p>
        </w:tc>
        <w:tc>
          <w:tcPr>
            <w:tcW w:w="7309" w:type="dxa"/>
          </w:tcPr>
          <w:p w:rsidR="000D1054" w:rsidRDefault="000D1054" w:rsidP="00145CF3">
            <w:r>
              <w:t>Stakeholders will have greater confidence in the hot-tub process if they have input into the participating experts and ideally, select experts</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r>
              <w:t xml:space="preserve">AGN, </w:t>
            </w:r>
            <w:proofErr w:type="spellStart"/>
            <w:r>
              <w:t>TransGrid</w:t>
            </w:r>
            <w:proofErr w:type="spellEnd"/>
          </w:p>
        </w:tc>
        <w:tc>
          <w:tcPr>
            <w:tcW w:w="7309" w:type="dxa"/>
          </w:tcPr>
          <w:p w:rsidR="000D1054" w:rsidRDefault="000D1054" w:rsidP="00145CF3">
            <w:r>
              <w:t>Stakeholders should have input into issues to be covered by hot-tubbing</w:t>
            </w:r>
          </w:p>
        </w:tc>
      </w:tr>
      <w:tr w:rsidR="000D1054" w:rsidRPr="009177E3" w:rsidTr="00145CF3">
        <w:tc>
          <w:tcPr>
            <w:tcW w:w="1384" w:type="dxa"/>
          </w:tcPr>
          <w:p w:rsidR="000D1054" w:rsidRDefault="000D1054" w:rsidP="00145CF3">
            <w:r>
              <w:t xml:space="preserve">AGN, ENA, </w:t>
            </w:r>
            <w:proofErr w:type="spellStart"/>
            <w:r>
              <w:t>TransGrid</w:t>
            </w:r>
            <w:proofErr w:type="spellEnd"/>
            <w:r w:rsidR="00E66E81">
              <w:t>, Spark Infrastructure</w:t>
            </w:r>
          </w:p>
        </w:tc>
        <w:tc>
          <w:tcPr>
            <w:tcW w:w="7309" w:type="dxa"/>
          </w:tcPr>
          <w:p w:rsidR="000D1054" w:rsidRDefault="00E66E81" w:rsidP="00214DF3">
            <w:r>
              <w:t xml:space="preserve">The </w:t>
            </w:r>
            <w:r w:rsidR="00214DF3">
              <w:t>concurrent evidence</w:t>
            </w:r>
            <w:r w:rsidR="000D1054">
              <w:t xml:space="preserve"> process should be made accessible to all stakeholders to attend in person or through web-cast</w:t>
            </w:r>
            <w:r>
              <w:t>.</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r>
              <w:t xml:space="preserve">AGN, ENA, </w:t>
            </w:r>
            <w:proofErr w:type="spellStart"/>
            <w:r>
              <w:t>TransGrid</w:t>
            </w:r>
            <w:proofErr w:type="spellEnd"/>
          </w:p>
        </w:tc>
        <w:tc>
          <w:tcPr>
            <w:tcW w:w="7309" w:type="dxa"/>
          </w:tcPr>
          <w:p w:rsidR="000D1054" w:rsidRDefault="000D1054" w:rsidP="00145CF3">
            <w:r>
              <w:t>Stakeholders should be able to participate in the process to some extent</w:t>
            </w:r>
          </w:p>
        </w:tc>
      </w:tr>
      <w:tr w:rsidR="000D1054" w:rsidRPr="009177E3" w:rsidTr="00145CF3">
        <w:tc>
          <w:tcPr>
            <w:tcW w:w="1384" w:type="dxa"/>
          </w:tcPr>
          <w:p w:rsidR="000D1054" w:rsidRDefault="000D1054" w:rsidP="00145CF3">
            <w:r>
              <w:t>AGN</w:t>
            </w:r>
          </w:p>
        </w:tc>
        <w:tc>
          <w:tcPr>
            <w:tcW w:w="7309" w:type="dxa"/>
          </w:tcPr>
          <w:p w:rsidR="000D1054" w:rsidRDefault="000D1054" w:rsidP="00214DF3">
            <w:r>
              <w:t xml:space="preserve">Clear outcomes from the </w:t>
            </w:r>
            <w:r w:rsidR="00214DF3">
              <w:t>concurrent evidence</w:t>
            </w:r>
            <w:r>
              <w:t xml:space="preserve"> process should be made publicly available prior to the release of the AER draft decision</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proofErr w:type="spellStart"/>
            <w:r>
              <w:t>TransGrid</w:t>
            </w:r>
            <w:proofErr w:type="spellEnd"/>
          </w:p>
        </w:tc>
        <w:tc>
          <w:tcPr>
            <w:tcW w:w="7309" w:type="dxa"/>
          </w:tcPr>
          <w:p w:rsidR="000D1054" w:rsidRDefault="000D1054" w:rsidP="00145CF3">
            <w:r>
              <w:t xml:space="preserve">The experts should be required to produce a report outlining areas of agreement and disagreement </w:t>
            </w:r>
            <w:r>
              <w:lastRenderedPageBreak/>
              <w:t>with supporting information?</w:t>
            </w:r>
          </w:p>
        </w:tc>
      </w:tr>
      <w:tr w:rsidR="000D1054" w:rsidRPr="009177E3" w:rsidTr="00145CF3">
        <w:tc>
          <w:tcPr>
            <w:tcW w:w="1384" w:type="dxa"/>
          </w:tcPr>
          <w:p w:rsidR="000D1054" w:rsidRDefault="000D1054" w:rsidP="00145CF3">
            <w:r>
              <w:lastRenderedPageBreak/>
              <w:t>AGN</w:t>
            </w:r>
          </w:p>
        </w:tc>
        <w:tc>
          <w:tcPr>
            <w:tcW w:w="7309" w:type="dxa"/>
          </w:tcPr>
          <w:p w:rsidR="000D1054" w:rsidRDefault="000D1054" w:rsidP="00214DF3">
            <w:r>
              <w:t xml:space="preserve">The AER should set out in its draft decision how the </w:t>
            </w:r>
            <w:r w:rsidR="00214DF3">
              <w:t>concurrent evidence</w:t>
            </w:r>
            <w:r w:rsidR="00626AD1">
              <w:t xml:space="preserve"> process</w:t>
            </w:r>
            <w:r>
              <w:t xml:space="preserve"> has influenced its views</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r>
              <w:t>ENA</w:t>
            </w:r>
          </w:p>
        </w:tc>
        <w:tc>
          <w:tcPr>
            <w:tcW w:w="7309" w:type="dxa"/>
          </w:tcPr>
          <w:p w:rsidR="000D1054" w:rsidRDefault="000D1054" w:rsidP="00145CF3">
            <w:r>
              <w:t>Experts should be able to iteratively ask each</w:t>
            </w:r>
            <w:r w:rsidR="00214DF3">
              <w:t xml:space="preserve"> </w:t>
            </w:r>
            <w:r>
              <w:t>other questions</w:t>
            </w:r>
          </w:p>
        </w:tc>
      </w:tr>
      <w:tr w:rsidR="000D1054" w:rsidRPr="009177E3" w:rsidTr="00145CF3">
        <w:tc>
          <w:tcPr>
            <w:tcW w:w="1384" w:type="dxa"/>
          </w:tcPr>
          <w:p w:rsidR="000D1054" w:rsidRDefault="000D1054" w:rsidP="00145CF3">
            <w:r>
              <w:t>MEU</w:t>
            </w:r>
          </w:p>
        </w:tc>
        <w:tc>
          <w:tcPr>
            <w:tcW w:w="7309" w:type="dxa"/>
          </w:tcPr>
          <w:p w:rsidR="000D1054" w:rsidRDefault="000D1054" w:rsidP="00145CF3">
            <w:r>
              <w:t xml:space="preserve">The CRG and CCP should have access to the arguments and opinions of the expert advisers </w:t>
            </w:r>
          </w:p>
        </w:tc>
      </w:tr>
      <w:tr w:rsidR="000D1054"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0D1054" w:rsidRDefault="000D1054" w:rsidP="00145CF3">
            <w:r>
              <w:t>Spark Infrastructure</w:t>
            </w:r>
          </w:p>
        </w:tc>
        <w:tc>
          <w:tcPr>
            <w:tcW w:w="7309" w:type="dxa"/>
          </w:tcPr>
          <w:p w:rsidR="000D1054" w:rsidRDefault="000D1054" w:rsidP="00145CF3">
            <w:r>
              <w:t>A cross section of stakeholders should have representation</w:t>
            </w:r>
          </w:p>
        </w:tc>
      </w:tr>
      <w:tr w:rsidR="000D1054" w:rsidRPr="009177E3" w:rsidTr="00145CF3">
        <w:tc>
          <w:tcPr>
            <w:tcW w:w="1384" w:type="dxa"/>
          </w:tcPr>
          <w:p w:rsidR="000D1054" w:rsidRDefault="000D1054" w:rsidP="00145CF3">
            <w:proofErr w:type="spellStart"/>
            <w:r>
              <w:t>TaCOSS</w:t>
            </w:r>
            <w:proofErr w:type="spellEnd"/>
            <w:r>
              <w:t>, PIAC</w:t>
            </w:r>
          </w:p>
        </w:tc>
        <w:tc>
          <w:tcPr>
            <w:tcW w:w="7309" w:type="dxa"/>
          </w:tcPr>
          <w:p w:rsidR="000D1054" w:rsidRDefault="000D1054" w:rsidP="00214DF3">
            <w:r>
              <w:t xml:space="preserve">A consumer advocate or CCP member should be considered as part of the </w:t>
            </w:r>
            <w:r w:rsidR="00214DF3">
              <w:t>concurrent evidence</w:t>
            </w:r>
            <w:r>
              <w:t xml:space="preserve"> process, with appropriate skills development if needed</w:t>
            </w:r>
          </w:p>
        </w:tc>
      </w:tr>
    </w:tbl>
    <w:p w:rsidR="003F75F0" w:rsidRDefault="003F75F0" w:rsidP="003F75F0">
      <w:pPr>
        <w:pStyle w:val="AERtablesource"/>
      </w:pPr>
      <w:r>
        <w:t xml:space="preserve">References: </w:t>
      </w:r>
      <w:r>
        <w:tab/>
      </w:r>
      <w:r w:rsidR="00567F9D">
        <w:t xml:space="preserve">Consumer Challenge Panel (subpanel 16), </w:t>
      </w:r>
      <w:r w:rsidR="00567F9D" w:rsidRPr="00753FD1">
        <w:rPr>
          <w:rStyle w:val="AERtextitalic"/>
        </w:rPr>
        <w:t>Submission to the AER on its consultation paper on a process for review of the rate of return guideline</w:t>
      </w:r>
      <w:r w:rsidR="00567F9D">
        <w:t xml:space="preserve">, August 2017; AGN, </w:t>
      </w:r>
      <w:r w:rsidR="00567F9D" w:rsidRPr="00753FD1">
        <w:rPr>
          <w:rStyle w:val="AERtextitalic"/>
        </w:rPr>
        <w:t>Letter re: Process for Reviewing the Rate of Return Guidelines</w:t>
      </w:r>
      <w:r w:rsidR="00567F9D">
        <w:t xml:space="preserve">, August 2017; </w:t>
      </w:r>
      <w:r w:rsidR="00567F9D" w:rsidRPr="003F3255">
        <w:t xml:space="preserve"> </w:t>
      </w:r>
      <w:r w:rsidR="00567F9D">
        <w:t xml:space="preserve">ENA, </w:t>
      </w:r>
      <w:r w:rsidR="00567F9D" w:rsidRPr="00753FD1">
        <w:rPr>
          <w:rStyle w:val="AERtextitalic"/>
        </w:rPr>
        <w:t>Process for reviewing the rate of return guidelines—Response to AER consultation paper</w:t>
      </w:r>
      <w:r w:rsidR="00567F9D">
        <w:t xml:space="preserve">, August 2017; AusNet Services, </w:t>
      </w:r>
      <w:r w:rsidR="00567F9D" w:rsidRPr="00753FD1">
        <w:rPr>
          <w:rStyle w:val="AERtextitalic"/>
        </w:rPr>
        <w:t>Letter re: Consultation paper—Process for reviewing the rate of return guidelines</w:t>
      </w:r>
      <w:r w:rsidR="00567F9D">
        <w:t xml:space="preserve">, August 2017; </w:t>
      </w:r>
      <w:proofErr w:type="spellStart"/>
      <w:r w:rsidR="00567F9D">
        <w:t>Transgrid</w:t>
      </w:r>
      <w:proofErr w:type="spellEnd"/>
      <w:r w:rsidR="00567F9D">
        <w:t xml:space="preserve">, </w:t>
      </w:r>
      <w:r w:rsidR="00567F9D" w:rsidRPr="00753FD1">
        <w:rPr>
          <w:rStyle w:val="AERtextitalic"/>
        </w:rPr>
        <w:t>Letter re: Consultation paper—Process for reviewing the rate of return guidelines</w:t>
      </w:r>
      <w:r w:rsidR="00567F9D">
        <w:t xml:space="preserve">, August 2017; Major Energy Users, </w:t>
      </w:r>
      <w:r w:rsidR="00567F9D" w:rsidRPr="00753FD1">
        <w:rPr>
          <w:rStyle w:val="AERtextitalic"/>
        </w:rPr>
        <w:t>Process for reviewing the rate of return guidelines consultation paper</w:t>
      </w:r>
      <w:r w:rsidR="00567F9D">
        <w:t xml:space="preserve">, August 2017; Spark Infrastructure, </w:t>
      </w:r>
      <w:r w:rsidR="00567F9D" w:rsidRPr="00753FD1">
        <w:rPr>
          <w:rStyle w:val="AERtextitalic"/>
        </w:rPr>
        <w:t>Letter re: Process for reviewing the rate of return guidelines</w:t>
      </w:r>
      <w:r w:rsidR="00567F9D">
        <w:t xml:space="preserve">, August 2017; APA, </w:t>
      </w:r>
      <w:r w:rsidR="00567F9D" w:rsidRPr="00753FD1">
        <w:rPr>
          <w:rStyle w:val="AERtextitalic"/>
        </w:rPr>
        <w:t>APA submission on rate of return review consultation paper</w:t>
      </w:r>
      <w:r w:rsidR="00567F9D">
        <w:t xml:space="preserve">, August 2017; Essential Energy, </w:t>
      </w:r>
      <w:r w:rsidR="00567F9D" w:rsidRPr="00753FD1">
        <w:rPr>
          <w:rStyle w:val="AERtextitalic"/>
        </w:rPr>
        <w:t>Essential Energy submission to the rate of return guideline review process consultation paper</w:t>
      </w:r>
      <w:r w:rsidR="00567F9D">
        <w:t xml:space="preserve">, August 2017; Tasmanian Council of Social Service, </w:t>
      </w:r>
      <w:r w:rsidR="00567F9D" w:rsidRPr="00753FD1">
        <w:rPr>
          <w:rStyle w:val="AERtextitalic"/>
        </w:rPr>
        <w:t>Submission to the AER consultation paper: Process for reviewing the rate of return guidelines</w:t>
      </w:r>
      <w:r w:rsidR="00567F9D">
        <w:t xml:space="preserve">, August 2017; Energex and Ergon Energy, </w:t>
      </w:r>
      <w:r w:rsidR="00567F9D" w:rsidRPr="00753FD1">
        <w:rPr>
          <w:rStyle w:val="AERtextitalic"/>
        </w:rPr>
        <w:t>Process for reviewing the rate of return guidelines—Consultation paper</w:t>
      </w:r>
      <w:r w:rsidR="00567F9D">
        <w:t xml:space="preserve">, August 2017; Public Interest Advocacy Centre, </w:t>
      </w:r>
      <w:r w:rsidR="00567F9D" w:rsidRPr="00753FD1">
        <w:rPr>
          <w:rStyle w:val="AERtextitalic"/>
        </w:rPr>
        <w:t>Submission on process for reviewing the rate of return guidelines</w:t>
      </w:r>
      <w:r w:rsidR="00567F9D">
        <w:t xml:space="preserve">, August 2017. </w:t>
      </w:r>
      <w:proofErr w:type="gramStart"/>
      <w:r w:rsidR="00567F9D">
        <w:t xml:space="preserve">Queensland Electricity Users Network, </w:t>
      </w:r>
      <w:r w:rsidR="00567F9D" w:rsidRPr="00753FD1">
        <w:rPr>
          <w:rStyle w:val="AERtextitalic"/>
        </w:rPr>
        <w:t>Submission to the AER on the process for reviewing the rate of return guideline</w:t>
      </w:r>
      <w:r w:rsidR="00567F9D">
        <w:t>, August 2017.</w:t>
      </w:r>
      <w:proofErr w:type="gramEnd"/>
    </w:p>
    <w:p w:rsidR="000D1054" w:rsidRDefault="003F75F0" w:rsidP="003F75F0">
      <w:pPr>
        <w:pStyle w:val="AERtablesource"/>
        <w:ind w:left="1020" w:hanging="1020"/>
      </w:pPr>
      <w:r>
        <w:t>Notes</w:t>
      </w:r>
      <w:r w:rsidR="000D1054">
        <w:t xml:space="preserve">: </w:t>
      </w:r>
      <w:r>
        <w:tab/>
      </w:r>
      <w:r>
        <w:tab/>
        <w:t xml:space="preserve">We have tried to capture instances where the </w:t>
      </w:r>
      <w:proofErr w:type="gramStart"/>
      <w:r>
        <w:t>substance of particular submissions overlap</w:t>
      </w:r>
      <w:proofErr w:type="gramEnd"/>
      <w:r>
        <w:t xml:space="preserve"> and have attributed a single description of the issue to all submissions that we understand to be making the same argument. For the specific language used by individual stakeholders, we recommend reading the full submissions as published on our website.</w:t>
      </w:r>
    </w:p>
    <w:p w:rsidR="00EB096A" w:rsidRDefault="00EB096A" w:rsidP="0080607C">
      <w:pPr>
        <w:pStyle w:val="Heading2"/>
        <w:tabs>
          <w:tab w:val="clear" w:pos="680"/>
          <w:tab w:val="left" w:pos="993"/>
        </w:tabs>
        <w:ind w:left="993" w:hanging="993"/>
      </w:pPr>
      <w:bookmarkStart w:id="51" w:name="_Toc494800890"/>
      <w:bookmarkStart w:id="52" w:name="_Ref496112516"/>
      <w:r>
        <w:t xml:space="preserve">Our </w:t>
      </w:r>
      <w:bookmarkEnd w:id="51"/>
      <w:bookmarkEnd w:id="52"/>
      <w:r w:rsidR="007A5FBE">
        <w:t>positions</w:t>
      </w:r>
    </w:p>
    <w:p w:rsidR="00306620" w:rsidRDefault="00306620" w:rsidP="00306620">
      <w:r>
        <w:t xml:space="preserve">We have set out our positions below on how we will run the concurrent </w:t>
      </w:r>
      <w:proofErr w:type="spellStart"/>
      <w:r>
        <w:t>expertevidence</w:t>
      </w:r>
      <w:proofErr w:type="spellEnd"/>
      <w:r>
        <w:t xml:space="preserve"> sessions, divided into:</w:t>
      </w:r>
    </w:p>
    <w:p w:rsidR="00306620" w:rsidRDefault="00306620" w:rsidP="00306620">
      <w:pPr>
        <w:pStyle w:val="AERbulletlistfirststyle"/>
      </w:pPr>
      <w:r>
        <w:t>The purpose of the concurrent expert evidence sessions</w:t>
      </w:r>
    </w:p>
    <w:p w:rsidR="00306620" w:rsidRPr="00E97E29" w:rsidRDefault="00306620" w:rsidP="00306620">
      <w:pPr>
        <w:pStyle w:val="AERbulletlistfirststyle"/>
      </w:pPr>
      <w:r w:rsidRPr="00E97E29">
        <w:t>before the sessions</w:t>
      </w:r>
    </w:p>
    <w:p w:rsidR="00306620" w:rsidRPr="00E97E29" w:rsidRDefault="00306620" w:rsidP="00306620">
      <w:pPr>
        <w:pStyle w:val="AERbulletlistfirststyle"/>
      </w:pPr>
      <w:r w:rsidRPr="00E97E29">
        <w:t>during the sessions</w:t>
      </w:r>
    </w:p>
    <w:p w:rsidR="00306620" w:rsidRPr="00306620" w:rsidRDefault="00306620" w:rsidP="00041D6D">
      <w:pPr>
        <w:pStyle w:val="AERbulletlistfirststyle"/>
      </w:pPr>
      <w:proofErr w:type="gramStart"/>
      <w:r w:rsidRPr="00E97E29">
        <w:t>after</w:t>
      </w:r>
      <w:proofErr w:type="gramEnd"/>
      <w:r w:rsidRPr="00E97E29">
        <w:t xml:space="preserve"> the sessions</w:t>
      </w:r>
      <w:r>
        <w:t>.</w:t>
      </w:r>
    </w:p>
    <w:p w:rsidR="00306620" w:rsidRPr="00306620" w:rsidRDefault="00306620" w:rsidP="00041D6D">
      <w:pPr>
        <w:pStyle w:val="Heading3"/>
      </w:pPr>
      <w:r>
        <w:t>The purpose of the concurrent evidence sessions</w:t>
      </w:r>
    </w:p>
    <w:p w:rsidR="00306620" w:rsidRDefault="00C249F4" w:rsidP="00306620">
      <w:r>
        <w:t xml:space="preserve">The purpose of the </w:t>
      </w:r>
      <w:r w:rsidR="00885C31">
        <w:t xml:space="preserve">concurrent </w:t>
      </w:r>
      <w:r>
        <w:t xml:space="preserve">expert </w:t>
      </w:r>
      <w:r w:rsidR="00885C31">
        <w:t>evidence</w:t>
      </w:r>
      <w:r>
        <w:t xml:space="preserve"> sessions is t</w:t>
      </w:r>
      <w:r w:rsidR="00B3433F" w:rsidRPr="00B3433F">
        <w:t xml:space="preserve">o assist the </w:t>
      </w:r>
      <w:r w:rsidR="00642B04">
        <w:t>AER B</w:t>
      </w:r>
      <w:r w:rsidR="00B3433F" w:rsidRPr="00B3433F">
        <w:t xml:space="preserve">oard in making a decision which will best achieve the NEO and NGO by allowing them to </w:t>
      </w:r>
      <w:r w:rsidR="0005296B">
        <w:t xml:space="preserve">clearly define </w:t>
      </w:r>
      <w:r w:rsidR="00B3433F" w:rsidRPr="00B3433F">
        <w:t xml:space="preserve">the issues of agreement and </w:t>
      </w:r>
      <w:r w:rsidR="00C7238D">
        <w:t xml:space="preserve">areas of </w:t>
      </w:r>
      <w:r w:rsidR="00B3433F" w:rsidRPr="00B3433F">
        <w:t xml:space="preserve">disagreement between </w:t>
      </w:r>
      <w:r w:rsidR="0080607C">
        <w:t xml:space="preserve">relevant </w:t>
      </w:r>
      <w:r w:rsidR="00B3433F" w:rsidRPr="00B3433F">
        <w:t xml:space="preserve">experts. </w:t>
      </w:r>
      <w:r w:rsidR="0005296B">
        <w:t xml:space="preserve">Prior to the draft decision, simultaneous expert reports on a topic may clearly </w:t>
      </w:r>
      <w:r w:rsidR="0005296B">
        <w:lastRenderedPageBreak/>
        <w:t>articulate the particular expert’s views on an issue. However, as they are generally written early in the decision-making process the experts are not often in a position to clarify how their assumptions or conclusions differ relative to other experts commenting on the same topic. The concurrent expert evidence sessions give the AER Board an opportunity to draw out these differences.</w:t>
      </w:r>
      <w:r w:rsidR="00306620">
        <w:t xml:space="preserve"> </w:t>
      </w:r>
    </w:p>
    <w:p w:rsidR="00622D02" w:rsidRDefault="001D5758" w:rsidP="0080607C">
      <w:pPr>
        <w:pStyle w:val="Heading3"/>
        <w:ind w:hanging="1004"/>
      </w:pPr>
      <w:r>
        <w:t>Before the sessions</w:t>
      </w:r>
    </w:p>
    <w:p w:rsidR="001D5758" w:rsidRDefault="00D15C08" w:rsidP="00823D91">
      <w:pPr>
        <w:pStyle w:val="HeadingBoldItalic"/>
      </w:pPr>
      <w:r>
        <w:t>Which issues will the sessions cover, and who will participate</w:t>
      </w:r>
      <w:r w:rsidR="00642B04">
        <w:t>?</w:t>
      </w:r>
    </w:p>
    <w:p w:rsidR="00D15C08" w:rsidRDefault="00531FB1" w:rsidP="00885C31">
      <w:r>
        <w:t>After submissions</w:t>
      </w:r>
      <w:r w:rsidR="00C314B0">
        <w:t xml:space="preserve"> </w:t>
      </w:r>
      <w:r w:rsidR="009008B7">
        <w:t xml:space="preserve">close </w:t>
      </w:r>
      <w:r w:rsidR="00C314B0">
        <w:t>on our issues paper</w:t>
      </w:r>
      <w:r>
        <w:t xml:space="preserve">, </w:t>
      </w:r>
      <w:r w:rsidR="00BF0333">
        <w:t xml:space="preserve">we </w:t>
      </w:r>
      <w:r>
        <w:t xml:space="preserve">will </w:t>
      </w:r>
      <w:r w:rsidR="00D15C08">
        <w:t>engage with stakeholders on:</w:t>
      </w:r>
    </w:p>
    <w:p w:rsidR="00D15C08" w:rsidRDefault="00D15C08" w:rsidP="00041D6D">
      <w:pPr>
        <w:pStyle w:val="ListParagraph"/>
        <w:numPr>
          <w:ilvl w:val="0"/>
          <w:numId w:val="53"/>
        </w:numPr>
      </w:pPr>
      <w:r>
        <w:t>Which issues we should hold sessions on</w:t>
      </w:r>
    </w:p>
    <w:p w:rsidR="00D15C08" w:rsidRDefault="00D15C08" w:rsidP="00041D6D">
      <w:pPr>
        <w:pStyle w:val="ListParagraph"/>
        <w:numPr>
          <w:ilvl w:val="0"/>
          <w:numId w:val="53"/>
        </w:numPr>
      </w:pPr>
      <w:r>
        <w:t xml:space="preserve">Which experts should be involved in those </w:t>
      </w:r>
      <w:proofErr w:type="gramStart"/>
      <w:r>
        <w:t>sessions.</w:t>
      </w:r>
      <w:proofErr w:type="gramEnd"/>
    </w:p>
    <w:p w:rsidR="00B3433F" w:rsidRDefault="00D15C08" w:rsidP="00885C31">
      <w:r>
        <w:t xml:space="preserve">Specifically, we will </w:t>
      </w:r>
      <w:r w:rsidR="00531FB1">
        <w:t xml:space="preserve">give stakeholders an opportunity to make submissions on which experts and issues we should consider for concurrent expert sessions, including questions </w:t>
      </w:r>
      <w:r w:rsidR="00F333B0">
        <w:t>they recommend should be put to experts in the sessions</w:t>
      </w:r>
      <w:r w:rsidR="00531FB1">
        <w:t>.</w:t>
      </w:r>
      <w:r w:rsidR="006706D6">
        <w:t xml:space="preserve"> </w:t>
      </w:r>
      <w:r w:rsidR="00E2049D">
        <w:t xml:space="preserve">We are also likely to engage experts that could be invited to participate in the concurrent evidence sessions. </w:t>
      </w:r>
      <w:r w:rsidR="00531FB1">
        <w:t xml:space="preserve">Having regard to </w:t>
      </w:r>
      <w:r w:rsidR="00E2049D">
        <w:t>any</w:t>
      </w:r>
      <w:r w:rsidR="00DC52C3">
        <w:t xml:space="preserve"> </w:t>
      </w:r>
      <w:r w:rsidR="00B3433F">
        <w:t>input</w:t>
      </w:r>
      <w:r w:rsidR="00E2049D">
        <w:t xml:space="preserve"> from stakeholders</w:t>
      </w:r>
      <w:r>
        <w:t xml:space="preserve"> we will finalise the </w:t>
      </w:r>
      <w:r w:rsidR="009008B7">
        <w:t>sessions and the attendees</w:t>
      </w:r>
      <w:r w:rsidR="00B3433F">
        <w:t>.</w:t>
      </w:r>
      <w:r w:rsidR="001E7FC3">
        <w:t xml:space="preserve"> </w:t>
      </w:r>
      <w:r w:rsidR="006706D6">
        <w:t xml:space="preserve">This </w:t>
      </w:r>
      <w:r w:rsidR="00DC52C3">
        <w:t xml:space="preserve">process </w:t>
      </w:r>
      <w:r w:rsidR="006706D6">
        <w:t xml:space="preserve">should assist us in addressing the range of issues in which stakeholders perceive material disagreement between experts, </w:t>
      </w:r>
      <w:r w:rsidR="00626AD1">
        <w:t xml:space="preserve">while recognising </w:t>
      </w:r>
      <w:r w:rsidR="006706D6">
        <w:t>that the primary purpose of the sessions is to assist the AER Board in making the draft guideline.</w:t>
      </w:r>
    </w:p>
    <w:p w:rsidR="00F333B0" w:rsidRDefault="00F333B0" w:rsidP="00885C31">
      <w:r>
        <w:t xml:space="preserve">We will have regard to the following factors in </w:t>
      </w:r>
      <w:r w:rsidR="003C6CAE">
        <w:t xml:space="preserve">considering </w:t>
      </w:r>
      <w:r>
        <w:t>which topics to cover in the concurrent</w:t>
      </w:r>
      <w:r w:rsidR="00885C31">
        <w:t xml:space="preserve"> </w:t>
      </w:r>
      <w:r>
        <w:t>evidence sessions</w:t>
      </w:r>
      <w:r w:rsidR="004D7A46">
        <w:t>.</w:t>
      </w:r>
    </w:p>
    <w:p w:rsidR="00F333B0" w:rsidRDefault="00D96AF8" w:rsidP="00642896">
      <w:pPr>
        <w:pStyle w:val="Caption"/>
        <w:ind w:left="1020" w:hanging="1020"/>
      </w:pPr>
      <w:r>
        <w:t xml:space="preserve">Table </w:t>
      </w:r>
      <w:r w:rsidR="00E07C46">
        <w:fldChar w:fldCharType="begin"/>
      </w:r>
      <w:r w:rsidR="00E07C46">
        <w:instrText xml:space="preserve"> SEQ Table \* ARABIC </w:instrText>
      </w:r>
      <w:r w:rsidR="00E07C46">
        <w:fldChar w:fldCharType="separate"/>
      </w:r>
      <w:r w:rsidR="00626AD1">
        <w:rPr>
          <w:noProof/>
        </w:rPr>
        <w:t>9</w:t>
      </w:r>
      <w:r w:rsidR="00E07C46">
        <w:rPr>
          <w:noProof/>
        </w:rPr>
        <w:fldChar w:fldCharType="end"/>
      </w:r>
      <w:r>
        <w:tab/>
        <w:t xml:space="preserve">Factors we will consider </w:t>
      </w:r>
      <w:r w:rsidR="003C6CAE">
        <w:t xml:space="preserve">on issues to be addressed in </w:t>
      </w:r>
      <w:r w:rsidR="00D90A6F">
        <w:t>concurrent evidence</w:t>
      </w:r>
      <w:r w:rsidR="003C6CAE">
        <w:t xml:space="preserve"> sessions</w:t>
      </w:r>
    </w:p>
    <w:tbl>
      <w:tblPr>
        <w:tblStyle w:val="AERtable-numbers"/>
        <w:tblW w:w="0" w:type="auto"/>
        <w:tblLook w:val="04A0" w:firstRow="1" w:lastRow="0" w:firstColumn="1" w:lastColumn="0" w:noHBand="0" w:noVBand="1"/>
      </w:tblPr>
      <w:tblGrid>
        <w:gridCol w:w="4346"/>
        <w:gridCol w:w="4347"/>
      </w:tblGrid>
      <w:tr w:rsidR="00F333B0" w:rsidTr="00885C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F333B0" w:rsidRDefault="00F333B0" w:rsidP="00AF63E1">
            <w:pPr>
              <w:pStyle w:val="AERbulletlistfirststyle"/>
              <w:numPr>
                <w:ilvl w:val="0"/>
                <w:numId w:val="0"/>
              </w:numPr>
            </w:pPr>
            <w:r>
              <w:t>Which issues to address in sessions</w:t>
            </w:r>
          </w:p>
        </w:tc>
        <w:tc>
          <w:tcPr>
            <w:tcW w:w="4347" w:type="dxa"/>
          </w:tcPr>
          <w:p w:rsidR="00F333B0" w:rsidRDefault="00BB4B50" w:rsidP="00AF63E1">
            <w:pPr>
              <w:pStyle w:val="AERbulletlistfirststyle"/>
              <w:numPr>
                <w:ilvl w:val="0"/>
                <w:numId w:val="0"/>
              </w:numPr>
              <w:cnfStyle w:val="100000000000" w:firstRow="1" w:lastRow="0" w:firstColumn="0" w:lastColumn="0" w:oddVBand="0" w:evenVBand="0" w:oddHBand="0" w:evenHBand="0" w:firstRowFirstColumn="0" w:firstRowLastColumn="0" w:lastRowFirstColumn="0" w:lastRowLastColumn="0"/>
            </w:pPr>
            <w:r>
              <w:t>Why we will consider this factor</w:t>
            </w:r>
          </w:p>
        </w:tc>
      </w:tr>
      <w:tr w:rsidR="00F333B0" w:rsidTr="00885C31">
        <w:tc>
          <w:tcPr>
            <w:cnfStyle w:val="001000000000" w:firstRow="0" w:lastRow="0" w:firstColumn="1" w:lastColumn="0" w:oddVBand="0" w:evenVBand="0" w:oddHBand="0" w:evenHBand="0" w:firstRowFirstColumn="0" w:firstRowLastColumn="0" w:lastRowFirstColumn="0" w:lastRowLastColumn="0"/>
            <w:tcW w:w="4346" w:type="dxa"/>
          </w:tcPr>
          <w:p w:rsidR="00F333B0" w:rsidRDefault="00F333B0" w:rsidP="00AF63E1">
            <w:pPr>
              <w:pStyle w:val="AERbulletlistfirststyle"/>
              <w:numPr>
                <w:ilvl w:val="0"/>
                <w:numId w:val="0"/>
              </w:numPr>
            </w:pPr>
            <w:r>
              <w:t>Is the issue material?</w:t>
            </w:r>
          </w:p>
        </w:tc>
        <w:tc>
          <w:tcPr>
            <w:tcW w:w="4347" w:type="dxa"/>
          </w:tcPr>
          <w:p w:rsidR="00F333B0" w:rsidRDefault="00AF63E1" w:rsidP="00AF63E1">
            <w:pPr>
              <w:pStyle w:val="AERbulletlistfirststyle"/>
              <w:numPr>
                <w:ilvl w:val="0"/>
                <w:numId w:val="0"/>
              </w:numPr>
              <w:cnfStyle w:val="000000000000" w:firstRow="0" w:lastRow="0" w:firstColumn="0" w:lastColumn="0" w:oddVBand="0" w:evenVBand="0" w:oddHBand="0" w:evenHBand="0" w:firstRowFirstColumn="0" w:firstRowLastColumn="0" w:lastRowFirstColumn="0" w:lastRowLastColumn="0"/>
            </w:pPr>
            <w:r>
              <w:t xml:space="preserve">Has the expert undertaken substantive analysis of an issue to be considered in the concurrent evidence sessions? </w:t>
            </w:r>
          </w:p>
        </w:tc>
      </w:tr>
      <w:tr w:rsidR="00F333B0" w:rsidTr="00885C3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F333B0" w:rsidRDefault="00F333B0" w:rsidP="00AF63E1">
            <w:pPr>
              <w:pStyle w:val="AERbulletlistfirststyle"/>
              <w:numPr>
                <w:ilvl w:val="0"/>
                <w:numId w:val="0"/>
              </w:numPr>
            </w:pPr>
            <w:r>
              <w:t>Does there appear to be material disagreement between experts in terms of their conclusions or the evidence supporting their conclusions?</w:t>
            </w:r>
          </w:p>
        </w:tc>
        <w:tc>
          <w:tcPr>
            <w:tcW w:w="4347" w:type="dxa"/>
          </w:tcPr>
          <w:p w:rsidR="00F333B0" w:rsidRDefault="00AF63E1" w:rsidP="00AF63E1">
            <w:pPr>
              <w:pStyle w:val="AERbulletlistfirststyle"/>
              <w:numPr>
                <w:ilvl w:val="0"/>
                <w:numId w:val="0"/>
              </w:numPr>
              <w:cnfStyle w:val="000000010000" w:firstRow="0" w:lastRow="0" w:firstColumn="0" w:lastColumn="0" w:oddVBand="0" w:evenVBand="0" w:oddHBand="0" w:evenHBand="1" w:firstRowFirstColumn="0" w:firstRowLastColumn="0" w:lastRowFirstColumn="0" w:lastRowLastColumn="0"/>
            </w:pPr>
            <w:r>
              <w:t>Has a distinct stakeholder or class of stakeholders relied on the experts views in making a submission to the AER?</w:t>
            </w:r>
          </w:p>
        </w:tc>
      </w:tr>
      <w:tr w:rsidR="00F333B0" w:rsidTr="00885C31">
        <w:tc>
          <w:tcPr>
            <w:cnfStyle w:val="001000000000" w:firstRow="0" w:lastRow="0" w:firstColumn="1" w:lastColumn="0" w:oddVBand="0" w:evenVBand="0" w:oddHBand="0" w:evenHBand="0" w:firstRowFirstColumn="0" w:firstRowLastColumn="0" w:lastRowFirstColumn="0" w:lastRowLastColumn="0"/>
            <w:tcW w:w="4346" w:type="dxa"/>
          </w:tcPr>
          <w:p w:rsidR="00F333B0" w:rsidRDefault="00F333B0" w:rsidP="00DB5D8D">
            <w:pPr>
              <w:pStyle w:val="AERbulletlistfirststyle"/>
              <w:numPr>
                <w:ilvl w:val="0"/>
                <w:numId w:val="0"/>
              </w:numPr>
            </w:pPr>
            <w:r>
              <w:t xml:space="preserve">Is the topic amenable to a </w:t>
            </w:r>
            <w:r w:rsidR="00DB5D8D">
              <w:t>group</w:t>
            </w:r>
            <w:r>
              <w:t xml:space="preserve"> discussion?</w:t>
            </w:r>
          </w:p>
        </w:tc>
        <w:tc>
          <w:tcPr>
            <w:tcW w:w="4347" w:type="dxa"/>
          </w:tcPr>
          <w:p w:rsidR="00F333B0" w:rsidRDefault="00FC7D41" w:rsidP="00AF63E1">
            <w:pPr>
              <w:pStyle w:val="AERbulletlistfirststyle"/>
              <w:numPr>
                <w:ilvl w:val="0"/>
                <w:numId w:val="0"/>
              </w:numPr>
              <w:cnfStyle w:val="000000000000" w:firstRow="0" w:lastRow="0" w:firstColumn="0" w:lastColumn="0" w:oddVBand="0" w:evenVBand="0" w:oddHBand="0" w:evenHBand="0" w:firstRowFirstColumn="0" w:firstRowLastColumn="0" w:lastRowFirstColumn="0" w:lastRowLastColumn="0"/>
            </w:pPr>
            <w:r>
              <w:t xml:space="preserve">Certain topics may meet the other factors but be poorly suited to a discussion format. For example, where a disagreement centres on alternative derivations of a </w:t>
            </w:r>
            <w:r w:rsidR="00DB5D8D">
              <w:t xml:space="preserve">complex </w:t>
            </w:r>
            <w:r>
              <w:t>mathematical formula, it may be better suited to follow-up written engagement rather than the concurrent evidence sessions.</w:t>
            </w:r>
          </w:p>
        </w:tc>
      </w:tr>
    </w:tbl>
    <w:p w:rsidR="004D7A46" w:rsidRDefault="004D7A46" w:rsidP="004D7A46">
      <w:r>
        <w:t xml:space="preserve">Having decided on the topics to cover in sessions, we will have regard to the following factors </w:t>
      </w:r>
      <w:r w:rsidR="009008B7">
        <w:t>as we engage with stakeholders about</w:t>
      </w:r>
      <w:r w:rsidR="00033591">
        <w:t xml:space="preserve"> </w:t>
      </w:r>
      <w:r>
        <w:t>which experts should participate.</w:t>
      </w:r>
    </w:p>
    <w:p w:rsidR="00BB4B50" w:rsidRDefault="00D96AF8" w:rsidP="00885C31">
      <w:pPr>
        <w:pStyle w:val="Caption"/>
      </w:pPr>
      <w:r>
        <w:lastRenderedPageBreak/>
        <w:t xml:space="preserve">Table </w:t>
      </w:r>
      <w:r w:rsidR="00E07C46">
        <w:fldChar w:fldCharType="begin"/>
      </w:r>
      <w:r w:rsidR="00E07C46">
        <w:instrText xml:space="preserve"> SEQ Table \* ARABIC </w:instrText>
      </w:r>
      <w:r w:rsidR="00E07C46">
        <w:fldChar w:fldCharType="separate"/>
      </w:r>
      <w:r w:rsidR="00626AD1">
        <w:rPr>
          <w:noProof/>
        </w:rPr>
        <w:t>10</w:t>
      </w:r>
      <w:r w:rsidR="00E07C46">
        <w:rPr>
          <w:noProof/>
        </w:rPr>
        <w:fldChar w:fldCharType="end"/>
      </w:r>
      <w:r>
        <w:tab/>
        <w:t xml:space="preserve">Factors we will consider </w:t>
      </w:r>
      <w:r w:rsidR="003C6CAE">
        <w:t>on</w:t>
      </w:r>
      <w:r w:rsidR="009008B7">
        <w:t xml:space="preserve"> </w:t>
      </w:r>
      <w:r>
        <w:t xml:space="preserve">experts </w:t>
      </w:r>
      <w:r w:rsidR="003C6CAE">
        <w:t>to participate in the</w:t>
      </w:r>
      <w:r w:rsidR="00642896">
        <w:t xml:space="preserve"> </w:t>
      </w:r>
      <w:r>
        <w:t>sessions</w:t>
      </w:r>
    </w:p>
    <w:tbl>
      <w:tblPr>
        <w:tblStyle w:val="AERtable-numbers"/>
        <w:tblW w:w="0" w:type="auto"/>
        <w:tblLook w:val="04A0" w:firstRow="1" w:lastRow="0" w:firstColumn="1" w:lastColumn="0" w:noHBand="0" w:noVBand="1"/>
      </w:tblPr>
      <w:tblGrid>
        <w:gridCol w:w="4346"/>
        <w:gridCol w:w="4347"/>
      </w:tblGrid>
      <w:tr w:rsidR="00BB4B50" w:rsidTr="00885C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vAlign w:val="top"/>
          </w:tcPr>
          <w:p w:rsidR="00BB4B50" w:rsidRDefault="00BB4B50" w:rsidP="00AF63E1">
            <w:pPr>
              <w:pStyle w:val="AERbulletlistfirststyle"/>
              <w:numPr>
                <w:ilvl w:val="0"/>
                <w:numId w:val="0"/>
              </w:numPr>
            </w:pPr>
            <w:r w:rsidRPr="00491060">
              <w:t>Which experts should participate in sessions</w:t>
            </w:r>
          </w:p>
        </w:tc>
        <w:tc>
          <w:tcPr>
            <w:tcW w:w="4347" w:type="dxa"/>
          </w:tcPr>
          <w:p w:rsidR="00BB4B50" w:rsidRDefault="00BB4B50" w:rsidP="00AF63E1">
            <w:pPr>
              <w:pStyle w:val="AERbulletlistfirststyle"/>
              <w:numPr>
                <w:ilvl w:val="0"/>
                <w:numId w:val="0"/>
              </w:numPr>
              <w:cnfStyle w:val="100000000000" w:firstRow="1" w:lastRow="0" w:firstColumn="0" w:lastColumn="0" w:oddVBand="0" w:evenVBand="0" w:oddHBand="0" w:evenHBand="0" w:firstRowFirstColumn="0" w:firstRowLastColumn="0" w:lastRowFirstColumn="0" w:lastRowLastColumn="0"/>
            </w:pPr>
            <w:r>
              <w:t>Why we will consider this factor</w:t>
            </w:r>
          </w:p>
        </w:tc>
      </w:tr>
      <w:tr w:rsidR="00BB4B50" w:rsidTr="00885C31">
        <w:tc>
          <w:tcPr>
            <w:cnfStyle w:val="001000000000" w:firstRow="0" w:lastRow="0" w:firstColumn="1" w:lastColumn="0" w:oddVBand="0" w:evenVBand="0" w:oddHBand="0" w:evenHBand="0" w:firstRowFirstColumn="0" w:firstRowLastColumn="0" w:lastRowFirstColumn="0" w:lastRowLastColumn="0"/>
            <w:tcW w:w="4346" w:type="dxa"/>
            <w:vAlign w:val="top"/>
          </w:tcPr>
          <w:p w:rsidR="00BB4B50" w:rsidRDefault="00BB4B50" w:rsidP="00AF63E1">
            <w:pPr>
              <w:pStyle w:val="AERbulletlistfirststyle"/>
              <w:numPr>
                <w:ilvl w:val="0"/>
                <w:numId w:val="0"/>
              </w:numPr>
            </w:pPr>
            <w:r>
              <w:t>Has the expert undertaken substantive analysis of an issue to be considered in the concurrent evidence</w:t>
            </w:r>
          </w:p>
        </w:tc>
        <w:tc>
          <w:tcPr>
            <w:tcW w:w="4347" w:type="dxa"/>
          </w:tcPr>
          <w:p w:rsidR="00BB4B50" w:rsidRDefault="00DB5D8D" w:rsidP="00DB5D8D">
            <w:pPr>
              <w:pStyle w:val="AERbulletlistfirststyle"/>
              <w:numPr>
                <w:ilvl w:val="0"/>
                <w:numId w:val="0"/>
              </w:numPr>
              <w:cnfStyle w:val="000000000000" w:firstRow="0" w:lastRow="0" w:firstColumn="0" w:lastColumn="0" w:oddVBand="0" w:evenVBand="0" w:oddHBand="0" w:evenHBand="0" w:firstRowFirstColumn="0" w:firstRowLastColumn="0" w:lastRowFirstColumn="0" w:lastRowLastColumn="0"/>
            </w:pPr>
            <w:r>
              <w:t xml:space="preserve">In our view, the concurrent evidence sessions will be most productive if they are limited to those  experts that have offered substantive input on a topic </w:t>
            </w:r>
          </w:p>
        </w:tc>
      </w:tr>
      <w:tr w:rsidR="00BB4B50" w:rsidTr="00885C3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vAlign w:val="top"/>
          </w:tcPr>
          <w:p w:rsidR="00BB4B50" w:rsidRDefault="00BB4B50" w:rsidP="00AF63E1">
            <w:pPr>
              <w:pStyle w:val="AERbulletlistfirststyle"/>
              <w:numPr>
                <w:ilvl w:val="0"/>
                <w:numId w:val="0"/>
              </w:numPr>
            </w:pPr>
            <w:r>
              <w:t>Has a distinct stakeholder or class of stakeholders relied on the experts views in making a submission to the AER?</w:t>
            </w:r>
          </w:p>
        </w:tc>
        <w:tc>
          <w:tcPr>
            <w:tcW w:w="4347" w:type="dxa"/>
          </w:tcPr>
          <w:p w:rsidR="00BB4B50" w:rsidRDefault="00DB5D8D" w:rsidP="00885C31">
            <w:pPr>
              <w:pStyle w:val="AERbulletlistfirststyle"/>
              <w:numPr>
                <w:ilvl w:val="0"/>
                <w:numId w:val="0"/>
              </w:numPr>
              <w:cnfStyle w:val="000000010000" w:firstRow="0" w:lastRow="0" w:firstColumn="0" w:lastColumn="0" w:oddVBand="0" w:evenVBand="0" w:oddHBand="0" w:evenHBand="1" w:firstRowFirstColumn="0" w:firstRowLastColumn="0" w:lastRowFirstColumn="0" w:lastRowLastColumn="0"/>
            </w:pPr>
            <w:r>
              <w:t>Holding other things constant, it is advantageous for the AER Board to understand the differences underlying the expert advice that the spectrum of stakeholders has relied on in making submissions. So, to the extent an expert has been relied</w:t>
            </w:r>
            <w:r w:rsidR="00885C31">
              <w:t xml:space="preserve"> on by a distinct class of </w:t>
            </w:r>
            <w:proofErr w:type="gramStart"/>
            <w:r w:rsidR="00885C31">
              <w:t>stakeholders, that</w:t>
            </w:r>
            <w:proofErr w:type="gramEnd"/>
            <w:r w:rsidR="00885C31">
              <w:t xml:space="preserve"> will support the expert’s participation in the sessions.</w:t>
            </w:r>
            <w:r>
              <w:t xml:space="preserve"> </w:t>
            </w:r>
          </w:p>
        </w:tc>
      </w:tr>
      <w:tr w:rsidR="00BB4B50" w:rsidTr="00885C31">
        <w:tc>
          <w:tcPr>
            <w:cnfStyle w:val="001000000000" w:firstRow="0" w:lastRow="0" w:firstColumn="1" w:lastColumn="0" w:oddVBand="0" w:evenVBand="0" w:oddHBand="0" w:evenHBand="0" w:firstRowFirstColumn="0" w:firstRowLastColumn="0" w:lastRowFirstColumn="0" w:lastRowLastColumn="0"/>
            <w:tcW w:w="4346" w:type="dxa"/>
          </w:tcPr>
          <w:p w:rsidR="00BB4B50" w:rsidRDefault="00DB5D8D" w:rsidP="00AF63E1">
            <w:pPr>
              <w:pStyle w:val="AERbulletlistfirststyle"/>
              <w:numPr>
                <w:ilvl w:val="0"/>
                <w:numId w:val="0"/>
              </w:numPr>
            </w:pPr>
            <w:r>
              <w:t>Is there substantial overlap between the views of multiple experts?</w:t>
            </w:r>
          </w:p>
        </w:tc>
        <w:tc>
          <w:tcPr>
            <w:tcW w:w="4347" w:type="dxa"/>
          </w:tcPr>
          <w:p w:rsidR="00BB4B50" w:rsidRDefault="00DB5D8D" w:rsidP="00885C31">
            <w:pPr>
              <w:pStyle w:val="AERbulletlistfirststyle"/>
              <w:numPr>
                <w:ilvl w:val="0"/>
                <w:numId w:val="0"/>
              </w:numPr>
              <w:cnfStyle w:val="000000000000" w:firstRow="0" w:lastRow="0" w:firstColumn="0" w:lastColumn="0" w:oddVBand="0" w:evenVBand="0" w:oddHBand="0" w:evenHBand="0" w:firstRowFirstColumn="0" w:firstRowLastColumn="0" w:lastRowFirstColumn="0" w:lastRowLastColumn="0"/>
            </w:pPr>
            <w:r>
              <w:t xml:space="preserve">In the event there is substantial overlap between the views of multiple experts, we will consider whether the discussion will run more effectively by only inviting one or some of those experts as a representative sample. </w:t>
            </w:r>
            <w:r w:rsidR="00885C31">
              <w:t>The AER Board and s</w:t>
            </w:r>
            <w:r>
              <w:t>takeholders can then take into account</w:t>
            </w:r>
            <w:r w:rsidR="00885C31">
              <w:t xml:space="preserve"> the extent to which multiple experts have reached similar views.</w:t>
            </w:r>
            <w:r>
              <w:t xml:space="preserve"> </w:t>
            </w:r>
          </w:p>
        </w:tc>
      </w:tr>
    </w:tbl>
    <w:p w:rsidR="00B3433F" w:rsidRPr="00531FB1" w:rsidRDefault="006706D6" w:rsidP="00885C31">
      <w:r>
        <w:t>I</w:t>
      </w:r>
      <w:r w:rsidR="00B3433F">
        <w:t xml:space="preserve">f the experts require funding to appear, this must be provided by </w:t>
      </w:r>
      <w:proofErr w:type="gramStart"/>
      <w:r w:rsidR="00B3433F">
        <w:t>whoever</w:t>
      </w:r>
      <w:proofErr w:type="gramEnd"/>
      <w:r w:rsidR="00B3433F">
        <w:t xml:space="preserve"> initially engaged the expert.</w:t>
      </w:r>
      <w:r>
        <w:t xml:space="preserve"> </w:t>
      </w:r>
      <w:r w:rsidR="00C7238D">
        <w:t xml:space="preserve">Experts </w:t>
      </w:r>
      <w:r w:rsidR="00B3433F">
        <w:t xml:space="preserve">are </w:t>
      </w:r>
      <w:r>
        <w:t xml:space="preserve">able </w:t>
      </w:r>
      <w:r w:rsidR="00B3433F">
        <w:t xml:space="preserve">to decline the invitation to appear </w:t>
      </w:r>
      <w:r w:rsidR="00626AD1">
        <w:t xml:space="preserve">if </w:t>
      </w:r>
      <w:r>
        <w:t>they are not funded to do so</w:t>
      </w:r>
      <w:r w:rsidR="00B3433F">
        <w:t>.</w:t>
      </w:r>
    </w:p>
    <w:p w:rsidR="008B19B7" w:rsidRDefault="008B19B7" w:rsidP="00823D91">
      <w:pPr>
        <w:pStyle w:val="HeadingBoldItalic"/>
      </w:pPr>
      <w:r>
        <w:t xml:space="preserve">The </w:t>
      </w:r>
      <w:r w:rsidR="00303F3A">
        <w:t>statement of agreed positions</w:t>
      </w:r>
    </w:p>
    <w:p w:rsidR="00C249F4" w:rsidRDefault="00C249F4" w:rsidP="00885C31">
      <w:r>
        <w:t xml:space="preserve">Prior to holding the concurrent </w:t>
      </w:r>
      <w:r w:rsidR="00885C31">
        <w:t xml:space="preserve">expert </w:t>
      </w:r>
      <w:r>
        <w:t xml:space="preserve">evidence sessions, we will request the relevant experts on a particular session topic to jointly develop </w:t>
      </w:r>
      <w:r w:rsidR="00885C31">
        <w:t>a statement of agreed positions</w:t>
      </w:r>
      <w:r>
        <w:t xml:space="preserve"> with the assistance of an independent facilitator that we will provide.</w:t>
      </w:r>
      <w:r w:rsidR="00885C31">
        <w:t xml:space="preserve"> The independent facilitator will be responsible for coordinating the drafting of the statement.</w:t>
      </w:r>
      <w:r>
        <w:t xml:space="preserve"> This statement should be in a publishable state and will be available on our website once it is finalised. AER staff will not be involved in the development of the statement</w:t>
      </w:r>
      <w:r w:rsidR="00885C31">
        <w:t>, other than by funding the independent facilitator</w:t>
      </w:r>
      <w:r>
        <w:t>.</w:t>
      </w:r>
      <w:r w:rsidR="006706D6">
        <w:t xml:space="preserve"> </w:t>
      </w:r>
    </w:p>
    <w:p w:rsidR="00C249F4" w:rsidRDefault="00C249F4" w:rsidP="00885C31">
      <w:r>
        <w:t>The statement should allow AER Board members to clearly identify those areas on which the experts agree</w:t>
      </w:r>
      <w:r w:rsidR="00DF27EB">
        <w:t>.</w:t>
      </w:r>
      <w:r>
        <w:t xml:space="preserve"> </w:t>
      </w:r>
      <w:r w:rsidR="00DF27EB">
        <w:t>B</w:t>
      </w:r>
      <w:r>
        <w:t xml:space="preserve">y reference to this, </w:t>
      </w:r>
      <w:r w:rsidR="00DF27EB">
        <w:t xml:space="preserve">the statement </w:t>
      </w:r>
      <w:r>
        <w:t xml:space="preserve">should </w:t>
      </w:r>
      <w:r w:rsidR="00DF27EB">
        <w:t>provide</w:t>
      </w:r>
      <w:r>
        <w:t xml:space="preserve"> a platform to explore more precisely the areas on which the experts disagree and the nature of this disagreement. </w:t>
      </w:r>
      <w:r w:rsidR="00B020D7">
        <w:t>This is important, because the areas in which experts disagree commonly require the AER to exercise its judgement as to how it will have regard to the divergent advice.</w:t>
      </w:r>
    </w:p>
    <w:p w:rsidR="001D5758" w:rsidRDefault="001D5758" w:rsidP="001D5758">
      <w:pPr>
        <w:pStyle w:val="Heading3"/>
      </w:pPr>
      <w:r>
        <w:t>During the sessions</w:t>
      </w:r>
    </w:p>
    <w:p w:rsidR="00DB5D8D" w:rsidRPr="00DB5D8D" w:rsidRDefault="00DB5D8D" w:rsidP="00885C31">
      <w:r>
        <w:t xml:space="preserve">We will finalise our views on which and how many sessions are necessary </w:t>
      </w:r>
      <w:r w:rsidR="00642B04">
        <w:t xml:space="preserve">once </w:t>
      </w:r>
      <w:r>
        <w:t xml:space="preserve">we have received submissions on our issues paper. Our expectation is that we </w:t>
      </w:r>
      <w:r w:rsidR="004D7A46">
        <w:t>are likely to</w:t>
      </w:r>
      <w:r>
        <w:t xml:space="preserve"> run a series of shorter ses</w:t>
      </w:r>
      <w:r w:rsidR="004D7A46">
        <w:t>sions rather than a single, long forum.</w:t>
      </w:r>
    </w:p>
    <w:p w:rsidR="009C0B02" w:rsidRDefault="00B3433F" w:rsidP="00303F3A">
      <w:pPr>
        <w:pStyle w:val="HeadingBoldItalic"/>
      </w:pPr>
      <w:r>
        <w:t>A Board member will chair the sessions</w:t>
      </w:r>
    </w:p>
    <w:p w:rsidR="003379F5" w:rsidRDefault="00956EAE" w:rsidP="003379F5">
      <w:r>
        <w:t xml:space="preserve"> As the purpose of the concurrent evidence sessions is to assist the AER Board in its decision-making, AER Board members will chair the sessions. They will have </w:t>
      </w:r>
      <w:r>
        <w:lastRenderedPageBreak/>
        <w:t xml:space="preserve">assistance from an AER staff member, </w:t>
      </w:r>
      <w:r w:rsidR="00B020D7">
        <w:t>but the Board members will have primary responsibility for facilitating and directing the discussion to help resolve questions to assist the Board’s decision making.</w:t>
      </w:r>
      <w:r w:rsidR="004D7A46">
        <w:t xml:space="preserve"> </w:t>
      </w:r>
    </w:p>
    <w:p w:rsidR="00303F3A" w:rsidRDefault="00303F3A" w:rsidP="00303F3A">
      <w:pPr>
        <w:pStyle w:val="HeadingBoldItalic"/>
      </w:pPr>
      <w:r>
        <w:t xml:space="preserve">Who will attend </w:t>
      </w:r>
      <w:r w:rsidR="00931D7F">
        <w:t xml:space="preserve">the </w:t>
      </w:r>
      <w:proofErr w:type="gramStart"/>
      <w:r w:rsidR="00931D7F">
        <w:t>sessions</w:t>
      </w:r>
      <w:proofErr w:type="gramEnd"/>
    </w:p>
    <w:p w:rsidR="003379F5" w:rsidRDefault="003379F5" w:rsidP="00885C31">
      <w:r>
        <w:t>Several stakeholders submitted that the sessions should be open to members of the public to attend, or that we consider making them available by webcast. Some stakeholders further recommended that other groups (rather than the experts providing advice) should participate in the hot-tub, or that members of the public should be able to ask questions at the sessions.</w:t>
      </w:r>
    </w:p>
    <w:p w:rsidR="008C5CD3" w:rsidRDefault="00956EAE" w:rsidP="00885C31">
      <w:r>
        <w:t>W</w:t>
      </w:r>
      <w:r w:rsidR="003379F5">
        <w:t xml:space="preserve">e agree that it is </w:t>
      </w:r>
      <w:r w:rsidR="00642B04">
        <w:t xml:space="preserve">important </w:t>
      </w:r>
      <w:r w:rsidR="003379F5">
        <w:t>for the sessions to be transparent, and for the content to be available to stakeholders</w:t>
      </w:r>
      <w:r>
        <w:t>. However,</w:t>
      </w:r>
      <w:r w:rsidR="003379F5">
        <w:t xml:space="preserve"> attendance at the sessions will be limited to participating experts, representatives of the </w:t>
      </w:r>
      <w:r w:rsidR="00DF27EB">
        <w:t>organisations or individuals</w:t>
      </w:r>
      <w:r w:rsidR="003379F5">
        <w:t xml:space="preserve"> that have engaged experts</w:t>
      </w:r>
      <w:r w:rsidR="00C314B0">
        <w:t>,</w:t>
      </w:r>
      <w:r w:rsidR="003379F5">
        <w:t xml:space="preserve"> and the </w:t>
      </w:r>
      <w:r w:rsidR="00626AD1">
        <w:t>CCP</w:t>
      </w:r>
      <w:r w:rsidR="003379F5">
        <w:t>.</w:t>
      </w:r>
      <w:r w:rsidR="00626AD1">
        <w:t xml:space="preserve"> </w:t>
      </w:r>
      <w:r w:rsidR="00626AD1" w:rsidRPr="00626AD1">
        <w:t xml:space="preserve">Where stakeholders have engaged experts that we have not invited to the sessions on the basis of duplication, we will </w:t>
      </w:r>
      <w:r w:rsidR="00626AD1">
        <w:t>also invite representatives of those organizations.</w:t>
      </w:r>
      <w:r>
        <w:t xml:space="preserve"> </w:t>
      </w:r>
      <w:r w:rsidR="009E4D7D">
        <w:t xml:space="preserve"> </w:t>
      </w:r>
      <w:r>
        <w:t>In our view, it is important that the number of participants and direct attendees</w:t>
      </w:r>
      <w:r w:rsidR="00D71014">
        <w:t xml:space="preserve"> is of a size</w:t>
      </w:r>
      <w:r>
        <w:t xml:space="preserve"> </w:t>
      </w:r>
      <w:r w:rsidR="00D71014">
        <w:t>that will allow detailed and natural discussion.</w:t>
      </w:r>
      <w:r w:rsidR="008C5CD3">
        <w:t xml:space="preserve"> Specifically, we consider:</w:t>
      </w:r>
    </w:p>
    <w:p w:rsidR="00153720" w:rsidRDefault="00153720">
      <w:pPr>
        <w:pStyle w:val="AERbulletlistfirststyle"/>
      </w:pPr>
      <w:r>
        <w:t>A large audience in the sessions</w:t>
      </w:r>
      <w:r w:rsidR="0066483F">
        <w:t xml:space="preserve"> seated around a small number of participants</w:t>
      </w:r>
      <w:r>
        <w:t xml:space="preserve"> will create an environment that feels </w:t>
      </w:r>
      <w:r w:rsidR="000614A0">
        <w:t xml:space="preserve">imposing and </w:t>
      </w:r>
      <w:r w:rsidR="0066483F">
        <w:t>unduly formal</w:t>
      </w:r>
      <w:r w:rsidR="000614A0">
        <w:t xml:space="preserve"> </w:t>
      </w:r>
      <w:r>
        <w:t>rather than a</w:t>
      </w:r>
      <w:r w:rsidR="0066483F">
        <w:t xml:space="preserve"> comfortable</w:t>
      </w:r>
      <w:r>
        <w:t xml:space="preserve"> forum for discussion</w:t>
      </w:r>
    </w:p>
    <w:p w:rsidR="00153720" w:rsidRDefault="00153720">
      <w:pPr>
        <w:pStyle w:val="AERbulletlistfirststyle"/>
      </w:pPr>
      <w:r>
        <w:t>Based on full transcripts as published on its website,</w:t>
      </w:r>
      <w:r w:rsidRPr="00153720">
        <w:rPr>
          <w:rStyle w:val="FootnoteReference"/>
        </w:rPr>
        <w:t xml:space="preserve"> </w:t>
      </w:r>
      <w:r>
        <w:rPr>
          <w:rStyle w:val="FootnoteReference"/>
        </w:rPr>
        <w:footnoteReference w:id="18"/>
      </w:r>
      <w:r>
        <w:t xml:space="preserve">  our impression of the NZCC’s rate of return forums suggest that the contained number of discussants and attendees promoted the type of natural and productive discussion that we are trying to achieve in this process.</w:t>
      </w:r>
    </w:p>
    <w:p w:rsidR="008C5CD3" w:rsidRDefault="006338D7">
      <w:pPr>
        <w:pStyle w:val="AERbulletlistfirststyle"/>
      </w:pPr>
      <w:r>
        <w:t>A</w:t>
      </w:r>
      <w:r w:rsidR="008C5CD3">
        <w:t xml:space="preserve">udience members </w:t>
      </w:r>
      <w:r>
        <w:t xml:space="preserve">will not directly participate or question the experts as this </w:t>
      </w:r>
      <w:r w:rsidR="00153720">
        <w:t xml:space="preserve">introduces potential for </w:t>
      </w:r>
      <w:r w:rsidR="00923490">
        <w:t>disruption of the discussion</w:t>
      </w:r>
      <w:r w:rsidR="00153720">
        <w:t xml:space="preserve"> and also does not clearly advance the primary purpose of the sessions which are to assist the AER Board in its decision making.</w:t>
      </w:r>
    </w:p>
    <w:p w:rsidR="008224B6" w:rsidRDefault="008224B6" w:rsidP="00885C31">
      <w:r>
        <w:t>Once we receive submissions</w:t>
      </w:r>
      <w:r w:rsidR="00C314B0">
        <w:t xml:space="preserve"> on our issues paper</w:t>
      </w:r>
      <w:r>
        <w:t xml:space="preserve"> and have published them on our website, we will give stakeholders an opportunity to recommend issues that they wish to see covered in concurrent evidence sessions, the experts whose views they think should be considered in those sessions, and specific questions they would like to see resolved. </w:t>
      </w:r>
    </w:p>
    <w:p w:rsidR="00931D7F" w:rsidRDefault="00931D7F" w:rsidP="00041D6D">
      <w:pPr>
        <w:pStyle w:val="HeadingBoldItalic"/>
      </w:pPr>
      <w:r>
        <w:t>Who will participate in the discussions?</w:t>
      </w:r>
    </w:p>
    <w:p w:rsidR="00931D7F" w:rsidRDefault="00931D7F" w:rsidP="00885C31">
      <w:r>
        <w:lastRenderedPageBreak/>
        <w:t>A</w:t>
      </w:r>
      <w:r w:rsidR="008224B6">
        <w:t xml:space="preserve">s described above, the purpose of the concurrent evidence sessions is to assist the AER in making the best possible decision by allowing the decision-maker to explore further the common ground and the nature of the disagreements between experts providing advice to stakeholders in the review process. To make the </w:t>
      </w:r>
      <w:r w:rsidR="009E4D7D">
        <w:t xml:space="preserve">sessions </w:t>
      </w:r>
      <w:r w:rsidR="008224B6">
        <w:t xml:space="preserve">workable and to encourage discussion that is as informal as possible, an AER Board member or members will be chairing sessions with the assistance of an AER staff member. </w:t>
      </w:r>
      <w:r>
        <w:t>In practice, we expect that:</w:t>
      </w:r>
    </w:p>
    <w:p w:rsidR="00931D7F" w:rsidRDefault="00931D7F" w:rsidP="00041D6D">
      <w:pPr>
        <w:pStyle w:val="AERbulletlistfirststyle"/>
      </w:pPr>
      <w:r>
        <w:t>Experts will be given an opportunity to make an opening statement about their view of the topic under discussion</w:t>
      </w:r>
    </w:p>
    <w:p w:rsidR="00931D7F" w:rsidRDefault="00931D7F" w:rsidP="00041D6D">
      <w:pPr>
        <w:pStyle w:val="AERbulletlistfirststyle"/>
      </w:pPr>
      <w:r>
        <w:t>Following those initial statements, we will proceed into discussion of questions:</w:t>
      </w:r>
    </w:p>
    <w:p w:rsidR="00931D7F" w:rsidRDefault="00931D7F" w:rsidP="00041D6D">
      <w:pPr>
        <w:pStyle w:val="AERbulletlistsecondstyle"/>
      </w:pPr>
      <w:r>
        <w:t>The chair may request experts to comment on previous answer</w:t>
      </w:r>
      <w:r w:rsidR="006338D7">
        <w:t>s</w:t>
      </w:r>
    </w:p>
    <w:p w:rsidR="00931D7F" w:rsidRDefault="00931D7F" w:rsidP="00041D6D">
      <w:pPr>
        <w:pStyle w:val="AERbulletlistsecondstyle"/>
      </w:pPr>
      <w:r>
        <w:t>The chair may give experts the opportunity to ask questions of each</w:t>
      </w:r>
      <w:r w:rsidR="006338D7">
        <w:t xml:space="preserve"> </w:t>
      </w:r>
      <w:r>
        <w:t>other</w:t>
      </w:r>
    </w:p>
    <w:p w:rsidR="00DB5D8D" w:rsidRDefault="006338D7" w:rsidP="00885C31">
      <w:r>
        <w:t>T</w:t>
      </w:r>
      <w:r w:rsidR="008224B6">
        <w:t xml:space="preserve">he chair of the session will ultimately decide </w:t>
      </w:r>
      <w:r w:rsidR="00BA5E8F">
        <w:t xml:space="preserve">on </w:t>
      </w:r>
      <w:r w:rsidR="008224B6">
        <w:t>the questions to be asked.</w:t>
      </w:r>
    </w:p>
    <w:p w:rsidR="001D5758" w:rsidRDefault="001D5758" w:rsidP="001D5758">
      <w:pPr>
        <w:pStyle w:val="Heading3"/>
      </w:pPr>
      <w:r>
        <w:t>After the sessions</w:t>
      </w:r>
    </w:p>
    <w:p w:rsidR="00303F3A" w:rsidRDefault="00957881" w:rsidP="00303F3A">
      <w:pPr>
        <w:pStyle w:val="HeadingBoldItalic"/>
      </w:pPr>
      <w:r>
        <w:t>Material from the sessions</w:t>
      </w:r>
      <w:r w:rsidR="005A63D3">
        <w:t xml:space="preserve"> will be </w:t>
      </w:r>
      <w:r>
        <w:t>made available afterwards</w:t>
      </w:r>
    </w:p>
    <w:p w:rsidR="00B020D7" w:rsidRDefault="00B020D7" w:rsidP="00885C31">
      <w:r>
        <w:t xml:space="preserve">Because attendance at the sessions will be limited, we </w:t>
      </w:r>
      <w:r w:rsidR="00733822">
        <w:t xml:space="preserve">will </w:t>
      </w:r>
      <w:r>
        <w:t>make publicly available all information relied on and discussed at the sessions. Specifically:</w:t>
      </w:r>
    </w:p>
    <w:p w:rsidR="00B020D7" w:rsidRDefault="00B020D7" w:rsidP="00E97E29">
      <w:pPr>
        <w:pStyle w:val="AERbulletlistfirststyle"/>
      </w:pPr>
      <w:r>
        <w:t>We will publish t</w:t>
      </w:r>
      <w:r w:rsidR="00957881">
        <w:t>he</w:t>
      </w:r>
      <w:r>
        <w:t xml:space="preserve"> initial</w:t>
      </w:r>
      <w:r w:rsidR="00957881">
        <w:t xml:space="preserve"> statement of agreed positions </w:t>
      </w:r>
      <w:r>
        <w:t xml:space="preserve">on our website </w:t>
      </w:r>
    </w:p>
    <w:p w:rsidR="00957881" w:rsidRPr="00303F3A" w:rsidRDefault="00957881" w:rsidP="00E97E29">
      <w:pPr>
        <w:pStyle w:val="AERbulletlistfirststyle"/>
      </w:pPr>
      <w:r>
        <w:t>We will request experts review this statement after the concurrent evidence sessions and develop an updated statement of agreed positions if necessary, and we will also make this updated statement available on our website.</w:t>
      </w:r>
      <w:r w:rsidR="007B2A89">
        <w:t xml:space="preserve"> We would only expect to make significant updates if, through the course of the discussion, an expert signalled a change of view on an issue such that the initial statement of agreed positions was no longer representative of their views.</w:t>
      </w:r>
    </w:p>
    <w:p w:rsidR="008224B6" w:rsidRDefault="00091AC3" w:rsidP="00E97E29">
      <w:pPr>
        <w:pStyle w:val="AERbulletlistfirststyle"/>
      </w:pPr>
      <w:r>
        <w:t xml:space="preserve">We will engage a stenographer to take full transcripts of the </w:t>
      </w:r>
      <w:r w:rsidR="00957881">
        <w:t>concurrent evidence sessions</w:t>
      </w:r>
      <w:r w:rsidR="00B3433F">
        <w:t>.</w:t>
      </w:r>
      <w:r w:rsidR="00957881">
        <w:rPr>
          <w:rStyle w:val="FootnoteReference"/>
        </w:rPr>
        <w:footnoteReference w:id="19"/>
      </w:r>
      <w:r w:rsidR="00B3433F">
        <w:t xml:space="preserve"> </w:t>
      </w:r>
      <w:r w:rsidR="00957881">
        <w:t>Participants will have an opportunity to review the transcripts and suggest corrections / modifications. We will finalise the transcript and publish it on our website.</w:t>
      </w:r>
      <w:r w:rsidR="00B3433F">
        <w:t xml:space="preserve"> </w:t>
      </w:r>
    </w:p>
    <w:p w:rsidR="0043203A" w:rsidRDefault="0043203A" w:rsidP="0043203A">
      <w:pPr>
        <w:pStyle w:val="HeadingBoldItalic"/>
      </w:pPr>
      <w:r>
        <w:t>Role of the concurrent evidence in the remainder of the review process</w:t>
      </w:r>
    </w:p>
    <w:p w:rsidR="00957881" w:rsidRDefault="00957881" w:rsidP="00885C31">
      <w:r>
        <w:t xml:space="preserve">The updated statement of agreed positions and the transcript will be </w:t>
      </w:r>
      <w:r w:rsidR="0043203A">
        <w:t xml:space="preserve">relevant material that we will have regard to in making our </w:t>
      </w:r>
      <w:r w:rsidR="00DE7F39">
        <w:t xml:space="preserve">draft and final </w:t>
      </w:r>
      <w:r w:rsidR="0043203A">
        <w:t>decision</w:t>
      </w:r>
      <w:r w:rsidR="00DE7F39">
        <w:t>s</w:t>
      </w:r>
      <w:r w:rsidR="0043203A">
        <w:t xml:space="preserve"> on the rate of return guideline.</w:t>
      </w:r>
    </w:p>
    <w:p w:rsidR="0043203A" w:rsidRDefault="00DE7F39" w:rsidP="00885C31">
      <w:r>
        <w:lastRenderedPageBreak/>
        <w:t xml:space="preserve">Our draft decision on the rate of return guideline will set out how we have taken into account the concurrent evidence. Stakeholders will have an opportunity to comment on the concurrent evidence and </w:t>
      </w:r>
      <w:r w:rsidR="00091AC3">
        <w:t>our use of it in our draft decision through making submissions on our draft decision.</w:t>
      </w:r>
    </w:p>
    <w:p w:rsidR="00B020D7" w:rsidRDefault="00B020D7" w:rsidP="00885C31">
      <w:r>
        <w:t>All of this material will also be available to the independent panel for its review process.</w:t>
      </w:r>
    </w:p>
    <w:p w:rsidR="00622D02" w:rsidRDefault="00622D02" w:rsidP="00622D02">
      <w:pPr>
        <w:pStyle w:val="Heading1"/>
      </w:pPr>
      <w:bookmarkStart w:id="53" w:name="_Toc494800891"/>
      <w:r>
        <w:lastRenderedPageBreak/>
        <w:t>Consumer reference group</w:t>
      </w:r>
      <w:bookmarkEnd w:id="53"/>
    </w:p>
    <w:p w:rsidR="00EB096A" w:rsidRDefault="00EB096A" w:rsidP="00EB096A">
      <w:pPr>
        <w:pStyle w:val="Heading2"/>
      </w:pPr>
      <w:bookmarkStart w:id="54" w:name="_Toc494800892"/>
      <w:r>
        <w:t>Consultation paper</w:t>
      </w:r>
      <w:bookmarkEnd w:id="54"/>
    </w:p>
    <w:p w:rsidR="006706D6" w:rsidRDefault="006706D6" w:rsidP="006706D6">
      <w:r>
        <w:t xml:space="preserve">In our consultation paper, we set out the following preliminary thoughts on the </w:t>
      </w:r>
      <w:r w:rsidR="009E4D7D">
        <w:t>consumer reference group</w:t>
      </w:r>
      <w:r>
        <w:t>:</w:t>
      </w:r>
    </w:p>
    <w:p w:rsidR="006706D6" w:rsidRPr="009177E3" w:rsidRDefault="006706D6" w:rsidP="00642896">
      <w:pPr>
        <w:pStyle w:val="Caption"/>
        <w:ind w:left="1360" w:hanging="1360"/>
      </w:pPr>
      <w:r w:rsidRPr="009177E3">
        <w:t xml:space="preserve">Table </w:t>
      </w:r>
      <w:r w:rsidR="00E07C46">
        <w:fldChar w:fldCharType="begin"/>
      </w:r>
      <w:r w:rsidR="00E07C46">
        <w:instrText xml:space="preserve"> SEQ Table \* ARABIC </w:instrText>
      </w:r>
      <w:r w:rsidR="00E07C46">
        <w:fldChar w:fldCharType="separate"/>
      </w:r>
      <w:r w:rsidR="00626AD1">
        <w:rPr>
          <w:noProof/>
        </w:rPr>
        <w:t>11</w:t>
      </w:r>
      <w:r w:rsidR="00E07C46">
        <w:rPr>
          <w:noProof/>
        </w:rPr>
        <w:fldChar w:fldCharType="end"/>
      </w:r>
      <w:r w:rsidRPr="009177E3">
        <w:tab/>
        <w:t>Preliminary thoughts on the consumer reference group</w:t>
      </w:r>
      <w:r w:rsidR="00957C5D" w:rsidRPr="00957C5D">
        <w:t xml:space="preserve">— </w:t>
      </w:r>
      <w:proofErr w:type="gramStart"/>
      <w:r w:rsidR="00957C5D" w:rsidRPr="00957C5D">
        <w:t>From</w:t>
      </w:r>
      <w:proofErr w:type="gramEnd"/>
      <w:r w:rsidR="00957C5D" w:rsidRPr="00957C5D">
        <w:t xml:space="preserve"> our consultation paper</w:t>
      </w:r>
    </w:p>
    <w:tbl>
      <w:tblPr>
        <w:tblStyle w:val="AERtable-text0"/>
        <w:tblW w:w="0" w:type="auto"/>
        <w:tblLook w:val="04A0" w:firstRow="1" w:lastRow="0" w:firstColumn="1" w:lastColumn="0" w:noHBand="0" w:noVBand="1"/>
      </w:tblPr>
      <w:tblGrid>
        <w:gridCol w:w="1384"/>
        <w:gridCol w:w="7309"/>
      </w:tblGrid>
      <w:tr w:rsidR="006706D6" w:rsidRPr="009623C5" w:rsidTr="00DF27EB">
        <w:trPr>
          <w:cnfStyle w:val="100000000000" w:firstRow="1" w:lastRow="0" w:firstColumn="0" w:lastColumn="0" w:oddVBand="0" w:evenVBand="0" w:oddHBand="0" w:evenHBand="0" w:firstRowFirstColumn="0" w:firstRowLastColumn="0" w:lastRowFirstColumn="0" w:lastRowLastColumn="0"/>
        </w:trPr>
        <w:tc>
          <w:tcPr>
            <w:tcW w:w="1384" w:type="dxa"/>
          </w:tcPr>
          <w:p w:rsidR="006706D6" w:rsidRPr="009177E3" w:rsidRDefault="006706D6" w:rsidP="00DF27EB">
            <w:r w:rsidRPr="009177E3">
              <w:t>Issue</w:t>
            </w:r>
          </w:p>
        </w:tc>
        <w:tc>
          <w:tcPr>
            <w:tcW w:w="7309" w:type="dxa"/>
          </w:tcPr>
          <w:p w:rsidR="006706D6" w:rsidRPr="009177E3" w:rsidRDefault="006706D6" w:rsidP="00DF27EB">
            <w:r w:rsidRPr="009177E3">
              <w:t>AER's preliminary thoughts</w:t>
            </w:r>
          </w:p>
        </w:tc>
      </w:tr>
      <w:tr w:rsidR="006706D6" w:rsidRPr="009623C5" w:rsidTr="00DF27EB">
        <w:tc>
          <w:tcPr>
            <w:tcW w:w="1384" w:type="dxa"/>
          </w:tcPr>
          <w:p w:rsidR="006706D6" w:rsidRPr="009177E3" w:rsidRDefault="006706D6" w:rsidP="00DF27EB">
            <w:r w:rsidRPr="009177E3">
              <w:t>Purpose</w:t>
            </w:r>
          </w:p>
        </w:tc>
        <w:tc>
          <w:tcPr>
            <w:tcW w:w="7309" w:type="dxa"/>
          </w:tcPr>
          <w:p w:rsidR="006706D6" w:rsidRPr="009177E3" w:rsidRDefault="006706D6" w:rsidP="00DF27EB">
            <w:r w:rsidRPr="009177E3">
              <w:t>The consumer reference group will facilitate consumer participation and engagement throughout the rate of return guideline</w:t>
            </w:r>
            <w:r>
              <w:t>s</w:t>
            </w:r>
            <w:r w:rsidRPr="009177E3">
              <w:t xml:space="preserve"> development process.</w:t>
            </w:r>
          </w:p>
        </w:tc>
      </w:tr>
      <w:tr w:rsidR="006706D6" w:rsidRPr="009623C5" w:rsidTr="00DF27EB">
        <w:trPr>
          <w:cnfStyle w:val="000000010000" w:firstRow="0" w:lastRow="0" w:firstColumn="0" w:lastColumn="0" w:oddVBand="0" w:evenVBand="0" w:oddHBand="0" w:evenHBand="1" w:firstRowFirstColumn="0" w:firstRowLastColumn="0" w:lastRowFirstColumn="0" w:lastRowLastColumn="0"/>
        </w:trPr>
        <w:tc>
          <w:tcPr>
            <w:tcW w:w="1384" w:type="dxa"/>
          </w:tcPr>
          <w:p w:rsidR="006706D6" w:rsidRPr="009177E3" w:rsidRDefault="006706D6" w:rsidP="00DF27EB">
            <w:r w:rsidRPr="009177E3">
              <w:t>When</w:t>
            </w:r>
          </w:p>
        </w:tc>
        <w:tc>
          <w:tcPr>
            <w:tcW w:w="7309" w:type="dxa"/>
          </w:tcPr>
          <w:p w:rsidR="006706D6" w:rsidRPr="009177E3" w:rsidRDefault="006706D6" w:rsidP="00DF27EB">
            <w:r w:rsidRPr="009177E3">
              <w:t>We propose to constitute the consumer reference group prior to publishing the issues paper in October 2017.</w:t>
            </w:r>
          </w:p>
        </w:tc>
      </w:tr>
      <w:tr w:rsidR="006706D6" w:rsidRPr="009623C5" w:rsidTr="00DF27EB">
        <w:tc>
          <w:tcPr>
            <w:tcW w:w="1384" w:type="dxa"/>
          </w:tcPr>
          <w:p w:rsidR="006706D6" w:rsidRPr="009177E3" w:rsidRDefault="006706D6" w:rsidP="00DF27EB">
            <w:r w:rsidRPr="009177E3">
              <w:t>Opportunity for stakeholder input</w:t>
            </w:r>
          </w:p>
        </w:tc>
        <w:tc>
          <w:tcPr>
            <w:tcW w:w="7309" w:type="dxa"/>
          </w:tcPr>
          <w:p w:rsidR="006706D6" w:rsidRPr="009177E3" w:rsidRDefault="006706D6" w:rsidP="00DF27EB">
            <w:r w:rsidRPr="009177E3">
              <w:t>Following release of the issues paper we would expect the commencement of substantive consultation on rate of return issues.</w:t>
            </w:r>
          </w:p>
        </w:tc>
      </w:tr>
    </w:tbl>
    <w:p w:rsidR="006706D6" w:rsidRPr="00E97E29" w:rsidRDefault="006706D6" w:rsidP="00885C31"/>
    <w:p w:rsidR="00EB096A" w:rsidRDefault="00EB096A" w:rsidP="00EB096A">
      <w:pPr>
        <w:pStyle w:val="Heading2"/>
      </w:pPr>
      <w:bookmarkStart w:id="55" w:name="_Toc494800893"/>
      <w:r>
        <w:t>Submissions</w:t>
      </w:r>
      <w:bookmarkEnd w:id="55"/>
    </w:p>
    <w:p w:rsidR="000D1054" w:rsidRDefault="000D1054" w:rsidP="000D1054">
      <w:r>
        <w:t xml:space="preserve">We received submissions on operation of the </w:t>
      </w:r>
      <w:r w:rsidR="006338D7">
        <w:t>consumer reference group</w:t>
      </w:r>
      <w:r>
        <w:t xml:space="preserve">. They are set out in </w:t>
      </w:r>
      <w:r w:rsidR="000614A0">
        <w:fldChar w:fldCharType="begin"/>
      </w:r>
      <w:r w:rsidR="000614A0">
        <w:instrText xml:space="preserve"> REF _Ref499102931 \h </w:instrText>
      </w:r>
      <w:r w:rsidR="000614A0">
        <w:fldChar w:fldCharType="separate"/>
      </w:r>
      <w:r w:rsidR="000614A0">
        <w:t xml:space="preserve">Table </w:t>
      </w:r>
      <w:r w:rsidR="000614A0">
        <w:rPr>
          <w:noProof/>
        </w:rPr>
        <w:t>12</w:t>
      </w:r>
      <w:r w:rsidR="000614A0">
        <w:fldChar w:fldCharType="end"/>
      </w:r>
      <w:r>
        <w:t xml:space="preserve">below. In the table we have tried to capture instances where the substance of particular submissions overlap and have attributed a single description of the issue to all submissions that we understand to be making the same argument. For the specific language used by individual stakeholders, we recommend reading the full submissions as published on our website.  </w:t>
      </w:r>
    </w:p>
    <w:p w:rsidR="000D1054" w:rsidRPr="00853182" w:rsidRDefault="000D1054" w:rsidP="000D1054">
      <w:pPr>
        <w:pStyle w:val="Caption"/>
      </w:pPr>
      <w:bookmarkStart w:id="56" w:name="_Ref499102931"/>
      <w:r>
        <w:t xml:space="preserve">Table </w:t>
      </w:r>
      <w:r w:rsidR="00E07C46">
        <w:fldChar w:fldCharType="begin"/>
      </w:r>
      <w:r w:rsidR="00E07C46">
        <w:instrText xml:space="preserve"> SEQ Table \* ARABIC </w:instrText>
      </w:r>
      <w:r w:rsidR="00E07C46">
        <w:fldChar w:fldCharType="separate"/>
      </w:r>
      <w:r w:rsidR="00626AD1">
        <w:rPr>
          <w:noProof/>
        </w:rPr>
        <w:t>12</w:t>
      </w:r>
      <w:r w:rsidR="00E07C46">
        <w:rPr>
          <w:noProof/>
        </w:rPr>
        <w:fldChar w:fldCharType="end"/>
      </w:r>
      <w:bookmarkEnd w:id="56"/>
      <w:r>
        <w:tab/>
      </w:r>
      <w:r w:rsidR="00642896">
        <w:tab/>
      </w:r>
      <w:r>
        <w:t xml:space="preserve">Submissions on the </w:t>
      </w:r>
      <w:r w:rsidR="0004380A">
        <w:t>consumer reference group</w:t>
      </w:r>
    </w:p>
    <w:tbl>
      <w:tblPr>
        <w:tblStyle w:val="AERtable-text0"/>
        <w:tblW w:w="0" w:type="auto"/>
        <w:tblLook w:val="04A0" w:firstRow="1" w:lastRow="0" w:firstColumn="1" w:lastColumn="0" w:noHBand="0" w:noVBand="1"/>
      </w:tblPr>
      <w:tblGrid>
        <w:gridCol w:w="1384"/>
        <w:gridCol w:w="7309"/>
      </w:tblGrid>
      <w:tr w:rsidR="00A65827" w:rsidRPr="009177E3" w:rsidTr="00145CF3">
        <w:trPr>
          <w:cnfStyle w:val="100000000000" w:firstRow="1" w:lastRow="0" w:firstColumn="0" w:lastColumn="0" w:oddVBand="0" w:evenVBand="0" w:oddHBand="0" w:evenHBand="0" w:firstRowFirstColumn="0" w:firstRowLastColumn="0" w:lastRowFirstColumn="0" w:lastRowLastColumn="0"/>
        </w:trPr>
        <w:tc>
          <w:tcPr>
            <w:tcW w:w="1384" w:type="dxa"/>
          </w:tcPr>
          <w:p w:rsidR="00A65827" w:rsidRPr="009177E3" w:rsidRDefault="00A65827" w:rsidP="00145CF3">
            <w:r>
              <w:t>Stakeholder</w:t>
            </w:r>
          </w:p>
        </w:tc>
        <w:tc>
          <w:tcPr>
            <w:tcW w:w="7309" w:type="dxa"/>
          </w:tcPr>
          <w:p w:rsidR="00A65827" w:rsidRPr="009177E3" w:rsidRDefault="00A65827" w:rsidP="00145CF3">
            <w:r>
              <w:t>Submission</w:t>
            </w:r>
          </w:p>
        </w:tc>
      </w:tr>
      <w:tr w:rsidR="00A65827" w:rsidRPr="009177E3" w:rsidTr="00145CF3">
        <w:tc>
          <w:tcPr>
            <w:tcW w:w="1384" w:type="dxa"/>
          </w:tcPr>
          <w:p w:rsidR="00A65827" w:rsidRPr="009177E3" w:rsidRDefault="00A65827" w:rsidP="00145CF3">
            <w:r>
              <w:t>CCP</w:t>
            </w:r>
          </w:p>
        </w:tc>
        <w:tc>
          <w:tcPr>
            <w:tcW w:w="7309" w:type="dxa"/>
          </w:tcPr>
          <w:p w:rsidR="00A65827" w:rsidRPr="009177E3" w:rsidRDefault="00A65827" w:rsidP="00145CF3">
            <w:r>
              <w:t>CCP and CRG should engage with each</w:t>
            </w:r>
            <w:r w:rsidR="00EA2D4C">
              <w:t xml:space="preserve"> </w:t>
            </w:r>
            <w:r>
              <w:t>other</w:t>
            </w:r>
          </w:p>
        </w:tc>
      </w:tr>
      <w:tr w:rsidR="00A65827"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A65827" w:rsidRPr="009177E3" w:rsidRDefault="000B1006" w:rsidP="00145CF3">
            <w:r>
              <w:t>AGN,</w:t>
            </w:r>
            <w:r w:rsidR="00A65827">
              <w:t xml:space="preserve"> ENA</w:t>
            </w:r>
          </w:p>
        </w:tc>
        <w:tc>
          <w:tcPr>
            <w:tcW w:w="7309" w:type="dxa"/>
          </w:tcPr>
          <w:p w:rsidR="00A65827" w:rsidRPr="009177E3" w:rsidRDefault="00A65827" w:rsidP="00145CF3">
            <w:r>
              <w:t>Where possible, it might be useful for the AER, ENA, CCP and CRG to engage jointly.</w:t>
            </w:r>
          </w:p>
        </w:tc>
      </w:tr>
      <w:tr w:rsidR="00A65827" w:rsidRPr="009177E3" w:rsidTr="00145CF3">
        <w:tc>
          <w:tcPr>
            <w:tcW w:w="1384" w:type="dxa"/>
          </w:tcPr>
          <w:p w:rsidR="00A65827" w:rsidRDefault="00A65827" w:rsidP="00145CF3">
            <w:r>
              <w:t>AGN</w:t>
            </w:r>
          </w:p>
        </w:tc>
        <w:tc>
          <w:tcPr>
            <w:tcW w:w="7309" w:type="dxa"/>
          </w:tcPr>
          <w:p w:rsidR="00A65827" w:rsidRDefault="00A65827" w:rsidP="00D90A6F">
            <w:r>
              <w:t xml:space="preserve">That joint engagement could go towards determining which experts and issues could feature in the </w:t>
            </w:r>
            <w:r w:rsidR="00D90A6F">
              <w:t>concurrent evidence sessions</w:t>
            </w:r>
            <w:r>
              <w:t>.</w:t>
            </w:r>
          </w:p>
        </w:tc>
      </w:tr>
      <w:tr w:rsidR="00A65827"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A65827" w:rsidRDefault="00A65827" w:rsidP="00145CF3">
            <w:proofErr w:type="spellStart"/>
            <w:r>
              <w:t>TransGrid</w:t>
            </w:r>
            <w:proofErr w:type="spellEnd"/>
          </w:p>
        </w:tc>
        <w:tc>
          <w:tcPr>
            <w:tcW w:w="7309" w:type="dxa"/>
          </w:tcPr>
          <w:p w:rsidR="00A65827" w:rsidRDefault="00A65827" w:rsidP="00145CF3">
            <w:r>
              <w:t>Clear criteria are required to manage who is included in the CRG.</w:t>
            </w:r>
          </w:p>
        </w:tc>
      </w:tr>
      <w:tr w:rsidR="00CB1F7C" w:rsidRPr="009177E3" w:rsidTr="00145CF3">
        <w:tc>
          <w:tcPr>
            <w:tcW w:w="1384" w:type="dxa"/>
          </w:tcPr>
          <w:p w:rsidR="00CB1F7C" w:rsidRDefault="00CB1F7C" w:rsidP="00145CF3">
            <w:proofErr w:type="spellStart"/>
            <w:r>
              <w:t>TransGrid</w:t>
            </w:r>
            <w:proofErr w:type="spellEnd"/>
          </w:p>
        </w:tc>
        <w:tc>
          <w:tcPr>
            <w:tcW w:w="7309" w:type="dxa"/>
          </w:tcPr>
          <w:p w:rsidR="00CB1F7C" w:rsidRDefault="00CB1F7C" w:rsidP="00145CF3">
            <w:r>
              <w:t>It is important that skills and information sessions are presented from a neutral perspective.</w:t>
            </w:r>
          </w:p>
        </w:tc>
      </w:tr>
      <w:tr w:rsidR="00A65827"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A65827" w:rsidRDefault="00A65827" w:rsidP="00145CF3">
            <w:r>
              <w:t>MEU</w:t>
            </w:r>
          </w:p>
        </w:tc>
        <w:tc>
          <w:tcPr>
            <w:tcW w:w="7309" w:type="dxa"/>
          </w:tcPr>
          <w:p w:rsidR="00A65827" w:rsidRDefault="00A65827" w:rsidP="00145CF3">
            <w:r>
              <w:t>The AER should clarify more detail about the size of the group, how members will be appointed, what skills members must have</w:t>
            </w:r>
          </w:p>
        </w:tc>
      </w:tr>
      <w:tr w:rsidR="00A65827" w:rsidRPr="009177E3" w:rsidTr="00145CF3">
        <w:tc>
          <w:tcPr>
            <w:tcW w:w="1384" w:type="dxa"/>
          </w:tcPr>
          <w:p w:rsidR="00A65827" w:rsidRDefault="00C10AE1" w:rsidP="00145CF3">
            <w:r>
              <w:t xml:space="preserve">CCP, </w:t>
            </w:r>
            <w:r w:rsidR="00A65827">
              <w:t xml:space="preserve">MEU, </w:t>
            </w:r>
            <w:proofErr w:type="spellStart"/>
            <w:r w:rsidR="00A65827">
              <w:t>TaCoss</w:t>
            </w:r>
            <w:proofErr w:type="spellEnd"/>
            <w:r w:rsidR="00A65827">
              <w:t>, PIAC</w:t>
            </w:r>
          </w:p>
        </w:tc>
        <w:tc>
          <w:tcPr>
            <w:tcW w:w="7309" w:type="dxa"/>
          </w:tcPr>
          <w:p w:rsidR="00A65827" w:rsidRDefault="00A65827" w:rsidP="00145CF3">
            <w:r>
              <w:t>The AER should address how the costs and time of CRG members will be covered for attending workshops and information sessions</w:t>
            </w:r>
          </w:p>
        </w:tc>
      </w:tr>
      <w:tr w:rsidR="00A65827" w:rsidRPr="009177E3" w:rsidTr="00145CF3">
        <w:trPr>
          <w:cnfStyle w:val="000000010000" w:firstRow="0" w:lastRow="0" w:firstColumn="0" w:lastColumn="0" w:oddVBand="0" w:evenVBand="0" w:oddHBand="0" w:evenHBand="1" w:firstRowFirstColumn="0" w:firstRowLastColumn="0" w:lastRowFirstColumn="0" w:lastRowLastColumn="0"/>
        </w:trPr>
        <w:tc>
          <w:tcPr>
            <w:tcW w:w="1384" w:type="dxa"/>
          </w:tcPr>
          <w:p w:rsidR="00A65827" w:rsidRDefault="00A65827" w:rsidP="00145CF3">
            <w:proofErr w:type="spellStart"/>
            <w:r>
              <w:t>TaCOSS</w:t>
            </w:r>
            <w:proofErr w:type="spellEnd"/>
          </w:p>
        </w:tc>
        <w:tc>
          <w:tcPr>
            <w:tcW w:w="7309" w:type="dxa"/>
          </w:tcPr>
          <w:p w:rsidR="00A65827" w:rsidRDefault="00A65827" w:rsidP="00145CF3">
            <w:r>
              <w:t>It is a high priority that the AER should hear the voices of disadvantaged and vulnerable customers as part of its CRG, and this may require some training or skills development</w:t>
            </w:r>
          </w:p>
        </w:tc>
      </w:tr>
      <w:tr w:rsidR="00567F9D" w:rsidRPr="009177E3" w:rsidTr="00145CF3">
        <w:tc>
          <w:tcPr>
            <w:tcW w:w="1384" w:type="dxa"/>
          </w:tcPr>
          <w:p w:rsidR="00567F9D" w:rsidRDefault="00567F9D" w:rsidP="00145CF3">
            <w:r>
              <w:lastRenderedPageBreak/>
              <w:t>QEUN</w:t>
            </w:r>
          </w:p>
        </w:tc>
        <w:tc>
          <w:tcPr>
            <w:tcW w:w="7309" w:type="dxa"/>
          </w:tcPr>
          <w:p w:rsidR="00567F9D" w:rsidRDefault="00567F9D" w:rsidP="00145CF3">
            <w:r>
              <w:t>To ensure equitable participation from regional customers it is essential that the AER organises and provides at no cost to regional consumers, video and telephone conferencing links to workshops and information sessions on the rate of return guideline.</w:t>
            </w:r>
          </w:p>
        </w:tc>
      </w:tr>
    </w:tbl>
    <w:p w:rsidR="000D1054" w:rsidRDefault="000D1054" w:rsidP="00041D6D">
      <w:pPr>
        <w:pStyle w:val="AERtablesource"/>
        <w:ind w:left="1020" w:hanging="1020"/>
      </w:pPr>
      <w:r>
        <w:t xml:space="preserve">References: </w:t>
      </w:r>
      <w:r w:rsidR="00567F9D">
        <w:tab/>
        <w:t xml:space="preserve">Consumer Challenge Panel (subpanel 16), </w:t>
      </w:r>
      <w:r w:rsidR="00567F9D" w:rsidRPr="00753FD1">
        <w:rPr>
          <w:rStyle w:val="AERtextitalic"/>
        </w:rPr>
        <w:t>Submission to the AER on its consultation paper on a process for review of the rate of return guideline</w:t>
      </w:r>
      <w:r w:rsidR="00567F9D">
        <w:t xml:space="preserve">, August 2017; AGN, </w:t>
      </w:r>
      <w:r w:rsidR="00567F9D" w:rsidRPr="00753FD1">
        <w:rPr>
          <w:rStyle w:val="AERtextitalic"/>
        </w:rPr>
        <w:t>Letter re: Process for Reviewing the Rate of Return Guidelines</w:t>
      </w:r>
      <w:r w:rsidR="00567F9D">
        <w:t xml:space="preserve">, August 2017; </w:t>
      </w:r>
      <w:r w:rsidR="00567F9D" w:rsidRPr="003F3255">
        <w:t xml:space="preserve"> </w:t>
      </w:r>
      <w:r w:rsidR="00567F9D">
        <w:t xml:space="preserve">ENA, </w:t>
      </w:r>
      <w:r w:rsidR="00567F9D" w:rsidRPr="00753FD1">
        <w:rPr>
          <w:rStyle w:val="AERtextitalic"/>
        </w:rPr>
        <w:t>Process for reviewing the rate of return guidelines—Response to AER consultation paper</w:t>
      </w:r>
      <w:r w:rsidR="00567F9D">
        <w:t xml:space="preserve">, August 2017; AusNet Services, </w:t>
      </w:r>
      <w:r w:rsidR="00567F9D" w:rsidRPr="00753FD1">
        <w:rPr>
          <w:rStyle w:val="AERtextitalic"/>
        </w:rPr>
        <w:t>Letter re: Consultation paper—Process for reviewing the rate of return guidelines</w:t>
      </w:r>
      <w:r w:rsidR="00567F9D">
        <w:t xml:space="preserve">, August 2017; </w:t>
      </w:r>
      <w:proofErr w:type="spellStart"/>
      <w:r w:rsidR="00567F9D">
        <w:t>Transgrid</w:t>
      </w:r>
      <w:proofErr w:type="spellEnd"/>
      <w:r w:rsidR="00567F9D">
        <w:t xml:space="preserve">, </w:t>
      </w:r>
      <w:r w:rsidR="00567F9D" w:rsidRPr="00753FD1">
        <w:rPr>
          <w:rStyle w:val="AERtextitalic"/>
        </w:rPr>
        <w:t>Letter re: Consultation paper—Process for reviewing the rate of return guidelines</w:t>
      </w:r>
      <w:r w:rsidR="00567F9D">
        <w:t xml:space="preserve">, August 2017; Major Energy Users, </w:t>
      </w:r>
      <w:r w:rsidR="00567F9D" w:rsidRPr="00753FD1">
        <w:rPr>
          <w:rStyle w:val="AERtextitalic"/>
        </w:rPr>
        <w:t>Process for reviewing the rate of return guidelines consultation paper</w:t>
      </w:r>
      <w:r w:rsidR="00567F9D">
        <w:t xml:space="preserve">, August 2017; Spark Infrastructure, </w:t>
      </w:r>
      <w:r w:rsidR="00567F9D" w:rsidRPr="00753FD1">
        <w:rPr>
          <w:rStyle w:val="AERtextitalic"/>
        </w:rPr>
        <w:t>Letter re: Process for reviewing the rate of return guidelines</w:t>
      </w:r>
      <w:r w:rsidR="00567F9D">
        <w:t xml:space="preserve">, August 2017; APA, </w:t>
      </w:r>
      <w:r w:rsidR="00567F9D" w:rsidRPr="00753FD1">
        <w:rPr>
          <w:rStyle w:val="AERtextitalic"/>
        </w:rPr>
        <w:t>APA submission on rate of return review consultation paper</w:t>
      </w:r>
      <w:r w:rsidR="00567F9D">
        <w:t xml:space="preserve">, August 2017; Essential Energy, </w:t>
      </w:r>
      <w:r w:rsidR="00567F9D" w:rsidRPr="00753FD1">
        <w:rPr>
          <w:rStyle w:val="AERtextitalic"/>
        </w:rPr>
        <w:t>Essential Energy submission to the rate of return guideline review process consultation paper</w:t>
      </w:r>
      <w:r w:rsidR="00567F9D">
        <w:t xml:space="preserve">, August 2017; Tasmanian Council of Social Service, </w:t>
      </w:r>
      <w:r w:rsidR="00567F9D" w:rsidRPr="00753FD1">
        <w:rPr>
          <w:rStyle w:val="AERtextitalic"/>
        </w:rPr>
        <w:t>Submission to the AER consultation paper: Process for reviewing the rate of return guidelines</w:t>
      </w:r>
      <w:r w:rsidR="00567F9D">
        <w:t xml:space="preserve">, August 2017; Energex and Ergon Energy, </w:t>
      </w:r>
      <w:r w:rsidR="00567F9D" w:rsidRPr="00753FD1">
        <w:rPr>
          <w:rStyle w:val="AERtextitalic"/>
        </w:rPr>
        <w:t>Process for reviewing the rate of return guidelines—Consultation paper</w:t>
      </w:r>
      <w:r w:rsidR="00567F9D">
        <w:t xml:space="preserve">, August 2017; Public Interest Advocacy Centre, </w:t>
      </w:r>
      <w:r w:rsidR="00567F9D" w:rsidRPr="00753FD1">
        <w:rPr>
          <w:rStyle w:val="AERtextitalic"/>
        </w:rPr>
        <w:t>Submission on process for reviewing the rate of return guidelines</w:t>
      </w:r>
      <w:r w:rsidR="00567F9D">
        <w:t xml:space="preserve">, August 2017. </w:t>
      </w:r>
      <w:proofErr w:type="gramStart"/>
      <w:r w:rsidR="00567F9D">
        <w:t xml:space="preserve">Queensland Electricity Users Network, </w:t>
      </w:r>
      <w:r w:rsidR="00567F9D" w:rsidRPr="00753FD1">
        <w:rPr>
          <w:rStyle w:val="AERtextitalic"/>
        </w:rPr>
        <w:t>Submission to the AER on the process for reviewing the rate of return guideline</w:t>
      </w:r>
      <w:r w:rsidR="00567F9D">
        <w:t>, August 2017.</w:t>
      </w:r>
      <w:proofErr w:type="gramEnd"/>
    </w:p>
    <w:p w:rsidR="0004380A" w:rsidRDefault="0004380A" w:rsidP="0004380A">
      <w:pPr>
        <w:pStyle w:val="AERtablesource"/>
        <w:ind w:left="1020" w:hanging="1020"/>
      </w:pPr>
      <w:r>
        <w:t xml:space="preserve">Notes: </w:t>
      </w:r>
      <w:r>
        <w:tab/>
      </w:r>
      <w:r>
        <w:tab/>
        <w:t xml:space="preserve">We have tried to capture instances where the </w:t>
      </w:r>
      <w:proofErr w:type="gramStart"/>
      <w:r>
        <w:t>substance of particular submissions overlap</w:t>
      </w:r>
      <w:proofErr w:type="gramEnd"/>
      <w:r>
        <w:t xml:space="preserve"> and have attributed a single description of the issue to all submissions that we understand to be making the same argument. For the specific language used by individual stakeholders, we recommend reading the full submissions as published on our website.</w:t>
      </w:r>
    </w:p>
    <w:p w:rsidR="00EB096A" w:rsidRDefault="00EB096A" w:rsidP="00EB096A">
      <w:pPr>
        <w:pStyle w:val="Heading2"/>
      </w:pPr>
      <w:bookmarkStart w:id="57" w:name="_Toc494800894"/>
      <w:r>
        <w:t>Our views</w:t>
      </w:r>
      <w:bookmarkEnd w:id="57"/>
    </w:p>
    <w:p w:rsidR="00105015" w:rsidRDefault="00105015" w:rsidP="00885C31">
      <w:r>
        <w:t>We h</w:t>
      </w:r>
      <w:r w:rsidR="00D96F13">
        <w:t>ave</w:t>
      </w:r>
      <w:r>
        <w:t xml:space="preserve"> now</w:t>
      </w:r>
      <w:r w:rsidR="00D96F13">
        <w:t xml:space="preserve"> engaged the initial group</w:t>
      </w:r>
      <w:r w:rsidR="00706854">
        <w:t xml:space="preserve"> of 1</w:t>
      </w:r>
      <w:r w:rsidR="00017D78">
        <w:t>3</w:t>
      </w:r>
      <w:r w:rsidR="00706854">
        <w:t xml:space="preserve"> members representing a </w:t>
      </w:r>
      <w:r w:rsidR="0067533F">
        <w:t xml:space="preserve">range </w:t>
      </w:r>
      <w:r w:rsidR="00706854">
        <w:t>of consumer perspectives</w:t>
      </w:r>
      <w:r w:rsidR="0067533F">
        <w:t>.</w:t>
      </w:r>
    </w:p>
    <w:p w:rsidR="00105015" w:rsidRPr="00105015" w:rsidRDefault="00105015" w:rsidP="00885C31">
      <w:pPr>
        <w:rPr>
          <w:lang w:val="en" w:eastAsia="en-AU"/>
        </w:rPr>
      </w:pPr>
      <w:r w:rsidRPr="00105015">
        <w:rPr>
          <w:lang w:val="en" w:eastAsia="en-AU"/>
        </w:rPr>
        <w:t xml:space="preserve">Contributions from consumers are a central part of our process – we recognize that the decisions we make and the actions we take in performing our regulatory roles and other activities affect a wide range of individuals, businesses and </w:t>
      </w:r>
      <w:proofErr w:type="spellStart"/>
      <w:r w:rsidRPr="00105015">
        <w:rPr>
          <w:lang w:val="en" w:eastAsia="en-AU"/>
        </w:rPr>
        <w:t>organisations</w:t>
      </w:r>
      <w:proofErr w:type="spellEnd"/>
      <w:r w:rsidRPr="00105015">
        <w:rPr>
          <w:lang w:val="en" w:eastAsia="en-AU"/>
        </w:rPr>
        <w:t>.</w:t>
      </w:r>
      <w:r>
        <w:rPr>
          <w:lang w:val="en" w:eastAsia="en-AU"/>
        </w:rPr>
        <w:t xml:space="preserve"> The NEO and NGO, which are the overarching objectives on which the entire regulatory framework is based, focus on promoting the long-term interests of consumers.</w:t>
      </w:r>
    </w:p>
    <w:p w:rsidR="00105015" w:rsidRDefault="00105015" w:rsidP="00885C31">
      <w:pPr>
        <w:rPr>
          <w:lang w:val="en" w:eastAsia="en-AU"/>
        </w:rPr>
      </w:pPr>
      <w:r w:rsidRPr="00105015">
        <w:rPr>
          <w:lang w:val="en" w:eastAsia="en-AU"/>
        </w:rPr>
        <w:t>The role of the CRG is to provide direct and ongoing feedback to the AER during guideline development, and to facilitate broader consumer participation and engagement. We anticipate that CRG members will take up opportunities to work collaboratively, provide submissions on our issues papers and draft decision, and contribute to our workshops and forums.</w:t>
      </w:r>
    </w:p>
    <w:p w:rsidR="00105015" w:rsidRDefault="00C46D82" w:rsidP="00885C31">
      <w:pPr>
        <w:pStyle w:val="HeadingBoldBlue"/>
      </w:pPr>
      <w:r>
        <w:t>Membership of the C</w:t>
      </w:r>
      <w:r w:rsidR="009273D2">
        <w:t>RG</w:t>
      </w:r>
    </w:p>
    <w:p w:rsidR="00C46D82" w:rsidRDefault="00C46D82" w:rsidP="00885C31">
      <w:r>
        <w:t>We selected the initial 1</w:t>
      </w:r>
      <w:r w:rsidR="00F9681C">
        <w:t>3</w:t>
      </w:r>
      <w:r>
        <w:t xml:space="preserve"> members of the </w:t>
      </w:r>
      <w:r w:rsidR="007F085A">
        <w:t xml:space="preserve">CRG </w:t>
      </w:r>
      <w:r>
        <w:t>to represent a wide range of consumer perspectives. The initial membership includes consumer representatives focussed on large customers, vulnerable customers, rural customers as well as the peak representative groups</w:t>
      </w:r>
      <w:r w:rsidR="00567F9D">
        <w:t xml:space="preserve"> and several individual consumers</w:t>
      </w:r>
      <w:r>
        <w:t>. In our view, this wide spectrum of representation is important because:</w:t>
      </w:r>
    </w:p>
    <w:p w:rsidR="00C46D82" w:rsidRDefault="00C46D82" w:rsidP="00AF63E1">
      <w:pPr>
        <w:pStyle w:val="AERbulletlistfirststyle"/>
      </w:pPr>
      <w:r>
        <w:lastRenderedPageBreak/>
        <w:t>It will allow us to engage more consistently with the diversity of consumer perspectives</w:t>
      </w:r>
    </w:p>
    <w:p w:rsidR="00FD294D" w:rsidRDefault="00C46D82" w:rsidP="00EB574A">
      <w:pPr>
        <w:pStyle w:val="AERbulletlistfirststyle"/>
      </w:pPr>
      <w:r>
        <w:t>It offers an opportunity to engage with parties that have not been regularly involve</w:t>
      </w:r>
      <w:r w:rsidR="00123D47">
        <w:t xml:space="preserve">d in previous processes. Through participation in the process and access to the skills and information sessions, the CRG can also be a mechanism by which a </w:t>
      </w:r>
      <w:proofErr w:type="spellStart"/>
      <w:r w:rsidR="00123D47">
        <w:t>broaderbase</w:t>
      </w:r>
      <w:proofErr w:type="spellEnd"/>
      <w:r w:rsidR="00123D47">
        <w:t xml:space="preserve"> of consumers are able to participate in our regulatory processes.</w:t>
      </w:r>
    </w:p>
    <w:p w:rsidR="00123D47" w:rsidRDefault="00123D47" w:rsidP="00885C31">
      <w:r>
        <w:t xml:space="preserve">While we have </w:t>
      </w:r>
      <w:r w:rsidR="0061182E">
        <w:t>appointed the initial group of members, w</w:t>
      </w:r>
      <w:r w:rsidR="0061182E" w:rsidRPr="0061182E">
        <w:t xml:space="preserve">e encourage other consumer representatives to contact us at </w:t>
      </w:r>
      <w:hyperlink r:id="rId14" w:history="1">
        <w:r w:rsidR="0061182E" w:rsidRPr="00203B95">
          <w:rPr>
            <w:rStyle w:val="Hyperlink"/>
          </w:rPr>
          <w:t>rateofreturn@aer.gov.au</w:t>
        </w:r>
      </w:hyperlink>
      <w:r w:rsidR="0061182E">
        <w:t xml:space="preserve"> </w:t>
      </w:r>
      <w:r w:rsidR="0061182E" w:rsidRPr="0061182E">
        <w:t>if you are interested in joining the CRG during the course of the review.</w:t>
      </w:r>
    </w:p>
    <w:p w:rsidR="003A6A1D" w:rsidRDefault="003A6A1D" w:rsidP="00885C31">
      <w:pPr>
        <w:pStyle w:val="HeadingBoldBlue"/>
      </w:pPr>
      <w:r>
        <w:t>Engagement with the CRG</w:t>
      </w:r>
    </w:p>
    <w:p w:rsidR="003A6A1D" w:rsidRDefault="003A6A1D" w:rsidP="00885C31">
      <w:r>
        <w:t>In their capacity as CRG members, we expect the CRG will:</w:t>
      </w:r>
    </w:p>
    <w:p w:rsidR="003A6A1D" w:rsidRDefault="003A6A1D" w:rsidP="00AF63E1">
      <w:pPr>
        <w:pStyle w:val="AERbulletlistfirststyle"/>
      </w:pPr>
      <w:r>
        <w:t>participate in monthly meetings with AER staff</w:t>
      </w:r>
    </w:p>
    <w:p w:rsidR="003A6A1D" w:rsidRDefault="003A6A1D" w:rsidP="00AF63E1">
      <w:pPr>
        <w:pStyle w:val="AERbulletlistfirststyle"/>
      </w:pPr>
      <w:r>
        <w:t>where interested, attending skills or information sessions</w:t>
      </w:r>
    </w:p>
    <w:p w:rsidR="003A6A1D" w:rsidRDefault="003A6A1D" w:rsidP="00AF63E1">
      <w:pPr>
        <w:pStyle w:val="AERbulletlistfirststyle"/>
      </w:pPr>
      <w:proofErr w:type="gramStart"/>
      <w:r>
        <w:t>attend</w:t>
      </w:r>
      <w:proofErr w:type="gramEnd"/>
      <w:r>
        <w:t xml:space="preserve"> major forums or workshops in person. </w:t>
      </w:r>
    </w:p>
    <w:p w:rsidR="003A6A1D" w:rsidRDefault="003A6A1D" w:rsidP="00885C31">
      <w:r>
        <w:t xml:space="preserve">Beyond those basic expectations, we are open-minded about how best the CRG engagement process can work. </w:t>
      </w:r>
      <w:r w:rsidR="009065D9">
        <w:t>For example, the CCP</w:t>
      </w:r>
      <w:r w:rsidR="000547F2">
        <w:t>,</w:t>
      </w:r>
      <w:r w:rsidR="009065D9">
        <w:t xml:space="preserve"> ENA</w:t>
      </w:r>
      <w:r w:rsidR="000547F2">
        <w:t>,</w:t>
      </w:r>
      <w:r w:rsidR="00CB1F7C">
        <w:t xml:space="preserve"> and AGN</w:t>
      </w:r>
      <w:r w:rsidR="009065D9">
        <w:t xml:space="preserve"> have expressed interest in direct engagement with the CRG. </w:t>
      </w:r>
      <w:r>
        <w:t xml:space="preserve">We intend to seek feedback from the CRG </w:t>
      </w:r>
      <w:r w:rsidR="009273D2">
        <w:t>about processes or types of engagement that they consider valuable</w:t>
      </w:r>
      <w:r>
        <w:t xml:space="preserve"> </w:t>
      </w:r>
      <w:r w:rsidR="009273D2">
        <w:t>to assist their participation in the process.</w:t>
      </w:r>
    </w:p>
    <w:p w:rsidR="00C46D82" w:rsidRDefault="00C46D82" w:rsidP="00885C31">
      <w:pPr>
        <w:pStyle w:val="HeadingBoldBlue"/>
      </w:pPr>
      <w:r>
        <w:t>Skills/information sessions</w:t>
      </w:r>
    </w:p>
    <w:p w:rsidR="00C46D82" w:rsidRDefault="009065D9" w:rsidP="00885C31">
      <w:r>
        <w:t xml:space="preserve">As set out in our consultation paper, we will offer a series of targeted skills or information sessions to CRG members in order to assist them with better understanding the review process or contentious issues. </w:t>
      </w:r>
      <w:r w:rsidR="009273D2">
        <w:t xml:space="preserve">The frequency and scope of these sessions will be shaped by discussions with the CRG. </w:t>
      </w:r>
      <w:r w:rsidR="00567F9D">
        <w:t>In considering how to present and distribute these sessions, we will have regard to the QEUN’s submission that they should be accessible to rural cus</w:t>
      </w:r>
      <w:r w:rsidR="00AA5F54">
        <w:t>t</w:t>
      </w:r>
      <w:r w:rsidR="00567F9D">
        <w:t xml:space="preserve">omers. </w:t>
      </w:r>
      <w:r w:rsidR="0045283B">
        <w:t>I</w:t>
      </w:r>
      <w:r w:rsidR="009273D2">
        <w:t>n addition, whenever we run any of these sessions</w:t>
      </w:r>
      <w:r w:rsidR="00F333B0">
        <w:t xml:space="preserve"> we will make any presentation material available on our website.</w:t>
      </w:r>
    </w:p>
    <w:p w:rsidR="00C46D82" w:rsidRDefault="00C46D82" w:rsidP="00885C31">
      <w:pPr>
        <w:pStyle w:val="HeadingBoldBlue"/>
      </w:pPr>
      <w:r>
        <w:t>Funding</w:t>
      </w:r>
    </w:p>
    <w:p w:rsidR="00D96F13" w:rsidRPr="00D96F13" w:rsidRDefault="00E27A1D" w:rsidP="00885C31">
      <w:r>
        <w:t xml:space="preserve">Several stakeholders submitted that we should clarify how we will address the time and </w:t>
      </w:r>
      <w:proofErr w:type="gramStart"/>
      <w:r>
        <w:t>costs</w:t>
      </w:r>
      <w:proofErr w:type="gramEnd"/>
      <w:r>
        <w:t xml:space="preserve"> that CRG members incur to participate in the group. In the initial instance, we will seek to minimise the time and cost requirements by conducting regular meetings and skills sessions by phone or video conference. Where we are hosting sessions at which it is important for the CRG to attend in person, we will </w:t>
      </w:r>
      <w:r w:rsidR="002F0265">
        <w:t xml:space="preserve">seek to </w:t>
      </w:r>
      <w:r>
        <w:t>provide funding to cover the CRG’s travel costs and a sitting fee for the time attending the meeting.</w:t>
      </w:r>
    </w:p>
    <w:p w:rsidR="00EB096A" w:rsidRDefault="00D96CF7" w:rsidP="00D96CF7">
      <w:pPr>
        <w:pStyle w:val="Heading1"/>
      </w:pPr>
      <w:r>
        <w:lastRenderedPageBreak/>
        <w:t>Other issues raised in submissions</w:t>
      </w:r>
    </w:p>
    <w:p w:rsidR="00D96CF7" w:rsidRDefault="00D96F13" w:rsidP="00D96CF7">
      <w:pPr>
        <w:pStyle w:val="Heading2"/>
      </w:pPr>
      <w:r>
        <w:t>Investor reference g</w:t>
      </w:r>
      <w:r w:rsidR="00D96CF7">
        <w:t>roup</w:t>
      </w:r>
      <w:r w:rsidR="0067533F">
        <w:t xml:space="preserve"> (IRG)</w:t>
      </w:r>
    </w:p>
    <w:p w:rsidR="009F3A55" w:rsidRDefault="009F3A55" w:rsidP="00D96CF7">
      <w:r>
        <w:t xml:space="preserve">Both the ENA and Spark Infrastructure submitted that we should consider forming an investor reference group to participate in the review process. We agree with this recommendation and </w:t>
      </w:r>
      <w:r w:rsidR="0067533F">
        <w:t>will seek to form an IRG</w:t>
      </w:r>
      <w:r>
        <w:t>. As part of its submission, Spark Infrastructure identified a series of institutional investors that are interested to participate in this group. Using this as a starting point, we will go out and seek interest from investors more widely</w:t>
      </w:r>
      <w:r w:rsidR="0067533F">
        <w:t xml:space="preserve"> to constitute the group</w:t>
      </w:r>
      <w:r>
        <w:t xml:space="preserve">. </w:t>
      </w:r>
    </w:p>
    <w:p w:rsidR="009F3A55" w:rsidRDefault="0067533F" w:rsidP="00D96CF7">
      <w:r>
        <w:t>In particular, we see this as a useful opportunity to understand the priorities of institutional investors, and the characteristics of an estimation process that are important from the perspective of capital providers.</w:t>
      </w:r>
    </w:p>
    <w:p w:rsidR="0067533F" w:rsidRDefault="0067533F" w:rsidP="00D96CF7">
      <w:r>
        <w:t>Like the CRG, we propose that a monthly discussion between AER staff and the IRG would be useful in addition to participation at the major forums and workshops during the review process.</w:t>
      </w:r>
    </w:p>
    <w:p w:rsidR="00D96F13" w:rsidRDefault="00A421A3" w:rsidP="00D96CF7">
      <w:r>
        <w:t xml:space="preserve">We will publish a notice calling for interested parties on our website and will also seek interested parties directly. </w:t>
      </w:r>
      <w:r w:rsidR="00D96F13">
        <w:t xml:space="preserve">If you are an investor and you are </w:t>
      </w:r>
      <w:r w:rsidR="0067533F">
        <w:t xml:space="preserve">willing </w:t>
      </w:r>
      <w:r w:rsidR="009F3A55">
        <w:t>to participate in our investor reference group, please</w:t>
      </w:r>
      <w:r w:rsidR="00D96F13">
        <w:t xml:space="preserve"> email: </w:t>
      </w:r>
      <w:hyperlink r:id="rId15" w:history="1">
        <w:r w:rsidR="00335907" w:rsidRPr="00036B4C">
          <w:rPr>
            <w:rStyle w:val="Hyperlink"/>
          </w:rPr>
          <w:t>rateofreturn@aer.gov.au</w:t>
        </w:r>
      </w:hyperlink>
      <w:r w:rsidR="009F3A55">
        <w:t>.</w:t>
      </w:r>
    </w:p>
    <w:p w:rsidR="00D96CF7" w:rsidRDefault="00D96F13" w:rsidP="00D96F13">
      <w:pPr>
        <w:pStyle w:val="Heading2"/>
      </w:pPr>
      <w:r>
        <w:t>Retailer reference group</w:t>
      </w:r>
      <w:r w:rsidR="0067533F">
        <w:t xml:space="preserve"> (RRG)</w:t>
      </w:r>
    </w:p>
    <w:p w:rsidR="0067533F" w:rsidRDefault="0067533F" w:rsidP="00D96F13">
      <w:r>
        <w:t>Similarly, we have had several retailers express interest in the rate of return guideline review process. In our view, retailers are a distinct group of stakeholders in the process and could potentially provide valuable insight about estimation of the rate of return and on the process of implementing that rate of return in determinations and in annual pricing updates. We also plan to approach retailers with the intention of setting up such a group.</w:t>
      </w:r>
    </w:p>
    <w:p w:rsidR="0067533F" w:rsidRDefault="0067533F" w:rsidP="0067533F">
      <w:r>
        <w:t>Like the CRG, we propose that a monthly discussion between AER staff and the RRG would be useful in addition to participation at the major forums and workshops during the review process.</w:t>
      </w:r>
    </w:p>
    <w:p w:rsidR="00D96F13" w:rsidRDefault="00A421A3" w:rsidP="00D96F13">
      <w:r>
        <w:t xml:space="preserve">We will publish a notice calling for interested parties on our website and will also seek interested parties directly. </w:t>
      </w:r>
      <w:r w:rsidR="00D96F13">
        <w:t>If you are an</w:t>
      </w:r>
      <w:r w:rsidR="00EA2D4C">
        <w:t xml:space="preserve"> energy</w:t>
      </w:r>
      <w:r w:rsidR="00D96F13">
        <w:t xml:space="preserve"> retailer and you are </w:t>
      </w:r>
      <w:r w:rsidR="0067533F">
        <w:t>willing to participate in a retailer reference group, please</w:t>
      </w:r>
      <w:r w:rsidR="00D96F13">
        <w:t xml:space="preserve"> email: </w:t>
      </w:r>
      <w:hyperlink r:id="rId16" w:history="1">
        <w:r w:rsidR="00D96F13" w:rsidRPr="006E33CC">
          <w:rPr>
            <w:rStyle w:val="Hyperlink"/>
          </w:rPr>
          <w:t>rateofreturn@aer.gov.au</w:t>
        </w:r>
      </w:hyperlink>
    </w:p>
    <w:p w:rsidR="00D96F13" w:rsidRDefault="00982B9E" w:rsidP="00D96F13">
      <w:pPr>
        <w:pStyle w:val="Heading2"/>
      </w:pPr>
      <w:r>
        <w:t>Sharing data</w:t>
      </w:r>
    </w:p>
    <w:p w:rsidR="00D96F13" w:rsidRDefault="001E7FC3" w:rsidP="00885C31">
      <w:r>
        <w:t>Some stakeholders have recommended that all parties to the review seek where possible to agree on shared data series and to make those data series publicly available.</w:t>
      </w:r>
      <w:r w:rsidR="0067533F">
        <w:t xml:space="preserve"> </w:t>
      </w:r>
      <w:r w:rsidR="00D96F13">
        <w:t>We are open to this idea and will engage more with stakeholders in considering how it might be implemented</w:t>
      </w:r>
      <w:r w:rsidR="0067533F">
        <w:t xml:space="preserve">. </w:t>
      </w:r>
    </w:p>
    <w:p w:rsidR="00D96F13" w:rsidRPr="00D96F13" w:rsidRDefault="00D96F13" w:rsidP="00885C31">
      <w:r>
        <w:t>In some cases, we will be unable to publish the data series</w:t>
      </w:r>
      <w:r w:rsidR="0067533F">
        <w:t xml:space="preserve"> because of its proprietary nature</w:t>
      </w:r>
      <w:r>
        <w:t>.</w:t>
      </w:r>
      <w:r w:rsidR="0067533F">
        <w:t xml:space="preserve"> An example of this is the Bloomberg, Standard and Poor’s and Thomson </w:t>
      </w:r>
      <w:r w:rsidR="0067533F">
        <w:lastRenderedPageBreak/>
        <w:t>Reuters debt series.</w:t>
      </w:r>
      <w:r>
        <w:t xml:space="preserve"> However, </w:t>
      </w:r>
      <w:r w:rsidR="0067533F">
        <w:t xml:space="preserve">where possible </w:t>
      </w:r>
      <w:r>
        <w:t>we will seek to publish models demonstrating how we implement that data in our calculations and/or any adjustments to it</w:t>
      </w:r>
      <w:r w:rsidR="00982B9E">
        <w:t>.</w:t>
      </w:r>
      <w:r>
        <w:t xml:space="preserve"> </w:t>
      </w:r>
    </w:p>
    <w:p w:rsidR="00397797" w:rsidRDefault="008A01F5" w:rsidP="00041D6D">
      <w:pPr>
        <w:pStyle w:val="Heading2"/>
      </w:pPr>
      <w:r>
        <w:t>Workshops</w:t>
      </w:r>
      <w:r w:rsidR="00397797">
        <w:t xml:space="preserve"> with stakeholders</w:t>
      </w:r>
    </w:p>
    <w:p w:rsidR="00397797" w:rsidRDefault="008A01F5">
      <w:proofErr w:type="spellStart"/>
      <w:r>
        <w:t>TransGrid</w:t>
      </w:r>
      <w:proofErr w:type="spellEnd"/>
      <w:r>
        <w:t xml:space="preserve"> </w:t>
      </w:r>
      <w:r w:rsidR="00D036ED">
        <w:t>recommended that we should include an additional step in the review process in which we could run stakeholder workshops at which we could discuss and explain our preliminary views and allow stakeholders to ask questions and provide feedback.</w:t>
      </w:r>
    </w:p>
    <w:p w:rsidR="009E0570" w:rsidRDefault="00D036ED">
      <w:r>
        <w:t>W</w:t>
      </w:r>
      <w:r w:rsidR="00397797">
        <w:t xml:space="preserve">e agree that it is valuable to promote ongoing engagement between stakeholders during the process, including workshops such as the introductory rate of return workshop held in September 18 in Sydney. </w:t>
      </w:r>
      <w:r w:rsidR="009E0570">
        <w:t>At that forum we:</w:t>
      </w:r>
    </w:p>
    <w:p w:rsidR="009E0570" w:rsidRDefault="009E0570" w:rsidP="00041D6D">
      <w:pPr>
        <w:pStyle w:val="AERbulletlistfirststyle"/>
      </w:pPr>
      <w:r>
        <w:t>discussed aspects of our proposed process for the guideline review</w:t>
      </w:r>
    </w:p>
    <w:p w:rsidR="009E0570" w:rsidRDefault="009E0570" w:rsidP="00041D6D">
      <w:pPr>
        <w:pStyle w:val="AERbulletlistfirststyle"/>
      </w:pPr>
      <w:r>
        <w:t>held brief presentations on ‘key issues for review’ by AER staff, networks, consumer groups and network owners</w:t>
      </w:r>
    </w:p>
    <w:p w:rsidR="009E0570" w:rsidRDefault="009E0570" w:rsidP="00041D6D">
      <w:pPr>
        <w:pStyle w:val="AERbulletlistfirststyle"/>
      </w:pPr>
      <w:proofErr w:type="gramStart"/>
      <w:r>
        <w:t>facilitated</w:t>
      </w:r>
      <w:proofErr w:type="gramEnd"/>
      <w:r>
        <w:t xml:space="preserve"> group topics on those presentations and sought feedback from attendees about the indicative prioritisation of key issues.</w:t>
      </w:r>
    </w:p>
    <w:p w:rsidR="009E0570" w:rsidRDefault="0066483F">
      <w:r>
        <w:t>We will consider opportunities for further forums and workshops as the process continues.</w:t>
      </w:r>
    </w:p>
    <w:p w:rsidR="0052595C" w:rsidRDefault="0052595C" w:rsidP="0052595C">
      <w:pPr>
        <w:pStyle w:val="Heading2"/>
      </w:pPr>
      <w:r>
        <w:t>Engagement with the long-term interests of consumers</w:t>
      </w:r>
    </w:p>
    <w:p w:rsidR="0052595C" w:rsidRDefault="0052595C" w:rsidP="0052595C">
      <w:r>
        <w:t>The Major Energy Users submitted that the AER should detail ‘how it intends to ensure that the benefits of incentive regulation will be used to ensure the long term interests of consumers will be delivered by the process the AER intends to follow in the development of the rate of return guideline’.</w:t>
      </w:r>
      <w:r>
        <w:rPr>
          <w:rStyle w:val="FootnoteReference"/>
        </w:rPr>
        <w:footnoteReference w:id="20"/>
      </w:r>
    </w:p>
    <w:p w:rsidR="0052595C" w:rsidRDefault="0052595C" w:rsidP="0052595C">
      <w:r>
        <w:t xml:space="preserve">This submission appears to be targeted mainly at the substantive estimation of parameters. For example, the MEU sets out an example referring to the sources of information that the AER relies on in determining its approach to the return on debt. </w:t>
      </w:r>
    </w:p>
    <w:p w:rsidR="0052595C" w:rsidRPr="009E0570" w:rsidRDefault="0052595C" w:rsidP="0052595C">
      <w:r>
        <w:t>The NEO and the NGO are the overarching framework requirements that govern the operation of our network regulation role as set out in the NER and NGR. W</w:t>
      </w:r>
      <w:r w:rsidR="00734453">
        <w:t xml:space="preserve">e agree with the MEU that the reasons for our decisions in developing the guideline should clearly articulate our views on how the guideline will promote achievement of the NEO and NGO. </w:t>
      </w:r>
    </w:p>
    <w:p w:rsidR="009E0570" w:rsidRDefault="007B2A89" w:rsidP="009E0570">
      <w:r>
        <w:t xml:space="preserve">In terms of specific, practical measures within our review process, the question that we will ask the independent panel (see section </w:t>
      </w:r>
      <w:r>
        <w:fldChar w:fldCharType="begin"/>
      </w:r>
      <w:r>
        <w:instrText xml:space="preserve"> REF _Ref498594041 \n \h </w:instrText>
      </w:r>
      <w:r>
        <w:fldChar w:fldCharType="separate"/>
      </w:r>
      <w:r>
        <w:t>3.3</w:t>
      </w:r>
      <w:r>
        <w:fldChar w:fldCharType="end"/>
      </w:r>
      <w:r>
        <w:t xml:space="preserve">) refers directly to whether our decision is supported by sound reasoning such that it is capable of achieving the NEO and </w:t>
      </w:r>
      <w:r>
        <w:lastRenderedPageBreak/>
        <w:t xml:space="preserve">NGO. As a result, engagement with these fundamental objectives should be clear in our reasoning, and the independent panel will provide a further perspective on whether we have </w:t>
      </w:r>
      <w:r w:rsidR="00AE6D13">
        <w:t>clearly addressed those objectives in our reasons</w:t>
      </w:r>
      <w:r>
        <w:t>.</w:t>
      </w:r>
    </w:p>
    <w:p w:rsidR="009E0570" w:rsidRDefault="009E0570" w:rsidP="0052595C"/>
    <w:p w:rsidR="0040306C" w:rsidRDefault="00C46D82" w:rsidP="0040306C">
      <w:pPr>
        <w:pStyle w:val="Heading7"/>
      </w:pPr>
      <w:bookmarkStart w:id="58" w:name="_Ref492988149"/>
      <w:bookmarkStart w:id="59" w:name="_Toc495500891"/>
      <w:r>
        <w:lastRenderedPageBreak/>
        <w:t xml:space="preserve">List </w:t>
      </w:r>
      <w:r w:rsidR="0040306C">
        <w:t>of stakeholder submissions on our consultation paper</w:t>
      </w:r>
      <w:bookmarkEnd w:id="58"/>
      <w:bookmarkEnd w:id="59"/>
    </w:p>
    <w:p w:rsidR="0040306C" w:rsidRDefault="0040306C" w:rsidP="0040306C">
      <w:r>
        <w:t>We received 13 submissions in response to our consultation paper, including from:</w:t>
      </w:r>
    </w:p>
    <w:p w:rsidR="0040306C" w:rsidRDefault="0040306C" w:rsidP="0040306C">
      <w:pPr>
        <w:pStyle w:val="ListParagraph"/>
        <w:numPr>
          <w:ilvl w:val="0"/>
          <w:numId w:val="36"/>
        </w:numPr>
      </w:pPr>
      <w:r>
        <w:t>AusNet Services</w:t>
      </w:r>
    </w:p>
    <w:p w:rsidR="0040306C" w:rsidRDefault="0040306C" w:rsidP="0040306C">
      <w:pPr>
        <w:pStyle w:val="ListParagraph"/>
        <w:numPr>
          <w:ilvl w:val="0"/>
          <w:numId w:val="36"/>
        </w:numPr>
      </w:pPr>
      <w:r>
        <w:t>Australian Gas Networks (AGN)</w:t>
      </w:r>
    </w:p>
    <w:p w:rsidR="0040306C" w:rsidRDefault="0040306C" w:rsidP="0040306C">
      <w:pPr>
        <w:pStyle w:val="ListParagraph"/>
        <w:numPr>
          <w:ilvl w:val="0"/>
          <w:numId w:val="36"/>
        </w:numPr>
      </w:pPr>
      <w:r>
        <w:t>Australian Pipeline Ltd (APA)</w:t>
      </w:r>
    </w:p>
    <w:p w:rsidR="0040306C" w:rsidRDefault="0040306C" w:rsidP="0040306C">
      <w:pPr>
        <w:pStyle w:val="ListParagraph"/>
        <w:numPr>
          <w:ilvl w:val="0"/>
          <w:numId w:val="36"/>
        </w:numPr>
      </w:pPr>
      <w:r>
        <w:t>The Consumer Challenge Panel (CCP)</w:t>
      </w:r>
    </w:p>
    <w:p w:rsidR="0040306C" w:rsidRDefault="0040306C" w:rsidP="0040306C">
      <w:pPr>
        <w:pStyle w:val="ListParagraph"/>
        <w:numPr>
          <w:ilvl w:val="0"/>
          <w:numId w:val="36"/>
        </w:numPr>
      </w:pPr>
      <w:r>
        <w:t xml:space="preserve">Energex and Ergon Energy </w:t>
      </w:r>
    </w:p>
    <w:p w:rsidR="0040306C" w:rsidRDefault="0040306C" w:rsidP="0040306C">
      <w:pPr>
        <w:pStyle w:val="ListParagraph"/>
        <w:numPr>
          <w:ilvl w:val="0"/>
          <w:numId w:val="36"/>
        </w:numPr>
      </w:pPr>
      <w:r>
        <w:t>Energy Networks Australia (ENA)</w:t>
      </w:r>
    </w:p>
    <w:p w:rsidR="0040306C" w:rsidRDefault="0040306C" w:rsidP="0040306C">
      <w:pPr>
        <w:pStyle w:val="ListParagraph"/>
        <w:numPr>
          <w:ilvl w:val="0"/>
          <w:numId w:val="36"/>
        </w:numPr>
      </w:pPr>
      <w:r>
        <w:t>Essential Energy</w:t>
      </w:r>
    </w:p>
    <w:p w:rsidR="0040306C" w:rsidRDefault="0040306C" w:rsidP="0040306C">
      <w:pPr>
        <w:pStyle w:val="ListParagraph"/>
        <w:numPr>
          <w:ilvl w:val="0"/>
          <w:numId w:val="36"/>
        </w:numPr>
      </w:pPr>
      <w:r>
        <w:t>Major Energy Users (MEU)</w:t>
      </w:r>
    </w:p>
    <w:p w:rsidR="0040306C" w:rsidRDefault="0040306C" w:rsidP="0040306C">
      <w:pPr>
        <w:pStyle w:val="ListParagraph"/>
        <w:numPr>
          <w:ilvl w:val="0"/>
          <w:numId w:val="36"/>
        </w:numPr>
      </w:pPr>
      <w:r>
        <w:t>Public Interest Advocacy Centre (PIAC)</w:t>
      </w:r>
    </w:p>
    <w:p w:rsidR="0040306C" w:rsidRDefault="0040306C" w:rsidP="0040306C">
      <w:pPr>
        <w:pStyle w:val="ListParagraph"/>
        <w:numPr>
          <w:ilvl w:val="0"/>
          <w:numId w:val="36"/>
        </w:numPr>
      </w:pPr>
      <w:r>
        <w:t>Queensland Electricity Users Network (QEUN)</w:t>
      </w:r>
    </w:p>
    <w:p w:rsidR="0040306C" w:rsidRDefault="0040306C" w:rsidP="0040306C">
      <w:pPr>
        <w:pStyle w:val="ListParagraph"/>
        <w:numPr>
          <w:ilvl w:val="0"/>
          <w:numId w:val="36"/>
        </w:numPr>
      </w:pPr>
      <w:r>
        <w:t>Spark Infrastructure</w:t>
      </w:r>
    </w:p>
    <w:p w:rsidR="0040306C" w:rsidRDefault="0040306C" w:rsidP="0040306C">
      <w:pPr>
        <w:pStyle w:val="ListParagraph"/>
        <w:numPr>
          <w:ilvl w:val="0"/>
          <w:numId w:val="36"/>
        </w:numPr>
      </w:pPr>
      <w:r>
        <w:t>Tasmanian Council of Social Service Inc. (</w:t>
      </w:r>
      <w:proofErr w:type="spellStart"/>
      <w:r>
        <w:t>TasCOSS</w:t>
      </w:r>
      <w:proofErr w:type="spellEnd"/>
      <w:r>
        <w:t>)</w:t>
      </w:r>
    </w:p>
    <w:p w:rsidR="0040306C" w:rsidRDefault="0040306C" w:rsidP="0040306C">
      <w:pPr>
        <w:pStyle w:val="ListParagraph"/>
        <w:numPr>
          <w:ilvl w:val="0"/>
          <w:numId w:val="36"/>
        </w:numPr>
      </w:pPr>
      <w:r>
        <w:t>TransGrid</w:t>
      </w:r>
    </w:p>
    <w:p w:rsidR="0040306C" w:rsidRPr="00016F46" w:rsidRDefault="0040306C" w:rsidP="0040306C"/>
    <w:p w:rsidR="004E6DC2" w:rsidRDefault="00B87031" w:rsidP="00016F46">
      <w:pPr>
        <w:pStyle w:val="Heading7"/>
      </w:pPr>
      <w:r>
        <w:lastRenderedPageBreak/>
        <w:t>Terms of reference for the independent panel</w:t>
      </w:r>
    </w:p>
    <w:p w:rsidR="00B87031" w:rsidRPr="00E90FF8" w:rsidRDefault="00B87031" w:rsidP="00B87031">
      <w:pPr>
        <w:rPr>
          <w:b/>
        </w:rPr>
      </w:pPr>
      <w:r>
        <w:rPr>
          <w:b/>
        </w:rPr>
        <w:t>Background</w:t>
      </w:r>
    </w:p>
    <w:p w:rsidR="00B87031" w:rsidRDefault="00B87031" w:rsidP="00B87031">
      <w:r>
        <w:t>The AER has published a draft rate of return guideline which sets out the methodology the AER will use to estimate the rate of return in its revenue determinations for energy network service providers. It has made this guideline under a framework set out in the National Electricity Law</w:t>
      </w:r>
      <w:r w:rsidR="00734453">
        <w:t xml:space="preserve"> (NEL)</w:t>
      </w:r>
      <w:r>
        <w:t>, the National Gas Law</w:t>
      </w:r>
      <w:r w:rsidR="00734453">
        <w:t xml:space="preserve"> (NGL)</w:t>
      </w:r>
      <w:r>
        <w:t>, the National Electricity Rules</w:t>
      </w:r>
      <w:r w:rsidR="00734453">
        <w:t xml:space="preserve"> (NER)</w:t>
      </w:r>
      <w:r>
        <w:t xml:space="preserve"> and the National Gas Rules</w:t>
      </w:r>
      <w:r w:rsidR="00734453">
        <w:t xml:space="preserve"> (NGR)</w:t>
      </w:r>
      <w:r>
        <w:t>. The overall objectives of the frameworks are set out in the National Electricity and Gas Objectives:</w:t>
      </w:r>
      <w:r>
        <w:rPr>
          <w:rStyle w:val="FootnoteReference"/>
        </w:rPr>
        <w:footnoteReference w:id="21"/>
      </w:r>
    </w:p>
    <w:p w:rsidR="00B87031" w:rsidRPr="00C31C71" w:rsidRDefault="00B87031" w:rsidP="00B87031">
      <w:pPr>
        <w:ind w:left="340" w:firstLine="5"/>
        <w:rPr>
          <w:i/>
        </w:rPr>
      </w:pPr>
      <w:r w:rsidRPr="00C31C71">
        <w:rPr>
          <w:i/>
        </w:rPr>
        <w:t>The objective of this law is to promote efficient investment in, and efficient operation and use of, electricity/gas services for the long term interests of consumers of electricity/gas with respect to:</w:t>
      </w:r>
    </w:p>
    <w:p w:rsidR="00B87031" w:rsidRPr="00C31C71" w:rsidRDefault="00B87031" w:rsidP="00B87031">
      <w:pPr>
        <w:pStyle w:val="ListParagraph"/>
        <w:numPr>
          <w:ilvl w:val="0"/>
          <w:numId w:val="40"/>
        </w:numPr>
        <w:spacing w:line="240" w:lineRule="auto"/>
        <w:rPr>
          <w:i/>
        </w:rPr>
      </w:pPr>
      <w:r w:rsidRPr="00C31C71">
        <w:rPr>
          <w:i/>
        </w:rPr>
        <w:t>price, quality, safety, reliability and security of supply of electricity; and</w:t>
      </w:r>
    </w:p>
    <w:p w:rsidR="00B87031" w:rsidRPr="00C31C71" w:rsidRDefault="00B87031" w:rsidP="00B87031">
      <w:pPr>
        <w:pStyle w:val="ListParagraph"/>
        <w:numPr>
          <w:ilvl w:val="0"/>
          <w:numId w:val="40"/>
        </w:numPr>
        <w:spacing w:line="240" w:lineRule="auto"/>
        <w:rPr>
          <w:i/>
        </w:rPr>
      </w:pPr>
      <w:proofErr w:type="gramStart"/>
      <w:r w:rsidRPr="00C31C71">
        <w:rPr>
          <w:i/>
        </w:rPr>
        <w:t>the</w:t>
      </w:r>
      <w:proofErr w:type="gramEnd"/>
      <w:r w:rsidRPr="00C31C71">
        <w:rPr>
          <w:i/>
        </w:rPr>
        <w:t xml:space="preserve"> reliability, safety and security of the national electricity system.</w:t>
      </w:r>
    </w:p>
    <w:p w:rsidR="00B87031" w:rsidRPr="00E90FF8" w:rsidRDefault="00B87031" w:rsidP="00B87031">
      <w:pPr>
        <w:rPr>
          <w:b/>
        </w:rPr>
      </w:pPr>
      <w:r>
        <w:rPr>
          <w:b/>
        </w:rPr>
        <w:t>Task</w:t>
      </w:r>
    </w:p>
    <w:p w:rsidR="00B87031" w:rsidRDefault="00F065C1" w:rsidP="00B87031">
      <w:r w:rsidRPr="00F065C1">
        <w:t>In your view, is the draft guideline supported by sound reasoning based on the available information such that it is capable of promoting achievement of the NEO/NGO?</w:t>
      </w:r>
      <w:r>
        <w:t xml:space="preserve"> </w:t>
      </w:r>
      <w:r w:rsidR="00B87031">
        <w:t>In your review, please have regard to</w:t>
      </w:r>
      <w:r>
        <w:t xml:space="preserve"> the following factors</w:t>
      </w:r>
      <w:r w:rsidR="00B87031">
        <w:t>:</w:t>
      </w:r>
    </w:p>
    <w:p w:rsidR="00F065C1" w:rsidRDefault="00F065C1" w:rsidP="00885C31">
      <w:pPr>
        <w:pStyle w:val="AERbulletlistfirststyle"/>
      </w:pPr>
      <w:r>
        <w:t>The impact of the guideline as a whole rather than issue-by-issue analysis</w:t>
      </w:r>
    </w:p>
    <w:p w:rsidR="00F065C1" w:rsidRDefault="00F065C1" w:rsidP="00885C31">
      <w:pPr>
        <w:pStyle w:val="AERbulletlistfirststyle"/>
      </w:pPr>
      <w:r>
        <w:t>The revenue and pricing principles in the NEL/NGL</w:t>
      </w:r>
      <w:r w:rsidR="00847097">
        <w:rPr>
          <w:rStyle w:val="FootnoteReference"/>
        </w:rPr>
        <w:footnoteReference w:id="22"/>
      </w:r>
    </w:p>
    <w:p w:rsidR="008F0BEF" w:rsidRDefault="008F0BEF" w:rsidP="00885C31">
      <w:pPr>
        <w:pStyle w:val="AERbulletlistfirststyle"/>
      </w:pPr>
      <w:r>
        <w:t xml:space="preserve">The rate of return provisions in the </w:t>
      </w:r>
      <w:r w:rsidR="00734453">
        <w:t>NER and NGR</w:t>
      </w:r>
    </w:p>
    <w:p w:rsidR="00867CF8" w:rsidRDefault="00867CF8" w:rsidP="00867CF8">
      <w:pPr>
        <w:pStyle w:val="AERbulletlistfirststyle"/>
      </w:pPr>
      <w:r w:rsidRPr="00867CF8">
        <w:t>The impact of COAG EC’s ongoing reforms to implement a binding rate of return instrument.</w:t>
      </w:r>
    </w:p>
    <w:p w:rsidR="00F065C1" w:rsidRDefault="00F065C1" w:rsidP="00885C31">
      <w:pPr>
        <w:pStyle w:val="AERbulletlistfirststyle"/>
      </w:pPr>
      <w:r>
        <w:t>Whether the AER has had regard to relevant information in reaching its conclusions</w:t>
      </w:r>
    </w:p>
    <w:p w:rsidR="00F065C1" w:rsidRDefault="00F065C1" w:rsidP="00885C31">
      <w:pPr>
        <w:pStyle w:val="AERbulletlistfirststyle"/>
      </w:pPr>
      <w:r>
        <w:t>Whether there is a clear link between the AER’s conclusions and the information</w:t>
      </w:r>
      <w:r w:rsidR="00626AD1">
        <w:t xml:space="preserve"> on which</w:t>
      </w:r>
      <w:r>
        <w:t xml:space="preserve"> it relied </w:t>
      </w:r>
    </w:p>
    <w:p w:rsidR="00F065C1" w:rsidRDefault="00F065C1" w:rsidP="00885C31">
      <w:pPr>
        <w:pStyle w:val="AERbulletlistfirststyle"/>
      </w:pPr>
      <w:r>
        <w:t xml:space="preserve">Whether, in </w:t>
      </w:r>
      <w:r w:rsidR="00626AD1">
        <w:t xml:space="preserve">the panel’s </w:t>
      </w:r>
      <w:r>
        <w:t>view, the methodology set out in the draft guideline will allow stakeholders to replicate the AER’s estimate at a point in time</w:t>
      </w:r>
    </w:p>
    <w:p w:rsidR="00F065C1" w:rsidRDefault="00F065C1" w:rsidP="00885C31">
      <w:pPr>
        <w:pStyle w:val="AERbulletlistfirststyle"/>
      </w:pPr>
      <w:r>
        <w:t>Interactions with other building block components and the relevant rules impacting estimation of those components.</w:t>
      </w:r>
    </w:p>
    <w:p w:rsidR="00B87031" w:rsidRDefault="00B87031" w:rsidP="00B87031">
      <w:r>
        <w:t xml:space="preserve">Please set out your conclusions in a publishable report that will be available to all stakeholders via the AER’s website. Where the panel does not agree on conclusions or </w:t>
      </w:r>
      <w:r>
        <w:lastRenderedPageBreak/>
        <w:t>recommendations in the report, the report should set out the range of final views by panel members without specifically attributing them to individual panel members.</w:t>
      </w:r>
    </w:p>
    <w:p w:rsidR="00B87031" w:rsidRDefault="00B87031" w:rsidP="00B87031">
      <w:pPr>
        <w:rPr>
          <w:b/>
        </w:rPr>
      </w:pPr>
      <w:r>
        <w:rPr>
          <w:b/>
        </w:rPr>
        <w:t>Information</w:t>
      </w:r>
    </w:p>
    <w:p w:rsidR="00B87031" w:rsidRDefault="00B87031" w:rsidP="00B87031">
      <w:r>
        <w:t>To assist in your review, you will have access to all source material available to the AER in making its draft guideline, including but not limited to:</w:t>
      </w:r>
    </w:p>
    <w:p w:rsidR="00B87031" w:rsidRDefault="00B87031" w:rsidP="00B87031">
      <w:pPr>
        <w:pStyle w:val="ListParagraph"/>
        <w:numPr>
          <w:ilvl w:val="0"/>
          <w:numId w:val="39"/>
        </w:numPr>
        <w:spacing w:line="240" w:lineRule="auto"/>
      </w:pPr>
      <w:r>
        <w:t>submissions</w:t>
      </w:r>
    </w:p>
    <w:p w:rsidR="00B87031" w:rsidRDefault="00B87031" w:rsidP="00B87031">
      <w:pPr>
        <w:pStyle w:val="ListParagraph"/>
        <w:numPr>
          <w:ilvl w:val="0"/>
          <w:numId w:val="39"/>
        </w:numPr>
        <w:spacing w:line="240" w:lineRule="auto"/>
      </w:pPr>
      <w:r>
        <w:t>independent expert reports</w:t>
      </w:r>
    </w:p>
    <w:p w:rsidR="00B87031" w:rsidRDefault="00B87031" w:rsidP="00B87031">
      <w:pPr>
        <w:pStyle w:val="ListParagraph"/>
        <w:numPr>
          <w:ilvl w:val="0"/>
          <w:numId w:val="39"/>
        </w:numPr>
        <w:spacing w:line="240" w:lineRule="auto"/>
      </w:pPr>
      <w:r>
        <w:t xml:space="preserve">transcripts of the concurrent evidence workshops </w:t>
      </w:r>
    </w:p>
    <w:p w:rsidR="00B87031" w:rsidRDefault="00B87031" w:rsidP="00B87031">
      <w:pPr>
        <w:pStyle w:val="ListParagraph"/>
        <w:numPr>
          <w:ilvl w:val="0"/>
          <w:numId w:val="39"/>
        </w:numPr>
        <w:spacing w:line="240" w:lineRule="auto"/>
      </w:pPr>
      <w:r>
        <w:t>underlying datasets</w:t>
      </w:r>
    </w:p>
    <w:p w:rsidR="00B87031" w:rsidRDefault="00B87031" w:rsidP="00B87031">
      <w:pPr>
        <w:pStyle w:val="ListParagraph"/>
        <w:numPr>
          <w:ilvl w:val="0"/>
          <w:numId w:val="39"/>
        </w:numPr>
        <w:spacing w:line="240" w:lineRule="auto"/>
      </w:pPr>
      <w:proofErr w:type="gramStart"/>
      <w:r>
        <w:t>relevant</w:t>
      </w:r>
      <w:proofErr w:type="gramEnd"/>
      <w:r>
        <w:t xml:space="preserve"> calculations or models.</w:t>
      </w:r>
    </w:p>
    <w:p w:rsidR="00B87031" w:rsidRDefault="00B87031" w:rsidP="00B87031">
      <w:r>
        <w:t>The panel is also able to ask questions of the AER or stakeholders to clarify material submitted to the AER in developing the draft guideline. The panel should take minutes of meetings with the AER or other stakeholders so that these can be published on the AER’s website subject to the AER undertaking confidentiality checks using the AER/ACCC confidentiality guideline.</w:t>
      </w:r>
    </w:p>
    <w:p w:rsidR="00B87031" w:rsidRDefault="00B87031" w:rsidP="00B87031">
      <w:pPr>
        <w:rPr>
          <w:b/>
        </w:rPr>
      </w:pPr>
      <w:r>
        <w:rPr>
          <w:b/>
        </w:rPr>
        <w:t>Timing</w:t>
      </w:r>
    </w:p>
    <w:p w:rsidR="00B87031" w:rsidRDefault="00B87031" w:rsidP="00B87031">
      <w:r>
        <w:t>The report is due no later than 50 NSW business days after release of the draft guideline.</w:t>
      </w:r>
    </w:p>
    <w:p w:rsidR="00B87031" w:rsidRDefault="00B87031" w:rsidP="00B87031">
      <w:r>
        <w:t>So, for example, if the draft guideline is released on 31 May 2018, the report will be due on 9 August 2018.</w:t>
      </w:r>
    </w:p>
    <w:p w:rsidR="00B87031" w:rsidRDefault="00B87031" w:rsidP="00B87031">
      <w:pPr>
        <w:rPr>
          <w:b/>
        </w:rPr>
      </w:pPr>
      <w:r>
        <w:rPr>
          <w:b/>
        </w:rPr>
        <w:t>Secretariat support</w:t>
      </w:r>
    </w:p>
    <w:p w:rsidR="00B87031" w:rsidRDefault="00B87031" w:rsidP="00B87031">
      <w:r>
        <w:t>The panel will have access to secretariat support from AER staff with respect to organizing meetings, document templates, publication of the report, office space (where necessary) and IT support. However, all drafting of the report will be the responsibility of the panel.</w:t>
      </w:r>
    </w:p>
    <w:p w:rsidR="00B87031" w:rsidRDefault="00B87031" w:rsidP="00B87031">
      <w:pPr>
        <w:rPr>
          <w:b/>
        </w:rPr>
      </w:pPr>
      <w:r>
        <w:rPr>
          <w:b/>
        </w:rPr>
        <w:t>Confidentiality</w:t>
      </w:r>
    </w:p>
    <w:p w:rsidR="00AB3948" w:rsidRDefault="00AB3948" w:rsidP="00B87031">
      <w:r>
        <w:t>Independent panel members will be required to sign a confidentiality undertaking with the AER/ACCC to allow access to confidential and proprietary information.</w:t>
      </w:r>
    </w:p>
    <w:p w:rsidR="00B87031" w:rsidRPr="00746ACC" w:rsidRDefault="00B87031" w:rsidP="00B87031">
      <w:r>
        <w:t>Three business days prior to publication the report on the AER’s website, the panel will provide the AER with the final report for confidentiality checking using the AER/ACCC’s confidentiality guideline. The AER will confirm any suggested redactions with the panel prior to publication</w:t>
      </w:r>
      <w:r w:rsidR="00A4496C">
        <w:t>.</w:t>
      </w:r>
    </w:p>
    <w:p w:rsidR="00B87031" w:rsidRPr="00B87031" w:rsidRDefault="00B87031" w:rsidP="00B87031"/>
    <w:sectPr w:rsidR="00B87031" w:rsidRPr="00B87031" w:rsidSect="00B35352">
      <w:footerReference w:type="even" r:id="rId17"/>
      <w:footerReference w:type="default" r:id="rId18"/>
      <w:footerReference w:type="first" r:id="rId19"/>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591" w:rsidRPr="00290C63" w:rsidRDefault="00033591" w:rsidP="00290C63">
      <w:r>
        <w:separator/>
      </w:r>
    </w:p>
    <w:p w:rsidR="00033591" w:rsidRDefault="00033591"/>
  </w:endnote>
  <w:endnote w:type="continuationSeparator" w:id="0">
    <w:p w:rsidR="00033591" w:rsidRPr="00290C63" w:rsidRDefault="00033591" w:rsidP="00290C63">
      <w:r>
        <w:continuationSeparator/>
      </w:r>
    </w:p>
    <w:p w:rsidR="00033591" w:rsidRDefault="000335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1" w:rsidRPr="00290C63" w:rsidRDefault="00033591"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33591" w:rsidRDefault="00033591"/>
  <w:p w:rsidR="00033591" w:rsidRDefault="00033591"/>
  <w:p w:rsidR="00033591" w:rsidRDefault="00033591"/>
  <w:p w:rsidR="00033591" w:rsidRDefault="00033591"/>
  <w:p w:rsidR="00033591" w:rsidRDefault="00033591"/>
  <w:p w:rsidR="00033591" w:rsidRDefault="00033591"/>
  <w:p w:rsidR="00033591" w:rsidRDefault="0003359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1" w:rsidRPr="009B6F84" w:rsidRDefault="00033591">
    <w:pPr>
      <w:pStyle w:val="Footer"/>
      <w:rPr>
        <w:sz w:val="20"/>
      </w:rPr>
    </w:pPr>
    <w:r>
      <w:tab/>
    </w:r>
    <w:sdt>
      <w:sdtPr>
        <w:id w:val="340901426"/>
        <w:docPartObj>
          <w:docPartGallery w:val="Page Numbers (Bottom of Page)"/>
          <w:docPartUnique/>
        </w:docPartObj>
      </w:sdtPr>
      <w:sdtEndPr>
        <w:rPr>
          <w:noProof/>
          <w:szCs w:val="16"/>
        </w:rPr>
      </w:sdtEndPr>
      <w:sdtContent>
        <w:r>
          <w:fldChar w:fldCharType="begin"/>
        </w:r>
        <w:r>
          <w:instrText xml:space="preserve"> PAGE   \* MERGEFORMAT </w:instrText>
        </w:r>
        <w:r>
          <w:fldChar w:fldCharType="separate"/>
        </w:r>
        <w:r w:rsidR="00E07C46">
          <w:rPr>
            <w:noProof/>
          </w:rPr>
          <w:t>1</w:t>
        </w:r>
        <w:r>
          <w:rPr>
            <w:noProof/>
          </w:rPr>
          <w:fldChar w:fldCharType="end"/>
        </w:r>
      </w:sdtContent>
    </w:sdt>
  </w:p>
  <w:p w:rsidR="00033591" w:rsidRDefault="0003359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1" w:rsidRPr="00290C63" w:rsidRDefault="00033591"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33591" w:rsidRDefault="00033591">
    <w:pPr>
      <w:pStyle w:val="Footer"/>
    </w:pPr>
  </w:p>
  <w:p w:rsidR="00033591" w:rsidRDefault="00033591"/>
  <w:p w:rsidR="00033591" w:rsidRDefault="00033591"/>
  <w:p w:rsidR="00033591" w:rsidRDefault="00033591"/>
  <w:p w:rsidR="00033591" w:rsidRDefault="00033591"/>
  <w:p w:rsidR="00033591" w:rsidRDefault="00033591"/>
  <w:p w:rsidR="00033591" w:rsidRDefault="00033591"/>
  <w:p w:rsidR="00033591" w:rsidRDefault="0003359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591" w:rsidRPr="00290C63" w:rsidRDefault="00033591" w:rsidP="00290C63">
      <w:r>
        <w:separator/>
      </w:r>
    </w:p>
    <w:p w:rsidR="00033591" w:rsidRDefault="00033591"/>
  </w:footnote>
  <w:footnote w:type="continuationSeparator" w:id="0">
    <w:p w:rsidR="00033591" w:rsidRPr="00290C63" w:rsidRDefault="00033591" w:rsidP="00290C63">
      <w:r>
        <w:continuationSeparator/>
      </w:r>
    </w:p>
    <w:p w:rsidR="00033591" w:rsidRDefault="00033591"/>
  </w:footnote>
  <w:footnote w:id="1">
    <w:p w:rsidR="00033591" w:rsidRDefault="00033591">
      <w:pPr>
        <w:pStyle w:val="FootnoteText"/>
      </w:pPr>
      <w:r>
        <w:rPr>
          <w:rStyle w:val="FootnoteReference"/>
        </w:rPr>
        <w:footnoteRef/>
      </w:r>
      <w:r>
        <w:t xml:space="preserve"> </w:t>
      </w:r>
      <w:r>
        <w:tab/>
        <w:t xml:space="preserve">AER, Consultation paper—Process for reviewing the rate of return guideline, July 2017. Available at: </w:t>
      </w:r>
      <w:r w:rsidRPr="00D10AE9">
        <w:t>https://www.aer.gov.au/networks-pipelines/guidelines-schemes-models-reviews/review-of-rate-of-return-guideline/initiation</w:t>
      </w:r>
    </w:p>
  </w:footnote>
  <w:footnote w:id="2">
    <w:p w:rsidR="00033591" w:rsidRDefault="00033591">
      <w:pPr>
        <w:pStyle w:val="FootnoteText"/>
      </w:pPr>
      <w:r>
        <w:rPr>
          <w:rStyle w:val="FootnoteReference"/>
        </w:rPr>
        <w:footnoteRef/>
      </w:r>
      <w:r>
        <w:t xml:space="preserve"> </w:t>
      </w:r>
      <w:r>
        <w:tab/>
        <w:t xml:space="preserve">AER, </w:t>
      </w:r>
      <w:r w:rsidRPr="00041D6D">
        <w:rPr>
          <w:rStyle w:val="AERtextitalic"/>
        </w:rPr>
        <w:t>Issues paper—Review of the rate of return guidelines</w:t>
      </w:r>
      <w:r>
        <w:t>, October 2017.</w:t>
      </w:r>
    </w:p>
  </w:footnote>
  <w:footnote w:id="3">
    <w:p w:rsidR="00033591" w:rsidRDefault="00033591">
      <w:pPr>
        <w:pStyle w:val="FootnoteText"/>
      </w:pPr>
      <w:r>
        <w:rPr>
          <w:rStyle w:val="FootnoteReference"/>
        </w:rPr>
        <w:footnoteRef/>
      </w:r>
      <w:r>
        <w:t xml:space="preserve"> </w:t>
      </w:r>
      <w:r>
        <w:tab/>
        <w:t xml:space="preserve">Details from this forum including the agenda and presentation slides are available at: </w:t>
      </w:r>
      <w:r w:rsidRPr="00D10AE9">
        <w:t>https://www.aer.gov.au/networks-pipelines/guidelines-schemes-models-reviews/review-of-rate-of-return-guideline/initiation</w:t>
      </w:r>
    </w:p>
  </w:footnote>
  <w:footnote w:id="4">
    <w:p w:rsidR="00033591" w:rsidRDefault="00033591" w:rsidP="00A339A3">
      <w:pPr>
        <w:pStyle w:val="FootnoteText"/>
      </w:pPr>
      <w:r>
        <w:rPr>
          <w:rStyle w:val="FootnoteReference"/>
        </w:rPr>
        <w:footnoteRef/>
      </w:r>
      <w:r>
        <w:t xml:space="preserve"> </w:t>
      </w:r>
      <w:r>
        <w:tab/>
        <w:t xml:space="preserve">COAG Energy Council, </w:t>
      </w:r>
      <w:r w:rsidRPr="007C5D86">
        <w:rPr>
          <w:i/>
        </w:rPr>
        <w:t>Meeting communique</w:t>
      </w:r>
      <w:r>
        <w:t>, 14 July 2017, p. 2.</w:t>
      </w:r>
    </w:p>
  </w:footnote>
  <w:footnote w:id="5">
    <w:p w:rsidR="00033591" w:rsidRDefault="00033591" w:rsidP="00A339A3">
      <w:pPr>
        <w:pStyle w:val="FootnoteText"/>
      </w:pPr>
      <w:r>
        <w:rPr>
          <w:rStyle w:val="FootnoteReference"/>
        </w:rPr>
        <w:footnoteRef/>
      </w:r>
      <w:r>
        <w:t xml:space="preserve"> </w:t>
      </w:r>
      <w:r>
        <w:tab/>
        <w:t>NER clauses 6.5.2(p</w:t>
      </w:r>
      <w:proofErr w:type="gramStart"/>
      <w:r>
        <w:t>)(</w:t>
      </w:r>
      <w:proofErr w:type="gramEnd"/>
      <w:r>
        <w:t>1) and 6A.6.2(p)(1); NGR clause 87(16)(a).</w:t>
      </w:r>
    </w:p>
  </w:footnote>
  <w:footnote w:id="6">
    <w:p w:rsidR="00033591" w:rsidRDefault="00033591" w:rsidP="00A339A3">
      <w:pPr>
        <w:pStyle w:val="FootnoteText"/>
      </w:pPr>
      <w:r>
        <w:rPr>
          <w:rStyle w:val="FootnoteReference"/>
        </w:rPr>
        <w:footnoteRef/>
      </w:r>
      <w:r>
        <w:t xml:space="preserve"> </w:t>
      </w:r>
      <w:r>
        <w:tab/>
        <w:t xml:space="preserve">AER, </w:t>
      </w:r>
      <w:r w:rsidRPr="003B05F8">
        <w:rPr>
          <w:rStyle w:val="AERtextitalic"/>
        </w:rPr>
        <w:t>Consultation paper: Process for reviewing the rate of return guidelines</w:t>
      </w:r>
      <w:r>
        <w:t>, July 2017, pp. 6</w:t>
      </w:r>
      <w:r>
        <w:rPr>
          <w:rFonts w:cs="Arial"/>
        </w:rPr>
        <w:t>–</w:t>
      </w:r>
      <w:r>
        <w:t>7.</w:t>
      </w:r>
    </w:p>
  </w:footnote>
  <w:footnote w:id="7">
    <w:p w:rsidR="00033591" w:rsidRDefault="00033591">
      <w:pPr>
        <w:pStyle w:val="FootnoteText"/>
      </w:pPr>
      <w:r>
        <w:rPr>
          <w:rStyle w:val="FootnoteReference"/>
        </w:rPr>
        <w:footnoteRef/>
      </w:r>
      <w:r>
        <w:t xml:space="preserve"> </w:t>
      </w:r>
      <w:r>
        <w:tab/>
        <w:t>In our initial consultation paper we flagged the concurrent evidence sessions as happening in February or March. We are now targeting March.</w:t>
      </w:r>
    </w:p>
  </w:footnote>
  <w:footnote w:id="8">
    <w:p w:rsidR="00033591" w:rsidRDefault="00033591" w:rsidP="00A339A3">
      <w:pPr>
        <w:pStyle w:val="FootnoteText"/>
      </w:pPr>
      <w:r>
        <w:rPr>
          <w:rStyle w:val="FootnoteReference"/>
        </w:rPr>
        <w:footnoteRef/>
      </w:r>
      <w:r>
        <w:t xml:space="preserve"> </w:t>
      </w:r>
      <w:r>
        <w:tab/>
        <w:t>This is five years from publication of the current guidelines (17 December 2013).</w:t>
      </w:r>
    </w:p>
  </w:footnote>
  <w:footnote w:id="9">
    <w:p w:rsidR="00033591" w:rsidRDefault="00033591" w:rsidP="00A339A3">
      <w:pPr>
        <w:pStyle w:val="FootnoteText"/>
      </w:pPr>
      <w:r>
        <w:rPr>
          <w:rStyle w:val="FootnoteReference"/>
        </w:rPr>
        <w:footnoteRef/>
      </w:r>
      <w:r>
        <w:t xml:space="preserve"> </w:t>
      </w:r>
      <w:r>
        <w:tab/>
        <w:t xml:space="preserve">TasNetworks submitted a rule change request to the AEMC requesting that the 2013 Guideline apply to the entirety of its distribution process in TasNetworks, </w:t>
      </w:r>
      <w:r w:rsidRPr="001602BC">
        <w:rPr>
          <w:rStyle w:val="AERtextitalic"/>
        </w:rPr>
        <w:t>Request for rule change submission</w:t>
      </w:r>
      <w:r>
        <w:t xml:space="preserve">, 9 June 2017. Otherwise, the </w:t>
      </w:r>
      <w:r w:rsidRPr="0034660E">
        <w:t>2018 Guideline applies to final decision (April 2019)</w:t>
      </w:r>
      <w:r>
        <w:t>, but not to other stages of its determination process</w:t>
      </w:r>
      <w:r w:rsidRPr="0034660E">
        <w:t>.</w:t>
      </w:r>
    </w:p>
  </w:footnote>
  <w:footnote w:id="10">
    <w:p w:rsidR="00033591" w:rsidRDefault="00033591" w:rsidP="00A339A3">
      <w:pPr>
        <w:pStyle w:val="FootnoteText"/>
      </w:pPr>
      <w:r>
        <w:rPr>
          <w:rStyle w:val="FootnoteReference"/>
        </w:rPr>
        <w:footnoteRef/>
      </w:r>
      <w:r>
        <w:t xml:space="preserve"> </w:t>
      </w:r>
      <w:r>
        <w:tab/>
        <w:t>Council of Australian Governments Energy Council Senior Committee of Officials, Bulletin: Binding Rate of Return Guideline, 4 October 2017.</w:t>
      </w:r>
    </w:p>
  </w:footnote>
  <w:footnote w:id="11">
    <w:p w:rsidR="00033591" w:rsidRDefault="00033591" w:rsidP="00E3076A">
      <w:pPr>
        <w:pStyle w:val="FootnoteText"/>
      </w:pPr>
      <w:r>
        <w:rPr>
          <w:rStyle w:val="FootnoteReference"/>
        </w:rPr>
        <w:footnoteRef/>
      </w:r>
      <w:r>
        <w:t xml:space="preserve"> </w:t>
      </w:r>
      <w:r>
        <w:tab/>
      </w:r>
      <w:proofErr w:type="gramStart"/>
      <w:r>
        <w:t xml:space="preserve">ENA, </w:t>
      </w:r>
      <w:r w:rsidRPr="00041D6D">
        <w:rPr>
          <w:rStyle w:val="AERtextitalic"/>
        </w:rPr>
        <w:t>Process for reviewing the rate of return guidelines—Response to AER consultation paper</w:t>
      </w:r>
      <w:r>
        <w:t>, August 2017, p. 3.</w:t>
      </w:r>
      <w:proofErr w:type="gramEnd"/>
    </w:p>
  </w:footnote>
  <w:footnote w:id="12">
    <w:p w:rsidR="00033591" w:rsidRDefault="00033591" w:rsidP="00E3076A">
      <w:pPr>
        <w:pStyle w:val="FootnoteText"/>
      </w:pPr>
      <w:r>
        <w:rPr>
          <w:rStyle w:val="FootnoteReference"/>
        </w:rPr>
        <w:footnoteRef/>
      </w:r>
      <w:r>
        <w:t xml:space="preserve"> </w:t>
      </w:r>
      <w:r>
        <w:tab/>
        <w:t xml:space="preserve">Details from this forum including the agenda, a summary of discussion and presentation slides are available at: </w:t>
      </w:r>
      <w:r w:rsidRPr="00D10AE9">
        <w:t>https://www.aer.gov.au/networks-pipelines/guidelines-schemes-models-reviews/review-of-rate-of-return-guideline/initiation</w:t>
      </w:r>
    </w:p>
  </w:footnote>
  <w:footnote w:id="13">
    <w:p w:rsidR="00033591" w:rsidRDefault="00033591">
      <w:pPr>
        <w:pStyle w:val="FootnoteText"/>
      </w:pPr>
      <w:r>
        <w:rPr>
          <w:rStyle w:val="FootnoteReference"/>
        </w:rPr>
        <w:footnoteRef/>
      </w:r>
      <w:r>
        <w:t xml:space="preserve"> </w:t>
      </w:r>
      <w:r>
        <w:tab/>
        <w:t xml:space="preserve">The most recent release on this process is: COAG EC Standing Council of Officials, Bulletin—Implementation of a binding rate of return guideline, October 2017. This is available at: </w:t>
      </w:r>
      <w:r w:rsidRPr="003F3255">
        <w:t>http://www.coagenergycouncil.gov.au/publications/binding-rate-return-guideline</w:t>
      </w:r>
    </w:p>
  </w:footnote>
  <w:footnote w:id="14">
    <w:p w:rsidR="00033591" w:rsidRDefault="00033591">
      <w:pPr>
        <w:pStyle w:val="FootnoteText"/>
      </w:pPr>
      <w:r>
        <w:rPr>
          <w:rStyle w:val="FootnoteReference"/>
        </w:rPr>
        <w:footnoteRef/>
      </w:r>
      <w:r>
        <w:t xml:space="preserve"> </w:t>
      </w:r>
      <w:r>
        <w:tab/>
        <w:t xml:space="preserve">All the submissions are available on our website at:  </w:t>
      </w:r>
      <w:hyperlink r:id="rId1" w:history="1">
        <w:r w:rsidRPr="000C5ADD">
          <w:rPr>
            <w:rStyle w:val="Hyperlink"/>
            <w:sz w:val="16"/>
          </w:rPr>
          <w:t>https://www.aer.gov.au/networks-pipelines/guidelines-schemes-models-reviews/review-of-rate-of-return-guideline/initiation</w:t>
        </w:r>
      </w:hyperlink>
      <w:r>
        <w:t xml:space="preserve">  </w:t>
      </w:r>
    </w:p>
  </w:footnote>
  <w:footnote w:id="15">
    <w:p w:rsidR="00033591" w:rsidRDefault="00033591">
      <w:pPr>
        <w:pStyle w:val="FootnoteText"/>
      </w:pPr>
      <w:r>
        <w:rPr>
          <w:rStyle w:val="FootnoteReference"/>
        </w:rPr>
        <w:footnoteRef/>
      </w:r>
      <w:r>
        <w:t xml:space="preserve"> </w:t>
      </w:r>
      <w:r>
        <w:tab/>
        <w:t>We discuss this further in the next section.</w:t>
      </w:r>
    </w:p>
  </w:footnote>
  <w:footnote w:id="16">
    <w:p w:rsidR="00033591" w:rsidRDefault="00033591" w:rsidP="00A421A3">
      <w:pPr>
        <w:pStyle w:val="FootnoteText"/>
      </w:pPr>
      <w:r>
        <w:rPr>
          <w:rStyle w:val="FootnoteReference"/>
        </w:rPr>
        <w:footnoteRef/>
      </w:r>
      <w:r>
        <w:t xml:space="preserve"> </w:t>
      </w:r>
      <w:r>
        <w:tab/>
        <w:t xml:space="preserve">AER, </w:t>
      </w:r>
      <w:r w:rsidRPr="00041D6D">
        <w:rPr>
          <w:rStyle w:val="AERtextitalic"/>
        </w:rPr>
        <w:t>Consultation paper—Process for reviewing the rate of return guidelines</w:t>
      </w:r>
      <w:r>
        <w:t>, July 2017, p. 15.</w:t>
      </w:r>
    </w:p>
  </w:footnote>
  <w:footnote w:id="17">
    <w:p w:rsidR="00033591" w:rsidRDefault="00033591" w:rsidP="005443C4">
      <w:pPr>
        <w:pStyle w:val="FootnoteText"/>
      </w:pPr>
      <w:r>
        <w:rPr>
          <w:rStyle w:val="FootnoteReference"/>
        </w:rPr>
        <w:footnoteRef/>
      </w:r>
      <w:r>
        <w:t xml:space="preserve"> </w:t>
      </w:r>
      <w:r>
        <w:tab/>
      </w:r>
      <w:r w:rsidRPr="00F40F31">
        <w:t xml:space="preserve">In particular, NEL 7A(5) and </w:t>
      </w:r>
      <w:r>
        <w:t>24(5)</w:t>
      </w:r>
    </w:p>
  </w:footnote>
  <w:footnote w:id="18">
    <w:p w:rsidR="00033591" w:rsidRDefault="00033591" w:rsidP="00153720">
      <w:pPr>
        <w:pStyle w:val="FootnoteText"/>
      </w:pPr>
      <w:r>
        <w:rPr>
          <w:rStyle w:val="FootnoteReference"/>
        </w:rPr>
        <w:footnoteRef/>
      </w:r>
      <w:r>
        <w:t xml:space="preserve"> </w:t>
      </w:r>
      <w:r>
        <w:tab/>
        <w:t xml:space="preserve">See the cost of capital workshop documents at: </w:t>
      </w:r>
      <w:r w:rsidRPr="00644F6B">
        <w:t>http://www.comcom.govt.nz/regulated-industries/input-methodologies-2/archive/cost-of-capital-archive/cost-of-capital-extracts-from-input-methodology-reasons-papers-and-expert-reports/</w:t>
      </w:r>
    </w:p>
  </w:footnote>
  <w:footnote w:id="19">
    <w:p w:rsidR="00033591" w:rsidRDefault="00033591">
      <w:pPr>
        <w:pStyle w:val="FootnoteText"/>
      </w:pPr>
      <w:r>
        <w:rPr>
          <w:rStyle w:val="FootnoteReference"/>
        </w:rPr>
        <w:footnoteRef/>
      </w:r>
      <w:r>
        <w:t xml:space="preserve"> </w:t>
      </w:r>
      <w:r>
        <w:tab/>
      </w:r>
      <w:r w:rsidRPr="00957881">
        <w:rPr>
          <w:rFonts w:cs="Arial"/>
          <w:szCs w:val="16"/>
        </w:rPr>
        <w:t xml:space="preserve">For example, see: </w:t>
      </w:r>
      <w:hyperlink r:id="rId2" w:history="1">
        <w:r w:rsidRPr="00957881">
          <w:rPr>
            <w:rStyle w:val="Hyperlink"/>
            <w:rFonts w:cs="Arial"/>
            <w:sz w:val="16"/>
            <w:szCs w:val="16"/>
          </w:rPr>
          <w:t>http://www.comcom.govt.nz/regulated-industries/input-methodologies-2/archive/cost-of-capital-archive/cost-of-capital-extracts-from-input-methodology-reasons-papers-and-expert-reports/</w:t>
        </w:r>
      </w:hyperlink>
      <w:r w:rsidRPr="00957881">
        <w:rPr>
          <w:rFonts w:cs="Arial"/>
          <w:szCs w:val="16"/>
        </w:rPr>
        <w:t xml:space="preserve"> under section ‘cost of capital workshop documents’</w:t>
      </w:r>
    </w:p>
  </w:footnote>
  <w:footnote w:id="20">
    <w:p w:rsidR="00033591" w:rsidRDefault="00033591">
      <w:pPr>
        <w:pStyle w:val="FootnoteText"/>
      </w:pPr>
      <w:r>
        <w:rPr>
          <w:rStyle w:val="FootnoteReference"/>
        </w:rPr>
        <w:footnoteRef/>
      </w:r>
      <w:r>
        <w:t xml:space="preserve"> </w:t>
      </w:r>
      <w:r>
        <w:tab/>
        <w:t xml:space="preserve">Major Energy Users, </w:t>
      </w:r>
      <w:r w:rsidRPr="00753FD1">
        <w:rPr>
          <w:rStyle w:val="AERtextitalic"/>
        </w:rPr>
        <w:t>Process for reviewing the rate of return guidelines consultation paper</w:t>
      </w:r>
      <w:r>
        <w:t>, August 2017, pp. 2–3.</w:t>
      </w:r>
    </w:p>
  </w:footnote>
  <w:footnote w:id="21">
    <w:p w:rsidR="00033591" w:rsidRDefault="00033591" w:rsidP="00B87031">
      <w:pPr>
        <w:pStyle w:val="FootnoteText"/>
      </w:pPr>
      <w:r>
        <w:rPr>
          <w:rStyle w:val="FootnoteReference"/>
        </w:rPr>
        <w:footnoteRef/>
      </w:r>
      <w:r>
        <w:t xml:space="preserve"> </w:t>
      </w:r>
      <w:r>
        <w:tab/>
      </w:r>
      <w:proofErr w:type="gramStart"/>
      <w:r>
        <w:t>NEL, s. 7; NGL, s. 23.</w:t>
      </w:r>
      <w:proofErr w:type="gramEnd"/>
    </w:p>
  </w:footnote>
  <w:footnote w:id="22">
    <w:p w:rsidR="00033591" w:rsidRDefault="00033591">
      <w:pPr>
        <w:pStyle w:val="FootnoteText"/>
      </w:pPr>
      <w:r>
        <w:rPr>
          <w:rStyle w:val="FootnoteReference"/>
        </w:rPr>
        <w:footnoteRef/>
      </w:r>
      <w:r>
        <w:t xml:space="preserve"> </w:t>
      </w:r>
      <w:r>
        <w:tab/>
      </w:r>
      <w:proofErr w:type="gramStart"/>
      <w:r>
        <w:t>NEL s. 7A; NGL s.24.</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90A0869"/>
    <w:multiLevelType w:val="hybridMultilevel"/>
    <w:tmpl w:val="B6C2C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B02005F"/>
    <w:multiLevelType w:val="hybridMultilevel"/>
    <w:tmpl w:val="DD2EB8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BA616BB"/>
    <w:multiLevelType w:val="hybridMultilevel"/>
    <w:tmpl w:val="90267BBC"/>
    <w:lvl w:ilvl="0" w:tplc="486CC974">
      <w:start w:val="1"/>
      <w:numFmt w:val="bullet"/>
      <w:lvlText w:val="–"/>
      <w:lvlJc w:val="left"/>
      <w:pPr>
        <w:tabs>
          <w:tab w:val="num" w:pos="720"/>
        </w:tabs>
        <w:ind w:left="720" w:hanging="360"/>
      </w:pPr>
      <w:rPr>
        <w:rFonts w:ascii="Times New Roman" w:hAnsi="Times New Roman" w:hint="default"/>
      </w:rPr>
    </w:lvl>
    <w:lvl w:ilvl="1" w:tplc="F954A212">
      <w:start w:val="1"/>
      <w:numFmt w:val="bullet"/>
      <w:lvlText w:val="–"/>
      <w:lvlJc w:val="left"/>
      <w:pPr>
        <w:tabs>
          <w:tab w:val="num" w:pos="1440"/>
        </w:tabs>
        <w:ind w:left="1440" w:hanging="360"/>
      </w:pPr>
      <w:rPr>
        <w:rFonts w:ascii="Times New Roman" w:hAnsi="Times New Roman" w:hint="default"/>
      </w:rPr>
    </w:lvl>
    <w:lvl w:ilvl="2" w:tplc="1038A26E" w:tentative="1">
      <w:start w:val="1"/>
      <w:numFmt w:val="bullet"/>
      <w:lvlText w:val="–"/>
      <w:lvlJc w:val="left"/>
      <w:pPr>
        <w:tabs>
          <w:tab w:val="num" w:pos="2160"/>
        </w:tabs>
        <w:ind w:left="2160" w:hanging="360"/>
      </w:pPr>
      <w:rPr>
        <w:rFonts w:ascii="Times New Roman" w:hAnsi="Times New Roman" w:hint="default"/>
      </w:rPr>
    </w:lvl>
    <w:lvl w:ilvl="3" w:tplc="C34A71B2" w:tentative="1">
      <w:start w:val="1"/>
      <w:numFmt w:val="bullet"/>
      <w:lvlText w:val="–"/>
      <w:lvlJc w:val="left"/>
      <w:pPr>
        <w:tabs>
          <w:tab w:val="num" w:pos="2880"/>
        </w:tabs>
        <w:ind w:left="2880" w:hanging="360"/>
      </w:pPr>
      <w:rPr>
        <w:rFonts w:ascii="Times New Roman" w:hAnsi="Times New Roman" w:hint="default"/>
      </w:rPr>
    </w:lvl>
    <w:lvl w:ilvl="4" w:tplc="409AE5A2" w:tentative="1">
      <w:start w:val="1"/>
      <w:numFmt w:val="bullet"/>
      <w:lvlText w:val="–"/>
      <w:lvlJc w:val="left"/>
      <w:pPr>
        <w:tabs>
          <w:tab w:val="num" w:pos="3600"/>
        </w:tabs>
        <w:ind w:left="3600" w:hanging="360"/>
      </w:pPr>
      <w:rPr>
        <w:rFonts w:ascii="Times New Roman" w:hAnsi="Times New Roman" w:hint="default"/>
      </w:rPr>
    </w:lvl>
    <w:lvl w:ilvl="5" w:tplc="2EC224B8" w:tentative="1">
      <w:start w:val="1"/>
      <w:numFmt w:val="bullet"/>
      <w:lvlText w:val="–"/>
      <w:lvlJc w:val="left"/>
      <w:pPr>
        <w:tabs>
          <w:tab w:val="num" w:pos="4320"/>
        </w:tabs>
        <w:ind w:left="4320" w:hanging="360"/>
      </w:pPr>
      <w:rPr>
        <w:rFonts w:ascii="Times New Roman" w:hAnsi="Times New Roman" w:hint="default"/>
      </w:rPr>
    </w:lvl>
    <w:lvl w:ilvl="6" w:tplc="2B387644" w:tentative="1">
      <w:start w:val="1"/>
      <w:numFmt w:val="bullet"/>
      <w:lvlText w:val="–"/>
      <w:lvlJc w:val="left"/>
      <w:pPr>
        <w:tabs>
          <w:tab w:val="num" w:pos="5040"/>
        </w:tabs>
        <w:ind w:left="5040" w:hanging="360"/>
      </w:pPr>
      <w:rPr>
        <w:rFonts w:ascii="Times New Roman" w:hAnsi="Times New Roman" w:hint="default"/>
      </w:rPr>
    </w:lvl>
    <w:lvl w:ilvl="7" w:tplc="AE186DFA" w:tentative="1">
      <w:start w:val="1"/>
      <w:numFmt w:val="bullet"/>
      <w:lvlText w:val="–"/>
      <w:lvlJc w:val="left"/>
      <w:pPr>
        <w:tabs>
          <w:tab w:val="num" w:pos="5760"/>
        </w:tabs>
        <w:ind w:left="5760" w:hanging="360"/>
      </w:pPr>
      <w:rPr>
        <w:rFonts w:ascii="Times New Roman" w:hAnsi="Times New Roman" w:hint="default"/>
      </w:rPr>
    </w:lvl>
    <w:lvl w:ilvl="8" w:tplc="7682F8A4" w:tentative="1">
      <w:start w:val="1"/>
      <w:numFmt w:val="bullet"/>
      <w:lvlText w:val="–"/>
      <w:lvlJc w:val="left"/>
      <w:pPr>
        <w:tabs>
          <w:tab w:val="num" w:pos="6480"/>
        </w:tabs>
        <w:ind w:left="6480" w:hanging="360"/>
      </w:pPr>
      <w:rPr>
        <w:rFonts w:ascii="Times New Roman" w:hAnsi="Times New Roman" w:hint="default"/>
      </w:rPr>
    </w:lvl>
  </w:abstractNum>
  <w:abstractNum w:abstractNumId="12">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3">
    <w:nsid w:val="0DD2542B"/>
    <w:multiLevelType w:val="hybridMultilevel"/>
    <w:tmpl w:val="60FAC388"/>
    <w:lvl w:ilvl="0" w:tplc="50264BE2">
      <w:start w:val="1"/>
      <w:numFmt w:val="decimal"/>
      <w:pStyle w:val="ListParagraph"/>
      <w:lvlText w:val="%1."/>
      <w:lvlJc w:val="left"/>
      <w:pPr>
        <w:ind w:left="3479" w:hanging="360"/>
      </w:p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4">
    <w:nsid w:val="13030C97"/>
    <w:multiLevelType w:val="hybridMultilevel"/>
    <w:tmpl w:val="57CCA1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6">
    <w:nsid w:val="13FE3B34"/>
    <w:multiLevelType w:val="hybridMultilevel"/>
    <w:tmpl w:val="F8CAE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8">
    <w:nsid w:val="255A16D1"/>
    <w:multiLevelType w:val="hybridMultilevel"/>
    <w:tmpl w:val="20441C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1">
    <w:nsid w:val="2E3A2008"/>
    <w:multiLevelType w:val="multilevel"/>
    <w:tmpl w:val="950A1C52"/>
    <w:numStyleLink w:val="AERHeadings"/>
  </w:abstractNum>
  <w:abstractNum w:abstractNumId="22">
    <w:nsid w:val="2F7D090A"/>
    <w:multiLevelType w:val="hybridMultilevel"/>
    <w:tmpl w:val="E586C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4">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6">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9F82FD4"/>
    <w:multiLevelType w:val="hybridMultilevel"/>
    <w:tmpl w:val="29B4439C"/>
    <w:lvl w:ilvl="0" w:tplc="0C090001">
      <w:start w:val="1"/>
      <w:numFmt w:val="bullet"/>
      <w:lvlText w:val=""/>
      <w:lvlJc w:val="left"/>
      <w:pPr>
        <w:ind w:left="1380" w:hanging="360"/>
      </w:pPr>
      <w:rPr>
        <w:rFonts w:ascii="Symbol" w:hAnsi="Symbol" w:hint="default"/>
      </w:rPr>
    </w:lvl>
    <w:lvl w:ilvl="1" w:tplc="0C090003" w:tentative="1">
      <w:start w:val="1"/>
      <w:numFmt w:val="bullet"/>
      <w:lvlText w:val="o"/>
      <w:lvlJc w:val="left"/>
      <w:pPr>
        <w:ind w:left="2100" w:hanging="360"/>
      </w:pPr>
      <w:rPr>
        <w:rFonts w:ascii="Courier New" w:hAnsi="Courier New" w:cs="Courier New" w:hint="default"/>
      </w:rPr>
    </w:lvl>
    <w:lvl w:ilvl="2" w:tplc="0C090005" w:tentative="1">
      <w:start w:val="1"/>
      <w:numFmt w:val="bullet"/>
      <w:lvlText w:val=""/>
      <w:lvlJc w:val="left"/>
      <w:pPr>
        <w:ind w:left="2820" w:hanging="360"/>
      </w:pPr>
      <w:rPr>
        <w:rFonts w:ascii="Wingdings" w:hAnsi="Wingdings" w:hint="default"/>
      </w:rPr>
    </w:lvl>
    <w:lvl w:ilvl="3" w:tplc="0C090001" w:tentative="1">
      <w:start w:val="1"/>
      <w:numFmt w:val="bullet"/>
      <w:lvlText w:val=""/>
      <w:lvlJc w:val="left"/>
      <w:pPr>
        <w:ind w:left="3540" w:hanging="360"/>
      </w:pPr>
      <w:rPr>
        <w:rFonts w:ascii="Symbol" w:hAnsi="Symbol" w:hint="default"/>
      </w:rPr>
    </w:lvl>
    <w:lvl w:ilvl="4" w:tplc="0C090003" w:tentative="1">
      <w:start w:val="1"/>
      <w:numFmt w:val="bullet"/>
      <w:lvlText w:val="o"/>
      <w:lvlJc w:val="left"/>
      <w:pPr>
        <w:ind w:left="4260" w:hanging="360"/>
      </w:pPr>
      <w:rPr>
        <w:rFonts w:ascii="Courier New" w:hAnsi="Courier New" w:cs="Courier New" w:hint="default"/>
      </w:rPr>
    </w:lvl>
    <w:lvl w:ilvl="5" w:tplc="0C090005" w:tentative="1">
      <w:start w:val="1"/>
      <w:numFmt w:val="bullet"/>
      <w:lvlText w:val=""/>
      <w:lvlJc w:val="left"/>
      <w:pPr>
        <w:ind w:left="4980" w:hanging="360"/>
      </w:pPr>
      <w:rPr>
        <w:rFonts w:ascii="Wingdings" w:hAnsi="Wingdings" w:hint="default"/>
      </w:rPr>
    </w:lvl>
    <w:lvl w:ilvl="6" w:tplc="0C090001" w:tentative="1">
      <w:start w:val="1"/>
      <w:numFmt w:val="bullet"/>
      <w:lvlText w:val=""/>
      <w:lvlJc w:val="left"/>
      <w:pPr>
        <w:ind w:left="5700" w:hanging="360"/>
      </w:pPr>
      <w:rPr>
        <w:rFonts w:ascii="Symbol" w:hAnsi="Symbol" w:hint="default"/>
      </w:rPr>
    </w:lvl>
    <w:lvl w:ilvl="7" w:tplc="0C090003" w:tentative="1">
      <w:start w:val="1"/>
      <w:numFmt w:val="bullet"/>
      <w:lvlText w:val="o"/>
      <w:lvlJc w:val="left"/>
      <w:pPr>
        <w:ind w:left="6420" w:hanging="360"/>
      </w:pPr>
      <w:rPr>
        <w:rFonts w:ascii="Courier New" w:hAnsi="Courier New" w:cs="Courier New" w:hint="default"/>
      </w:rPr>
    </w:lvl>
    <w:lvl w:ilvl="8" w:tplc="0C090005" w:tentative="1">
      <w:start w:val="1"/>
      <w:numFmt w:val="bullet"/>
      <w:lvlText w:val=""/>
      <w:lvlJc w:val="left"/>
      <w:pPr>
        <w:ind w:left="7140" w:hanging="360"/>
      </w:pPr>
      <w:rPr>
        <w:rFonts w:ascii="Wingdings" w:hAnsi="Wingdings" w:hint="default"/>
      </w:rPr>
    </w:lvl>
  </w:abstractNum>
  <w:abstractNum w:abstractNumId="28">
    <w:nsid w:val="3C5660F1"/>
    <w:multiLevelType w:val="hybridMultilevel"/>
    <w:tmpl w:val="78B2C26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2AE6015"/>
    <w:multiLevelType w:val="hybridMultilevel"/>
    <w:tmpl w:val="927050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5F57FBD"/>
    <w:multiLevelType w:val="hybridMultilevel"/>
    <w:tmpl w:val="F7948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nsid w:val="49AA395A"/>
    <w:multiLevelType w:val="hybridMultilevel"/>
    <w:tmpl w:val="21B0CAAE"/>
    <w:lvl w:ilvl="0" w:tplc="3B6AAB18">
      <w:start w:val="1"/>
      <w:numFmt w:val="lowerLetter"/>
      <w:lvlText w:val="(%1)"/>
      <w:lvlJc w:val="left"/>
      <w:pPr>
        <w:ind w:left="705" w:hanging="360"/>
      </w:pPr>
      <w:rPr>
        <w:rFonts w:hint="default"/>
      </w:rPr>
    </w:lvl>
    <w:lvl w:ilvl="1" w:tplc="0C090019" w:tentative="1">
      <w:start w:val="1"/>
      <w:numFmt w:val="lowerLetter"/>
      <w:lvlText w:val="%2."/>
      <w:lvlJc w:val="left"/>
      <w:pPr>
        <w:ind w:left="1425" w:hanging="360"/>
      </w:pPr>
    </w:lvl>
    <w:lvl w:ilvl="2" w:tplc="0C09001B" w:tentative="1">
      <w:start w:val="1"/>
      <w:numFmt w:val="lowerRoman"/>
      <w:lvlText w:val="%3."/>
      <w:lvlJc w:val="right"/>
      <w:pPr>
        <w:ind w:left="2145" w:hanging="180"/>
      </w:pPr>
    </w:lvl>
    <w:lvl w:ilvl="3" w:tplc="0C09000F" w:tentative="1">
      <w:start w:val="1"/>
      <w:numFmt w:val="decimal"/>
      <w:lvlText w:val="%4."/>
      <w:lvlJc w:val="left"/>
      <w:pPr>
        <w:ind w:left="2865" w:hanging="360"/>
      </w:pPr>
    </w:lvl>
    <w:lvl w:ilvl="4" w:tplc="0C090019" w:tentative="1">
      <w:start w:val="1"/>
      <w:numFmt w:val="lowerLetter"/>
      <w:lvlText w:val="%5."/>
      <w:lvlJc w:val="left"/>
      <w:pPr>
        <w:ind w:left="3585" w:hanging="360"/>
      </w:pPr>
    </w:lvl>
    <w:lvl w:ilvl="5" w:tplc="0C09001B" w:tentative="1">
      <w:start w:val="1"/>
      <w:numFmt w:val="lowerRoman"/>
      <w:lvlText w:val="%6."/>
      <w:lvlJc w:val="right"/>
      <w:pPr>
        <w:ind w:left="4305" w:hanging="180"/>
      </w:pPr>
    </w:lvl>
    <w:lvl w:ilvl="6" w:tplc="0C09000F" w:tentative="1">
      <w:start w:val="1"/>
      <w:numFmt w:val="decimal"/>
      <w:lvlText w:val="%7."/>
      <w:lvlJc w:val="left"/>
      <w:pPr>
        <w:ind w:left="5025" w:hanging="360"/>
      </w:pPr>
    </w:lvl>
    <w:lvl w:ilvl="7" w:tplc="0C090019" w:tentative="1">
      <w:start w:val="1"/>
      <w:numFmt w:val="lowerLetter"/>
      <w:lvlText w:val="%8."/>
      <w:lvlJc w:val="left"/>
      <w:pPr>
        <w:ind w:left="5745" w:hanging="360"/>
      </w:pPr>
    </w:lvl>
    <w:lvl w:ilvl="8" w:tplc="0C09001B" w:tentative="1">
      <w:start w:val="1"/>
      <w:numFmt w:val="lowerRoman"/>
      <w:lvlText w:val="%9."/>
      <w:lvlJc w:val="right"/>
      <w:pPr>
        <w:ind w:left="6465" w:hanging="180"/>
      </w:pPr>
    </w:lvl>
  </w:abstractNum>
  <w:abstractNum w:abstractNumId="33">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4C675F8A"/>
    <w:multiLevelType w:val="hybridMultilevel"/>
    <w:tmpl w:val="F146CC3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5">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36">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8">
    <w:nsid w:val="5ECE4384"/>
    <w:multiLevelType w:val="multilevel"/>
    <w:tmpl w:val="2392EF66"/>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40">
    <w:nsid w:val="69692884"/>
    <w:multiLevelType w:val="hybridMultilevel"/>
    <w:tmpl w:val="1BEA4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6E353323"/>
    <w:multiLevelType w:val="hybridMultilevel"/>
    <w:tmpl w:val="04D47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6FD22E08"/>
    <w:multiLevelType w:val="hybridMultilevel"/>
    <w:tmpl w:val="54E68C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0A36268"/>
    <w:multiLevelType w:val="hybridMultilevel"/>
    <w:tmpl w:val="FE2C72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5"/>
  </w:num>
  <w:num w:numId="2">
    <w:abstractNumId w:val="45"/>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9"/>
  </w:num>
  <w:num w:numId="13">
    <w:abstractNumId w:val="26"/>
  </w:num>
  <w:num w:numId="14">
    <w:abstractNumId w:val="13"/>
  </w:num>
  <w:num w:numId="15">
    <w:abstractNumId w:val="17"/>
  </w:num>
  <w:num w:numId="16">
    <w:abstractNumId w:val="31"/>
  </w:num>
  <w:num w:numId="17">
    <w:abstractNumId w:val="12"/>
  </w:num>
  <w:num w:numId="18">
    <w:abstractNumId w:val="20"/>
  </w:num>
  <w:num w:numId="19">
    <w:abstractNumId w:val="33"/>
  </w:num>
  <w:num w:numId="20">
    <w:abstractNumId w:val="44"/>
  </w:num>
  <w:num w:numId="21">
    <w:abstractNumId w:val="37"/>
  </w:num>
  <w:num w:numId="22">
    <w:abstractNumId w:val="35"/>
  </w:num>
  <w:num w:numId="23">
    <w:abstractNumId w:val="23"/>
  </w:num>
  <w:num w:numId="24">
    <w:abstractNumId w:val="36"/>
  </w:num>
  <w:num w:numId="25">
    <w:abstractNumId w:val="38"/>
  </w:num>
  <w:num w:numId="26">
    <w:abstractNumId w:val="24"/>
  </w:num>
  <w:num w:numId="27">
    <w:abstractNumId w:val="19"/>
  </w:num>
  <w:num w:numId="28">
    <w:abstractNumId w:val="38"/>
  </w:num>
  <w:num w:numId="29">
    <w:abstractNumId w:val="38"/>
  </w:num>
  <w:num w:numId="30">
    <w:abstractNumId w:val="27"/>
  </w:num>
  <w:num w:numId="31">
    <w:abstractNumId w:val="19"/>
  </w:num>
  <w:num w:numId="32">
    <w:abstractNumId w:val="41"/>
  </w:num>
  <w:num w:numId="33">
    <w:abstractNumId w:val="34"/>
  </w:num>
  <w:num w:numId="34">
    <w:abstractNumId w:val="43"/>
  </w:num>
  <w:num w:numId="35">
    <w:abstractNumId w:val="28"/>
  </w:num>
  <w:num w:numId="36">
    <w:abstractNumId w:val="16"/>
  </w:num>
  <w:num w:numId="37">
    <w:abstractNumId w:val="10"/>
  </w:num>
  <w:num w:numId="38">
    <w:abstractNumId w:val="9"/>
  </w:num>
  <w:num w:numId="39">
    <w:abstractNumId w:val="14"/>
  </w:num>
  <w:num w:numId="40">
    <w:abstractNumId w:val="32"/>
  </w:num>
  <w:num w:numId="41">
    <w:abstractNumId w:val="40"/>
  </w:num>
  <w:num w:numId="42">
    <w:abstractNumId w:val="30"/>
  </w:num>
  <w:num w:numId="43">
    <w:abstractNumId w:val="22"/>
  </w:num>
  <w:num w:numId="44">
    <w:abstractNumId w:val="29"/>
  </w:num>
  <w:num w:numId="45">
    <w:abstractNumId w:val="25"/>
  </w:num>
  <w:num w:numId="46">
    <w:abstractNumId w:val="45"/>
  </w:num>
  <w:num w:numId="47">
    <w:abstractNumId w:val="38"/>
  </w:num>
  <w:num w:numId="48">
    <w:abstractNumId w:val="38"/>
  </w:num>
  <w:num w:numId="49">
    <w:abstractNumId w:val="11"/>
  </w:num>
  <w:num w:numId="50">
    <w:abstractNumId w:val="45"/>
  </w:num>
  <w:num w:numId="51">
    <w:abstractNumId w:val="21"/>
  </w:num>
  <w:num w:numId="52">
    <w:abstractNumId w:val="18"/>
  </w:num>
  <w:num w:numId="53">
    <w:abstractNumId w:val="4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340"/>
  <w:characterSpacingControl w:val="doNotCompress"/>
  <w:hdrShapeDefaults>
    <o:shapedefaults v:ext="edit" spidmax="6266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992\D17 125211  AER - Rate of return issues paper - DRAFT as at September 2017.DOCX"/>
  </w:docVars>
  <w:rsids>
    <w:rsidRoot w:val="00961A4A"/>
    <w:rsid w:val="00000040"/>
    <w:rsid w:val="00000D4A"/>
    <w:rsid w:val="0000169E"/>
    <w:rsid w:val="00003AE8"/>
    <w:rsid w:val="000051DC"/>
    <w:rsid w:val="0000658F"/>
    <w:rsid w:val="000118A9"/>
    <w:rsid w:val="00012700"/>
    <w:rsid w:val="0001507B"/>
    <w:rsid w:val="00016320"/>
    <w:rsid w:val="00016F46"/>
    <w:rsid w:val="00017AA2"/>
    <w:rsid w:val="00017D78"/>
    <w:rsid w:val="00020016"/>
    <w:rsid w:val="00020048"/>
    <w:rsid w:val="00021202"/>
    <w:rsid w:val="00021C2B"/>
    <w:rsid w:val="0002219B"/>
    <w:rsid w:val="000224A2"/>
    <w:rsid w:val="00022549"/>
    <w:rsid w:val="0002498B"/>
    <w:rsid w:val="0002517F"/>
    <w:rsid w:val="00026187"/>
    <w:rsid w:val="000266FC"/>
    <w:rsid w:val="000273B3"/>
    <w:rsid w:val="00027E2D"/>
    <w:rsid w:val="00030A10"/>
    <w:rsid w:val="00031747"/>
    <w:rsid w:val="00031B81"/>
    <w:rsid w:val="00033591"/>
    <w:rsid w:val="00033C5E"/>
    <w:rsid w:val="00034E28"/>
    <w:rsid w:val="0003578C"/>
    <w:rsid w:val="00036C2A"/>
    <w:rsid w:val="000416AF"/>
    <w:rsid w:val="00041D6D"/>
    <w:rsid w:val="000422C3"/>
    <w:rsid w:val="00042F31"/>
    <w:rsid w:val="0004380A"/>
    <w:rsid w:val="00044D1A"/>
    <w:rsid w:val="00044DA3"/>
    <w:rsid w:val="000462C0"/>
    <w:rsid w:val="000466E7"/>
    <w:rsid w:val="000474DF"/>
    <w:rsid w:val="00047C9C"/>
    <w:rsid w:val="00051958"/>
    <w:rsid w:val="0005296B"/>
    <w:rsid w:val="00053B8B"/>
    <w:rsid w:val="000547F2"/>
    <w:rsid w:val="00055993"/>
    <w:rsid w:val="00055A67"/>
    <w:rsid w:val="000614A0"/>
    <w:rsid w:val="00061D96"/>
    <w:rsid w:val="000624BC"/>
    <w:rsid w:val="00063247"/>
    <w:rsid w:val="00064C08"/>
    <w:rsid w:val="0006624E"/>
    <w:rsid w:val="00066E4F"/>
    <w:rsid w:val="00070F9F"/>
    <w:rsid w:val="0007137B"/>
    <w:rsid w:val="00071D7D"/>
    <w:rsid w:val="00071FFD"/>
    <w:rsid w:val="00072D19"/>
    <w:rsid w:val="0007379A"/>
    <w:rsid w:val="00073B74"/>
    <w:rsid w:val="0007436C"/>
    <w:rsid w:val="00074B8D"/>
    <w:rsid w:val="00075825"/>
    <w:rsid w:val="00075B81"/>
    <w:rsid w:val="00076410"/>
    <w:rsid w:val="00076416"/>
    <w:rsid w:val="000805A8"/>
    <w:rsid w:val="00080711"/>
    <w:rsid w:val="0008190B"/>
    <w:rsid w:val="0008290B"/>
    <w:rsid w:val="000836D9"/>
    <w:rsid w:val="000851B9"/>
    <w:rsid w:val="00085663"/>
    <w:rsid w:val="00085EBF"/>
    <w:rsid w:val="00090338"/>
    <w:rsid w:val="00091AC3"/>
    <w:rsid w:val="00091B15"/>
    <w:rsid w:val="00091B2E"/>
    <w:rsid w:val="00095186"/>
    <w:rsid w:val="000A0E71"/>
    <w:rsid w:val="000A1C0C"/>
    <w:rsid w:val="000A1D95"/>
    <w:rsid w:val="000A3020"/>
    <w:rsid w:val="000A4059"/>
    <w:rsid w:val="000A4840"/>
    <w:rsid w:val="000A4993"/>
    <w:rsid w:val="000A62C1"/>
    <w:rsid w:val="000A6A79"/>
    <w:rsid w:val="000A6C7B"/>
    <w:rsid w:val="000B0A7B"/>
    <w:rsid w:val="000B0E59"/>
    <w:rsid w:val="000B1006"/>
    <w:rsid w:val="000B1173"/>
    <w:rsid w:val="000B510D"/>
    <w:rsid w:val="000B54BD"/>
    <w:rsid w:val="000B5827"/>
    <w:rsid w:val="000B6BDA"/>
    <w:rsid w:val="000B7037"/>
    <w:rsid w:val="000C02D1"/>
    <w:rsid w:val="000C0C63"/>
    <w:rsid w:val="000C0F35"/>
    <w:rsid w:val="000C1A13"/>
    <w:rsid w:val="000C1AC7"/>
    <w:rsid w:val="000C2098"/>
    <w:rsid w:val="000C2B40"/>
    <w:rsid w:val="000C32D5"/>
    <w:rsid w:val="000C5255"/>
    <w:rsid w:val="000C68E9"/>
    <w:rsid w:val="000D07A7"/>
    <w:rsid w:val="000D0969"/>
    <w:rsid w:val="000D1054"/>
    <w:rsid w:val="000D122C"/>
    <w:rsid w:val="000D4470"/>
    <w:rsid w:val="000D555E"/>
    <w:rsid w:val="000D5900"/>
    <w:rsid w:val="000D5A26"/>
    <w:rsid w:val="000D6F11"/>
    <w:rsid w:val="000D724A"/>
    <w:rsid w:val="000D75B0"/>
    <w:rsid w:val="000E1819"/>
    <w:rsid w:val="000E3AA9"/>
    <w:rsid w:val="000E4821"/>
    <w:rsid w:val="000E4AA9"/>
    <w:rsid w:val="000E6AEA"/>
    <w:rsid w:val="000E6C72"/>
    <w:rsid w:val="000E7F39"/>
    <w:rsid w:val="000F2400"/>
    <w:rsid w:val="000F2ADA"/>
    <w:rsid w:val="000F466D"/>
    <w:rsid w:val="000F54AA"/>
    <w:rsid w:val="00100C8F"/>
    <w:rsid w:val="00100EA2"/>
    <w:rsid w:val="00101270"/>
    <w:rsid w:val="00101AA1"/>
    <w:rsid w:val="00102338"/>
    <w:rsid w:val="00104566"/>
    <w:rsid w:val="00104FF6"/>
    <w:rsid w:val="00105015"/>
    <w:rsid w:val="001114AA"/>
    <w:rsid w:val="00112AF7"/>
    <w:rsid w:val="0011475E"/>
    <w:rsid w:val="0011522A"/>
    <w:rsid w:val="00115743"/>
    <w:rsid w:val="00116EB2"/>
    <w:rsid w:val="00117A1D"/>
    <w:rsid w:val="001202D3"/>
    <w:rsid w:val="0012132C"/>
    <w:rsid w:val="00121BA7"/>
    <w:rsid w:val="00123D47"/>
    <w:rsid w:val="00124609"/>
    <w:rsid w:val="00124F4B"/>
    <w:rsid w:val="00126A4C"/>
    <w:rsid w:val="001270E3"/>
    <w:rsid w:val="001301F7"/>
    <w:rsid w:val="00131923"/>
    <w:rsid w:val="00132D43"/>
    <w:rsid w:val="00133366"/>
    <w:rsid w:val="00133F47"/>
    <w:rsid w:val="00134029"/>
    <w:rsid w:val="00140472"/>
    <w:rsid w:val="00140636"/>
    <w:rsid w:val="00142C2D"/>
    <w:rsid w:val="00144AE9"/>
    <w:rsid w:val="00144C96"/>
    <w:rsid w:val="0014573B"/>
    <w:rsid w:val="00145CF3"/>
    <w:rsid w:val="001463A3"/>
    <w:rsid w:val="0015073A"/>
    <w:rsid w:val="00150A5F"/>
    <w:rsid w:val="00152F8C"/>
    <w:rsid w:val="001532F7"/>
    <w:rsid w:val="00153720"/>
    <w:rsid w:val="00153EE8"/>
    <w:rsid w:val="001566B2"/>
    <w:rsid w:val="00156E93"/>
    <w:rsid w:val="001573E4"/>
    <w:rsid w:val="001602BC"/>
    <w:rsid w:val="00160672"/>
    <w:rsid w:val="00160756"/>
    <w:rsid w:val="001617BE"/>
    <w:rsid w:val="00161DC8"/>
    <w:rsid w:val="00163026"/>
    <w:rsid w:val="00163121"/>
    <w:rsid w:val="00163384"/>
    <w:rsid w:val="00163F19"/>
    <w:rsid w:val="001647BC"/>
    <w:rsid w:val="00166760"/>
    <w:rsid w:val="00166C39"/>
    <w:rsid w:val="00171FBB"/>
    <w:rsid w:val="001721A4"/>
    <w:rsid w:val="0017232E"/>
    <w:rsid w:val="00172E44"/>
    <w:rsid w:val="001732D7"/>
    <w:rsid w:val="00173476"/>
    <w:rsid w:val="00174102"/>
    <w:rsid w:val="001754EE"/>
    <w:rsid w:val="00176B18"/>
    <w:rsid w:val="00177217"/>
    <w:rsid w:val="00180157"/>
    <w:rsid w:val="001802BF"/>
    <w:rsid w:val="001809BC"/>
    <w:rsid w:val="00180E97"/>
    <w:rsid w:val="00180EFE"/>
    <w:rsid w:val="00181A19"/>
    <w:rsid w:val="001820B4"/>
    <w:rsid w:val="00184351"/>
    <w:rsid w:val="00184A3F"/>
    <w:rsid w:val="00184AC8"/>
    <w:rsid w:val="00185BA5"/>
    <w:rsid w:val="00185CB9"/>
    <w:rsid w:val="00185DBE"/>
    <w:rsid w:val="00186ADC"/>
    <w:rsid w:val="00186F77"/>
    <w:rsid w:val="001877A4"/>
    <w:rsid w:val="00190CFA"/>
    <w:rsid w:val="001926A4"/>
    <w:rsid w:val="00192AD5"/>
    <w:rsid w:val="00192B13"/>
    <w:rsid w:val="00193536"/>
    <w:rsid w:val="00194597"/>
    <w:rsid w:val="00194E00"/>
    <w:rsid w:val="001954F7"/>
    <w:rsid w:val="00196BD7"/>
    <w:rsid w:val="0019745E"/>
    <w:rsid w:val="00197B16"/>
    <w:rsid w:val="001A1CE3"/>
    <w:rsid w:val="001A4821"/>
    <w:rsid w:val="001A530D"/>
    <w:rsid w:val="001A5433"/>
    <w:rsid w:val="001A5FB3"/>
    <w:rsid w:val="001A6C59"/>
    <w:rsid w:val="001A7155"/>
    <w:rsid w:val="001A7BC5"/>
    <w:rsid w:val="001B126C"/>
    <w:rsid w:val="001B2AF2"/>
    <w:rsid w:val="001B3755"/>
    <w:rsid w:val="001B45A0"/>
    <w:rsid w:val="001B4DF4"/>
    <w:rsid w:val="001B5DD9"/>
    <w:rsid w:val="001B5FFA"/>
    <w:rsid w:val="001B680E"/>
    <w:rsid w:val="001B6A3E"/>
    <w:rsid w:val="001C230E"/>
    <w:rsid w:val="001C2661"/>
    <w:rsid w:val="001C3FAF"/>
    <w:rsid w:val="001C5A7E"/>
    <w:rsid w:val="001D055E"/>
    <w:rsid w:val="001D5758"/>
    <w:rsid w:val="001D5B65"/>
    <w:rsid w:val="001E1B3F"/>
    <w:rsid w:val="001E202E"/>
    <w:rsid w:val="001E3868"/>
    <w:rsid w:val="001E417C"/>
    <w:rsid w:val="001E6CDE"/>
    <w:rsid w:val="001E6F0B"/>
    <w:rsid w:val="001E7161"/>
    <w:rsid w:val="001E7FC3"/>
    <w:rsid w:val="001F05A4"/>
    <w:rsid w:val="001F18B8"/>
    <w:rsid w:val="001F262B"/>
    <w:rsid w:val="001F3209"/>
    <w:rsid w:val="001F3D4A"/>
    <w:rsid w:val="001F492E"/>
    <w:rsid w:val="001F5DF5"/>
    <w:rsid w:val="001F5EA9"/>
    <w:rsid w:val="001F64EF"/>
    <w:rsid w:val="001F6544"/>
    <w:rsid w:val="001F6DA3"/>
    <w:rsid w:val="002010BC"/>
    <w:rsid w:val="002016E7"/>
    <w:rsid w:val="00201909"/>
    <w:rsid w:val="00202C80"/>
    <w:rsid w:val="00202E03"/>
    <w:rsid w:val="002033B9"/>
    <w:rsid w:val="00203C71"/>
    <w:rsid w:val="002043D0"/>
    <w:rsid w:val="0020492C"/>
    <w:rsid w:val="00204EC9"/>
    <w:rsid w:val="00204F97"/>
    <w:rsid w:val="002050D7"/>
    <w:rsid w:val="00206505"/>
    <w:rsid w:val="00206523"/>
    <w:rsid w:val="0020743F"/>
    <w:rsid w:val="00207E7A"/>
    <w:rsid w:val="0021004A"/>
    <w:rsid w:val="002102DE"/>
    <w:rsid w:val="00210466"/>
    <w:rsid w:val="00210648"/>
    <w:rsid w:val="00211C01"/>
    <w:rsid w:val="00212FF6"/>
    <w:rsid w:val="00214295"/>
    <w:rsid w:val="00214510"/>
    <w:rsid w:val="00214DF3"/>
    <w:rsid w:val="00215555"/>
    <w:rsid w:val="0021612D"/>
    <w:rsid w:val="00216287"/>
    <w:rsid w:val="00216C93"/>
    <w:rsid w:val="00220450"/>
    <w:rsid w:val="00221F82"/>
    <w:rsid w:val="00223051"/>
    <w:rsid w:val="00224DB9"/>
    <w:rsid w:val="0022569A"/>
    <w:rsid w:val="00225CA5"/>
    <w:rsid w:val="00226A8D"/>
    <w:rsid w:val="0023005C"/>
    <w:rsid w:val="00231012"/>
    <w:rsid w:val="00233775"/>
    <w:rsid w:val="0023414B"/>
    <w:rsid w:val="00242BCF"/>
    <w:rsid w:val="00243573"/>
    <w:rsid w:val="00243635"/>
    <w:rsid w:val="00243DE0"/>
    <w:rsid w:val="0024409C"/>
    <w:rsid w:val="002449E4"/>
    <w:rsid w:val="00247079"/>
    <w:rsid w:val="00247F12"/>
    <w:rsid w:val="00250BBD"/>
    <w:rsid w:val="00251310"/>
    <w:rsid w:val="00251745"/>
    <w:rsid w:val="002519F5"/>
    <w:rsid w:val="00251A39"/>
    <w:rsid w:val="00252AFC"/>
    <w:rsid w:val="00254720"/>
    <w:rsid w:val="00254876"/>
    <w:rsid w:val="002552BA"/>
    <w:rsid w:val="00256EFC"/>
    <w:rsid w:val="00260016"/>
    <w:rsid w:val="00262339"/>
    <w:rsid w:val="002625BD"/>
    <w:rsid w:val="00262ACA"/>
    <w:rsid w:val="00263AC0"/>
    <w:rsid w:val="00264264"/>
    <w:rsid w:val="0026689B"/>
    <w:rsid w:val="00267110"/>
    <w:rsid w:val="0026772D"/>
    <w:rsid w:val="00271391"/>
    <w:rsid w:val="00271941"/>
    <w:rsid w:val="002730B2"/>
    <w:rsid w:val="0027487B"/>
    <w:rsid w:val="00274C7E"/>
    <w:rsid w:val="002777CF"/>
    <w:rsid w:val="002810F2"/>
    <w:rsid w:val="00283726"/>
    <w:rsid w:val="00286874"/>
    <w:rsid w:val="00290C63"/>
    <w:rsid w:val="00290F66"/>
    <w:rsid w:val="002911ED"/>
    <w:rsid w:val="00291A99"/>
    <w:rsid w:val="00293B6D"/>
    <w:rsid w:val="00294B08"/>
    <w:rsid w:val="002950F9"/>
    <w:rsid w:val="0029518C"/>
    <w:rsid w:val="00295FDE"/>
    <w:rsid w:val="002963DD"/>
    <w:rsid w:val="00296B65"/>
    <w:rsid w:val="002975C0"/>
    <w:rsid w:val="002A5157"/>
    <w:rsid w:val="002A6BC3"/>
    <w:rsid w:val="002A7DEF"/>
    <w:rsid w:val="002B0696"/>
    <w:rsid w:val="002B18A8"/>
    <w:rsid w:val="002B35EC"/>
    <w:rsid w:val="002B5546"/>
    <w:rsid w:val="002B56B3"/>
    <w:rsid w:val="002B67FB"/>
    <w:rsid w:val="002C0222"/>
    <w:rsid w:val="002C0927"/>
    <w:rsid w:val="002C1499"/>
    <w:rsid w:val="002C18F3"/>
    <w:rsid w:val="002C233C"/>
    <w:rsid w:val="002C3D7E"/>
    <w:rsid w:val="002C517B"/>
    <w:rsid w:val="002C567F"/>
    <w:rsid w:val="002C6ECA"/>
    <w:rsid w:val="002D0DA8"/>
    <w:rsid w:val="002D10B0"/>
    <w:rsid w:val="002D120A"/>
    <w:rsid w:val="002D3509"/>
    <w:rsid w:val="002D359D"/>
    <w:rsid w:val="002D3C76"/>
    <w:rsid w:val="002D3D5F"/>
    <w:rsid w:val="002D47D1"/>
    <w:rsid w:val="002D487B"/>
    <w:rsid w:val="002D4FE1"/>
    <w:rsid w:val="002D5457"/>
    <w:rsid w:val="002D64E3"/>
    <w:rsid w:val="002D6D1B"/>
    <w:rsid w:val="002D714D"/>
    <w:rsid w:val="002D72E8"/>
    <w:rsid w:val="002D7937"/>
    <w:rsid w:val="002D79AD"/>
    <w:rsid w:val="002D7F9E"/>
    <w:rsid w:val="002E134A"/>
    <w:rsid w:val="002E268F"/>
    <w:rsid w:val="002E2693"/>
    <w:rsid w:val="002E4171"/>
    <w:rsid w:val="002E631E"/>
    <w:rsid w:val="002E641D"/>
    <w:rsid w:val="002E64FB"/>
    <w:rsid w:val="002E68CE"/>
    <w:rsid w:val="002E6DCC"/>
    <w:rsid w:val="002E78DD"/>
    <w:rsid w:val="002E7B22"/>
    <w:rsid w:val="002E7EA0"/>
    <w:rsid w:val="002F0265"/>
    <w:rsid w:val="002F12EC"/>
    <w:rsid w:val="002F38D9"/>
    <w:rsid w:val="002F3DFE"/>
    <w:rsid w:val="002F50D1"/>
    <w:rsid w:val="002F5184"/>
    <w:rsid w:val="002F5E13"/>
    <w:rsid w:val="002F7986"/>
    <w:rsid w:val="00300CC8"/>
    <w:rsid w:val="00300DDF"/>
    <w:rsid w:val="00301B40"/>
    <w:rsid w:val="00301C82"/>
    <w:rsid w:val="00302133"/>
    <w:rsid w:val="003029EE"/>
    <w:rsid w:val="00303491"/>
    <w:rsid w:val="00303CF4"/>
    <w:rsid w:val="00303F3A"/>
    <w:rsid w:val="00304363"/>
    <w:rsid w:val="00304D38"/>
    <w:rsid w:val="00305CC8"/>
    <w:rsid w:val="00306620"/>
    <w:rsid w:val="0030713D"/>
    <w:rsid w:val="00307F6D"/>
    <w:rsid w:val="00313076"/>
    <w:rsid w:val="00313D3E"/>
    <w:rsid w:val="00314D83"/>
    <w:rsid w:val="00315018"/>
    <w:rsid w:val="00315428"/>
    <w:rsid w:val="0031571F"/>
    <w:rsid w:val="003163E4"/>
    <w:rsid w:val="0031692D"/>
    <w:rsid w:val="003177A2"/>
    <w:rsid w:val="00317E02"/>
    <w:rsid w:val="003216AB"/>
    <w:rsid w:val="0032189F"/>
    <w:rsid w:val="0032463C"/>
    <w:rsid w:val="003271B5"/>
    <w:rsid w:val="00327560"/>
    <w:rsid w:val="00327A1E"/>
    <w:rsid w:val="00327E28"/>
    <w:rsid w:val="00331264"/>
    <w:rsid w:val="00334C8D"/>
    <w:rsid w:val="00335907"/>
    <w:rsid w:val="00335B91"/>
    <w:rsid w:val="00335DCD"/>
    <w:rsid w:val="003378BD"/>
    <w:rsid w:val="003379B3"/>
    <w:rsid w:val="003379F5"/>
    <w:rsid w:val="00340AC0"/>
    <w:rsid w:val="003424EA"/>
    <w:rsid w:val="00342C2F"/>
    <w:rsid w:val="003436EB"/>
    <w:rsid w:val="00343A18"/>
    <w:rsid w:val="00344891"/>
    <w:rsid w:val="00345744"/>
    <w:rsid w:val="0034643D"/>
    <w:rsid w:val="0034660E"/>
    <w:rsid w:val="00346736"/>
    <w:rsid w:val="00347E13"/>
    <w:rsid w:val="003518B3"/>
    <w:rsid w:val="00351F82"/>
    <w:rsid w:val="00352A83"/>
    <w:rsid w:val="00353E79"/>
    <w:rsid w:val="003556C9"/>
    <w:rsid w:val="00357ECB"/>
    <w:rsid w:val="00360DDB"/>
    <w:rsid w:val="003615EE"/>
    <w:rsid w:val="00363B6D"/>
    <w:rsid w:val="00363F01"/>
    <w:rsid w:val="003647E0"/>
    <w:rsid w:val="00364EA0"/>
    <w:rsid w:val="00366981"/>
    <w:rsid w:val="0036724E"/>
    <w:rsid w:val="003672E7"/>
    <w:rsid w:val="00370678"/>
    <w:rsid w:val="0037070A"/>
    <w:rsid w:val="0037214E"/>
    <w:rsid w:val="00372829"/>
    <w:rsid w:val="00372C85"/>
    <w:rsid w:val="00373845"/>
    <w:rsid w:val="003744E3"/>
    <w:rsid w:val="00375F71"/>
    <w:rsid w:val="00376219"/>
    <w:rsid w:val="0037663E"/>
    <w:rsid w:val="0037699E"/>
    <w:rsid w:val="0037773E"/>
    <w:rsid w:val="00377A29"/>
    <w:rsid w:val="00377C69"/>
    <w:rsid w:val="00377DAC"/>
    <w:rsid w:val="00382E7C"/>
    <w:rsid w:val="0038415D"/>
    <w:rsid w:val="0038461C"/>
    <w:rsid w:val="003846F1"/>
    <w:rsid w:val="00386073"/>
    <w:rsid w:val="00390E6A"/>
    <w:rsid w:val="00391855"/>
    <w:rsid w:val="00393ABE"/>
    <w:rsid w:val="00395DB6"/>
    <w:rsid w:val="00397398"/>
    <w:rsid w:val="00397797"/>
    <w:rsid w:val="003979F3"/>
    <w:rsid w:val="003A04D9"/>
    <w:rsid w:val="003A083C"/>
    <w:rsid w:val="003A371A"/>
    <w:rsid w:val="003A3B92"/>
    <w:rsid w:val="003A4E76"/>
    <w:rsid w:val="003A59CD"/>
    <w:rsid w:val="003A66B4"/>
    <w:rsid w:val="003A6A1D"/>
    <w:rsid w:val="003A6B00"/>
    <w:rsid w:val="003B05F8"/>
    <w:rsid w:val="003B1139"/>
    <w:rsid w:val="003B30B2"/>
    <w:rsid w:val="003B3C12"/>
    <w:rsid w:val="003B4767"/>
    <w:rsid w:val="003B484F"/>
    <w:rsid w:val="003B504B"/>
    <w:rsid w:val="003B50FB"/>
    <w:rsid w:val="003B5179"/>
    <w:rsid w:val="003B5A26"/>
    <w:rsid w:val="003B60F1"/>
    <w:rsid w:val="003B685C"/>
    <w:rsid w:val="003B7FBA"/>
    <w:rsid w:val="003C163A"/>
    <w:rsid w:val="003C17DA"/>
    <w:rsid w:val="003C5A87"/>
    <w:rsid w:val="003C6069"/>
    <w:rsid w:val="003C6537"/>
    <w:rsid w:val="003C6A13"/>
    <w:rsid w:val="003C6CAE"/>
    <w:rsid w:val="003C764A"/>
    <w:rsid w:val="003C78BA"/>
    <w:rsid w:val="003D131B"/>
    <w:rsid w:val="003D1574"/>
    <w:rsid w:val="003D41F1"/>
    <w:rsid w:val="003D42AB"/>
    <w:rsid w:val="003D5B94"/>
    <w:rsid w:val="003D6E12"/>
    <w:rsid w:val="003E072A"/>
    <w:rsid w:val="003E0D3A"/>
    <w:rsid w:val="003E1E0B"/>
    <w:rsid w:val="003E2242"/>
    <w:rsid w:val="003E3A4F"/>
    <w:rsid w:val="003E3AAB"/>
    <w:rsid w:val="003E5C73"/>
    <w:rsid w:val="003E6AEB"/>
    <w:rsid w:val="003E7361"/>
    <w:rsid w:val="003E7FE9"/>
    <w:rsid w:val="003F0191"/>
    <w:rsid w:val="003F07D4"/>
    <w:rsid w:val="003F0886"/>
    <w:rsid w:val="003F0AC6"/>
    <w:rsid w:val="003F174D"/>
    <w:rsid w:val="003F2329"/>
    <w:rsid w:val="003F3255"/>
    <w:rsid w:val="003F4700"/>
    <w:rsid w:val="003F502D"/>
    <w:rsid w:val="003F6016"/>
    <w:rsid w:val="003F7469"/>
    <w:rsid w:val="003F75F0"/>
    <w:rsid w:val="004001F7"/>
    <w:rsid w:val="00400426"/>
    <w:rsid w:val="00400BC1"/>
    <w:rsid w:val="00400FD2"/>
    <w:rsid w:val="00401E60"/>
    <w:rsid w:val="0040306C"/>
    <w:rsid w:val="00403711"/>
    <w:rsid w:val="0040441E"/>
    <w:rsid w:val="00404C52"/>
    <w:rsid w:val="00405E46"/>
    <w:rsid w:val="00407EAE"/>
    <w:rsid w:val="0041123E"/>
    <w:rsid w:val="00411B64"/>
    <w:rsid w:val="0041252A"/>
    <w:rsid w:val="004156D5"/>
    <w:rsid w:val="00415BA9"/>
    <w:rsid w:val="00415F31"/>
    <w:rsid w:val="0041691D"/>
    <w:rsid w:val="0042000C"/>
    <w:rsid w:val="0042090E"/>
    <w:rsid w:val="00420ED1"/>
    <w:rsid w:val="0042112F"/>
    <w:rsid w:val="00421F27"/>
    <w:rsid w:val="0042245F"/>
    <w:rsid w:val="00422AFB"/>
    <w:rsid w:val="004238D8"/>
    <w:rsid w:val="00423A77"/>
    <w:rsid w:val="004253F5"/>
    <w:rsid w:val="00425ED7"/>
    <w:rsid w:val="004263B5"/>
    <w:rsid w:val="00426C24"/>
    <w:rsid w:val="004315A9"/>
    <w:rsid w:val="0043203A"/>
    <w:rsid w:val="00432392"/>
    <w:rsid w:val="004324F4"/>
    <w:rsid w:val="0043405F"/>
    <w:rsid w:val="00434207"/>
    <w:rsid w:val="00434544"/>
    <w:rsid w:val="00434830"/>
    <w:rsid w:val="0043521E"/>
    <w:rsid w:val="00436082"/>
    <w:rsid w:val="0043616F"/>
    <w:rsid w:val="00437E6C"/>
    <w:rsid w:val="00440E21"/>
    <w:rsid w:val="00441F4E"/>
    <w:rsid w:val="004445C2"/>
    <w:rsid w:val="0044460C"/>
    <w:rsid w:val="0044585C"/>
    <w:rsid w:val="00445D43"/>
    <w:rsid w:val="00445F1A"/>
    <w:rsid w:val="00446CD2"/>
    <w:rsid w:val="0044713F"/>
    <w:rsid w:val="0045131F"/>
    <w:rsid w:val="004523B2"/>
    <w:rsid w:val="0045283B"/>
    <w:rsid w:val="00454A17"/>
    <w:rsid w:val="004561C4"/>
    <w:rsid w:val="0045708C"/>
    <w:rsid w:val="0045777E"/>
    <w:rsid w:val="00460A45"/>
    <w:rsid w:val="00460D97"/>
    <w:rsid w:val="00460FAA"/>
    <w:rsid w:val="00461423"/>
    <w:rsid w:val="00462117"/>
    <w:rsid w:val="0046212C"/>
    <w:rsid w:val="00465258"/>
    <w:rsid w:val="004712F5"/>
    <w:rsid w:val="00471BC6"/>
    <w:rsid w:val="00473362"/>
    <w:rsid w:val="0047496A"/>
    <w:rsid w:val="0047515D"/>
    <w:rsid w:val="00476221"/>
    <w:rsid w:val="004766F5"/>
    <w:rsid w:val="004773DD"/>
    <w:rsid w:val="004806B7"/>
    <w:rsid w:val="00480B4B"/>
    <w:rsid w:val="004838D8"/>
    <w:rsid w:val="00485A23"/>
    <w:rsid w:val="00485D48"/>
    <w:rsid w:val="00485DC4"/>
    <w:rsid w:val="004869F2"/>
    <w:rsid w:val="00487A4C"/>
    <w:rsid w:val="00487E6A"/>
    <w:rsid w:val="00491DC8"/>
    <w:rsid w:val="0049279C"/>
    <w:rsid w:val="00494D04"/>
    <w:rsid w:val="00495427"/>
    <w:rsid w:val="00496893"/>
    <w:rsid w:val="00497095"/>
    <w:rsid w:val="00497246"/>
    <w:rsid w:val="004973DB"/>
    <w:rsid w:val="0049785A"/>
    <w:rsid w:val="004A03A9"/>
    <w:rsid w:val="004A0ED0"/>
    <w:rsid w:val="004A1754"/>
    <w:rsid w:val="004A1C67"/>
    <w:rsid w:val="004A23C1"/>
    <w:rsid w:val="004A40BA"/>
    <w:rsid w:val="004A43D1"/>
    <w:rsid w:val="004A4514"/>
    <w:rsid w:val="004A492B"/>
    <w:rsid w:val="004A5B16"/>
    <w:rsid w:val="004A76B3"/>
    <w:rsid w:val="004B30A2"/>
    <w:rsid w:val="004B4412"/>
    <w:rsid w:val="004B4A53"/>
    <w:rsid w:val="004B4BD8"/>
    <w:rsid w:val="004B4BE8"/>
    <w:rsid w:val="004B6269"/>
    <w:rsid w:val="004B7262"/>
    <w:rsid w:val="004C0650"/>
    <w:rsid w:val="004C10F3"/>
    <w:rsid w:val="004C19C6"/>
    <w:rsid w:val="004C227C"/>
    <w:rsid w:val="004C248B"/>
    <w:rsid w:val="004C2942"/>
    <w:rsid w:val="004C33B8"/>
    <w:rsid w:val="004C348C"/>
    <w:rsid w:val="004C438C"/>
    <w:rsid w:val="004C462E"/>
    <w:rsid w:val="004C6CA3"/>
    <w:rsid w:val="004C73EB"/>
    <w:rsid w:val="004C7F5E"/>
    <w:rsid w:val="004D2FC2"/>
    <w:rsid w:val="004D343C"/>
    <w:rsid w:val="004D372A"/>
    <w:rsid w:val="004D55BA"/>
    <w:rsid w:val="004D6612"/>
    <w:rsid w:val="004D720C"/>
    <w:rsid w:val="004D7A46"/>
    <w:rsid w:val="004E0FA7"/>
    <w:rsid w:val="004E22EC"/>
    <w:rsid w:val="004E2B23"/>
    <w:rsid w:val="004E4975"/>
    <w:rsid w:val="004E6DC2"/>
    <w:rsid w:val="004E76F0"/>
    <w:rsid w:val="004F0BFA"/>
    <w:rsid w:val="004F13DA"/>
    <w:rsid w:val="004F2309"/>
    <w:rsid w:val="004F31FA"/>
    <w:rsid w:val="004F40FB"/>
    <w:rsid w:val="004F4D69"/>
    <w:rsid w:val="004F4DBB"/>
    <w:rsid w:val="004F5587"/>
    <w:rsid w:val="004F6883"/>
    <w:rsid w:val="004F6A0E"/>
    <w:rsid w:val="004F6BB3"/>
    <w:rsid w:val="005009CD"/>
    <w:rsid w:val="00502B42"/>
    <w:rsid w:val="00502EF4"/>
    <w:rsid w:val="00502F8B"/>
    <w:rsid w:val="00504E5F"/>
    <w:rsid w:val="00510A11"/>
    <w:rsid w:val="005111A6"/>
    <w:rsid w:val="0051337E"/>
    <w:rsid w:val="00513FA7"/>
    <w:rsid w:val="00517309"/>
    <w:rsid w:val="0051768F"/>
    <w:rsid w:val="005211A9"/>
    <w:rsid w:val="00521512"/>
    <w:rsid w:val="00522DC2"/>
    <w:rsid w:val="005232B1"/>
    <w:rsid w:val="0052595C"/>
    <w:rsid w:val="00530128"/>
    <w:rsid w:val="00531E82"/>
    <w:rsid w:val="00531FB1"/>
    <w:rsid w:val="005323A8"/>
    <w:rsid w:val="00532413"/>
    <w:rsid w:val="00532467"/>
    <w:rsid w:val="00532C2A"/>
    <w:rsid w:val="00533161"/>
    <w:rsid w:val="005332A9"/>
    <w:rsid w:val="005339AC"/>
    <w:rsid w:val="0053587F"/>
    <w:rsid w:val="00535E1D"/>
    <w:rsid w:val="0053603C"/>
    <w:rsid w:val="00536C7E"/>
    <w:rsid w:val="00536FE6"/>
    <w:rsid w:val="00537871"/>
    <w:rsid w:val="005402BE"/>
    <w:rsid w:val="00540FFC"/>
    <w:rsid w:val="0054127C"/>
    <w:rsid w:val="00542E97"/>
    <w:rsid w:val="00542FE9"/>
    <w:rsid w:val="0054330B"/>
    <w:rsid w:val="005443C4"/>
    <w:rsid w:val="00544598"/>
    <w:rsid w:val="00544C8D"/>
    <w:rsid w:val="00544DFD"/>
    <w:rsid w:val="005474A6"/>
    <w:rsid w:val="0055001C"/>
    <w:rsid w:val="005501BD"/>
    <w:rsid w:val="00550202"/>
    <w:rsid w:val="00550B51"/>
    <w:rsid w:val="005511F3"/>
    <w:rsid w:val="00551C88"/>
    <w:rsid w:val="00552880"/>
    <w:rsid w:val="005559C4"/>
    <w:rsid w:val="00556B1E"/>
    <w:rsid w:val="00564A4D"/>
    <w:rsid w:val="005653D1"/>
    <w:rsid w:val="0056598C"/>
    <w:rsid w:val="00565BFE"/>
    <w:rsid w:val="00566E0B"/>
    <w:rsid w:val="00567BA5"/>
    <w:rsid w:val="00567F9D"/>
    <w:rsid w:val="0057147D"/>
    <w:rsid w:val="00571B35"/>
    <w:rsid w:val="00571B43"/>
    <w:rsid w:val="00571D57"/>
    <w:rsid w:val="005731C6"/>
    <w:rsid w:val="0057338D"/>
    <w:rsid w:val="00573A3B"/>
    <w:rsid w:val="00573F48"/>
    <w:rsid w:val="005767E2"/>
    <w:rsid w:val="0057720B"/>
    <w:rsid w:val="00577716"/>
    <w:rsid w:val="00577A09"/>
    <w:rsid w:val="00577D3B"/>
    <w:rsid w:val="005809C6"/>
    <w:rsid w:val="005829C2"/>
    <w:rsid w:val="00583D10"/>
    <w:rsid w:val="00584D8F"/>
    <w:rsid w:val="00587A18"/>
    <w:rsid w:val="00587ADE"/>
    <w:rsid w:val="00590E6E"/>
    <w:rsid w:val="00591E38"/>
    <w:rsid w:val="00593800"/>
    <w:rsid w:val="00593CC2"/>
    <w:rsid w:val="0059630B"/>
    <w:rsid w:val="0059754A"/>
    <w:rsid w:val="005A0BEC"/>
    <w:rsid w:val="005A2530"/>
    <w:rsid w:val="005A3A51"/>
    <w:rsid w:val="005A3A5F"/>
    <w:rsid w:val="005A404D"/>
    <w:rsid w:val="005A558A"/>
    <w:rsid w:val="005A5EE4"/>
    <w:rsid w:val="005A63D3"/>
    <w:rsid w:val="005B10F9"/>
    <w:rsid w:val="005B1E3C"/>
    <w:rsid w:val="005B6518"/>
    <w:rsid w:val="005B704A"/>
    <w:rsid w:val="005B72D7"/>
    <w:rsid w:val="005C045F"/>
    <w:rsid w:val="005C0CB3"/>
    <w:rsid w:val="005C16FE"/>
    <w:rsid w:val="005C1FAB"/>
    <w:rsid w:val="005C21A4"/>
    <w:rsid w:val="005C25B4"/>
    <w:rsid w:val="005C26CC"/>
    <w:rsid w:val="005C36F8"/>
    <w:rsid w:val="005C3EA6"/>
    <w:rsid w:val="005C418D"/>
    <w:rsid w:val="005C4463"/>
    <w:rsid w:val="005C5849"/>
    <w:rsid w:val="005C5BBE"/>
    <w:rsid w:val="005D2062"/>
    <w:rsid w:val="005D2F47"/>
    <w:rsid w:val="005D3D88"/>
    <w:rsid w:val="005D420C"/>
    <w:rsid w:val="005D4692"/>
    <w:rsid w:val="005D48C4"/>
    <w:rsid w:val="005D515C"/>
    <w:rsid w:val="005D5B9A"/>
    <w:rsid w:val="005D6208"/>
    <w:rsid w:val="005D6366"/>
    <w:rsid w:val="005D7BA2"/>
    <w:rsid w:val="005E2D4A"/>
    <w:rsid w:val="005E36C2"/>
    <w:rsid w:val="005E4926"/>
    <w:rsid w:val="005E4AF4"/>
    <w:rsid w:val="005E5C6D"/>
    <w:rsid w:val="005F3044"/>
    <w:rsid w:val="005F3608"/>
    <w:rsid w:val="005F387E"/>
    <w:rsid w:val="005F4968"/>
    <w:rsid w:val="005F519F"/>
    <w:rsid w:val="005F53DD"/>
    <w:rsid w:val="006018C8"/>
    <w:rsid w:val="00601E0B"/>
    <w:rsid w:val="0060249C"/>
    <w:rsid w:val="0060258B"/>
    <w:rsid w:val="00610C32"/>
    <w:rsid w:val="00610EF9"/>
    <w:rsid w:val="0061182E"/>
    <w:rsid w:val="00611B3A"/>
    <w:rsid w:val="00612998"/>
    <w:rsid w:val="00612F4F"/>
    <w:rsid w:val="00613A2A"/>
    <w:rsid w:val="006142D1"/>
    <w:rsid w:val="00614EA0"/>
    <w:rsid w:val="00615C6B"/>
    <w:rsid w:val="00617977"/>
    <w:rsid w:val="00617D4C"/>
    <w:rsid w:val="00620629"/>
    <w:rsid w:val="00621DCE"/>
    <w:rsid w:val="00621FC5"/>
    <w:rsid w:val="00622D02"/>
    <w:rsid w:val="0062424C"/>
    <w:rsid w:val="00624F2C"/>
    <w:rsid w:val="006263EC"/>
    <w:rsid w:val="00626AD1"/>
    <w:rsid w:val="00626BC6"/>
    <w:rsid w:val="00627A0C"/>
    <w:rsid w:val="00627CED"/>
    <w:rsid w:val="00630DAC"/>
    <w:rsid w:val="00632D6D"/>
    <w:rsid w:val="00632EBA"/>
    <w:rsid w:val="006338D7"/>
    <w:rsid w:val="006342E4"/>
    <w:rsid w:val="006349D6"/>
    <w:rsid w:val="00636569"/>
    <w:rsid w:val="00636EF9"/>
    <w:rsid w:val="0064256F"/>
    <w:rsid w:val="00642896"/>
    <w:rsid w:val="00642B04"/>
    <w:rsid w:val="00642C3E"/>
    <w:rsid w:val="00643203"/>
    <w:rsid w:val="00644A01"/>
    <w:rsid w:val="00644F6B"/>
    <w:rsid w:val="0064544D"/>
    <w:rsid w:val="00650E42"/>
    <w:rsid w:val="00651014"/>
    <w:rsid w:val="00651E2D"/>
    <w:rsid w:val="00652324"/>
    <w:rsid w:val="00654763"/>
    <w:rsid w:val="00655C19"/>
    <w:rsid w:val="00656A81"/>
    <w:rsid w:val="006577FB"/>
    <w:rsid w:val="0066104A"/>
    <w:rsid w:val="006619BD"/>
    <w:rsid w:val="00663066"/>
    <w:rsid w:val="00663DAD"/>
    <w:rsid w:val="00664206"/>
    <w:rsid w:val="0066483F"/>
    <w:rsid w:val="006649E7"/>
    <w:rsid w:val="00664E90"/>
    <w:rsid w:val="00666634"/>
    <w:rsid w:val="006706D6"/>
    <w:rsid w:val="00671692"/>
    <w:rsid w:val="006751F7"/>
    <w:rsid w:val="0067533F"/>
    <w:rsid w:val="00675E20"/>
    <w:rsid w:val="00676679"/>
    <w:rsid w:val="0068099B"/>
    <w:rsid w:val="00681894"/>
    <w:rsid w:val="00682DD9"/>
    <w:rsid w:val="00683C89"/>
    <w:rsid w:val="0068649D"/>
    <w:rsid w:val="00691B53"/>
    <w:rsid w:val="006924C9"/>
    <w:rsid w:val="006924FA"/>
    <w:rsid w:val="00694092"/>
    <w:rsid w:val="00695FDE"/>
    <w:rsid w:val="00696F5C"/>
    <w:rsid w:val="00697CEA"/>
    <w:rsid w:val="00697D0B"/>
    <w:rsid w:val="006A0CC4"/>
    <w:rsid w:val="006A12BA"/>
    <w:rsid w:val="006A1858"/>
    <w:rsid w:val="006A1AEA"/>
    <w:rsid w:val="006A4209"/>
    <w:rsid w:val="006A4739"/>
    <w:rsid w:val="006A66A1"/>
    <w:rsid w:val="006B032D"/>
    <w:rsid w:val="006B0439"/>
    <w:rsid w:val="006B19B8"/>
    <w:rsid w:val="006B2395"/>
    <w:rsid w:val="006B40AC"/>
    <w:rsid w:val="006B4CF9"/>
    <w:rsid w:val="006B62A4"/>
    <w:rsid w:val="006B712A"/>
    <w:rsid w:val="006B797C"/>
    <w:rsid w:val="006B7AC8"/>
    <w:rsid w:val="006C0580"/>
    <w:rsid w:val="006C1736"/>
    <w:rsid w:val="006C2D76"/>
    <w:rsid w:val="006C2F54"/>
    <w:rsid w:val="006C329B"/>
    <w:rsid w:val="006C5032"/>
    <w:rsid w:val="006C6303"/>
    <w:rsid w:val="006C7E68"/>
    <w:rsid w:val="006C7F40"/>
    <w:rsid w:val="006D37FC"/>
    <w:rsid w:val="006D3D5C"/>
    <w:rsid w:val="006D468B"/>
    <w:rsid w:val="006D550F"/>
    <w:rsid w:val="006D5DB6"/>
    <w:rsid w:val="006D5F36"/>
    <w:rsid w:val="006D6146"/>
    <w:rsid w:val="006D6FE2"/>
    <w:rsid w:val="006D72D2"/>
    <w:rsid w:val="006D7F7E"/>
    <w:rsid w:val="006E0CFF"/>
    <w:rsid w:val="006E546F"/>
    <w:rsid w:val="006F0D92"/>
    <w:rsid w:val="006F267D"/>
    <w:rsid w:val="006F3E74"/>
    <w:rsid w:val="006F48D7"/>
    <w:rsid w:val="006F4E3D"/>
    <w:rsid w:val="006F5C59"/>
    <w:rsid w:val="006F6079"/>
    <w:rsid w:val="006F66F0"/>
    <w:rsid w:val="0070011E"/>
    <w:rsid w:val="007001D3"/>
    <w:rsid w:val="00701009"/>
    <w:rsid w:val="00701CAB"/>
    <w:rsid w:val="00701FDF"/>
    <w:rsid w:val="007023BB"/>
    <w:rsid w:val="00702B30"/>
    <w:rsid w:val="00702BF5"/>
    <w:rsid w:val="00704B63"/>
    <w:rsid w:val="00704DD7"/>
    <w:rsid w:val="00705348"/>
    <w:rsid w:val="007057F3"/>
    <w:rsid w:val="00705837"/>
    <w:rsid w:val="00706854"/>
    <w:rsid w:val="00706D39"/>
    <w:rsid w:val="00707563"/>
    <w:rsid w:val="00707E89"/>
    <w:rsid w:val="00712B23"/>
    <w:rsid w:val="00713987"/>
    <w:rsid w:val="0071399F"/>
    <w:rsid w:val="007154AC"/>
    <w:rsid w:val="0071556E"/>
    <w:rsid w:val="00715F61"/>
    <w:rsid w:val="00721597"/>
    <w:rsid w:val="00722132"/>
    <w:rsid w:val="007228F7"/>
    <w:rsid w:val="0072325C"/>
    <w:rsid w:val="0072348C"/>
    <w:rsid w:val="00723A2C"/>
    <w:rsid w:val="00723CDC"/>
    <w:rsid w:val="00724A37"/>
    <w:rsid w:val="0072705A"/>
    <w:rsid w:val="0072742B"/>
    <w:rsid w:val="007277EC"/>
    <w:rsid w:val="007303C3"/>
    <w:rsid w:val="00731188"/>
    <w:rsid w:val="007325D7"/>
    <w:rsid w:val="00733822"/>
    <w:rsid w:val="00733E28"/>
    <w:rsid w:val="00734453"/>
    <w:rsid w:val="007356CC"/>
    <w:rsid w:val="007362E6"/>
    <w:rsid w:val="007368E6"/>
    <w:rsid w:val="007375DF"/>
    <w:rsid w:val="007412A4"/>
    <w:rsid w:val="00741AE7"/>
    <w:rsid w:val="00741CA9"/>
    <w:rsid w:val="007429BE"/>
    <w:rsid w:val="00743223"/>
    <w:rsid w:val="00743349"/>
    <w:rsid w:val="00743FB2"/>
    <w:rsid w:val="0074403A"/>
    <w:rsid w:val="00746E01"/>
    <w:rsid w:val="00746FE3"/>
    <w:rsid w:val="007477B7"/>
    <w:rsid w:val="00751DCD"/>
    <w:rsid w:val="00755084"/>
    <w:rsid w:val="007554DB"/>
    <w:rsid w:val="00756BF5"/>
    <w:rsid w:val="00757364"/>
    <w:rsid w:val="00757A77"/>
    <w:rsid w:val="00757BDF"/>
    <w:rsid w:val="00757D1F"/>
    <w:rsid w:val="007609D0"/>
    <w:rsid w:val="00761454"/>
    <w:rsid w:val="0076193D"/>
    <w:rsid w:val="00763E5D"/>
    <w:rsid w:val="00767740"/>
    <w:rsid w:val="00767B5E"/>
    <w:rsid w:val="00767DCA"/>
    <w:rsid w:val="00770064"/>
    <w:rsid w:val="00772AA9"/>
    <w:rsid w:val="00772CCB"/>
    <w:rsid w:val="00773C29"/>
    <w:rsid w:val="00775460"/>
    <w:rsid w:val="00777D8B"/>
    <w:rsid w:val="00777EE6"/>
    <w:rsid w:val="00780D19"/>
    <w:rsid w:val="00782EEA"/>
    <w:rsid w:val="00783552"/>
    <w:rsid w:val="00784BA1"/>
    <w:rsid w:val="007857CA"/>
    <w:rsid w:val="00786CA4"/>
    <w:rsid w:val="00790305"/>
    <w:rsid w:val="007909B4"/>
    <w:rsid w:val="00790E86"/>
    <w:rsid w:val="00790EAC"/>
    <w:rsid w:val="00791A99"/>
    <w:rsid w:val="0079335B"/>
    <w:rsid w:val="00793CED"/>
    <w:rsid w:val="007949D7"/>
    <w:rsid w:val="00794EAF"/>
    <w:rsid w:val="00795F0E"/>
    <w:rsid w:val="0079769A"/>
    <w:rsid w:val="007A0143"/>
    <w:rsid w:val="007A1055"/>
    <w:rsid w:val="007A1B2D"/>
    <w:rsid w:val="007A34C2"/>
    <w:rsid w:val="007A361F"/>
    <w:rsid w:val="007A396C"/>
    <w:rsid w:val="007A4B02"/>
    <w:rsid w:val="007A5FBE"/>
    <w:rsid w:val="007A7BEB"/>
    <w:rsid w:val="007A7DB1"/>
    <w:rsid w:val="007B012F"/>
    <w:rsid w:val="007B0BE3"/>
    <w:rsid w:val="007B1816"/>
    <w:rsid w:val="007B186E"/>
    <w:rsid w:val="007B25DC"/>
    <w:rsid w:val="007B2A46"/>
    <w:rsid w:val="007B2A89"/>
    <w:rsid w:val="007B2C72"/>
    <w:rsid w:val="007B376B"/>
    <w:rsid w:val="007B3789"/>
    <w:rsid w:val="007B5AA9"/>
    <w:rsid w:val="007B651F"/>
    <w:rsid w:val="007B7BB5"/>
    <w:rsid w:val="007C1B0C"/>
    <w:rsid w:val="007C1C1C"/>
    <w:rsid w:val="007C1C53"/>
    <w:rsid w:val="007C284C"/>
    <w:rsid w:val="007C4033"/>
    <w:rsid w:val="007C4B82"/>
    <w:rsid w:val="007C5D86"/>
    <w:rsid w:val="007C74BB"/>
    <w:rsid w:val="007C7B59"/>
    <w:rsid w:val="007C7F64"/>
    <w:rsid w:val="007D0A95"/>
    <w:rsid w:val="007D0EB5"/>
    <w:rsid w:val="007D2478"/>
    <w:rsid w:val="007D2807"/>
    <w:rsid w:val="007D2BB1"/>
    <w:rsid w:val="007D2DEE"/>
    <w:rsid w:val="007D3089"/>
    <w:rsid w:val="007D3938"/>
    <w:rsid w:val="007D456E"/>
    <w:rsid w:val="007D504D"/>
    <w:rsid w:val="007D5837"/>
    <w:rsid w:val="007D5B8E"/>
    <w:rsid w:val="007E1C6D"/>
    <w:rsid w:val="007E24FC"/>
    <w:rsid w:val="007E3FD3"/>
    <w:rsid w:val="007E4904"/>
    <w:rsid w:val="007E4CB5"/>
    <w:rsid w:val="007E4DAE"/>
    <w:rsid w:val="007F066B"/>
    <w:rsid w:val="007F085A"/>
    <w:rsid w:val="007F3196"/>
    <w:rsid w:val="007F3A6C"/>
    <w:rsid w:val="007F438A"/>
    <w:rsid w:val="007F4EAB"/>
    <w:rsid w:val="007F541E"/>
    <w:rsid w:val="007F5B16"/>
    <w:rsid w:val="007F7244"/>
    <w:rsid w:val="007F7C9D"/>
    <w:rsid w:val="007F7D12"/>
    <w:rsid w:val="00800809"/>
    <w:rsid w:val="008033C4"/>
    <w:rsid w:val="00804D7B"/>
    <w:rsid w:val="0080607C"/>
    <w:rsid w:val="00806731"/>
    <w:rsid w:val="00806C88"/>
    <w:rsid w:val="00806F28"/>
    <w:rsid w:val="0081034E"/>
    <w:rsid w:val="00810806"/>
    <w:rsid w:val="00811E6C"/>
    <w:rsid w:val="00814A31"/>
    <w:rsid w:val="00815882"/>
    <w:rsid w:val="008176FB"/>
    <w:rsid w:val="00820454"/>
    <w:rsid w:val="008213FA"/>
    <w:rsid w:val="008224B6"/>
    <w:rsid w:val="00822AC7"/>
    <w:rsid w:val="00822E86"/>
    <w:rsid w:val="00823D91"/>
    <w:rsid w:val="008261D7"/>
    <w:rsid w:val="00831110"/>
    <w:rsid w:val="008344F6"/>
    <w:rsid w:val="0083510F"/>
    <w:rsid w:val="008373DB"/>
    <w:rsid w:val="00837626"/>
    <w:rsid w:val="00837BF3"/>
    <w:rsid w:val="008415DE"/>
    <w:rsid w:val="008420DE"/>
    <w:rsid w:val="00843198"/>
    <w:rsid w:val="00845340"/>
    <w:rsid w:val="0084540D"/>
    <w:rsid w:val="00845412"/>
    <w:rsid w:val="00845865"/>
    <w:rsid w:val="00847097"/>
    <w:rsid w:val="00847351"/>
    <w:rsid w:val="00847709"/>
    <w:rsid w:val="0084799B"/>
    <w:rsid w:val="008505AE"/>
    <w:rsid w:val="00850C90"/>
    <w:rsid w:val="00851209"/>
    <w:rsid w:val="0085171F"/>
    <w:rsid w:val="008518CD"/>
    <w:rsid w:val="00851DF7"/>
    <w:rsid w:val="00853182"/>
    <w:rsid w:val="00853910"/>
    <w:rsid w:val="00853A5A"/>
    <w:rsid w:val="00856A93"/>
    <w:rsid w:val="00860203"/>
    <w:rsid w:val="00862E8A"/>
    <w:rsid w:val="008658A1"/>
    <w:rsid w:val="008665EA"/>
    <w:rsid w:val="00867054"/>
    <w:rsid w:val="0086716A"/>
    <w:rsid w:val="008677BB"/>
    <w:rsid w:val="00867CF8"/>
    <w:rsid w:val="00870058"/>
    <w:rsid w:val="00870613"/>
    <w:rsid w:val="00871A8A"/>
    <w:rsid w:val="0087380F"/>
    <w:rsid w:val="008745F0"/>
    <w:rsid w:val="00875221"/>
    <w:rsid w:val="00875767"/>
    <w:rsid w:val="008759B1"/>
    <w:rsid w:val="0087648F"/>
    <w:rsid w:val="00876612"/>
    <w:rsid w:val="0087718C"/>
    <w:rsid w:val="008808D0"/>
    <w:rsid w:val="00880C29"/>
    <w:rsid w:val="00882BB1"/>
    <w:rsid w:val="008837AC"/>
    <w:rsid w:val="00883ACE"/>
    <w:rsid w:val="00884F4E"/>
    <w:rsid w:val="00885700"/>
    <w:rsid w:val="00885C31"/>
    <w:rsid w:val="00886A0C"/>
    <w:rsid w:val="00887CCF"/>
    <w:rsid w:val="008909DC"/>
    <w:rsid w:val="008916AE"/>
    <w:rsid w:val="00892179"/>
    <w:rsid w:val="00893AE5"/>
    <w:rsid w:val="00894255"/>
    <w:rsid w:val="008945AD"/>
    <w:rsid w:val="00897B77"/>
    <w:rsid w:val="008A01F5"/>
    <w:rsid w:val="008A0645"/>
    <w:rsid w:val="008A1935"/>
    <w:rsid w:val="008A1C02"/>
    <w:rsid w:val="008A1D0E"/>
    <w:rsid w:val="008A370D"/>
    <w:rsid w:val="008A3AB7"/>
    <w:rsid w:val="008A4DE4"/>
    <w:rsid w:val="008A587D"/>
    <w:rsid w:val="008B16B0"/>
    <w:rsid w:val="008B19B7"/>
    <w:rsid w:val="008B1BD5"/>
    <w:rsid w:val="008B28F1"/>
    <w:rsid w:val="008B306C"/>
    <w:rsid w:val="008B35CD"/>
    <w:rsid w:val="008B4093"/>
    <w:rsid w:val="008B5EAB"/>
    <w:rsid w:val="008B5FCC"/>
    <w:rsid w:val="008B62F6"/>
    <w:rsid w:val="008B685E"/>
    <w:rsid w:val="008B6D48"/>
    <w:rsid w:val="008B7CDE"/>
    <w:rsid w:val="008B7F1D"/>
    <w:rsid w:val="008B7F36"/>
    <w:rsid w:val="008C05DC"/>
    <w:rsid w:val="008C0DE8"/>
    <w:rsid w:val="008C1864"/>
    <w:rsid w:val="008C1866"/>
    <w:rsid w:val="008C1A70"/>
    <w:rsid w:val="008C357F"/>
    <w:rsid w:val="008C4800"/>
    <w:rsid w:val="008C5486"/>
    <w:rsid w:val="008C5CD3"/>
    <w:rsid w:val="008C7D6F"/>
    <w:rsid w:val="008C7F12"/>
    <w:rsid w:val="008C7F37"/>
    <w:rsid w:val="008D1661"/>
    <w:rsid w:val="008D1E30"/>
    <w:rsid w:val="008D27E0"/>
    <w:rsid w:val="008D2A72"/>
    <w:rsid w:val="008D5F90"/>
    <w:rsid w:val="008D6800"/>
    <w:rsid w:val="008D72F1"/>
    <w:rsid w:val="008E0723"/>
    <w:rsid w:val="008E097E"/>
    <w:rsid w:val="008E1691"/>
    <w:rsid w:val="008E21A8"/>
    <w:rsid w:val="008E267F"/>
    <w:rsid w:val="008E2F38"/>
    <w:rsid w:val="008E4089"/>
    <w:rsid w:val="008E5AFF"/>
    <w:rsid w:val="008E7031"/>
    <w:rsid w:val="008E77DE"/>
    <w:rsid w:val="008E7B0A"/>
    <w:rsid w:val="008F040C"/>
    <w:rsid w:val="008F07A3"/>
    <w:rsid w:val="008F0BEF"/>
    <w:rsid w:val="008F1308"/>
    <w:rsid w:val="008F1CE7"/>
    <w:rsid w:val="008F3322"/>
    <w:rsid w:val="008F3519"/>
    <w:rsid w:val="008F3A0D"/>
    <w:rsid w:val="008F5A6E"/>
    <w:rsid w:val="009001B6"/>
    <w:rsid w:val="009008B7"/>
    <w:rsid w:val="00900E1B"/>
    <w:rsid w:val="0090131F"/>
    <w:rsid w:val="00903BBF"/>
    <w:rsid w:val="00904C4B"/>
    <w:rsid w:val="009065D9"/>
    <w:rsid w:val="00907683"/>
    <w:rsid w:val="0091030C"/>
    <w:rsid w:val="00911B21"/>
    <w:rsid w:val="009132B7"/>
    <w:rsid w:val="00913B75"/>
    <w:rsid w:val="0091415B"/>
    <w:rsid w:val="00916A2C"/>
    <w:rsid w:val="009177E3"/>
    <w:rsid w:val="00921E66"/>
    <w:rsid w:val="00922E05"/>
    <w:rsid w:val="009233EE"/>
    <w:rsid w:val="00923490"/>
    <w:rsid w:val="00926D14"/>
    <w:rsid w:val="009273D2"/>
    <w:rsid w:val="00930B1A"/>
    <w:rsid w:val="00931D7F"/>
    <w:rsid w:val="00932612"/>
    <w:rsid w:val="009327DC"/>
    <w:rsid w:val="009338D9"/>
    <w:rsid w:val="009339BD"/>
    <w:rsid w:val="009356CF"/>
    <w:rsid w:val="0093603E"/>
    <w:rsid w:val="00940374"/>
    <w:rsid w:val="00940D6A"/>
    <w:rsid w:val="00940EA4"/>
    <w:rsid w:val="009410CD"/>
    <w:rsid w:val="00943E60"/>
    <w:rsid w:val="00945E53"/>
    <w:rsid w:val="009460AA"/>
    <w:rsid w:val="00946CB5"/>
    <w:rsid w:val="00950B28"/>
    <w:rsid w:val="00951978"/>
    <w:rsid w:val="00951C84"/>
    <w:rsid w:val="00952C8B"/>
    <w:rsid w:val="0095546C"/>
    <w:rsid w:val="009554DB"/>
    <w:rsid w:val="00956689"/>
    <w:rsid w:val="00956EAE"/>
    <w:rsid w:val="00957881"/>
    <w:rsid w:val="00957C5D"/>
    <w:rsid w:val="009601BF"/>
    <w:rsid w:val="00961A4A"/>
    <w:rsid w:val="00962FBD"/>
    <w:rsid w:val="009661DE"/>
    <w:rsid w:val="009668F2"/>
    <w:rsid w:val="00966C53"/>
    <w:rsid w:val="009671FB"/>
    <w:rsid w:val="00970699"/>
    <w:rsid w:val="00971706"/>
    <w:rsid w:val="00972C7C"/>
    <w:rsid w:val="009765EF"/>
    <w:rsid w:val="009776F4"/>
    <w:rsid w:val="00982B9E"/>
    <w:rsid w:val="00982DA2"/>
    <w:rsid w:val="00983C25"/>
    <w:rsid w:val="00983D06"/>
    <w:rsid w:val="0098466D"/>
    <w:rsid w:val="009856B7"/>
    <w:rsid w:val="009859D6"/>
    <w:rsid w:val="00985C86"/>
    <w:rsid w:val="00986189"/>
    <w:rsid w:val="0098697B"/>
    <w:rsid w:val="00987D7F"/>
    <w:rsid w:val="009907A7"/>
    <w:rsid w:val="00990939"/>
    <w:rsid w:val="00991435"/>
    <w:rsid w:val="00994E09"/>
    <w:rsid w:val="00995A4E"/>
    <w:rsid w:val="009968B7"/>
    <w:rsid w:val="009A1CFD"/>
    <w:rsid w:val="009A222A"/>
    <w:rsid w:val="009A28AB"/>
    <w:rsid w:val="009A40E3"/>
    <w:rsid w:val="009A4A25"/>
    <w:rsid w:val="009A5FC3"/>
    <w:rsid w:val="009B2DBB"/>
    <w:rsid w:val="009B5DCA"/>
    <w:rsid w:val="009B6F84"/>
    <w:rsid w:val="009B74B0"/>
    <w:rsid w:val="009C0152"/>
    <w:rsid w:val="009C0B02"/>
    <w:rsid w:val="009C1A74"/>
    <w:rsid w:val="009C2407"/>
    <w:rsid w:val="009C27B1"/>
    <w:rsid w:val="009C2E9D"/>
    <w:rsid w:val="009C3D42"/>
    <w:rsid w:val="009C44CE"/>
    <w:rsid w:val="009C491E"/>
    <w:rsid w:val="009C523F"/>
    <w:rsid w:val="009C6E15"/>
    <w:rsid w:val="009C7307"/>
    <w:rsid w:val="009D0DF1"/>
    <w:rsid w:val="009D22D6"/>
    <w:rsid w:val="009D2C84"/>
    <w:rsid w:val="009D3906"/>
    <w:rsid w:val="009D3AB4"/>
    <w:rsid w:val="009D53BE"/>
    <w:rsid w:val="009D5E35"/>
    <w:rsid w:val="009D6B46"/>
    <w:rsid w:val="009E0570"/>
    <w:rsid w:val="009E3109"/>
    <w:rsid w:val="009E35B6"/>
    <w:rsid w:val="009E4D7D"/>
    <w:rsid w:val="009E5988"/>
    <w:rsid w:val="009E5ABC"/>
    <w:rsid w:val="009E6CA1"/>
    <w:rsid w:val="009F0DA6"/>
    <w:rsid w:val="009F2715"/>
    <w:rsid w:val="009F2E78"/>
    <w:rsid w:val="009F3A55"/>
    <w:rsid w:val="009F3BBA"/>
    <w:rsid w:val="009F3C2A"/>
    <w:rsid w:val="009F43B4"/>
    <w:rsid w:val="009F490E"/>
    <w:rsid w:val="009F4940"/>
    <w:rsid w:val="009F5183"/>
    <w:rsid w:val="009F5BA1"/>
    <w:rsid w:val="009F631B"/>
    <w:rsid w:val="00A003D4"/>
    <w:rsid w:val="00A0208D"/>
    <w:rsid w:val="00A02A88"/>
    <w:rsid w:val="00A04012"/>
    <w:rsid w:val="00A046FA"/>
    <w:rsid w:val="00A0562E"/>
    <w:rsid w:val="00A06CCA"/>
    <w:rsid w:val="00A0726D"/>
    <w:rsid w:val="00A073AE"/>
    <w:rsid w:val="00A1064A"/>
    <w:rsid w:val="00A12204"/>
    <w:rsid w:val="00A12750"/>
    <w:rsid w:val="00A12E26"/>
    <w:rsid w:val="00A13CB0"/>
    <w:rsid w:val="00A14CE9"/>
    <w:rsid w:val="00A1561F"/>
    <w:rsid w:val="00A16544"/>
    <w:rsid w:val="00A167E4"/>
    <w:rsid w:val="00A20E74"/>
    <w:rsid w:val="00A21A30"/>
    <w:rsid w:val="00A244EE"/>
    <w:rsid w:val="00A25CFD"/>
    <w:rsid w:val="00A26306"/>
    <w:rsid w:val="00A30BF5"/>
    <w:rsid w:val="00A31A9C"/>
    <w:rsid w:val="00A31BE6"/>
    <w:rsid w:val="00A32FBB"/>
    <w:rsid w:val="00A33138"/>
    <w:rsid w:val="00A339A3"/>
    <w:rsid w:val="00A33A3A"/>
    <w:rsid w:val="00A34524"/>
    <w:rsid w:val="00A35982"/>
    <w:rsid w:val="00A374DA"/>
    <w:rsid w:val="00A40068"/>
    <w:rsid w:val="00A4090F"/>
    <w:rsid w:val="00A40BE9"/>
    <w:rsid w:val="00A41D10"/>
    <w:rsid w:val="00A421A3"/>
    <w:rsid w:val="00A428EE"/>
    <w:rsid w:val="00A43A05"/>
    <w:rsid w:val="00A443C2"/>
    <w:rsid w:val="00A4478A"/>
    <w:rsid w:val="00A44852"/>
    <w:rsid w:val="00A4496C"/>
    <w:rsid w:val="00A44BBF"/>
    <w:rsid w:val="00A47008"/>
    <w:rsid w:val="00A47919"/>
    <w:rsid w:val="00A47B16"/>
    <w:rsid w:val="00A50502"/>
    <w:rsid w:val="00A5087B"/>
    <w:rsid w:val="00A51112"/>
    <w:rsid w:val="00A52080"/>
    <w:rsid w:val="00A52388"/>
    <w:rsid w:val="00A53409"/>
    <w:rsid w:val="00A53796"/>
    <w:rsid w:val="00A53848"/>
    <w:rsid w:val="00A549B0"/>
    <w:rsid w:val="00A55AED"/>
    <w:rsid w:val="00A5673F"/>
    <w:rsid w:val="00A56945"/>
    <w:rsid w:val="00A56A6E"/>
    <w:rsid w:val="00A57D04"/>
    <w:rsid w:val="00A609A0"/>
    <w:rsid w:val="00A60A26"/>
    <w:rsid w:val="00A60D01"/>
    <w:rsid w:val="00A61598"/>
    <w:rsid w:val="00A61777"/>
    <w:rsid w:val="00A61E7E"/>
    <w:rsid w:val="00A62D30"/>
    <w:rsid w:val="00A630D6"/>
    <w:rsid w:val="00A63646"/>
    <w:rsid w:val="00A63914"/>
    <w:rsid w:val="00A63B21"/>
    <w:rsid w:val="00A65184"/>
    <w:rsid w:val="00A65827"/>
    <w:rsid w:val="00A662AF"/>
    <w:rsid w:val="00A66F01"/>
    <w:rsid w:val="00A7346B"/>
    <w:rsid w:val="00A739F7"/>
    <w:rsid w:val="00A73B59"/>
    <w:rsid w:val="00A74814"/>
    <w:rsid w:val="00A77A23"/>
    <w:rsid w:val="00A84A99"/>
    <w:rsid w:val="00A84F46"/>
    <w:rsid w:val="00A8521C"/>
    <w:rsid w:val="00A85E87"/>
    <w:rsid w:val="00A86AEA"/>
    <w:rsid w:val="00A871F4"/>
    <w:rsid w:val="00A94085"/>
    <w:rsid w:val="00A9431A"/>
    <w:rsid w:val="00A94B0B"/>
    <w:rsid w:val="00A95988"/>
    <w:rsid w:val="00A959DF"/>
    <w:rsid w:val="00A96773"/>
    <w:rsid w:val="00A96C12"/>
    <w:rsid w:val="00A96C5B"/>
    <w:rsid w:val="00A97A1B"/>
    <w:rsid w:val="00AA0CF7"/>
    <w:rsid w:val="00AA15BF"/>
    <w:rsid w:val="00AA2927"/>
    <w:rsid w:val="00AA2CC6"/>
    <w:rsid w:val="00AA4EE9"/>
    <w:rsid w:val="00AA5AB2"/>
    <w:rsid w:val="00AA5F54"/>
    <w:rsid w:val="00AA60B9"/>
    <w:rsid w:val="00AA6AC2"/>
    <w:rsid w:val="00AA7240"/>
    <w:rsid w:val="00AA77BB"/>
    <w:rsid w:val="00AB0C0F"/>
    <w:rsid w:val="00AB1C04"/>
    <w:rsid w:val="00AB251A"/>
    <w:rsid w:val="00AB2CB8"/>
    <w:rsid w:val="00AB2F66"/>
    <w:rsid w:val="00AB2F81"/>
    <w:rsid w:val="00AB3948"/>
    <w:rsid w:val="00AB4160"/>
    <w:rsid w:val="00AB4617"/>
    <w:rsid w:val="00AC0DFE"/>
    <w:rsid w:val="00AC1B2C"/>
    <w:rsid w:val="00AC3264"/>
    <w:rsid w:val="00AC46AD"/>
    <w:rsid w:val="00AC4D2D"/>
    <w:rsid w:val="00AC58EC"/>
    <w:rsid w:val="00AC7282"/>
    <w:rsid w:val="00AC7961"/>
    <w:rsid w:val="00AC7BD3"/>
    <w:rsid w:val="00AC7E81"/>
    <w:rsid w:val="00AD0F84"/>
    <w:rsid w:val="00AD1BEB"/>
    <w:rsid w:val="00AD222E"/>
    <w:rsid w:val="00AD314E"/>
    <w:rsid w:val="00AD416B"/>
    <w:rsid w:val="00AD5FCD"/>
    <w:rsid w:val="00AD6B48"/>
    <w:rsid w:val="00AD79A5"/>
    <w:rsid w:val="00AD7A3A"/>
    <w:rsid w:val="00AD7D63"/>
    <w:rsid w:val="00AE0D80"/>
    <w:rsid w:val="00AE1BF1"/>
    <w:rsid w:val="00AE23AB"/>
    <w:rsid w:val="00AE2B68"/>
    <w:rsid w:val="00AE3BF0"/>
    <w:rsid w:val="00AE4355"/>
    <w:rsid w:val="00AE48CF"/>
    <w:rsid w:val="00AE58FB"/>
    <w:rsid w:val="00AE5AF0"/>
    <w:rsid w:val="00AE663D"/>
    <w:rsid w:val="00AE6D13"/>
    <w:rsid w:val="00AE73B3"/>
    <w:rsid w:val="00AF07E7"/>
    <w:rsid w:val="00AF0DD2"/>
    <w:rsid w:val="00AF2A7E"/>
    <w:rsid w:val="00AF31E1"/>
    <w:rsid w:val="00AF3689"/>
    <w:rsid w:val="00AF3BBA"/>
    <w:rsid w:val="00AF4231"/>
    <w:rsid w:val="00AF46EF"/>
    <w:rsid w:val="00AF4DEA"/>
    <w:rsid w:val="00AF63E1"/>
    <w:rsid w:val="00AF6E9A"/>
    <w:rsid w:val="00AF71E5"/>
    <w:rsid w:val="00AF741F"/>
    <w:rsid w:val="00B0033F"/>
    <w:rsid w:val="00B00B0E"/>
    <w:rsid w:val="00B00B26"/>
    <w:rsid w:val="00B01589"/>
    <w:rsid w:val="00B01F77"/>
    <w:rsid w:val="00B020D7"/>
    <w:rsid w:val="00B02385"/>
    <w:rsid w:val="00B02F9D"/>
    <w:rsid w:val="00B04C8E"/>
    <w:rsid w:val="00B05766"/>
    <w:rsid w:val="00B07EB4"/>
    <w:rsid w:val="00B13048"/>
    <w:rsid w:val="00B13883"/>
    <w:rsid w:val="00B138C5"/>
    <w:rsid w:val="00B14116"/>
    <w:rsid w:val="00B144C4"/>
    <w:rsid w:val="00B1716D"/>
    <w:rsid w:val="00B17A1D"/>
    <w:rsid w:val="00B17F51"/>
    <w:rsid w:val="00B207A0"/>
    <w:rsid w:val="00B21C21"/>
    <w:rsid w:val="00B2229F"/>
    <w:rsid w:val="00B22F54"/>
    <w:rsid w:val="00B24A7E"/>
    <w:rsid w:val="00B24B02"/>
    <w:rsid w:val="00B25C0C"/>
    <w:rsid w:val="00B27F61"/>
    <w:rsid w:val="00B304B5"/>
    <w:rsid w:val="00B308A9"/>
    <w:rsid w:val="00B31047"/>
    <w:rsid w:val="00B328F2"/>
    <w:rsid w:val="00B33148"/>
    <w:rsid w:val="00B33BA8"/>
    <w:rsid w:val="00B3433F"/>
    <w:rsid w:val="00B34C5D"/>
    <w:rsid w:val="00B35352"/>
    <w:rsid w:val="00B35CDF"/>
    <w:rsid w:val="00B36768"/>
    <w:rsid w:val="00B36A00"/>
    <w:rsid w:val="00B36B2C"/>
    <w:rsid w:val="00B403C2"/>
    <w:rsid w:val="00B405A1"/>
    <w:rsid w:val="00B4184C"/>
    <w:rsid w:val="00B41A19"/>
    <w:rsid w:val="00B426A1"/>
    <w:rsid w:val="00B439A2"/>
    <w:rsid w:val="00B4438A"/>
    <w:rsid w:val="00B45AA2"/>
    <w:rsid w:val="00B45E00"/>
    <w:rsid w:val="00B46601"/>
    <w:rsid w:val="00B471B9"/>
    <w:rsid w:val="00B479CA"/>
    <w:rsid w:val="00B5084F"/>
    <w:rsid w:val="00B50B10"/>
    <w:rsid w:val="00B514DD"/>
    <w:rsid w:val="00B52AF0"/>
    <w:rsid w:val="00B53D5F"/>
    <w:rsid w:val="00B54051"/>
    <w:rsid w:val="00B55344"/>
    <w:rsid w:val="00B561BD"/>
    <w:rsid w:val="00B56E03"/>
    <w:rsid w:val="00B6154B"/>
    <w:rsid w:val="00B62765"/>
    <w:rsid w:val="00B634C6"/>
    <w:rsid w:val="00B6544B"/>
    <w:rsid w:val="00B65772"/>
    <w:rsid w:val="00B65DF5"/>
    <w:rsid w:val="00B67CD2"/>
    <w:rsid w:val="00B71007"/>
    <w:rsid w:val="00B71F9B"/>
    <w:rsid w:val="00B72ACE"/>
    <w:rsid w:val="00B7472C"/>
    <w:rsid w:val="00B75176"/>
    <w:rsid w:val="00B7679F"/>
    <w:rsid w:val="00B77159"/>
    <w:rsid w:val="00B80020"/>
    <w:rsid w:val="00B8080B"/>
    <w:rsid w:val="00B81B8D"/>
    <w:rsid w:val="00B82223"/>
    <w:rsid w:val="00B83063"/>
    <w:rsid w:val="00B85421"/>
    <w:rsid w:val="00B861D2"/>
    <w:rsid w:val="00B87031"/>
    <w:rsid w:val="00B87BA5"/>
    <w:rsid w:val="00B87C39"/>
    <w:rsid w:val="00B91A85"/>
    <w:rsid w:val="00B93891"/>
    <w:rsid w:val="00B94D86"/>
    <w:rsid w:val="00B9562D"/>
    <w:rsid w:val="00BA0216"/>
    <w:rsid w:val="00BA21DA"/>
    <w:rsid w:val="00BA2B60"/>
    <w:rsid w:val="00BA3C93"/>
    <w:rsid w:val="00BA40E1"/>
    <w:rsid w:val="00BA42B8"/>
    <w:rsid w:val="00BA4665"/>
    <w:rsid w:val="00BA46FE"/>
    <w:rsid w:val="00BA56F9"/>
    <w:rsid w:val="00BA5E8F"/>
    <w:rsid w:val="00BA6601"/>
    <w:rsid w:val="00BA7FD7"/>
    <w:rsid w:val="00BB0814"/>
    <w:rsid w:val="00BB1681"/>
    <w:rsid w:val="00BB2A63"/>
    <w:rsid w:val="00BB2FB2"/>
    <w:rsid w:val="00BB3304"/>
    <w:rsid w:val="00BB3667"/>
    <w:rsid w:val="00BB421B"/>
    <w:rsid w:val="00BB4B50"/>
    <w:rsid w:val="00BB6551"/>
    <w:rsid w:val="00BB6592"/>
    <w:rsid w:val="00BB6682"/>
    <w:rsid w:val="00BC26C5"/>
    <w:rsid w:val="00BC4A10"/>
    <w:rsid w:val="00BC4E10"/>
    <w:rsid w:val="00BC5127"/>
    <w:rsid w:val="00BC6A4E"/>
    <w:rsid w:val="00BC6B92"/>
    <w:rsid w:val="00BD06BD"/>
    <w:rsid w:val="00BD17F5"/>
    <w:rsid w:val="00BD27D5"/>
    <w:rsid w:val="00BD30F4"/>
    <w:rsid w:val="00BD3156"/>
    <w:rsid w:val="00BD3446"/>
    <w:rsid w:val="00BD59CF"/>
    <w:rsid w:val="00BD59DC"/>
    <w:rsid w:val="00BE1312"/>
    <w:rsid w:val="00BE1F1B"/>
    <w:rsid w:val="00BE3F89"/>
    <w:rsid w:val="00BE47B5"/>
    <w:rsid w:val="00BE5FCE"/>
    <w:rsid w:val="00BE7BF4"/>
    <w:rsid w:val="00BF0333"/>
    <w:rsid w:val="00BF2098"/>
    <w:rsid w:val="00BF23CE"/>
    <w:rsid w:val="00BF2417"/>
    <w:rsid w:val="00BF2FEB"/>
    <w:rsid w:val="00BF392A"/>
    <w:rsid w:val="00BF5528"/>
    <w:rsid w:val="00BF79F9"/>
    <w:rsid w:val="00C0079E"/>
    <w:rsid w:val="00C01595"/>
    <w:rsid w:val="00C0216F"/>
    <w:rsid w:val="00C0363E"/>
    <w:rsid w:val="00C0572A"/>
    <w:rsid w:val="00C06CD6"/>
    <w:rsid w:val="00C1039F"/>
    <w:rsid w:val="00C10AE1"/>
    <w:rsid w:val="00C10B14"/>
    <w:rsid w:val="00C11BCA"/>
    <w:rsid w:val="00C13EBD"/>
    <w:rsid w:val="00C144A3"/>
    <w:rsid w:val="00C14D32"/>
    <w:rsid w:val="00C157BA"/>
    <w:rsid w:val="00C1631B"/>
    <w:rsid w:val="00C163AB"/>
    <w:rsid w:val="00C16641"/>
    <w:rsid w:val="00C170F0"/>
    <w:rsid w:val="00C239EF"/>
    <w:rsid w:val="00C23B0C"/>
    <w:rsid w:val="00C249F4"/>
    <w:rsid w:val="00C256A8"/>
    <w:rsid w:val="00C25962"/>
    <w:rsid w:val="00C25FA6"/>
    <w:rsid w:val="00C2754A"/>
    <w:rsid w:val="00C27F2E"/>
    <w:rsid w:val="00C30013"/>
    <w:rsid w:val="00C3099D"/>
    <w:rsid w:val="00C314B0"/>
    <w:rsid w:val="00C31898"/>
    <w:rsid w:val="00C32A95"/>
    <w:rsid w:val="00C32D2F"/>
    <w:rsid w:val="00C33011"/>
    <w:rsid w:val="00C347DC"/>
    <w:rsid w:val="00C3624D"/>
    <w:rsid w:val="00C362C1"/>
    <w:rsid w:val="00C36F65"/>
    <w:rsid w:val="00C371DF"/>
    <w:rsid w:val="00C40F99"/>
    <w:rsid w:val="00C41950"/>
    <w:rsid w:val="00C41E21"/>
    <w:rsid w:val="00C42C3B"/>
    <w:rsid w:val="00C46D82"/>
    <w:rsid w:val="00C47573"/>
    <w:rsid w:val="00C475BE"/>
    <w:rsid w:val="00C50C36"/>
    <w:rsid w:val="00C51672"/>
    <w:rsid w:val="00C538A9"/>
    <w:rsid w:val="00C53B5A"/>
    <w:rsid w:val="00C53CB4"/>
    <w:rsid w:val="00C53E41"/>
    <w:rsid w:val="00C54909"/>
    <w:rsid w:val="00C54AF3"/>
    <w:rsid w:val="00C54F5A"/>
    <w:rsid w:val="00C569B4"/>
    <w:rsid w:val="00C57DDE"/>
    <w:rsid w:val="00C61468"/>
    <w:rsid w:val="00C61A97"/>
    <w:rsid w:val="00C61C73"/>
    <w:rsid w:val="00C61E44"/>
    <w:rsid w:val="00C62AD4"/>
    <w:rsid w:val="00C63403"/>
    <w:rsid w:val="00C64FF3"/>
    <w:rsid w:val="00C662AD"/>
    <w:rsid w:val="00C66798"/>
    <w:rsid w:val="00C66A32"/>
    <w:rsid w:val="00C67A92"/>
    <w:rsid w:val="00C67EB1"/>
    <w:rsid w:val="00C71280"/>
    <w:rsid w:val="00C717BF"/>
    <w:rsid w:val="00C71D03"/>
    <w:rsid w:val="00C7238D"/>
    <w:rsid w:val="00C74553"/>
    <w:rsid w:val="00C76178"/>
    <w:rsid w:val="00C8080F"/>
    <w:rsid w:val="00C80F30"/>
    <w:rsid w:val="00C84560"/>
    <w:rsid w:val="00C84E24"/>
    <w:rsid w:val="00C86679"/>
    <w:rsid w:val="00C86AD7"/>
    <w:rsid w:val="00C8792F"/>
    <w:rsid w:val="00C90472"/>
    <w:rsid w:val="00C91D6E"/>
    <w:rsid w:val="00C93D29"/>
    <w:rsid w:val="00C94AB0"/>
    <w:rsid w:val="00C97769"/>
    <w:rsid w:val="00CA05BA"/>
    <w:rsid w:val="00CA0E7F"/>
    <w:rsid w:val="00CA10EF"/>
    <w:rsid w:val="00CA327D"/>
    <w:rsid w:val="00CA489E"/>
    <w:rsid w:val="00CA61EF"/>
    <w:rsid w:val="00CA74C5"/>
    <w:rsid w:val="00CB0279"/>
    <w:rsid w:val="00CB0BBE"/>
    <w:rsid w:val="00CB1CB6"/>
    <w:rsid w:val="00CB1F7C"/>
    <w:rsid w:val="00CB233B"/>
    <w:rsid w:val="00CB666B"/>
    <w:rsid w:val="00CB710E"/>
    <w:rsid w:val="00CB734B"/>
    <w:rsid w:val="00CC058C"/>
    <w:rsid w:val="00CC0B2E"/>
    <w:rsid w:val="00CC1FCE"/>
    <w:rsid w:val="00CC41B6"/>
    <w:rsid w:val="00CC606E"/>
    <w:rsid w:val="00CC7102"/>
    <w:rsid w:val="00CC7585"/>
    <w:rsid w:val="00CC7638"/>
    <w:rsid w:val="00CC7ADA"/>
    <w:rsid w:val="00CC7F1D"/>
    <w:rsid w:val="00CC7FB1"/>
    <w:rsid w:val="00CD039C"/>
    <w:rsid w:val="00CD0A88"/>
    <w:rsid w:val="00CD125D"/>
    <w:rsid w:val="00CD283C"/>
    <w:rsid w:val="00CD2E86"/>
    <w:rsid w:val="00CD3641"/>
    <w:rsid w:val="00CD50D1"/>
    <w:rsid w:val="00CD5552"/>
    <w:rsid w:val="00CD66EA"/>
    <w:rsid w:val="00CD6FAE"/>
    <w:rsid w:val="00CD7432"/>
    <w:rsid w:val="00CE099D"/>
    <w:rsid w:val="00CE09F4"/>
    <w:rsid w:val="00CE0FA5"/>
    <w:rsid w:val="00CE2A23"/>
    <w:rsid w:val="00CE2AC4"/>
    <w:rsid w:val="00CE2D98"/>
    <w:rsid w:val="00CE31C8"/>
    <w:rsid w:val="00CE484B"/>
    <w:rsid w:val="00CE7CBA"/>
    <w:rsid w:val="00CF000C"/>
    <w:rsid w:val="00CF0DEE"/>
    <w:rsid w:val="00CF42AA"/>
    <w:rsid w:val="00CF5EAA"/>
    <w:rsid w:val="00CF6167"/>
    <w:rsid w:val="00CF6468"/>
    <w:rsid w:val="00CF6AE3"/>
    <w:rsid w:val="00CF74FA"/>
    <w:rsid w:val="00CF77BB"/>
    <w:rsid w:val="00D006AE"/>
    <w:rsid w:val="00D00905"/>
    <w:rsid w:val="00D010C1"/>
    <w:rsid w:val="00D01CF0"/>
    <w:rsid w:val="00D01D61"/>
    <w:rsid w:val="00D036ED"/>
    <w:rsid w:val="00D0442A"/>
    <w:rsid w:val="00D04592"/>
    <w:rsid w:val="00D055F9"/>
    <w:rsid w:val="00D06418"/>
    <w:rsid w:val="00D0734D"/>
    <w:rsid w:val="00D0771B"/>
    <w:rsid w:val="00D10AE9"/>
    <w:rsid w:val="00D11939"/>
    <w:rsid w:val="00D11F62"/>
    <w:rsid w:val="00D1242D"/>
    <w:rsid w:val="00D12A7B"/>
    <w:rsid w:val="00D12ADB"/>
    <w:rsid w:val="00D13069"/>
    <w:rsid w:val="00D134D8"/>
    <w:rsid w:val="00D13A5B"/>
    <w:rsid w:val="00D15C08"/>
    <w:rsid w:val="00D15E63"/>
    <w:rsid w:val="00D162A2"/>
    <w:rsid w:val="00D21FDC"/>
    <w:rsid w:val="00D22062"/>
    <w:rsid w:val="00D23D85"/>
    <w:rsid w:val="00D25A39"/>
    <w:rsid w:val="00D26106"/>
    <w:rsid w:val="00D26821"/>
    <w:rsid w:val="00D27C2E"/>
    <w:rsid w:val="00D27CFA"/>
    <w:rsid w:val="00D310FA"/>
    <w:rsid w:val="00D325C6"/>
    <w:rsid w:val="00D32644"/>
    <w:rsid w:val="00D33124"/>
    <w:rsid w:val="00D334A4"/>
    <w:rsid w:val="00D35F79"/>
    <w:rsid w:val="00D36609"/>
    <w:rsid w:val="00D36638"/>
    <w:rsid w:val="00D36FAB"/>
    <w:rsid w:val="00D37213"/>
    <w:rsid w:val="00D374B6"/>
    <w:rsid w:val="00D4163B"/>
    <w:rsid w:val="00D41B02"/>
    <w:rsid w:val="00D41BBE"/>
    <w:rsid w:val="00D42E74"/>
    <w:rsid w:val="00D4360D"/>
    <w:rsid w:val="00D45FC0"/>
    <w:rsid w:val="00D5148F"/>
    <w:rsid w:val="00D525C3"/>
    <w:rsid w:val="00D53336"/>
    <w:rsid w:val="00D53528"/>
    <w:rsid w:val="00D5607F"/>
    <w:rsid w:val="00D56450"/>
    <w:rsid w:val="00D576DD"/>
    <w:rsid w:val="00D61388"/>
    <w:rsid w:val="00D61A54"/>
    <w:rsid w:val="00D62108"/>
    <w:rsid w:val="00D62759"/>
    <w:rsid w:val="00D627EC"/>
    <w:rsid w:val="00D635F8"/>
    <w:rsid w:val="00D6426C"/>
    <w:rsid w:val="00D64AA4"/>
    <w:rsid w:val="00D64DEA"/>
    <w:rsid w:val="00D64F84"/>
    <w:rsid w:val="00D65EB9"/>
    <w:rsid w:val="00D65F92"/>
    <w:rsid w:val="00D660A2"/>
    <w:rsid w:val="00D663CD"/>
    <w:rsid w:val="00D6726A"/>
    <w:rsid w:val="00D7001B"/>
    <w:rsid w:val="00D7086B"/>
    <w:rsid w:val="00D71014"/>
    <w:rsid w:val="00D7160D"/>
    <w:rsid w:val="00D7168E"/>
    <w:rsid w:val="00D71E57"/>
    <w:rsid w:val="00D72D27"/>
    <w:rsid w:val="00D73323"/>
    <w:rsid w:val="00D734B2"/>
    <w:rsid w:val="00D73787"/>
    <w:rsid w:val="00D74922"/>
    <w:rsid w:val="00D7553C"/>
    <w:rsid w:val="00D76C4B"/>
    <w:rsid w:val="00D77219"/>
    <w:rsid w:val="00D77484"/>
    <w:rsid w:val="00D7786B"/>
    <w:rsid w:val="00D80893"/>
    <w:rsid w:val="00D82519"/>
    <w:rsid w:val="00D827FF"/>
    <w:rsid w:val="00D834C7"/>
    <w:rsid w:val="00D84123"/>
    <w:rsid w:val="00D84854"/>
    <w:rsid w:val="00D852C0"/>
    <w:rsid w:val="00D85B9E"/>
    <w:rsid w:val="00D876A2"/>
    <w:rsid w:val="00D90860"/>
    <w:rsid w:val="00D90A6F"/>
    <w:rsid w:val="00D91BE6"/>
    <w:rsid w:val="00D924AE"/>
    <w:rsid w:val="00D92975"/>
    <w:rsid w:val="00D92CF1"/>
    <w:rsid w:val="00D92D38"/>
    <w:rsid w:val="00D933D9"/>
    <w:rsid w:val="00D950F5"/>
    <w:rsid w:val="00D95C06"/>
    <w:rsid w:val="00D96295"/>
    <w:rsid w:val="00D96AF8"/>
    <w:rsid w:val="00D96CF7"/>
    <w:rsid w:val="00D96F13"/>
    <w:rsid w:val="00D97379"/>
    <w:rsid w:val="00D976DB"/>
    <w:rsid w:val="00DA3283"/>
    <w:rsid w:val="00DA4502"/>
    <w:rsid w:val="00DA4752"/>
    <w:rsid w:val="00DA4C09"/>
    <w:rsid w:val="00DA61F3"/>
    <w:rsid w:val="00DA6EA4"/>
    <w:rsid w:val="00DA7305"/>
    <w:rsid w:val="00DA7CB3"/>
    <w:rsid w:val="00DB0902"/>
    <w:rsid w:val="00DB0D00"/>
    <w:rsid w:val="00DB0F93"/>
    <w:rsid w:val="00DB1A67"/>
    <w:rsid w:val="00DB3721"/>
    <w:rsid w:val="00DB3C92"/>
    <w:rsid w:val="00DB4147"/>
    <w:rsid w:val="00DB44AE"/>
    <w:rsid w:val="00DB5074"/>
    <w:rsid w:val="00DB5D8D"/>
    <w:rsid w:val="00DB69C9"/>
    <w:rsid w:val="00DB72C4"/>
    <w:rsid w:val="00DC0281"/>
    <w:rsid w:val="00DC1930"/>
    <w:rsid w:val="00DC1C76"/>
    <w:rsid w:val="00DC1CDA"/>
    <w:rsid w:val="00DC2126"/>
    <w:rsid w:val="00DC26DB"/>
    <w:rsid w:val="00DC33DC"/>
    <w:rsid w:val="00DC3411"/>
    <w:rsid w:val="00DC4DBF"/>
    <w:rsid w:val="00DC4E19"/>
    <w:rsid w:val="00DC52C3"/>
    <w:rsid w:val="00DC65FE"/>
    <w:rsid w:val="00DC7981"/>
    <w:rsid w:val="00DD29CB"/>
    <w:rsid w:val="00DD3A2F"/>
    <w:rsid w:val="00DD4C07"/>
    <w:rsid w:val="00DD4F4A"/>
    <w:rsid w:val="00DD56A5"/>
    <w:rsid w:val="00DD577D"/>
    <w:rsid w:val="00DD5ADC"/>
    <w:rsid w:val="00DD61AB"/>
    <w:rsid w:val="00DD661C"/>
    <w:rsid w:val="00DE09A1"/>
    <w:rsid w:val="00DE1093"/>
    <w:rsid w:val="00DE1882"/>
    <w:rsid w:val="00DE29F8"/>
    <w:rsid w:val="00DE3396"/>
    <w:rsid w:val="00DE3604"/>
    <w:rsid w:val="00DE4EFA"/>
    <w:rsid w:val="00DE53A8"/>
    <w:rsid w:val="00DE5520"/>
    <w:rsid w:val="00DE563D"/>
    <w:rsid w:val="00DE5F48"/>
    <w:rsid w:val="00DE7AB5"/>
    <w:rsid w:val="00DE7F39"/>
    <w:rsid w:val="00DF0021"/>
    <w:rsid w:val="00DF0152"/>
    <w:rsid w:val="00DF1958"/>
    <w:rsid w:val="00DF1D6D"/>
    <w:rsid w:val="00DF27EB"/>
    <w:rsid w:val="00DF3498"/>
    <w:rsid w:val="00DF3667"/>
    <w:rsid w:val="00DF51C8"/>
    <w:rsid w:val="00DF5EE7"/>
    <w:rsid w:val="00E01394"/>
    <w:rsid w:val="00E046E3"/>
    <w:rsid w:val="00E04818"/>
    <w:rsid w:val="00E04B61"/>
    <w:rsid w:val="00E04E6D"/>
    <w:rsid w:val="00E04EDB"/>
    <w:rsid w:val="00E050F9"/>
    <w:rsid w:val="00E06211"/>
    <w:rsid w:val="00E06442"/>
    <w:rsid w:val="00E06952"/>
    <w:rsid w:val="00E07C46"/>
    <w:rsid w:val="00E10045"/>
    <w:rsid w:val="00E11E61"/>
    <w:rsid w:val="00E12ACA"/>
    <w:rsid w:val="00E1319A"/>
    <w:rsid w:val="00E134FF"/>
    <w:rsid w:val="00E14B35"/>
    <w:rsid w:val="00E157B2"/>
    <w:rsid w:val="00E16055"/>
    <w:rsid w:val="00E2049D"/>
    <w:rsid w:val="00E2332D"/>
    <w:rsid w:val="00E23993"/>
    <w:rsid w:val="00E2574F"/>
    <w:rsid w:val="00E25951"/>
    <w:rsid w:val="00E25B8C"/>
    <w:rsid w:val="00E26325"/>
    <w:rsid w:val="00E27440"/>
    <w:rsid w:val="00E277BC"/>
    <w:rsid w:val="00E2793D"/>
    <w:rsid w:val="00E27A1D"/>
    <w:rsid w:val="00E27A28"/>
    <w:rsid w:val="00E3076A"/>
    <w:rsid w:val="00E30BB4"/>
    <w:rsid w:val="00E3139F"/>
    <w:rsid w:val="00E31CF6"/>
    <w:rsid w:val="00E323BF"/>
    <w:rsid w:val="00E34A4A"/>
    <w:rsid w:val="00E35AFC"/>
    <w:rsid w:val="00E36A38"/>
    <w:rsid w:val="00E407AC"/>
    <w:rsid w:val="00E41D39"/>
    <w:rsid w:val="00E42AD2"/>
    <w:rsid w:val="00E431CA"/>
    <w:rsid w:val="00E438D9"/>
    <w:rsid w:val="00E441E9"/>
    <w:rsid w:val="00E442CD"/>
    <w:rsid w:val="00E44852"/>
    <w:rsid w:val="00E45B4B"/>
    <w:rsid w:val="00E46B83"/>
    <w:rsid w:val="00E47C71"/>
    <w:rsid w:val="00E504A7"/>
    <w:rsid w:val="00E50920"/>
    <w:rsid w:val="00E50A02"/>
    <w:rsid w:val="00E54106"/>
    <w:rsid w:val="00E54697"/>
    <w:rsid w:val="00E57A08"/>
    <w:rsid w:val="00E61F7C"/>
    <w:rsid w:val="00E62DBF"/>
    <w:rsid w:val="00E63248"/>
    <w:rsid w:val="00E63631"/>
    <w:rsid w:val="00E64B83"/>
    <w:rsid w:val="00E64C2A"/>
    <w:rsid w:val="00E65C85"/>
    <w:rsid w:val="00E66199"/>
    <w:rsid w:val="00E66E81"/>
    <w:rsid w:val="00E70526"/>
    <w:rsid w:val="00E71B27"/>
    <w:rsid w:val="00E754B4"/>
    <w:rsid w:val="00E755EC"/>
    <w:rsid w:val="00E7624D"/>
    <w:rsid w:val="00E765AA"/>
    <w:rsid w:val="00E81724"/>
    <w:rsid w:val="00E819A4"/>
    <w:rsid w:val="00E81AD9"/>
    <w:rsid w:val="00E833FA"/>
    <w:rsid w:val="00E83725"/>
    <w:rsid w:val="00E84B74"/>
    <w:rsid w:val="00E851B8"/>
    <w:rsid w:val="00E85C92"/>
    <w:rsid w:val="00E86A11"/>
    <w:rsid w:val="00E86B62"/>
    <w:rsid w:val="00E87066"/>
    <w:rsid w:val="00E90210"/>
    <w:rsid w:val="00E90969"/>
    <w:rsid w:val="00E91489"/>
    <w:rsid w:val="00E91E38"/>
    <w:rsid w:val="00E92080"/>
    <w:rsid w:val="00E92393"/>
    <w:rsid w:val="00E94B94"/>
    <w:rsid w:val="00E96257"/>
    <w:rsid w:val="00E966BF"/>
    <w:rsid w:val="00E97E29"/>
    <w:rsid w:val="00EA0C04"/>
    <w:rsid w:val="00EA2275"/>
    <w:rsid w:val="00EA2D4C"/>
    <w:rsid w:val="00EA2EF4"/>
    <w:rsid w:val="00EA2FDD"/>
    <w:rsid w:val="00EA3371"/>
    <w:rsid w:val="00EA3D42"/>
    <w:rsid w:val="00EA4033"/>
    <w:rsid w:val="00EA6463"/>
    <w:rsid w:val="00EA6B1B"/>
    <w:rsid w:val="00EA7E80"/>
    <w:rsid w:val="00EB096A"/>
    <w:rsid w:val="00EB1264"/>
    <w:rsid w:val="00EB1999"/>
    <w:rsid w:val="00EB1CBD"/>
    <w:rsid w:val="00EB201A"/>
    <w:rsid w:val="00EB2883"/>
    <w:rsid w:val="00EB3A34"/>
    <w:rsid w:val="00EB3C3F"/>
    <w:rsid w:val="00EB3C51"/>
    <w:rsid w:val="00EB574A"/>
    <w:rsid w:val="00EC04F1"/>
    <w:rsid w:val="00EC06CA"/>
    <w:rsid w:val="00EC237F"/>
    <w:rsid w:val="00EC29C7"/>
    <w:rsid w:val="00EC2DD5"/>
    <w:rsid w:val="00EC573A"/>
    <w:rsid w:val="00EC59C1"/>
    <w:rsid w:val="00EC6F27"/>
    <w:rsid w:val="00ED21F5"/>
    <w:rsid w:val="00ED35C8"/>
    <w:rsid w:val="00ED3968"/>
    <w:rsid w:val="00ED41E7"/>
    <w:rsid w:val="00ED7323"/>
    <w:rsid w:val="00ED7C70"/>
    <w:rsid w:val="00EE03D2"/>
    <w:rsid w:val="00EE18F1"/>
    <w:rsid w:val="00EE28BF"/>
    <w:rsid w:val="00EE28F3"/>
    <w:rsid w:val="00EE424F"/>
    <w:rsid w:val="00EE50D1"/>
    <w:rsid w:val="00EE533E"/>
    <w:rsid w:val="00EE7614"/>
    <w:rsid w:val="00EF023F"/>
    <w:rsid w:val="00EF1D53"/>
    <w:rsid w:val="00EF2B5B"/>
    <w:rsid w:val="00EF2EF9"/>
    <w:rsid w:val="00EF5110"/>
    <w:rsid w:val="00EF5890"/>
    <w:rsid w:val="00EF5ECF"/>
    <w:rsid w:val="00EF76BA"/>
    <w:rsid w:val="00F003BA"/>
    <w:rsid w:val="00F0149E"/>
    <w:rsid w:val="00F0231A"/>
    <w:rsid w:val="00F02F13"/>
    <w:rsid w:val="00F03463"/>
    <w:rsid w:val="00F036B7"/>
    <w:rsid w:val="00F065C1"/>
    <w:rsid w:val="00F0700F"/>
    <w:rsid w:val="00F07F1F"/>
    <w:rsid w:val="00F10411"/>
    <w:rsid w:val="00F10A9A"/>
    <w:rsid w:val="00F11B2D"/>
    <w:rsid w:val="00F11B39"/>
    <w:rsid w:val="00F121C2"/>
    <w:rsid w:val="00F1485B"/>
    <w:rsid w:val="00F15882"/>
    <w:rsid w:val="00F170C7"/>
    <w:rsid w:val="00F171E0"/>
    <w:rsid w:val="00F20BD3"/>
    <w:rsid w:val="00F2382D"/>
    <w:rsid w:val="00F26F66"/>
    <w:rsid w:val="00F2722C"/>
    <w:rsid w:val="00F275F0"/>
    <w:rsid w:val="00F2792D"/>
    <w:rsid w:val="00F301D3"/>
    <w:rsid w:val="00F316CE"/>
    <w:rsid w:val="00F318FE"/>
    <w:rsid w:val="00F322E9"/>
    <w:rsid w:val="00F3231B"/>
    <w:rsid w:val="00F32632"/>
    <w:rsid w:val="00F33321"/>
    <w:rsid w:val="00F333B0"/>
    <w:rsid w:val="00F33808"/>
    <w:rsid w:val="00F364A7"/>
    <w:rsid w:val="00F36676"/>
    <w:rsid w:val="00F373A5"/>
    <w:rsid w:val="00F37864"/>
    <w:rsid w:val="00F404F9"/>
    <w:rsid w:val="00F40B49"/>
    <w:rsid w:val="00F40F31"/>
    <w:rsid w:val="00F435A2"/>
    <w:rsid w:val="00F44B0A"/>
    <w:rsid w:val="00F44EA1"/>
    <w:rsid w:val="00F45724"/>
    <w:rsid w:val="00F46B5A"/>
    <w:rsid w:val="00F47559"/>
    <w:rsid w:val="00F50045"/>
    <w:rsid w:val="00F509DB"/>
    <w:rsid w:val="00F50B30"/>
    <w:rsid w:val="00F51F5F"/>
    <w:rsid w:val="00F52C6D"/>
    <w:rsid w:val="00F52D75"/>
    <w:rsid w:val="00F554C6"/>
    <w:rsid w:val="00F55582"/>
    <w:rsid w:val="00F5592A"/>
    <w:rsid w:val="00F57647"/>
    <w:rsid w:val="00F61D40"/>
    <w:rsid w:val="00F61ED5"/>
    <w:rsid w:val="00F62A14"/>
    <w:rsid w:val="00F644AB"/>
    <w:rsid w:val="00F64C7B"/>
    <w:rsid w:val="00F6564A"/>
    <w:rsid w:val="00F66B69"/>
    <w:rsid w:val="00F670A9"/>
    <w:rsid w:val="00F673AE"/>
    <w:rsid w:val="00F676DD"/>
    <w:rsid w:val="00F67AB6"/>
    <w:rsid w:val="00F70028"/>
    <w:rsid w:val="00F7042E"/>
    <w:rsid w:val="00F70434"/>
    <w:rsid w:val="00F7087D"/>
    <w:rsid w:val="00F7435C"/>
    <w:rsid w:val="00F749D6"/>
    <w:rsid w:val="00F75A26"/>
    <w:rsid w:val="00F76224"/>
    <w:rsid w:val="00F76706"/>
    <w:rsid w:val="00F77641"/>
    <w:rsid w:val="00F77B4A"/>
    <w:rsid w:val="00F77D6D"/>
    <w:rsid w:val="00F80206"/>
    <w:rsid w:val="00F83034"/>
    <w:rsid w:val="00F83FAD"/>
    <w:rsid w:val="00F844C6"/>
    <w:rsid w:val="00F84C0D"/>
    <w:rsid w:val="00F85E40"/>
    <w:rsid w:val="00F86221"/>
    <w:rsid w:val="00F8720B"/>
    <w:rsid w:val="00F90405"/>
    <w:rsid w:val="00F909CB"/>
    <w:rsid w:val="00F92FA6"/>
    <w:rsid w:val="00F9353B"/>
    <w:rsid w:val="00F937F1"/>
    <w:rsid w:val="00F93876"/>
    <w:rsid w:val="00F948C5"/>
    <w:rsid w:val="00F952A0"/>
    <w:rsid w:val="00F9681C"/>
    <w:rsid w:val="00FA06EA"/>
    <w:rsid w:val="00FA115B"/>
    <w:rsid w:val="00FA1779"/>
    <w:rsid w:val="00FA28B2"/>
    <w:rsid w:val="00FA31B1"/>
    <w:rsid w:val="00FA3320"/>
    <w:rsid w:val="00FA3493"/>
    <w:rsid w:val="00FA3C7F"/>
    <w:rsid w:val="00FA3D91"/>
    <w:rsid w:val="00FA6246"/>
    <w:rsid w:val="00FB24ED"/>
    <w:rsid w:val="00FB3304"/>
    <w:rsid w:val="00FB5005"/>
    <w:rsid w:val="00FB53DA"/>
    <w:rsid w:val="00FB60FE"/>
    <w:rsid w:val="00FB74E2"/>
    <w:rsid w:val="00FB76DB"/>
    <w:rsid w:val="00FB778B"/>
    <w:rsid w:val="00FC1012"/>
    <w:rsid w:val="00FC1A3E"/>
    <w:rsid w:val="00FC3B2F"/>
    <w:rsid w:val="00FC4F1F"/>
    <w:rsid w:val="00FC5D64"/>
    <w:rsid w:val="00FC6A87"/>
    <w:rsid w:val="00FC7D41"/>
    <w:rsid w:val="00FD0A02"/>
    <w:rsid w:val="00FD1237"/>
    <w:rsid w:val="00FD294D"/>
    <w:rsid w:val="00FD4633"/>
    <w:rsid w:val="00FD5448"/>
    <w:rsid w:val="00FD5614"/>
    <w:rsid w:val="00FD5E78"/>
    <w:rsid w:val="00FD7D29"/>
    <w:rsid w:val="00FD7DB2"/>
    <w:rsid w:val="00FE0359"/>
    <w:rsid w:val="00FE0BE1"/>
    <w:rsid w:val="00FE11BB"/>
    <w:rsid w:val="00FE1DE9"/>
    <w:rsid w:val="00FE36AF"/>
    <w:rsid w:val="00FE39C2"/>
    <w:rsid w:val="00FE3C32"/>
    <w:rsid w:val="00FE64AE"/>
    <w:rsid w:val="00FF05E7"/>
    <w:rsid w:val="00FF0B2D"/>
    <w:rsid w:val="00FF2063"/>
    <w:rsid w:val="00FF25F5"/>
    <w:rsid w:val="00FF3F8E"/>
    <w:rsid w:val="00FF4627"/>
    <w:rsid w:val="00FF5B87"/>
    <w:rsid w:val="00FF5F06"/>
    <w:rsid w:val="00FF696E"/>
    <w:rsid w:val="00FF78D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6266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0" w:qFormat="1"/>
    <w:lsdException w:name="footnote reference"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qFormat="1"/>
    <w:lsdException w:name="List Continue 3"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outlineLvl w:val="6"/>
    </w:pPr>
  </w:style>
  <w:style w:type="paragraph" w:styleId="Heading8">
    <w:name w:val="heading 8"/>
    <w:basedOn w:val="Heading2"/>
    <w:next w:val="Normal"/>
    <w:link w:val="Heading8Char"/>
    <w:uiPriority w:val="9"/>
    <w:qFormat/>
    <w:rsid w:val="00CB0279"/>
    <w:pPr>
      <w:numPr>
        <w:numId w:val="27"/>
      </w:numPr>
      <w:tabs>
        <w:tab w:val="clear" w:pos="680"/>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qFormat/>
    <w:rsid w:val="00567BA5"/>
    <w:pPr>
      <w:tabs>
        <w:tab w:val="left" w:pos="680"/>
      </w:tabs>
      <w:spacing w:before="120"/>
      <w:ind w:left="680"/>
    </w:pPr>
  </w:style>
  <w:style w:type="paragraph" w:styleId="ListContinue3">
    <w:name w:val="List Continue 3"/>
    <w:aliases w:val="AER body text (indent 3)"/>
    <w:basedOn w:val="Normal"/>
    <w:uiPriority w:val="99"/>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 w:type="paragraph" w:styleId="MessageHeader">
    <w:name w:val="Message Header"/>
    <w:basedOn w:val="Normal"/>
    <w:link w:val="MessageHeaderChar"/>
    <w:uiPriority w:val="99"/>
    <w:unhideWhenUsed/>
    <w:rsid w:val="002E641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2E641D"/>
    <w:rPr>
      <w:rFonts w:asciiTheme="majorHAnsi" w:eastAsiaTheme="majorEastAsia" w:hAnsiTheme="majorHAnsi" w:cstheme="majorBidi"/>
      <w:sz w:val="24"/>
      <w:szCs w:val="24"/>
      <w:shd w:val="pct20" w:color="auto" w:fill="auto"/>
    </w:rPr>
  </w:style>
  <w:style w:type="paragraph" w:styleId="BlockText">
    <w:name w:val="Block Text"/>
    <w:basedOn w:val="Normal"/>
    <w:uiPriority w:val="99"/>
    <w:unhideWhenUsed/>
    <w:rsid w:val="00A43A05"/>
    <w:pPr>
      <w:pBdr>
        <w:top w:val="single" w:sz="2" w:space="10" w:color="2F002F" w:themeColor="accent1" w:shadow="1" w:frame="1"/>
        <w:left w:val="single" w:sz="2" w:space="10" w:color="2F002F" w:themeColor="accent1" w:shadow="1" w:frame="1"/>
        <w:bottom w:val="single" w:sz="2" w:space="10" w:color="2F002F" w:themeColor="accent1" w:shadow="1" w:frame="1"/>
        <w:right w:val="single" w:sz="2" w:space="10" w:color="2F002F" w:themeColor="accent1" w:shadow="1" w:frame="1"/>
      </w:pBdr>
      <w:ind w:left="1152" w:right="1152"/>
    </w:pPr>
    <w:rPr>
      <w:rFonts w:asciiTheme="minorHAnsi" w:eastAsiaTheme="minorEastAsia" w:hAnsiTheme="minorHAnsi"/>
      <w:i/>
      <w:iCs/>
      <w:color w:val="2F002F" w:themeColor="accent1"/>
    </w:rPr>
  </w:style>
  <w:style w:type="table" w:customStyle="1" w:styleId="AERtable-text2">
    <w:name w:val="AER table - text2"/>
    <w:basedOn w:val="TableNormal"/>
    <w:uiPriority w:val="99"/>
    <w:rsid w:val="006706D6"/>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table" w:customStyle="1" w:styleId="AERtable-text3">
    <w:name w:val="AER table - text3"/>
    <w:basedOn w:val="TableNormal"/>
    <w:uiPriority w:val="99"/>
    <w:rsid w:val="006706D6"/>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styleId="HTMLDefinition">
    <w:name w:val="HTML Definition"/>
    <w:basedOn w:val="DefaultParagraphFont"/>
    <w:uiPriority w:val="99"/>
    <w:semiHidden/>
    <w:unhideWhenUsed/>
    <w:rsid w:val="00105015"/>
    <w:rPr>
      <w:i/>
      <w:iCs/>
    </w:rPr>
  </w:style>
  <w:style w:type="paragraph" w:customStyle="1" w:styleId="Default">
    <w:name w:val="Default"/>
    <w:rsid w:val="006A1858"/>
    <w:pPr>
      <w:autoSpaceDE w:val="0"/>
      <w:autoSpaceDN w:val="0"/>
      <w:adjustRightInd w:val="0"/>
      <w:spacing w:before="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0" w:qFormat="1"/>
    <w:lsdException w:name="footnote reference"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qFormat="1"/>
    <w:lsdException w:name="List Continue 3"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outlineLvl w:val="6"/>
    </w:pPr>
  </w:style>
  <w:style w:type="paragraph" w:styleId="Heading8">
    <w:name w:val="heading 8"/>
    <w:basedOn w:val="Heading2"/>
    <w:next w:val="Normal"/>
    <w:link w:val="Heading8Char"/>
    <w:uiPriority w:val="9"/>
    <w:qFormat/>
    <w:rsid w:val="00CB0279"/>
    <w:pPr>
      <w:numPr>
        <w:numId w:val="27"/>
      </w:numPr>
      <w:tabs>
        <w:tab w:val="clear" w:pos="680"/>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qFormat/>
    <w:rsid w:val="00567BA5"/>
    <w:pPr>
      <w:tabs>
        <w:tab w:val="left" w:pos="680"/>
      </w:tabs>
      <w:spacing w:before="120"/>
      <w:ind w:left="680"/>
    </w:pPr>
  </w:style>
  <w:style w:type="paragraph" w:styleId="ListContinue3">
    <w:name w:val="List Continue 3"/>
    <w:aliases w:val="AER body text (indent 3)"/>
    <w:basedOn w:val="Normal"/>
    <w:uiPriority w:val="99"/>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 w:type="paragraph" w:styleId="MessageHeader">
    <w:name w:val="Message Header"/>
    <w:basedOn w:val="Normal"/>
    <w:link w:val="MessageHeaderChar"/>
    <w:uiPriority w:val="99"/>
    <w:unhideWhenUsed/>
    <w:rsid w:val="002E641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2E641D"/>
    <w:rPr>
      <w:rFonts w:asciiTheme="majorHAnsi" w:eastAsiaTheme="majorEastAsia" w:hAnsiTheme="majorHAnsi" w:cstheme="majorBidi"/>
      <w:sz w:val="24"/>
      <w:szCs w:val="24"/>
      <w:shd w:val="pct20" w:color="auto" w:fill="auto"/>
    </w:rPr>
  </w:style>
  <w:style w:type="paragraph" w:styleId="BlockText">
    <w:name w:val="Block Text"/>
    <w:basedOn w:val="Normal"/>
    <w:uiPriority w:val="99"/>
    <w:unhideWhenUsed/>
    <w:rsid w:val="00A43A05"/>
    <w:pPr>
      <w:pBdr>
        <w:top w:val="single" w:sz="2" w:space="10" w:color="2F002F" w:themeColor="accent1" w:shadow="1" w:frame="1"/>
        <w:left w:val="single" w:sz="2" w:space="10" w:color="2F002F" w:themeColor="accent1" w:shadow="1" w:frame="1"/>
        <w:bottom w:val="single" w:sz="2" w:space="10" w:color="2F002F" w:themeColor="accent1" w:shadow="1" w:frame="1"/>
        <w:right w:val="single" w:sz="2" w:space="10" w:color="2F002F" w:themeColor="accent1" w:shadow="1" w:frame="1"/>
      </w:pBdr>
      <w:ind w:left="1152" w:right="1152"/>
    </w:pPr>
    <w:rPr>
      <w:rFonts w:asciiTheme="minorHAnsi" w:eastAsiaTheme="minorEastAsia" w:hAnsiTheme="minorHAnsi"/>
      <w:i/>
      <w:iCs/>
      <w:color w:val="2F002F" w:themeColor="accent1"/>
    </w:rPr>
  </w:style>
  <w:style w:type="table" w:customStyle="1" w:styleId="AERtable-text2">
    <w:name w:val="AER table - text2"/>
    <w:basedOn w:val="TableNormal"/>
    <w:uiPriority w:val="99"/>
    <w:rsid w:val="006706D6"/>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table" w:customStyle="1" w:styleId="AERtable-text3">
    <w:name w:val="AER table - text3"/>
    <w:basedOn w:val="TableNormal"/>
    <w:uiPriority w:val="99"/>
    <w:rsid w:val="006706D6"/>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styleId="HTMLDefinition">
    <w:name w:val="HTML Definition"/>
    <w:basedOn w:val="DefaultParagraphFont"/>
    <w:uiPriority w:val="99"/>
    <w:semiHidden/>
    <w:unhideWhenUsed/>
    <w:rsid w:val="00105015"/>
    <w:rPr>
      <w:i/>
      <w:iCs/>
    </w:rPr>
  </w:style>
  <w:style w:type="paragraph" w:customStyle="1" w:styleId="Default">
    <w:name w:val="Default"/>
    <w:rsid w:val="006A1858"/>
    <w:pPr>
      <w:autoSpaceDE w:val="0"/>
      <w:autoSpaceDN w:val="0"/>
      <w:adjustRightInd w:val="0"/>
      <w:spacing w:before="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223490561">
      <w:bodyDiv w:val="1"/>
      <w:marLeft w:val="0"/>
      <w:marRight w:val="0"/>
      <w:marTop w:val="0"/>
      <w:marBottom w:val="0"/>
      <w:divBdr>
        <w:top w:val="none" w:sz="0" w:space="0" w:color="auto"/>
        <w:left w:val="none" w:sz="0" w:space="0" w:color="auto"/>
        <w:bottom w:val="none" w:sz="0" w:space="0" w:color="auto"/>
        <w:right w:val="none" w:sz="0" w:space="0" w:color="auto"/>
      </w:divBdr>
    </w:div>
    <w:div w:id="275253510">
      <w:bodyDiv w:val="1"/>
      <w:marLeft w:val="0"/>
      <w:marRight w:val="0"/>
      <w:marTop w:val="0"/>
      <w:marBottom w:val="0"/>
      <w:divBdr>
        <w:top w:val="none" w:sz="0" w:space="0" w:color="auto"/>
        <w:left w:val="none" w:sz="0" w:space="0" w:color="auto"/>
        <w:bottom w:val="none" w:sz="0" w:space="0" w:color="auto"/>
        <w:right w:val="none" w:sz="0" w:space="0" w:color="auto"/>
      </w:divBdr>
      <w:divsChild>
        <w:div w:id="350573774">
          <w:marLeft w:val="0"/>
          <w:marRight w:val="0"/>
          <w:marTop w:val="0"/>
          <w:marBottom w:val="0"/>
          <w:divBdr>
            <w:top w:val="single" w:sz="6" w:space="0" w:color="auto"/>
            <w:left w:val="single" w:sz="6" w:space="0" w:color="auto"/>
            <w:bottom w:val="single" w:sz="6" w:space="0" w:color="auto"/>
            <w:right w:val="single" w:sz="6" w:space="0" w:color="auto"/>
          </w:divBdr>
          <w:divsChild>
            <w:div w:id="472329046">
              <w:marLeft w:val="0"/>
              <w:marRight w:val="0"/>
              <w:marTop w:val="0"/>
              <w:marBottom w:val="0"/>
              <w:divBdr>
                <w:top w:val="none" w:sz="0" w:space="0" w:color="auto"/>
                <w:left w:val="none" w:sz="0" w:space="0" w:color="auto"/>
                <w:bottom w:val="none" w:sz="0" w:space="0" w:color="auto"/>
                <w:right w:val="none" w:sz="0" w:space="0" w:color="auto"/>
              </w:divBdr>
              <w:divsChild>
                <w:div w:id="140734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547210">
      <w:bodyDiv w:val="1"/>
      <w:marLeft w:val="0"/>
      <w:marRight w:val="0"/>
      <w:marTop w:val="0"/>
      <w:marBottom w:val="0"/>
      <w:divBdr>
        <w:top w:val="none" w:sz="0" w:space="0" w:color="auto"/>
        <w:left w:val="none" w:sz="0" w:space="0" w:color="auto"/>
        <w:bottom w:val="none" w:sz="0" w:space="0" w:color="auto"/>
        <w:right w:val="none" w:sz="0" w:space="0" w:color="auto"/>
      </w:divBdr>
      <w:divsChild>
        <w:div w:id="1615407080">
          <w:marLeft w:val="0"/>
          <w:marRight w:val="0"/>
          <w:marTop w:val="0"/>
          <w:marBottom w:val="0"/>
          <w:divBdr>
            <w:top w:val="none" w:sz="0" w:space="0" w:color="auto"/>
            <w:left w:val="none" w:sz="0" w:space="0" w:color="auto"/>
            <w:bottom w:val="none" w:sz="0" w:space="0" w:color="auto"/>
            <w:right w:val="none" w:sz="0" w:space="0" w:color="auto"/>
          </w:divBdr>
          <w:divsChild>
            <w:div w:id="1271471078">
              <w:marLeft w:val="0"/>
              <w:marRight w:val="0"/>
              <w:marTop w:val="0"/>
              <w:marBottom w:val="0"/>
              <w:divBdr>
                <w:top w:val="none" w:sz="0" w:space="0" w:color="auto"/>
                <w:left w:val="none" w:sz="0" w:space="0" w:color="auto"/>
                <w:bottom w:val="none" w:sz="0" w:space="0" w:color="auto"/>
                <w:right w:val="none" w:sz="0" w:space="0" w:color="auto"/>
              </w:divBdr>
              <w:divsChild>
                <w:div w:id="2020426215">
                  <w:marLeft w:val="0"/>
                  <w:marRight w:val="0"/>
                  <w:marTop w:val="0"/>
                  <w:marBottom w:val="0"/>
                  <w:divBdr>
                    <w:top w:val="none" w:sz="0" w:space="0" w:color="auto"/>
                    <w:left w:val="none" w:sz="0" w:space="0" w:color="auto"/>
                    <w:bottom w:val="none" w:sz="0" w:space="0" w:color="auto"/>
                    <w:right w:val="none" w:sz="0" w:space="0" w:color="auto"/>
                  </w:divBdr>
                  <w:divsChild>
                    <w:div w:id="838692127">
                      <w:marLeft w:val="0"/>
                      <w:marRight w:val="0"/>
                      <w:marTop w:val="0"/>
                      <w:marBottom w:val="0"/>
                      <w:divBdr>
                        <w:top w:val="none" w:sz="0" w:space="0" w:color="auto"/>
                        <w:left w:val="none" w:sz="0" w:space="0" w:color="auto"/>
                        <w:bottom w:val="none" w:sz="0" w:space="0" w:color="auto"/>
                        <w:right w:val="none" w:sz="0" w:space="0" w:color="auto"/>
                      </w:divBdr>
                      <w:divsChild>
                        <w:div w:id="1484855963">
                          <w:marLeft w:val="0"/>
                          <w:marRight w:val="0"/>
                          <w:marTop w:val="0"/>
                          <w:marBottom w:val="0"/>
                          <w:divBdr>
                            <w:top w:val="none" w:sz="0" w:space="0" w:color="auto"/>
                            <w:left w:val="none" w:sz="0" w:space="0" w:color="auto"/>
                            <w:bottom w:val="none" w:sz="0" w:space="0" w:color="auto"/>
                            <w:right w:val="none" w:sz="0" w:space="0" w:color="auto"/>
                          </w:divBdr>
                          <w:divsChild>
                            <w:div w:id="2014062667">
                              <w:marLeft w:val="0"/>
                              <w:marRight w:val="0"/>
                              <w:marTop w:val="0"/>
                              <w:marBottom w:val="0"/>
                              <w:divBdr>
                                <w:top w:val="none" w:sz="0" w:space="0" w:color="auto"/>
                                <w:left w:val="none" w:sz="0" w:space="0" w:color="auto"/>
                                <w:bottom w:val="none" w:sz="0" w:space="0" w:color="auto"/>
                                <w:right w:val="none" w:sz="0" w:space="0" w:color="auto"/>
                              </w:divBdr>
                              <w:divsChild>
                                <w:div w:id="196654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3794423">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20777381">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93057215">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837697072">
      <w:bodyDiv w:val="1"/>
      <w:marLeft w:val="0"/>
      <w:marRight w:val="0"/>
      <w:marTop w:val="0"/>
      <w:marBottom w:val="0"/>
      <w:divBdr>
        <w:top w:val="none" w:sz="0" w:space="0" w:color="auto"/>
        <w:left w:val="none" w:sz="0" w:space="0" w:color="auto"/>
        <w:bottom w:val="none" w:sz="0" w:space="0" w:color="auto"/>
        <w:right w:val="none" w:sz="0" w:space="0" w:color="auto"/>
      </w:divBdr>
      <w:divsChild>
        <w:div w:id="1256398124">
          <w:marLeft w:val="1166"/>
          <w:marRight w:val="0"/>
          <w:marTop w:val="77"/>
          <w:marBottom w:val="0"/>
          <w:divBdr>
            <w:top w:val="none" w:sz="0" w:space="0" w:color="auto"/>
            <w:left w:val="none" w:sz="0" w:space="0" w:color="auto"/>
            <w:bottom w:val="none" w:sz="0" w:space="0" w:color="auto"/>
            <w:right w:val="none" w:sz="0" w:space="0" w:color="auto"/>
          </w:divBdr>
        </w:div>
        <w:div w:id="640185459">
          <w:marLeft w:val="1166"/>
          <w:marRight w:val="0"/>
          <w:marTop w:val="77"/>
          <w:marBottom w:val="0"/>
          <w:divBdr>
            <w:top w:val="none" w:sz="0" w:space="0" w:color="auto"/>
            <w:left w:val="none" w:sz="0" w:space="0" w:color="auto"/>
            <w:bottom w:val="none" w:sz="0" w:space="0" w:color="auto"/>
            <w:right w:val="none" w:sz="0" w:space="0" w:color="auto"/>
          </w:divBdr>
        </w:div>
        <w:div w:id="304090504">
          <w:marLeft w:val="1166"/>
          <w:marRight w:val="0"/>
          <w:marTop w:val="77"/>
          <w:marBottom w:val="0"/>
          <w:divBdr>
            <w:top w:val="none" w:sz="0" w:space="0" w:color="auto"/>
            <w:left w:val="none" w:sz="0" w:space="0" w:color="auto"/>
            <w:bottom w:val="none" w:sz="0" w:space="0" w:color="auto"/>
            <w:right w:val="none" w:sz="0" w:space="0" w:color="auto"/>
          </w:divBdr>
        </w:div>
        <w:div w:id="1890385921">
          <w:marLeft w:val="1166"/>
          <w:marRight w:val="0"/>
          <w:marTop w:val="77"/>
          <w:marBottom w:val="0"/>
          <w:divBdr>
            <w:top w:val="none" w:sz="0" w:space="0" w:color="auto"/>
            <w:left w:val="none" w:sz="0" w:space="0" w:color="auto"/>
            <w:bottom w:val="none" w:sz="0" w:space="0" w:color="auto"/>
            <w:right w:val="none" w:sz="0" w:space="0" w:color="auto"/>
          </w:divBdr>
        </w:div>
        <w:div w:id="47726564">
          <w:marLeft w:val="1166"/>
          <w:marRight w:val="0"/>
          <w:marTop w:val="77"/>
          <w:marBottom w:val="0"/>
          <w:divBdr>
            <w:top w:val="none" w:sz="0" w:space="0" w:color="auto"/>
            <w:left w:val="none" w:sz="0" w:space="0" w:color="auto"/>
            <w:bottom w:val="none" w:sz="0" w:space="0" w:color="auto"/>
            <w:right w:val="none" w:sz="0" w:space="0" w:color="auto"/>
          </w:divBdr>
        </w:div>
        <w:div w:id="541215770">
          <w:marLeft w:val="1166"/>
          <w:marRight w:val="0"/>
          <w:marTop w:val="77"/>
          <w:marBottom w:val="0"/>
          <w:divBdr>
            <w:top w:val="none" w:sz="0" w:space="0" w:color="auto"/>
            <w:left w:val="none" w:sz="0" w:space="0" w:color="auto"/>
            <w:bottom w:val="none" w:sz="0" w:space="0" w:color="auto"/>
            <w:right w:val="none" w:sz="0" w:space="0" w:color="auto"/>
          </w:divBdr>
        </w:div>
      </w:divsChild>
    </w:div>
    <w:div w:id="922107787">
      <w:bodyDiv w:val="1"/>
      <w:marLeft w:val="0"/>
      <w:marRight w:val="0"/>
      <w:marTop w:val="0"/>
      <w:marBottom w:val="0"/>
      <w:divBdr>
        <w:top w:val="none" w:sz="0" w:space="0" w:color="auto"/>
        <w:left w:val="none" w:sz="0" w:space="0" w:color="auto"/>
        <w:bottom w:val="none" w:sz="0" w:space="0" w:color="auto"/>
        <w:right w:val="none" w:sz="0" w:space="0" w:color="auto"/>
      </w:divBdr>
    </w:div>
    <w:div w:id="935016129">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984310946">
      <w:bodyDiv w:val="1"/>
      <w:marLeft w:val="0"/>
      <w:marRight w:val="0"/>
      <w:marTop w:val="0"/>
      <w:marBottom w:val="0"/>
      <w:divBdr>
        <w:top w:val="none" w:sz="0" w:space="0" w:color="auto"/>
        <w:left w:val="none" w:sz="0" w:space="0" w:color="auto"/>
        <w:bottom w:val="none" w:sz="0" w:space="0" w:color="auto"/>
        <w:right w:val="none" w:sz="0" w:space="0" w:color="auto"/>
      </w:divBdr>
    </w:div>
    <w:div w:id="984623509">
      <w:bodyDiv w:val="1"/>
      <w:marLeft w:val="0"/>
      <w:marRight w:val="0"/>
      <w:marTop w:val="0"/>
      <w:marBottom w:val="0"/>
      <w:divBdr>
        <w:top w:val="none" w:sz="0" w:space="0" w:color="auto"/>
        <w:left w:val="none" w:sz="0" w:space="0" w:color="auto"/>
        <w:bottom w:val="none" w:sz="0" w:space="0" w:color="auto"/>
        <w:right w:val="none" w:sz="0" w:space="0" w:color="auto"/>
      </w:divBdr>
      <w:divsChild>
        <w:div w:id="1915117936">
          <w:marLeft w:val="547"/>
          <w:marRight w:val="0"/>
          <w:marTop w:val="0"/>
          <w:marBottom w:val="0"/>
          <w:divBdr>
            <w:top w:val="none" w:sz="0" w:space="0" w:color="auto"/>
            <w:left w:val="none" w:sz="0" w:space="0" w:color="auto"/>
            <w:bottom w:val="none" w:sz="0" w:space="0" w:color="auto"/>
            <w:right w:val="none" w:sz="0" w:space="0" w:color="auto"/>
          </w:divBdr>
        </w:div>
      </w:divsChild>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61171424">
      <w:bodyDiv w:val="1"/>
      <w:marLeft w:val="0"/>
      <w:marRight w:val="0"/>
      <w:marTop w:val="0"/>
      <w:marBottom w:val="0"/>
      <w:divBdr>
        <w:top w:val="none" w:sz="0" w:space="0" w:color="auto"/>
        <w:left w:val="none" w:sz="0" w:space="0" w:color="auto"/>
        <w:bottom w:val="none" w:sz="0" w:space="0" w:color="auto"/>
        <w:right w:val="none" w:sz="0" w:space="0" w:color="auto"/>
      </w:divBdr>
      <w:divsChild>
        <w:div w:id="839735087">
          <w:marLeft w:val="0"/>
          <w:marRight w:val="0"/>
          <w:marTop w:val="0"/>
          <w:marBottom w:val="0"/>
          <w:divBdr>
            <w:top w:val="none" w:sz="0" w:space="0" w:color="auto"/>
            <w:left w:val="none" w:sz="0" w:space="0" w:color="auto"/>
            <w:bottom w:val="none" w:sz="0" w:space="0" w:color="auto"/>
            <w:right w:val="none" w:sz="0" w:space="0" w:color="auto"/>
          </w:divBdr>
          <w:divsChild>
            <w:div w:id="1818066677">
              <w:marLeft w:val="0"/>
              <w:marRight w:val="0"/>
              <w:marTop w:val="0"/>
              <w:marBottom w:val="0"/>
              <w:divBdr>
                <w:top w:val="none" w:sz="0" w:space="0" w:color="auto"/>
                <w:left w:val="none" w:sz="0" w:space="0" w:color="auto"/>
                <w:bottom w:val="none" w:sz="0" w:space="0" w:color="auto"/>
                <w:right w:val="none" w:sz="0" w:space="0" w:color="auto"/>
              </w:divBdr>
              <w:divsChild>
                <w:div w:id="1656182069">
                  <w:marLeft w:val="0"/>
                  <w:marRight w:val="0"/>
                  <w:marTop w:val="0"/>
                  <w:marBottom w:val="0"/>
                  <w:divBdr>
                    <w:top w:val="none" w:sz="0" w:space="0" w:color="auto"/>
                    <w:left w:val="none" w:sz="0" w:space="0" w:color="auto"/>
                    <w:bottom w:val="none" w:sz="0" w:space="0" w:color="auto"/>
                    <w:right w:val="none" w:sz="0" w:space="0" w:color="auto"/>
                  </w:divBdr>
                  <w:divsChild>
                    <w:div w:id="1739353362">
                      <w:marLeft w:val="0"/>
                      <w:marRight w:val="0"/>
                      <w:marTop w:val="0"/>
                      <w:marBottom w:val="0"/>
                      <w:divBdr>
                        <w:top w:val="none" w:sz="0" w:space="0" w:color="auto"/>
                        <w:left w:val="none" w:sz="0" w:space="0" w:color="auto"/>
                        <w:bottom w:val="none" w:sz="0" w:space="0" w:color="auto"/>
                        <w:right w:val="none" w:sz="0" w:space="0" w:color="auto"/>
                      </w:divBdr>
                      <w:divsChild>
                        <w:div w:id="246882893">
                          <w:marLeft w:val="0"/>
                          <w:marRight w:val="0"/>
                          <w:marTop w:val="0"/>
                          <w:marBottom w:val="0"/>
                          <w:divBdr>
                            <w:top w:val="none" w:sz="0" w:space="0" w:color="auto"/>
                            <w:left w:val="none" w:sz="0" w:space="0" w:color="auto"/>
                            <w:bottom w:val="none" w:sz="0" w:space="0" w:color="auto"/>
                            <w:right w:val="none" w:sz="0" w:space="0" w:color="auto"/>
                          </w:divBdr>
                          <w:divsChild>
                            <w:div w:id="1534613977">
                              <w:marLeft w:val="0"/>
                              <w:marRight w:val="0"/>
                              <w:marTop w:val="0"/>
                              <w:marBottom w:val="0"/>
                              <w:divBdr>
                                <w:top w:val="none" w:sz="0" w:space="0" w:color="auto"/>
                                <w:left w:val="none" w:sz="0" w:space="0" w:color="auto"/>
                                <w:bottom w:val="none" w:sz="0" w:space="0" w:color="auto"/>
                                <w:right w:val="none" w:sz="0" w:space="0" w:color="auto"/>
                              </w:divBdr>
                              <w:divsChild>
                                <w:div w:id="478424533">
                                  <w:marLeft w:val="0"/>
                                  <w:marRight w:val="0"/>
                                  <w:marTop w:val="0"/>
                                  <w:marBottom w:val="0"/>
                                  <w:divBdr>
                                    <w:top w:val="none" w:sz="0" w:space="0" w:color="auto"/>
                                    <w:left w:val="none" w:sz="0" w:space="0" w:color="auto"/>
                                    <w:bottom w:val="none" w:sz="0" w:space="0" w:color="auto"/>
                                    <w:right w:val="none" w:sz="0" w:space="0" w:color="auto"/>
                                  </w:divBdr>
                                  <w:divsChild>
                                    <w:div w:id="250091209">
                                      <w:marLeft w:val="0"/>
                                      <w:marRight w:val="0"/>
                                      <w:marTop w:val="0"/>
                                      <w:marBottom w:val="0"/>
                                      <w:divBdr>
                                        <w:top w:val="none" w:sz="0" w:space="0" w:color="auto"/>
                                        <w:left w:val="none" w:sz="0" w:space="0" w:color="auto"/>
                                        <w:bottom w:val="none" w:sz="0" w:space="0" w:color="auto"/>
                                        <w:right w:val="none" w:sz="0" w:space="0" w:color="auto"/>
                                      </w:divBdr>
                                      <w:divsChild>
                                        <w:div w:id="2025471631">
                                          <w:marLeft w:val="0"/>
                                          <w:marRight w:val="0"/>
                                          <w:marTop w:val="0"/>
                                          <w:marBottom w:val="0"/>
                                          <w:divBdr>
                                            <w:top w:val="none" w:sz="0" w:space="0" w:color="auto"/>
                                            <w:left w:val="none" w:sz="0" w:space="0" w:color="auto"/>
                                            <w:bottom w:val="none" w:sz="0" w:space="0" w:color="auto"/>
                                            <w:right w:val="none" w:sz="0" w:space="0" w:color="auto"/>
                                          </w:divBdr>
                                          <w:divsChild>
                                            <w:div w:id="945163428">
                                              <w:marLeft w:val="0"/>
                                              <w:marRight w:val="0"/>
                                              <w:marTop w:val="0"/>
                                              <w:marBottom w:val="0"/>
                                              <w:divBdr>
                                                <w:top w:val="none" w:sz="0" w:space="0" w:color="auto"/>
                                                <w:left w:val="none" w:sz="0" w:space="0" w:color="auto"/>
                                                <w:bottom w:val="none" w:sz="0" w:space="0" w:color="auto"/>
                                                <w:right w:val="none" w:sz="0" w:space="0" w:color="auto"/>
                                              </w:divBdr>
                                              <w:divsChild>
                                                <w:div w:id="358047302">
                                                  <w:marLeft w:val="0"/>
                                                  <w:marRight w:val="0"/>
                                                  <w:marTop w:val="0"/>
                                                  <w:marBottom w:val="0"/>
                                                  <w:divBdr>
                                                    <w:top w:val="none" w:sz="0" w:space="0" w:color="auto"/>
                                                    <w:left w:val="none" w:sz="0" w:space="0" w:color="auto"/>
                                                    <w:bottom w:val="none" w:sz="0" w:space="0" w:color="auto"/>
                                                    <w:right w:val="none" w:sz="0" w:space="0" w:color="auto"/>
                                                  </w:divBdr>
                                                  <w:divsChild>
                                                    <w:div w:id="11231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4888083">
      <w:bodyDiv w:val="1"/>
      <w:marLeft w:val="0"/>
      <w:marRight w:val="0"/>
      <w:marTop w:val="0"/>
      <w:marBottom w:val="0"/>
      <w:divBdr>
        <w:top w:val="none" w:sz="0" w:space="0" w:color="auto"/>
        <w:left w:val="none" w:sz="0" w:space="0" w:color="auto"/>
        <w:bottom w:val="none" w:sz="0" w:space="0" w:color="auto"/>
        <w:right w:val="none" w:sz="0" w:space="0" w:color="auto"/>
      </w:divBdr>
      <w:divsChild>
        <w:div w:id="1358699984">
          <w:marLeft w:val="0"/>
          <w:marRight w:val="0"/>
          <w:marTop w:val="0"/>
          <w:marBottom w:val="0"/>
          <w:divBdr>
            <w:top w:val="none" w:sz="0" w:space="0" w:color="auto"/>
            <w:left w:val="none" w:sz="0" w:space="0" w:color="auto"/>
            <w:bottom w:val="none" w:sz="0" w:space="0" w:color="auto"/>
            <w:right w:val="none" w:sz="0" w:space="0" w:color="auto"/>
          </w:divBdr>
          <w:divsChild>
            <w:div w:id="1461649800">
              <w:marLeft w:val="-225"/>
              <w:marRight w:val="-225"/>
              <w:marTop w:val="0"/>
              <w:marBottom w:val="0"/>
              <w:divBdr>
                <w:top w:val="none" w:sz="0" w:space="0" w:color="auto"/>
                <w:left w:val="none" w:sz="0" w:space="0" w:color="auto"/>
                <w:bottom w:val="none" w:sz="0" w:space="0" w:color="auto"/>
                <w:right w:val="none" w:sz="0" w:space="0" w:color="auto"/>
              </w:divBdr>
              <w:divsChild>
                <w:div w:id="1367481418">
                  <w:marLeft w:val="0"/>
                  <w:marRight w:val="0"/>
                  <w:marTop w:val="0"/>
                  <w:marBottom w:val="0"/>
                  <w:divBdr>
                    <w:top w:val="none" w:sz="0" w:space="0" w:color="auto"/>
                    <w:left w:val="none" w:sz="0" w:space="0" w:color="auto"/>
                    <w:bottom w:val="none" w:sz="0" w:space="0" w:color="auto"/>
                    <w:right w:val="none" w:sz="0" w:space="0" w:color="auto"/>
                  </w:divBdr>
                  <w:divsChild>
                    <w:div w:id="1989816756">
                      <w:marLeft w:val="0"/>
                      <w:marRight w:val="0"/>
                      <w:marTop w:val="0"/>
                      <w:marBottom w:val="0"/>
                      <w:divBdr>
                        <w:top w:val="none" w:sz="0" w:space="0" w:color="auto"/>
                        <w:left w:val="none" w:sz="0" w:space="0" w:color="auto"/>
                        <w:bottom w:val="none" w:sz="0" w:space="0" w:color="auto"/>
                        <w:right w:val="none" w:sz="0" w:space="0" w:color="auto"/>
                      </w:divBdr>
                      <w:divsChild>
                        <w:div w:id="2040230269">
                          <w:marLeft w:val="0"/>
                          <w:marRight w:val="0"/>
                          <w:marTop w:val="0"/>
                          <w:marBottom w:val="0"/>
                          <w:divBdr>
                            <w:top w:val="none" w:sz="0" w:space="0" w:color="auto"/>
                            <w:left w:val="none" w:sz="0" w:space="0" w:color="auto"/>
                            <w:bottom w:val="none" w:sz="0" w:space="0" w:color="auto"/>
                            <w:right w:val="none" w:sz="0" w:space="0" w:color="auto"/>
                          </w:divBdr>
                          <w:divsChild>
                            <w:div w:id="1461800632">
                              <w:marLeft w:val="0"/>
                              <w:marRight w:val="0"/>
                              <w:marTop w:val="0"/>
                              <w:marBottom w:val="0"/>
                              <w:divBdr>
                                <w:top w:val="none" w:sz="0" w:space="0" w:color="auto"/>
                                <w:left w:val="none" w:sz="0" w:space="0" w:color="auto"/>
                                <w:bottom w:val="none" w:sz="0" w:space="0" w:color="auto"/>
                                <w:right w:val="none" w:sz="0" w:space="0" w:color="auto"/>
                              </w:divBdr>
                              <w:divsChild>
                                <w:div w:id="13226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8783035">
      <w:bodyDiv w:val="1"/>
      <w:marLeft w:val="0"/>
      <w:marRight w:val="0"/>
      <w:marTop w:val="0"/>
      <w:marBottom w:val="0"/>
      <w:divBdr>
        <w:top w:val="none" w:sz="0" w:space="0" w:color="auto"/>
        <w:left w:val="none" w:sz="0" w:space="0" w:color="auto"/>
        <w:bottom w:val="none" w:sz="0" w:space="0" w:color="auto"/>
        <w:right w:val="none" w:sz="0" w:space="0" w:color="auto"/>
      </w:divBdr>
    </w:div>
    <w:div w:id="1507405219">
      <w:bodyDiv w:val="1"/>
      <w:marLeft w:val="0"/>
      <w:marRight w:val="0"/>
      <w:marTop w:val="0"/>
      <w:marBottom w:val="0"/>
      <w:divBdr>
        <w:top w:val="none" w:sz="0" w:space="0" w:color="auto"/>
        <w:left w:val="none" w:sz="0" w:space="0" w:color="auto"/>
        <w:bottom w:val="none" w:sz="0" w:space="0" w:color="auto"/>
        <w:right w:val="none" w:sz="0" w:space="0" w:color="auto"/>
      </w:divBdr>
      <w:divsChild>
        <w:div w:id="1036615478">
          <w:marLeft w:val="547"/>
          <w:marRight w:val="0"/>
          <w:marTop w:val="0"/>
          <w:marBottom w:val="0"/>
          <w:divBdr>
            <w:top w:val="none" w:sz="0" w:space="0" w:color="auto"/>
            <w:left w:val="none" w:sz="0" w:space="0" w:color="auto"/>
            <w:bottom w:val="none" w:sz="0" w:space="0" w:color="auto"/>
            <w:right w:val="none" w:sz="0" w:space="0" w:color="auto"/>
          </w:divBdr>
        </w:div>
      </w:divsChild>
    </w:div>
    <w:div w:id="1770201201">
      <w:bodyDiv w:val="1"/>
      <w:marLeft w:val="0"/>
      <w:marRight w:val="0"/>
      <w:marTop w:val="0"/>
      <w:marBottom w:val="0"/>
      <w:divBdr>
        <w:top w:val="none" w:sz="0" w:space="0" w:color="auto"/>
        <w:left w:val="none" w:sz="0" w:space="0" w:color="auto"/>
        <w:bottom w:val="none" w:sz="0" w:space="0" w:color="auto"/>
        <w:right w:val="none" w:sz="0" w:space="0" w:color="auto"/>
      </w:divBdr>
    </w:div>
    <w:div w:id="1907833637">
      <w:bodyDiv w:val="1"/>
      <w:marLeft w:val="0"/>
      <w:marRight w:val="0"/>
      <w:marTop w:val="0"/>
      <w:marBottom w:val="0"/>
      <w:divBdr>
        <w:top w:val="none" w:sz="0" w:space="0" w:color="auto"/>
        <w:left w:val="none" w:sz="0" w:space="0" w:color="auto"/>
        <w:bottom w:val="none" w:sz="0" w:space="0" w:color="auto"/>
        <w:right w:val="none" w:sz="0" w:space="0" w:color="auto"/>
      </w:divBdr>
    </w:div>
    <w:div w:id="1930960808">
      <w:bodyDiv w:val="1"/>
      <w:marLeft w:val="0"/>
      <w:marRight w:val="0"/>
      <w:marTop w:val="0"/>
      <w:marBottom w:val="0"/>
      <w:divBdr>
        <w:top w:val="none" w:sz="0" w:space="0" w:color="auto"/>
        <w:left w:val="none" w:sz="0" w:space="0" w:color="auto"/>
        <w:bottom w:val="none" w:sz="0" w:space="0" w:color="auto"/>
        <w:right w:val="none" w:sz="0" w:space="0" w:color="auto"/>
      </w:divBdr>
      <w:divsChild>
        <w:div w:id="1122382858">
          <w:marLeft w:val="0"/>
          <w:marRight w:val="0"/>
          <w:marTop w:val="0"/>
          <w:marBottom w:val="0"/>
          <w:divBdr>
            <w:top w:val="none" w:sz="0" w:space="0" w:color="auto"/>
            <w:left w:val="none" w:sz="0" w:space="0" w:color="auto"/>
            <w:bottom w:val="none" w:sz="0" w:space="0" w:color="auto"/>
            <w:right w:val="none" w:sz="0" w:space="0" w:color="auto"/>
          </w:divBdr>
          <w:divsChild>
            <w:div w:id="420685992">
              <w:marLeft w:val="0"/>
              <w:marRight w:val="0"/>
              <w:marTop w:val="0"/>
              <w:marBottom w:val="0"/>
              <w:divBdr>
                <w:top w:val="none" w:sz="0" w:space="0" w:color="auto"/>
                <w:left w:val="none" w:sz="0" w:space="0" w:color="auto"/>
                <w:bottom w:val="none" w:sz="0" w:space="0" w:color="auto"/>
                <w:right w:val="none" w:sz="0" w:space="0" w:color="auto"/>
              </w:divBdr>
              <w:divsChild>
                <w:div w:id="1853255682">
                  <w:marLeft w:val="0"/>
                  <w:marRight w:val="0"/>
                  <w:marTop w:val="0"/>
                  <w:marBottom w:val="0"/>
                  <w:divBdr>
                    <w:top w:val="none" w:sz="0" w:space="0" w:color="auto"/>
                    <w:left w:val="none" w:sz="0" w:space="0" w:color="auto"/>
                    <w:bottom w:val="none" w:sz="0" w:space="0" w:color="auto"/>
                    <w:right w:val="none" w:sz="0" w:space="0" w:color="auto"/>
                  </w:divBdr>
                  <w:divsChild>
                    <w:div w:id="81151657">
                      <w:marLeft w:val="0"/>
                      <w:marRight w:val="0"/>
                      <w:marTop w:val="0"/>
                      <w:marBottom w:val="0"/>
                      <w:divBdr>
                        <w:top w:val="none" w:sz="0" w:space="0" w:color="auto"/>
                        <w:left w:val="none" w:sz="0" w:space="0" w:color="auto"/>
                        <w:bottom w:val="none" w:sz="0" w:space="0" w:color="auto"/>
                        <w:right w:val="none" w:sz="0" w:space="0" w:color="auto"/>
                      </w:divBdr>
                      <w:divsChild>
                        <w:div w:id="888103773">
                          <w:marLeft w:val="0"/>
                          <w:marRight w:val="0"/>
                          <w:marTop w:val="0"/>
                          <w:marBottom w:val="0"/>
                          <w:divBdr>
                            <w:top w:val="none" w:sz="0" w:space="0" w:color="auto"/>
                            <w:left w:val="none" w:sz="0" w:space="0" w:color="auto"/>
                            <w:bottom w:val="none" w:sz="0" w:space="0" w:color="auto"/>
                            <w:right w:val="none" w:sz="0" w:space="0" w:color="auto"/>
                          </w:divBdr>
                          <w:divsChild>
                            <w:div w:id="429620464">
                              <w:marLeft w:val="0"/>
                              <w:marRight w:val="0"/>
                              <w:marTop w:val="0"/>
                              <w:marBottom w:val="0"/>
                              <w:divBdr>
                                <w:top w:val="none" w:sz="0" w:space="0" w:color="auto"/>
                                <w:left w:val="none" w:sz="0" w:space="0" w:color="auto"/>
                                <w:bottom w:val="none" w:sz="0" w:space="0" w:color="auto"/>
                                <w:right w:val="none" w:sz="0" w:space="0" w:color="auto"/>
                              </w:divBdr>
                              <w:divsChild>
                                <w:div w:id="876240133">
                                  <w:marLeft w:val="0"/>
                                  <w:marRight w:val="0"/>
                                  <w:marTop w:val="0"/>
                                  <w:marBottom w:val="0"/>
                                  <w:divBdr>
                                    <w:top w:val="none" w:sz="0" w:space="0" w:color="auto"/>
                                    <w:left w:val="none" w:sz="0" w:space="0" w:color="auto"/>
                                    <w:bottom w:val="none" w:sz="0" w:space="0" w:color="auto"/>
                                    <w:right w:val="none" w:sz="0" w:space="0" w:color="auto"/>
                                  </w:divBdr>
                                  <w:divsChild>
                                    <w:div w:id="614947427">
                                      <w:marLeft w:val="0"/>
                                      <w:marRight w:val="0"/>
                                      <w:marTop w:val="0"/>
                                      <w:marBottom w:val="0"/>
                                      <w:divBdr>
                                        <w:top w:val="none" w:sz="0" w:space="0" w:color="auto"/>
                                        <w:left w:val="none" w:sz="0" w:space="0" w:color="auto"/>
                                        <w:bottom w:val="none" w:sz="0" w:space="0" w:color="auto"/>
                                        <w:right w:val="none" w:sz="0" w:space="0" w:color="auto"/>
                                      </w:divBdr>
                                      <w:divsChild>
                                        <w:div w:id="987978809">
                                          <w:marLeft w:val="0"/>
                                          <w:marRight w:val="0"/>
                                          <w:marTop w:val="0"/>
                                          <w:marBottom w:val="0"/>
                                          <w:divBdr>
                                            <w:top w:val="none" w:sz="0" w:space="0" w:color="auto"/>
                                            <w:left w:val="none" w:sz="0" w:space="0" w:color="auto"/>
                                            <w:bottom w:val="none" w:sz="0" w:space="0" w:color="auto"/>
                                            <w:right w:val="none" w:sz="0" w:space="0" w:color="auto"/>
                                          </w:divBdr>
                                          <w:divsChild>
                                            <w:div w:id="306976901">
                                              <w:marLeft w:val="0"/>
                                              <w:marRight w:val="0"/>
                                              <w:marTop w:val="0"/>
                                              <w:marBottom w:val="0"/>
                                              <w:divBdr>
                                                <w:top w:val="none" w:sz="0" w:space="0" w:color="auto"/>
                                                <w:left w:val="none" w:sz="0" w:space="0" w:color="auto"/>
                                                <w:bottom w:val="none" w:sz="0" w:space="0" w:color="auto"/>
                                                <w:right w:val="none" w:sz="0" w:space="0" w:color="auto"/>
                                              </w:divBdr>
                                              <w:divsChild>
                                                <w:div w:id="1692759095">
                                                  <w:marLeft w:val="0"/>
                                                  <w:marRight w:val="0"/>
                                                  <w:marTop w:val="0"/>
                                                  <w:marBottom w:val="0"/>
                                                  <w:divBdr>
                                                    <w:top w:val="none" w:sz="0" w:space="0" w:color="auto"/>
                                                    <w:left w:val="none" w:sz="0" w:space="0" w:color="auto"/>
                                                    <w:bottom w:val="none" w:sz="0" w:space="0" w:color="auto"/>
                                                    <w:right w:val="none" w:sz="0" w:space="0" w:color="auto"/>
                                                  </w:divBdr>
                                                  <w:divsChild>
                                                    <w:div w:id="155533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 w:id="2089960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ateofreturn@aer.gov.au" TargetMode="External"/><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rateofreturn@aer.gov.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rateofreturn@aer.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ublishing.unit@accc.gov.au" TargetMode="External"/><Relationship Id="rId5" Type="http://schemas.microsoft.com/office/2007/relationships/stylesWithEffects" Target="stylesWithEffects.xml"/><Relationship Id="rId15" Type="http://schemas.openxmlformats.org/officeDocument/2006/relationships/hyperlink" Target="mailto:rateofreturn@aer.gov.au" TargetMode="External"/><Relationship Id="rId10" Type="http://schemas.openxmlformats.org/officeDocument/2006/relationships/image" Target="media/image1.jpeg"/><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rateofreturn@aer.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comcom.govt.nz/regulated-industries/input-methodologies-2/archive/cost-of-capital-archive/cost-of-capital-extracts-from-input-methodology-reasons-papers-and-expert-reports/" TargetMode="External"/><Relationship Id="rId1" Type="http://schemas.openxmlformats.org/officeDocument/2006/relationships/hyperlink" Target="https://www.aer.gov.au/networks-pipelines/guidelines-schemes-models-reviews/review-of-rate-of-return-guideline/initiation"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A62F201-9E63-42F5-B403-986989DF5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9CE2E32E</Template>
  <TotalTime>0</TotalTime>
  <Pages>37</Pages>
  <Words>11599</Words>
  <Characters>66118</Characters>
  <Application>Microsoft Office Word</Application>
  <DocSecurity>4</DocSecurity>
  <Lines>550</Lines>
  <Paragraphs>155</Paragraphs>
  <ScaleCrop>false</ScaleCrop>
  <HeadingPairs>
    <vt:vector size="2" baseType="variant">
      <vt:variant>
        <vt:lpstr>Title</vt:lpstr>
      </vt:variant>
      <vt:variant>
        <vt:i4>1</vt:i4>
      </vt:variant>
    </vt:vector>
  </HeadingPairs>
  <TitlesOfParts>
    <vt:vector size="1" baseType="lpstr">
      <vt:lpstr/>
    </vt:vector>
  </TitlesOfParts>
  <Company>ACCC</Company>
  <LinksUpToDate>false</LinksUpToDate>
  <CharactersWithSpaces>77562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Fincham, Kevin</dc:creator>
  <cp:lastModifiedBy>Young, Adam</cp:lastModifiedBy>
  <cp:revision>2</cp:revision>
  <dcterms:created xsi:type="dcterms:W3CDTF">2017-11-27T05:54:00Z</dcterms:created>
  <dcterms:modified xsi:type="dcterms:W3CDTF">2017-11-27T05:54:00Z</dcterms:modified>
</cp:coreProperties>
</file>