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0E19" w:rsidRDefault="00CC49D4" w:rsidP="00A363F7">
      <w:pPr>
        <w:pStyle w:val="AERbodytextindent1"/>
      </w:pPr>
      <w:r w:rsidRPr="00824CC8">
        <w:rPr>
          <w:noProof/>
          <w:lang w:eastAsia="en-AU"/>
        </w:rPr>
        <w:drawing>
          <wp:anchor distT="0" distB="0" distL="114300" distR="114300" simplePos="0" relativeHeight="251661312" behindDoc="1" locked="0" layoutInCell="1" allowOverlap="1" wp14:anchorId="14ADBFE1" wp14:editId="68A6CDC3">
            <wp:simplePos x="0" y="0"/>
            <wp:positionH relativeFrom="column">
              <wp:posOffset>8280400</wp:posOffset>
            </wp:positionH>
            <wp:positionV relativeFrom="paragraph">
              <wp:posOffset>-946150</wp:posOffset>
            </wp:positionV>
            <wp:extent cx="7635875" cy="10784205"/>
            <wp:effectExtent l="19050" t="0" r="3175" b="0"/>
            <wp:wrapNone/>
            <wp:docPr id="2" name="Picture 2" descr="AER-final-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R-final-orange"/>
                    <pic:cNvPicPr>
                      <a:picLocks noChangeAspect="1" noChangeArrowheads="1"/>
                    </pic:cNvPicPr>
                  </pic:nvPicPr>
                  <pic:blipFill>
                    <a:blip r:embed="rId9" cstate="print"/>
                    <a:srcRect/>
                    <a:stretch>
                      <a:fillRect/>
                    </a:stretch>
                  </pic:blipFill>
                  <pic:spPr bwMode="auto">
                    <a:xfrm>
                      <a:off x="0" y="0"/>
                      <a:ext cx="7635875" cy="10784205"/>
                    </a:xfrm>
                    <a:prstGeom prst="rect">
                      <a:avLst/>
                    </a:prstGeom>
                    <a:noFill/>
                    <a:ln w="9525">
                      <a:noFill/>
                      <a:miter lim="800000"/>
                      <a:headEnd/>
                      <a:tailEnd/>
                    </a:ln>
                  </pic:spPr>
                </pic:pic>
              </a:graphicData>
            </a:graphic>
          </wp:anchor>
        </w:drawing>
      </w:r>
      <w:r w:rsidR="00EF0E19" w:rsidRPr="00824CC8">
        <w:rPr>
          <w:noProof/>
          <w:lang w:eastAsia="en-AU"/>
        </w:rPr>
        <w:drawing>
          <wp:anchor distT="0" distB="0" distL="114300" distR="114300" simplePos="0" relativeHeight="251663360" behindDoc="1" locked="0" layoutInCell="1" allowOverlap="1" wp14:anchorId="54B9953F" wp14:editId="6E9F832D">
            <wp:simplePos x="0" y="0"/>
            <wp:positionH relativeFrom="column">
              <wp:posOffset>-926097</wp:posOffset>
            </wp:positionH>
            <wp:positionV relativeFrom="paragraph">
              <wp:posOffset>-925033</wp:posOffset>
            </wp:positionV>
            <wp:extent cx="7576244" cy="10706986"/>
            <wp:effectExtent l="19050" t="0" r="5656" b="0"/>
            <wp:wrapNone/>
            <wp:docPr id="39" name="Picture 2" descr="AER-final-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R-final-orange"/>
                    <pic:cNvPicPr>
                      <a:picLocks noChangeAspect="1" noChangeArrowheads="1"/>
                    </pic:cNvPicPr>
                  </pic:nvPicPr>
                  <pic:blipFill>
                    <a:blip r:embed="rId9" cstate="print"/>
                    <a:srcRect/>
                    <a:stretch>
                      <a:fillRect/>
                    </a:stretch>
                  </pic:blipFill>
                  <pic:spPr bwMode="auto">
                    <a:xfrm>
                      <a:off x="0" y="0"/>
                      <a:ext cx="7576244" cy="10706986"/>
                    </a:xfrm>
                    <a:prstGeom prst="rect">
                      <a:avLst/>
                    </a:prstGeom>
                    <a:noFill/>
                    <a:ln w="9525">
                      <a:noFill/>
                      <a:miter lim="800000"/>
                      <a:headEnd/>
                      <a:tailEnd/>
                    </a:ln>
                  </pic:spPr>
                </pic:pic>
              </a:graphicData>
            </a:graphic>
          </wp:anchor>
        </w:drawing>
      </w:r>
    </w:p>
    <w:p w:rsidR="00EF0E19" w:rsidRDefault="00EF0E19" w:rsidP="00EF0E19"/>
    <w:p w:rsidR="00EF0E19" w:rsidRDefault="00EF0E19" w:rsidP="00EF0E19"/>
    <w:p w:rsidR="00EF0E19" w:rsidRDefault="00EF0E19" w:rsidP="00EF0E19">
      <w:bookmarkStart w:id="0" w:name="OLE_LINK1"/>
      <w:bookmarkStart w:id="1" w:name="OLE_LINK2"/>
    </w:p>
    <w:p w:rsidR="00EF0E19" w:rsidRDefault="00EF0E19" w:rsidP="00EF0E19"/>
    <w:p w:rsidR="00EF0E19" w:rsidRDefault="00EF0E19" w:rsidP="00EF0E19"/>
    <w:p w:rsidR="00EF0E19" w:rsidRDefault="00EF0E19" w:rsidP="00EF0E19"/>
    <w:p w:rsidR="00EF0E19" w:rsidRDefault="00EF0E19" w:rsidP="00EF0E19"/>
    <w:p w:rsidR="00EF0E19" w:rsidRDefault="00EF0E19" w:rsidP="00EF0E19">
      <w:pPr>
        <w:pStyle w:val="AERtitle1"/>
      </w:pPr>
    </w:p>
    <w:p w:rsidR="00EF0E19" w:rsidRDefault="00EF0E19" w:rsidP="00EF0E19">
      <w:pPr>
        <w:pStyle w:val="AERtitle1"/>
      </w:pPr>
    </w:p>
    <w:p w:rsidR="00537872" w:rsidRDefault="009B431A" w:rsidP="00070FCB">
      <w:pPr>
        <w:pStyle w:val="AERtitle1"/>
      </w:pPr>
      <w:r>
        <w:t xml:space="preserve"> </w:t>
      </w:r>
      <w:r w:rsidR="00070FCB">
        <w:t xml:space="preserve"> </w:t>
      </w:r>
      <w:r>
        <w:t>R</w:t>
      </w:r>
      <w:r w:rsidR="00537872">
        <w:t>eplace</w:t>
      </w:r>
      <w:r w:rsidR="00480CDD">
        <w:t>ment of</w:t>
      </w:r>
      <w:r w:rsidR="005E5EB6">
        <w:t xml:space="preserve"> the</w:t>
      </w:r>
      <w:r w:rsidR="00537872">
        <w:t xml:space="preserve"> framework and </w:t>
      </w:r>
      <w:r w:rsidR="008A11B7">
        <w:t>approach for</w:t>
      </w:r>
      <w:r w:rsidR="005E5EB6">
        <w:t xml:space="preserve"> </w:t>
      </w:r>
      <w:r w:rsidR="00537872">
        <w:t>Queensland and South Australia</w:t>
      </w:r>
      <w:r w:rsidR="00684620">
        <w:t>n</w:t>
      </w:r>
      <w:r w:rsidR="00537872">
        <w:t xml:space="preserve"> electricity distribution businesses</w:t>
      </w:r>
      <w:r w:rsidR="005E5EB6">
        <w:t>, 2015</w:t>
      </w:r>
      <w:r w:rsidR="005E5EB6">
        <w:rPr>
          <w:rFonts w:cs="Gautami"/>
        </w:rPr>
        <w:t>–</w:t>
      </w:r>
      <w:r w:rsidR="005E5EB6">
        <w:t>2020</w:t>
      </w:r>
    </w:p>
    <w:p w:rsidR="00EF0E19" w:rsidRDefault="00EF0E19" w:rsidP="00EF0E19"/>
    <w:p w:rsidR="00EF0E19" w:rsidRDefault="00EF0E19" w:rsidP="00EF0E19"/>
    <w:p w:rsidR="00EF0E19" w:rsidRPr="00F6235D" w:rsidRDefault="00EF0E19" w:rsidP="00EF0E19"/>
    <w:bookmarkEnd w:id="0"/>
    <w:bookmarkEnd w:id="1"/>
    <w:p w:rsidR="00EF0E19" w:rsidRDefault="00A363F7" w:rsidP="00EF0E19">
      <w:pPr>
        <w:pStyle w:val="AERtitle2"/>
      </w:pPr>
      <w:r>
        <w:t>September 2013</w:t>
      </w:r>
    </w:p>
    <w:p w:rsidR="00EF0E19" w:rsidRPr="00824CC8" w:rsidRDefault="00EF0E19" w:rsidP="00824CC8">
      <w:pPr>
        <w:rPr>
          <w:rStyle w:val="AERtextbold"/>
        </w:rPr>
      </w:pPr>
      <w:r>
        <w:rPr>
          <w:rStyle w:val="AERtextbold"/>
        </w:rPr>
        <w:br w:type="page"/>
      </w:r>
    </w:p>
    <w:p w:rsidR="00EF0E19" w:rsidRPr="008F1A4A" w:rsidRDefault="00EF0E19" w:rsidP="00F97CD9">
      <w:pPr>
        <w:pStyle w:val="AERbodytextnospace"/>
        <w:numPr>
          <w:ilvl w:val="0"/>
          <w:numId w:val="13"/>
        </w:numPr>
        <w:rPr>
          <w:rStyle w:val="AERtextbold"/>
        </w:rPr>
      </w:pPr>
      <w:r w:rsidRPr="008F1A4A">
        <w:rPr>
          <w:rStyle w:val="AERtextbold"/>
        </w:rPr>
        <w:lastRenderedPageBreak/>
        <w:t xml:space="preserve">© Commonwealth of Australia </w:t>
      </w:r>
      <w:r w:rsidR="00A363F7">
        <w:rPr>
          <w:rStyle w:val="AERtextbold"/>
        </w:rPr>
        <w:t>2013</w:t>
      </w:r>
    </w:p>
    <w:p w:rsidR="00EF0E19" w:rsidRPr="00F6235D" w:rsidRDefault="00EF0E19" w:rsidP="00EF0E19">
      <w:r w:rsidRPr="00F6235D">
        <w:t>This work is copyright. Apart from any use permitted by the Copyright Act 1968, no part may be reproduced without permission of the Australian Competition and Consumer Commission. Requests and inquiries concerning reproduction and rights should be addressed to the Director Publishing, Australian Competition and Consumer Commission, GPO Box 3131, Canberra ACT 2601.</w:t>
      </w:r>
    </w:p>
    <w:p w:rsidR="00EF0E19" w:rsidRDefault="00EF0E19" w:rsidP="00EF0E19">
      <w:r>
        <w:t>Inquiries about this document should be addressed to:</w:t>
      </w:r>
    </w:p>
    <w:p w:rsidR="00EF0E19" w:rsidRDefault="00EF0E19" w:rsidP="00F97CD9">
      <w:pPr>
        <w:pStyle w:val="AERbodytextnospace"/>
        <w:numPr>
          <w:ilvl w:val="0"/>
          <w:numId w:val="13"/>
        </w:numPr>
      </w:pPr>
      <w:r>
        <w:t>Australian Energy Regulator</w:t>
      </w:r>
    </w:p>
    <w:p w:rsidR="00EF0E19" w:rsidRDefault="00EF0E19" w:rsidP="00F97CD9">
      <w:pPr>
        <w:pStyle w:val="AERbodytextnospace"/>
        <w:numPr>
          <w:ilvl w:val="0"/>
          <w:numId w:val="13"/>
        </w:numPr>
      </w:pPr>
      <w:r>
        <w:t>GPO Box 520</w:t>
      </w:r>
    </w:p>
    <w:p w:rsidR="00EF0E19" w:rsidRDefault="00EF0E19" w:rsidP="00F97CD9">
      <w:pPr>
        <w:pStyle w:val="AERbodytextnospace"/>
        <w:numPr>
          <w:ilvl w:val="0"/>
          <w:numId w:val="13"/>
        </w:numPr>
      </w:pPr>
      <w:r>
        <w:t>Melbourne  Vic  3001</w:t>
      </w:r>
    </w:p>
    <w:p w:rsidR="00EF0E19" w:rsidRDefault="00EF0E19" w:rsidP="00F97CD9">
      <w:pPr>
        <w:pStyle w:val="AERbodytextnospace"/>
        <w:numPr>
          <w:ilvl w:val="0"/>
          <w:numId w:val="13"/>
        </w:numPr>
      </w:pPr>
      <w:r>
        <w:t>Tel: (03) 9290 1444</w:t>
      </w:r>
    </w:p>
    <w:p w:rsidR="00EF0E19" w:rsidRDefault="00EF0E19" w:rsidP="00F97CD9">
      <w:pPr>
        <w:pStyle w:val="AERbodytextnospace"/>
        <w:numPr>
          <w:ilvl w:val="0"/>
          <w:numId w:val="13"/>
        </w:numPr>
      </w:pPr>
      <w:r>
        <w:t>Fax: (03) 9290 1457</w:t>
      </w:r>
    </w:p>
    <w:p w:rsidR="00EF0E19" w:rsidRDefault="00EF0E19" w:rsidP="00F97CD9">
      <w:pPr>
        <w:pStyle w:val="AERbodytextnospace"/>
        <w:numPr>
          <w:ilvl w:val="0"/>
          <w:numId w:val="13"/>
        </w:numPr>
      </w:pPr>
      <w:r>
        <w:t xml:space="preserve">Email: </w:t>
      </w:r>
      <w:hyperlink r:id="rId10" w:history="1">
        <w:r w:rsidRPr="003E184A">
          <w:rPr>
            <w:rStyle w:val="Hyperlink"/>
          </w:rPr>
          <w:t>AERInquiry@aer.gov.au</w:t>
        </w:r>
      </w:hyperlink>
    </w:p>
    <w:p w:rsidR="00EF0E19" w:rsidRPr="008F1A4A" w:rsidRDefault="00EF0E19" w:rsidP="00EF0E19"/>
    <w:p w:rsidR="00A363F7" w:rsidRDefault="00EF0E19" w:rsidP="00A363F7">
      <w:r>
        <w:t>AER reference</w:t>
      </w:r>
      <w:r w:rsidR="00A363F7">
        <w:t>: 50835 and 51225</w:t>
      </w:r>
    </w:p>
    <w:p w:rsidR="00EF0E19" w:rsidRPr="003324F7" w:rsidRDefault="00EF0E19" w:rsidP="00F97CD9">
      <w:pPr>
        <w:pStyle w:val="AERbodytext"/>
        <w:numPr>
          <w:ilvl w:val="0"/>
          <w:numId w:val="13"/>
        </w:numPr>
      </w:pPr>
    </w:p>
    <w:p w:rsidR="00A363F7" w:rsidRDefault="00A363F7">
      <w:pPr>
        <w:spacing w:after="0" w:line="240" w:lineRule="auto"/>
        <w:jc w:val="left"/>
        <w:rPr>
          <w:rFonts w:eastAsia="Times New Roman"/>
          <w:sz w:val="32"/>
          <w:szCs w:val="24"/>
        </w:rPr>
      </w:pPr>
      <w:r>
        <w:br w:type="page"/>
      </w:r>
    </w:p>
    <w:bookmarkStart w:id="2" w:name="_Toc367457915" w:displacedByCustomXml="next"/>
    <w:sdt>
      <w:sdtPr>
        <w:rPr>
          <w:rFonts w:eastAsia="Calibri"/>
          <w:b w:val="0"/>
          <w:bCs w:val="0"/>
          <w:color w:val="auto"/>
          <w:sz w:val="20"/>
          <w:szCs w:val="20"/>
        </w:rPr>
        <w:id w:val="-1710095825"/>
        <w:docPartObj>
          <w:docPartGallery w:val="Table of Contents"/>
          <w:docPartUnique/>
        </w:docPartObj>
      </w:sdtPr>
      <w:sdtEndPr/>
      <w:sdtContent>
        <w:p w:rsidR="00B70702" w:rsidRPr="00B70702" w:rsidRDefault="00B70702" w:rsidP="00B70702">
          <w:pPr>
            <w:pStyle w:val="UnnumberedHeading"/>
          </w:pPr>
          <w:r w:rsidRPr="00B70702">
            <w:t>Contents</w:t>
          </w:r>
          <w:bookmarkEnd w:id="2"/>
        </w:p>
        <w:p w:rsidR="00C40018" w:rsidRDefault="00B70702">
          <w:pPr>
            <w:pStyle w:val="TOC1"/>
            <w:tabs>
              <w:tab w:val="right" w:leader="dot" w:pos="9016"/>
            </w:tabs>
            <w:rPr>
              <w:rFonts w:asciiTheme="minorHAnsi" w:eastAsiaTheme="minorEastAsia" w:hAnsiTheme="minorHAnsi" w:cstheme="minorBidi"/>
              <w:b w:val="0"/>
              <w:bCs w:val="0"/>
              <w:noProof/>
              <w:sz w:val="22"/>
              <w:szCs w:val="22"/>
              <w:lang w:eastAsia="en-AU"/>
            </w:rPr>
          </w:pPr>
          <w:r w:rsidRPr="00B70702">
            <w:fldChar w:fldCharType="begin"/>
          </w:r>
          <w:r w:rsidRPr="00B70702">
            <w:instrText xml:space="preserve"> TOC \o "1-3" \h \z \u </w:instrText>
          </w:r>
          <w:r w:rsidRPr="00B70702">
            <w:fldChar w:fldCharType="separate"/>
          </w:r>
          <w:hyperlink w:anchor="_Toc367457915" w:history="1">
            <w:r w:rsidR="00C40018" w:rsidRPr="00BF31C6">
              <w:rPr>
                <w:rStyle w:val="Hyperlink"/>
                <w:noProof/>
              </w:rPr>
              <w:t>Contents</w:t>
            </w:r>
            <w:r w:rsidR="00C40018">
              <w:rPr>
                <w:noProof/>
                <w:webHidden/>
              </w:rPr>
              <w:tab/>
            </w:r>
            <w:r w:rsidR="00C40018">
              <w:rPr>
                <w:noProof/>
                <w:webHidden/>
              </w:rPr>
              <w:fldChar w:fldCharType="begin"/>
            </w:r>
            <w:r w:rsidR="00C40018">
              <w:rPr>
                <w:noProof/>
                <w:webHidden/>
              </w:rPr>
              <w:instrText xml:space="preserve"> PAGEREF _Toc367457915 \h </w:instrText>
            </w:r>
            <w:r w:rsidR="00C40018">
              <w:rPr>
                <w:noProof/>
                <w:webHidden/>
              </w:rPr>
            </w:r>
            <w:r w:rsidR="00C40018">
              <w:rPr>
                <w:noProof/>
                <w:webHidden/>
              </w:rPr>
              <w:fldChar w:fldCharType="separate"/>
            </w:r>
            <w:r w:rsidR="00C40018">
              <w:rPr>
                <w:noProof/>
                <w:webHidden/>
              </w:rPr>
              <w:t>3</w:t>
            </w:r>
            <w:r w:rsidR="00C40018">
              <w:rPr>
                <w:noProof/>
                <w:webHidden/>
              </w:rPr>
              <w:fldChar w:fldCharType="end"/>
            </w:r>
          </w:hyperlink>
        </w:p>
        <w:p w:rsidR="00C40018" w:rsidRDefault="00C40018">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67457916" w:history="1">
            <w:r w:rsidRPr="00BF31C6">
              <w:rPr>
                <w:rStyle w:val="Hyperlink"/>
                <w:noProof/>
              </w:rPr>
              <w:t>1</w:t>
            </w:r>
            <w:r>
              <w:rPr>
                <w:rFonts w:asciiTheme="minorHAnsi" w:eastAsiaTheme="minorEastAsia" w:hAnsiTheme="minorHAnsi" w:cstheme="minorBidi"/>
                <w:b w:val="0"/>
                <w:bCs w:val="0"/>
                <w:noProof/>
                <w:sz w:val="22"/>
                <w:szCs w:val="22"/>
                <w:lang w:eastAsia="en-AU"/>
              </w:rPr>
              <w:tab/>
            </w:r>
            <w:r w:rsidRPr="00BF31C6">
              <w:rPr>
                <w:rStyle w:val="Hyperlink"/>
                <w:noProof/>
              </w:rPr>
              <w:t>Introduction</w:t>
            </w:r>
            <w:r>
              <w:rPr>
                <w:noProof/>
                <w:webHidden/>
              </w:rPr>
              <w:tab/>
            </w:r>
            <w:r>
              <w:rPr>
                <w:noProof/>
                <w:webHidden/>
              </w:rPr>
              <w:fldChar w:fldCharType="begin"/>
            </w:r>
            <w:r>
              <w:rPr>
                <w:noProof/>
                <w:webHidden/>
              </w:rPr>
              <w:instrText xml:space="preserve"> PAGEREF _Toc367457916 \h </w:instrText>
            </w:r>
            <w:r>
              <w:rPr>
                <w:noProof/>
                <w:webHidden/>
              </w:rPr>
            </w:r>
            <w:r>
              <w:rPr>
                <w:noProof/>
                <w:webHidden/>
              </w:rPr>
              <w:fldChar w:fldCharType="separate"/>
            </w:r>
            <w:r>
              <w:rPr>
                <w:noProof/>
                <w:webHidden/>
              </w:rPr>
              <w:t>4</w:t>
            </w:r>
            <w:r>
              <w:rPr>
                <w:noProof/>
                <w:webHidden/>
              </w:rPr>
              <w:fldChar w:fldCharType="end"/>
            </w:r>
          </w:hyperlink>
        </w:p>
        <w:p w:rsidR="00C40018" w:rsidRDefault="00C40018">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67457917" w:history="1">
            <w:r w:rsidRPr="00BF31C6">
              <w:rPr>
                <w:rStyle w:val="Hyperlink"/>
                <w:noProof/>
              </w:rPr>
              <w:t>1.1</w:t>
            </w:r>
            <w:r>
              <w:rPr>
                <w:rFonts w:asciiTheme="minorHAnsi" w:eastAsiaTheme="minorEastAsia" w:hAnsiTheme="minorHAnsi" w:cstheme="minorBidi"/>
                <w:iCs w:val="0"/>
                <w:noProof/>
                <w:sz w:val="22"/>
                <w:szCs w:val="22"/>
                <w:lang w:eastAsia="en-AU"/>
              </w:rPr>
              <w:tab/>
            </w:r>
            <w:r w:rsidRPr="00BF31C6">
              <w:rPr>
                <w:rStyle w:val="Hyperlink"/>
                <w:noProof/>
              </w:rPr>
              <w:t>Why is the F&amp;A important for consumers?</w:t>
            </w:r>
            <w:r>
              <w:rPr>
                <w:noProof/>
                <w:webHidden/>
              </w:rPr>
              <w:tab/>
            </w:r>
            <w:r>
              <w:rPr>
                <w:noProof/>
                <w:webHidden/>
              </w:rPr>
              <w:fldChar w:fldCharType="begin"/>
            </w:r>
            <w:r>
              <w:rPr>
                <w:noProof/>
                <w:webHidden/>
              </w:rPr>
              <w:instrText xml:space="preserve"> PAGEREF _Toc367457917 \h </w:instrText>
            </w:r>
            <w:r>
              <w:rPr>
                <w:noProof/>
                <w:webHidden/>
              </w:rPr>
            </w:r>
            <w:r>
              <w:rPr>
                <w:noProof/>
                <w:webHidden/>
              </w:rPr>
              <w:fldChar w:fldCharType="separate"/>
            </w:r>
            <w:r>
              <w:rPr>
                <w:noProof/>
                <w:webHidden/>
              </w:rPr>
              <w:t>4</w:t>
            </w:r>
            <w:r>
              <w:rPr>
                <w:noProof/>
                <w:webHidden/>
              </w:rPr>
              <w:fldChar w:fldCharType="end"/>
            </w:r>
          </w:hyperlink>
        </w:p>
        <w:p w:rsidR="00C40018" w:rsidRDefault="00C40018">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67457918" w:history="1">
            <w:r w:rsidRPr="00BF31C6">
              <w:rPr>
                <w:rStyle w:val="Hyperlink"/>
                <w:noProof/>
              </w:rPr>
              <w:t>1.2</w:t>
            </w:r>
            <w:r>
              <w:rPr>
                <w:rFonts w:asciiTheme="minorHAnsi" w:eastAsiaTheme="minorEastAsia" w:hAnsiTheme="minorHAnsi" w:cstheme="minorBidi"/>
                <w:iCs w:val="0"/>
                <w:noProof/>
                <w:sz w:val="22"/>
                <w:szCs w:val="22"/>
                <w:lang w:eastAsia="en-AU"/>
              </w:rPr>
              <w:tab/>
            </w:r>
            <w:r w:rsidRPr="00BF31C6">
              <w:rPr>
                <w:rStyle w:val="Hyperlink"/>
                <w:noProof/>
              </w:rPr>
              <w:t>Our decision</w:t>
            </w:r>
            <w:r>
              <w:rPr>
                <w:noProof/>
                <w:webHidden/>
              </w:rPr>
              <w:tab/>
            </w:r>
            <w:r>
              <w:rPr>
                <w:noProof/>
                <w:webHidden/>
              </w:rPr>
              <w:fldChar w:fldCharType="begin"/>
            </w:r>
            <w:r>
              <w:rPr>
                <w:noProof/>
                <w:webHidden/>
              </w:rPr>
              <w:instrText xml:space="preserve"> PAGEREF _Toc367457918 \h </w:instrText>
            </w:r>
            <w:r>
              <w:rPr>
                <w:noProof/>
                <w:webHidden/>
              </w:rPr>
            </w:r>
            <w:r>
              <w:rPr>
                <w:noProof/>
                <w:webHidden/>
              </w:rPr>
              <w:fldChar w:fldCharType="separate"/>
            </w:r>
            <w:r>
              <w:rPr>
                <w:noProof/>
                <w:webHidden/>
              </w:rPr>
              <w:t>5</w:t>
            </w:r>
            <w:r>
              <w:rPr>
                <w:noProof/>
                <w:webHidden/>
              </w:rPr>
              <w:fldChar w:fldCharType="end"/>
            </w:r>
          </w:hyperlink>
        </w:p>
        <w:p w:rsidR="00C40018" w:rsidRDefault="00C40018">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67457919" w:history="1">
            <w:r w:rsidRPr="00BF31C6">
              <w:rPr>
                <w:rStyle w:val="Hyperlink"/>
                <w:noProof/>
              </w:rPr>
              <w:t>2</w:t>
            </w:r>
            <w:r>
              <w:rPr>
                <w:rFonts w:asciiTheme="minorHAnsi" w:eastAsiaTheme="minorEastAsia" w:hAnsiTheme="minorHAnsi" w:cstheme="minorBidi"/>
                <w:b w:val="0"/>
                <w:bCs w:val="0"/>
                <w:noProof/>
                <w:sz w:val="22"/>
                <w:szCs w:val="22"/>
                <w:lang w:eastAsia="en-AU"/>
              </w:rPr>
              <w:tab/>
            </w:r>
            <w:r w:rsidRPr="00BF31C6">
              <w:rPr>
                <w:rStyle w:val="Hyperlink"/>
                <w:noProof/>
              </w:rPr>
              <w:t>Our reasons</w:t>
            </w:r>
            <w:r>
              <w:rPr>
                <w:noProof/>
                <w:webHidden/>
              </w:rPr>
              <w:tab/>
            </w:r>
            <w:r>
              <w:rPr>
                <w:noProof/>
                <w:webHidden/>
              </w:rPr>
              <w:fldChar w:fldCharType="begin"/>
            </w:r>
            <w:r>
              <w:rPr>
                <w:noProof/>
                <w:webHidden/>
              </w:rPr>
              <w:instrText xml:space="preserve"> PAGEREF _Toc367457919 \h </w:instrText>
            </w:r>
            <w:r>
              <w:rPr>
                <w:noProof/>
                <w:webHidden/>
              </w:rPr>
            </w:r>
            <w:r>
              <w:rPr>
                <w:noProof/>
                <w:webHidden/>
              </w:rPr>
              <w:fldChar w:fldCharType="separate"/>
            </w:r>
            <w:r>
              <w:rPr>
                <w:noProof/>
                <w:webHidden/>
              </w:rPr>
              <w:t>7</w:t>
            </w:r>
            <w:r>
              <w:rPr>
                <w:noProof/>
                <w:webHidden/>
              </w:rPr>
              <w:fldChar w:fldCharType="end"/>
            </w:r>
          </w:hyperlink>
        </w:p>
        <w:p w:rsidR="00C40018" w:rsidRDefault="00C40018">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67457920" w:history="1">
            <w:r w:rsidRPr="00BF31C6">
              <w:rPr>
                <w:rStyle w:val="Hyperlink"/>
                <w:noProof/>
              </w:rPr>
              <w:t>2.1</w:t>
            </w:r>
            <w:r>
              <w:rPr>
                <w:rFonts w:asciiTheme="minorHAnsi" w:eastAsiaTheme="minorEastAsia" w:hAnsiTheme="minorHAnsi" w:cstheme="minorBidi"/>
                <w:iCs w:val="0"/>
                <w:noProof/>
                <w:sz w:val="22"/>
                <w:szCs w:val="22"/>
                <w:lang w:eastAsia="en-AU"/>
              </w:rPr>
              <w:tab/>
            </w:r>
            <w:r w:rsidRPr="00BF31C6">
              <w:rPr>
                <w:rStyle w:val="Hyperlink"/>
                <w:noProof/>
              </w:rPr>
              <w:t>New matters to include in the F&amp;A</w:t>
            </w:r>
            <w:r>
              <w:rPr>
                <w:noProof/>
                <w:webHidden/>
              </w:rPr>
              <w:tab/>
            </w:r>
            <w:r>
              <w:rPr>
                <w:noProof/>
                <w:webHidden/>
              </w:rPr>
              <w:fldChar w:fldCharType="begin"/>
            </w:r>
            <w:r>
              <w:rPr>
                <w:noProof/>
                <w:webHidden/>
              </w:rPr>
              <w:instrText xml:space="preserve"> PAGEREF _Toc367457920 \h </w:instrText>
            </w:r>
            <w:r>
              <w:rPr>
                <w:noProof/>
                <w:webHidden/>
              </w:rPr>
            </w:r>
            <w:r>
              <w:rPr>
                <w:noProof/>
                <w:webHidden/>
              </w:rPr>
              <w:fldChar w:fldCharType="separate"/>
            </w:r>
            <w:r>
              <w:rPr>
                <w:noProof/>
                <w:webHidden/>
              </w:rPr>
              <w:t>7</w:t>
            </w:r>
            <w:r>
              <w:rPr>
                <w:noProof/>
                <w:webHidden/>
              </w:rPr>
              <w:fldChar w:fldCharType="end"/>
            </w:r>
          </w:hyperlink>
        </w:p>
        <w:p w:rsidR="00C40018" w:rsidRDefault="00C40018">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67457921" w:history="1">
            <w:r w:rsidRPr="00BF31C6">
              <w:rPr>
                <w:rStyle w:val="Hyperlink"/>
                <w:noProof/>
              </w:rPr>
              <w:t>2.2</w:t>
            </w:r>
            <w:r>
              <w:rPr>
                <w:rFonts w:asciiTheme="minorHAnsi" w:eastAsiaTheme="minorEastAsia" w:hAnsiTheme="minorHAnsi" w:cstheme="minorBidi"/>
                <w:iCs w:val="0"/>
                <w:noProof/>
                <w:sz w:val="22"/>
                <w:szCs w:val="22"/>
                <w:lang w:eastAsia="en-AU"/>
              </w:rPr>
              <w:tab/>
            </w:r>
            <w:r w:rsidRPr="00BF31C6">
              <w:rPr>
                <w:rStyle w:val="Hyperlink"/>
                <w:noProof/>
              </w:rPr>
              <w:t>Distribution service classification</w:t>
            </w:r>
            <w:r>
              <w:rPr>
                <w:noProof/>
                <w:webHidden/>
              </w:rPr>
              <w:tab/>
            </w:r>
            <w:r>
              <w:rPr>
                <w:noProof/>
                <w:webHidden/>
              </w:rPr>
              <w:fldChar w:fldCharType="begin"/>
            </w:r>
            <w:r>
              <w:rPr>
                <w:noProof/>
                <w:webHidden/>
              </w:rPr>
              <w:instrText xml:space="preserve"> PAGEREF _Toc367457921 \h </w:instrText>
            </w:r>
            <w:r>
              <w:rPr>
                <w:noProof/>
                <w:webHidden/>
              </w:rPr>
            </w:r>
            <w:r>
              <w:rPr>
                <w:noProof/>
                <w:webHidden/>
              </w:rPr>
              <w:fldChar w:fldCharType="separate"/>
            </w:r>
            <w:r>
              <w:rPr>
                <w:noProof/>
                <w:webHidden/>
              </w:rPr>
              <w:t>7</w:t>
            </w:r>
            <w:r>
              <w:rPr>
                <w:noProof/>
                <w:webHidden/>
              </w:rPr>
              <w:fldChar w:fldCharType="end"/>
            </w:r>
          </w:hyperlink>
        </w:p>
        <w:p w:rsidR="00C40018" w:rsidRDefault="00C40018">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67457922" w:history="1">
            <w:r w:rsidRPr="00BF31C6">
              <w:rPr>
                <w:rStyle w:val="Hyperlink"/>
                <w:noProof/>
              </w:rPr>
              <w:t>2.3</w:t>
            </w:r>
            <w:r>
              <w:rPr>
                <w:rFonts w:asciiTheme="minorHAnsi" w:eastAsiaTheme="minorEastAsia" w:hAnsiTheme="minorHAnsi" w:cstheme="minorBidi"/>
                <w:iCs w:val="0"/>
                <w:noProof/>
                <w:sz w:val="22"/>
                <w:szCs w:val="22"/>
                <w:lang w:eastAsia="en-AU"/>
              </w:rPr>
              <w:tab/>
            </w:r>
            <w:r w:rsidRPr="00BF31C6">
              <w:rPr>
                <w:rStyle w:val="Hyperlink"/>
                <w:noProof/>
              </w:rPr>
              <w:t>Form of control</w:t>
            </w:r>
            <w:r>
              <w:rPr>
                <w:noProof/>
                <w:webHidden/>
              </w:rPr>
              <w:tab/>
            </w:r>
            <w:r>
              <w:rPr>
                <w:noProof/>
                <w:webHidden/>
              </w:rPr>
              <w:fldChar w:fldCharType="begin"/>
            </w:r>
            <w:r>
              <w:rPr>
                <w:noProof/>
                <w:webHidden/>
              </w:rPr>
              <w:instrText xml:space="preserve"> PAGEREF _Toc367457922 \h </w:instrText>
            </w:r>
            <w:r>
              <w:rPr>
                <w:noProof/>
                <w:webHidden/>
              </w:rPr>
            </w:r>
            <w:r>
              <w:rPr>
                <w:noProof/>
                <w:webHidden/>
              </w:rPr>
              <w:fldChar w:fldCharType="separate"/>
            </w:r>
            <w:r>
              <w:rPr>
                <w:noProof/>
                <w:webHidden/>
              </w:rPr>
              <w:t>8</w:t>
            </w:r>
            <w:r>
              <w:rPr>
                <w:noProof/>
                <w:webHidden/>
              </w:rPr>
              <w:fldChar w:fldCharType="end"/>
            </w:r>
          </w:hyperlink>
        </w:p>
        <w:p w:rsidR="00C40018" w:rsidRDefault="00C40018">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67457923" w:history="1">
            <w:r w:rsidRPr="00BF31C6">
              <w:rPr>
                <w:rStyle w:val="Hyperlink"/>
                <w:noProof/>
              </w:rPr>
              <w:t>2.4</w:t>
            </w:r>
            <w:r>
              <w:rPr>
                <w:rFonts w:asciiTheme="minorHAnsi" w:eastAsiaTheme="minorEastAsia" w:hAnsiTheme="minorHAnsi" w:cstheme="minorBidi"/>
                <w:iCs w:val="0"/>
                <w:noProof/>
                <w:sz w:val="22"/>
                <w:szCs w:val="22"/>
                <w:lang w:eastAsia="en-AU"/>
              </w:rPr>
              <w:tab/>
            </w:r>
            <w:r w:rsidRPr="00BF31C6">
              <w:rPr>
                <w:rStyle w:val="Hyperlink"/>
                <w:noProof/>
              </w:rPr>
              <w:t>Dual-function assets</w:t>
            </w:r>
            <w:r>
              <w:rPr>
                <w:noProof/>
                <w:webHidden/>
              </w:rPr>
              <w:tab/>
            </w:r>
            <w:r>
              <w:rPr>
                <w:noProof/>
                <w:webHidden/>
              </w:rPr>
              <w:fldChar w:fldCharType="begin"/>
            </w:r>
            <w:r>
              <w:rPr>
                <w:noProof/>
                <w:webHidden/>
              </w:rPr>
              <w:instrText xml:space="preserve"> PAGEREF _Toc367457923 \h </w:instrText>
            </w:r>
            <w:r>
              <w:rPr>
                <w:noProof/>
                <w:webHidden/>
              </w:rPr>
            </w:r>
            <w:r>
              <w:rPr>
                <w:noProof/>
                <w:webHidden/>
              </w:rPr>
              <w:fldChar w:fldCharType="separate"/>
            </w:r>
            <w:r>
              <w:rPr>
                <w:noProof/>
                <w:webHidden/>
              </w:rPr>
              <w:t>8</w:t>
            </w:r>
            <w:r>
              <w:rPr>
                <w:noProof/>
                <w:webHidden/>
              </w:rPr>
              <w:fldChar w:fldCharType="end"/>
            </w:r>
          </w:hyperlink>
        </w:p>
        <w:p w:rsidR="00C40018" w:rsidRDefault="00C40018">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67457924" w:history="1">
            <w:r w:rsidRPr="00BF31C6">
              <w:rPr>
                <w:rStyle w:val="Hyperlink"/>
                <w:noProof/>
              </w:rPr>
              <w:t>2.5</w:t>
            </w:r>
            <w:r>
              <w:rPr>
                <w:rFonts w:asciiTheme="minorHAnsi" w:eastAsiaTheme="minorEastAsia" w:hAnsiTheme="minorHAnsi" w:cstheme="minorBidi"/>
                <w:iCs w:val="0"/>
                <w:noProof/>
                <w:sz w:val="22"/>
                <w:szCs w:val="22"/>
                <w:lang w:eastAsia="en-AU"/>
              </w:rPr>
              <w:tab/>
            </w:r>
            <w:r w:rsidRPr="00BF31C6">
              <w:rPr>
                <w:rStyle w:val="Hyperlink"/>
                <w:noProof/>
              </w:rPr>
              <w:t>Application of incentive schemes</w:t>
            </w:r>
            <w:r>
              <w:rPr>
                <w:noProof/>
                <w:webHidden/>
              </w:rPr>
              <w:tab/>
            </w:r>
            <w:r>
              <w:rPr>
                <w:noProof/>
                <w:webHidden/>
              </w:rPr>
              <w:fldChar w:fldCharType="begin"/>
            </w:r>
            <w:r>
              <w:rPr>
                <w:noProof/>
                <w:webHidden/>
              </w:rPr>
              <w:instrText xml:space="preserve"> PAGEREF _Toc367457924 \h </w:instrText>
            </w:r>
            <w:r>
              <w:rPr>
                <w:noProof/>
                <w:webHidden/>
              </w:rPr>
            </w:r>
            <w:r>
              <w:rPr>
                <w:noProof/>
                <w:webHidden/>
              </w:rPr>
              <w:fldChar w:fldCharType="separate"/>
            </w:r>
            <w:r>
              <w:rPr>
                <w:noProof/>
                <w:webHidden/>
              </w:rPr>
              <w:t>9</w:t>
            </w:r>
            <w:r>
              <w:rPr>
                <w:noProof/>
                <w:webHidden/>
              </w:rPr>
              <w:fldChar w:fldCharType="end"/>
            </w:r>
          </w:hyperlink>
        </w:p>
        <w:p w:rsidR="00C40018" w:rsidRDefault="00C40018">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67457925" w:history="1">
            <w:r w:rsidRPr="00BF31C6">
              <w:rPr>
                <w:rStyle w:val="Hyperlink"/>
                <w:noProof/>
              </w:rPr>
              <w:t>2.6</w:t>
            </w:r>
            <w:r>
              <w:rPr>
                <w:rFonts w:asciiTheme="minorHAnsi" w:eastAsiaTheme="minorEastAsia" w:hAnsiTheme="minorHAnsi" w:cstheme="minorBidi"/>
                <w:iCs w:val="0"/>
                <w:noProof/>
                <w:sz w:val="22"/>
                <w:szCs w:val="22"/>
                <w:lang w:eastAsia="en-AU"/>
              </w:rPr>
              <w:tab/>
            </w:r>
            <w:r w:rsidRPr="00BF31C6">
              <w:rPr>
                <w:rStyle w:val="Hyperlink"/>
                <w:noProof/>
              </w:rPr>
              <w:t>Other matters</w:t>
            </w:r>
            <w:r>
              <w:rPr>
                <w:noProof/>
                <w:webHidden/>
              </w:rPr>
              <w:tab/>
            </w:r>
            <w:r>
              <w:rPr>
                <w:noProof/>
                <w:webHidden/>
              </w:rPr>
              <w:fldChar w:fldCharType="begin"/>
            </w:r>
            <w:r>
              <w:rPr>
                <w:noProof/>
                <w:webHidden/>
              </w:rPr>
              <w:instrText xml:space="preserve"> PAGEREF _Toc367457925 \h </w:instrText>
            </w:r>
            <w:r>
              <w:rPr>
                <w:noProof/>
                <w:webHidden/>
              </w:rPr>
            </w:r>
            <w:r>
              <w:rPr>
                <w:noProof/>
                <w:webHidden/>
              </w:rPr>
              <w:fldChar w:fldCharType="separate"/>
            </w:r>
            <w:r>
              <w:rPr>
                <w:noProof/>
                <w:webHidden/>
              </w:rPr>
              <w:t>10</w:t>
            </w:r>
            <w:r>
              <w:rPr>
                <w:noProof/>
                <w:webHidden/>
              </w:rPr>
              <w:fldChar w:fldCharType="end"/>
            </w:r>
          </w:hyperlink>
        </w:p>
        <w:p w:rsidR="00C40018" w:rsidRDefault="00C40018">
          <w:pPr>
            <w:pStyle w:val="TOC1"/>
            <w:tabs>
              <w:tab w:val="right" w:leader="dot" w:pos="9016"/>
            </w:tabs>
            <w:rPr>
              <w:rFonts w:asciiTheme="minorHAnsi" w:eastAsiaTheme="minorEastAsia" w:hAnsiTheme="minorHAnsi" w:cstheme="minorBidi"/>
              <w:b w:val="0"/>
              <w:bCs w:val="0"/>
              <w:noProof/>
              <w:sz w:val="22"/>
              <w:szCs w:val="22"/>
              <w:lang w:eastAsia="en-AU"/>
            </w:rPr>
          </w:pPr>
          <w:hyperlink w:anchor="_Toc367457926" w:history="1">
            <w:r w:rsidRPr="00BF31C6">
              <w:rPr>
                <w:rStyle w:val="Hyperlink"/>
                <w:noProof/>
              </w:rPr>
              <w:t xml:space="preserve">Appendix A </w:t>
            </w:r>
            <w:r w:rsidRPr="00BF31C6">
              <w:rPr>
                <w:rStyle w:val="Hyperlink"/>
                <w:rFonts w:cs="Gautami"/>
                <w:noProof/>
              </w:rPr>
              <w:t>–</w:t>
            </w:r>
            <w:r w:rsidRPr="00BF31C6">
              <w:rPr>
                <w:rStyle w:val="Hyperlink"/>
                <w:noProof/>
              </w:rPr>
              <w:t xml:space="preserve"> Matters to be addressed in the F&amp;A</w:t>
            </w:r>
            <w:r>
              <w:rPr>
                <w:noProof/>
                <w:webHidden/>
              </w:rPr>
              <w:tab/>
            </w:r>
            <w:r>
              <w:rPr>
                <w:noProof/>
                <w:webHidden/>
              </w:rPr>
              <w:fldChar w:fldCharType="begin"/>
            </w:r>
            <w:r>
              <w:rPr>
                <w:noProof/>
                <w:webHidden/>
              </w:rPr>
              <w:instrText xml:space="preserve"> PAGEREF _Toc367457926 \h </w:instrText>
            </w:r>
            <w:r>
              <w:rPr>
                <w:noProof/>
                <w:webHidden/>
              </w:rPr>
            </w:r>
            <w:r>
              <w:rPr>
                <w:noProof/>
                <w:webHidden/>
              </w:rPr>
              <w:fldChar w:fldCharType="separate"/>
            </w:r>
            <w:r>
              <w:rPr>
                <w:noProof/>
                <w:webHidden/>
              </w:rPr>
              <w:t>12</w:t>
            </w:r>
            <w:r>
              <w:rPr>
                <w:noProof/>
                <w:webHidden/>
              </w:rPr>
              <w:fldChar w:fldCharType="end"/>
            </w:r>
          </w:hyperlink>
        </w:p>
        <w:p w:rsidR="00C40018" w:rsidRDefault="00C40018">
          <w:pPr>
            <w:pStyle w:val="TOC1"/>
            <w:tabs>
              <w:tab w:val="right" w:leader="dot" w:pos="9016"/>
            </w:tabs>
            <w:rPr>
              <w:rFonts w:asciiTheme="minorHAnsi" w:eastAsiaTheme="minorEastAsia" w:hAnsiTheme="minorHAnsi" w:cstheme="minorBidi"/>
              <w:b w:val="0"/>
              <w:bCs w:val="0"/>
              <w:noProof/>
              <w:sz w:val="22"/>
              <w:szCs w:val="22"/>
              <w:lang w:eastAsia="en-AU"/>
            </w:rPr>
          </w:pPr>
          <w:hyperlink w:anchor="_Toc367457927" w:history="1">
            <w:r w:rsidRPr="00BF31C6">
              <w:rPr>
                <w:rStyle w:val="Hyperlink"/>
                <w:noProof/>
              </w:rPr>
              <w:t>Appendix B – Submissions</w:t>
            </w:r>
            <w:r>
              <w:rPr>
                <w:noProof/>
                <w:webHidden/>
              </w:rPr>
              <w:tab/>
            </w:r>
            <w:r>
              <w:rPr>
                <w:noProof/>
                <w:webHidden/>
              </w:rPr>
              <w:fldChar w:fldCharType="begin"/>
            </w:r>
            <w:r>
              <w:rPr>
                <w:noProof/>
                <w:webHidden/>
              </w:rPr>
              <w:instrText xml:space="preserve"> PAGEREF _Toc367457927 \h </w:instrText>
            </w:r>
            <w:r>
              <w:rPr>
                <w:noProof/>
                <w:webHidden/>
              </w:rPr>
            </w:r>
            <w:r>
              <w:rPr>
                <w:noProof/>
                <w:webHidden/>
              </w:rPr>
              <w:fldChar w:fldCharType="separate"/>
            </w:r>
            <w:r>
              <w:rPr>
                <w:noProof/>
                <w:webHidden/>
              </w:rPr>
              <w:t>13</w:t>
            </w:r>
            <w:r>
              <w:rPr>
                <w:noProof/>
                <w:webHidden/>
              </w:rPr>
              <w:fldChar w:fldCharType="end"/>
            </w:r>
          </w:hyperlink>
        </w:p>
        <w:p w:rsidR="00C40018" w:rsidRDefault="00C40018">
          <w:pPr>
            <w:pStyle w:val="TOC1"/>
            <w:tabs>
              <w:tab w:val="right" w:leader="dot" w:pos="9016"/>
            </w:tabs>
            <w:rPr>
              <w:rFonts w:asciiTheme="minorHAnsi" w:eastAsiaTheme="minorEastAsia" w:hAnsiTheme="minorHAnsi" w:cstheme="minorBidi"/>
              <w:b w:val="0"/>
              <w:bCs w:val="0"/>
              <w:noProof/>
              <w:sz w:val="22"/>
              <w:szCs w:val="22"/>
              <w:lang w:eastAsia="en-AU"/>
            </w:rPr>
          </w:pPr>
          <w:hyperlink w:anchor="_Toc367457928" w:history="1">
            <w:r w:rsidRPr="00BF31C6">
              <w:rPr>
                <w:rStyle w:val="Hyperlink"/>
                <w:noProof/>
              </w:rPr>
              <w:t xml:space="preserve">Appendix C </w:t>
            </w:r>
            <w:r w:rsidRPr="00BF31C6">
              <w:rPr>
                <w:rStyle w:val="Hyperlink"/>
                <w:rFonts w:cs="Gautami"/>
                <w:noProof/>
              </w:rPr>
              <w:t>–</w:t>
            </w:r>
            <w:r w:rsidRPr="00BF31C6">
              <w:rPr>
                <w:rStyle w:val="Hyperlink"/>
                <w:noProof/>
              </w:rPr>
              <w:t xml:space="preserve"> Ergon Energy's request</w:t>
            </w:r>
            <w:r>
              <w:rPr>
                <w:noProof/>
                <w:webHidden/>
              </w:rPr>
              <w:tab/>
            </w:r>
            <w:r>
              <w:rPr>
                <w:noProof/>
                <w:webHidden/>
              </w:rPr>
              <w:fldChar w:fldCharType="begin"/>
            </w:r>
            <w:r>
              <w:rPr>
                <w:noProof/>
                <w:webHidden/>
              </w:rPr>
              <w:instrText xml:space="preserve"> PAGEREF _Toc367457928 \h </w:instrText>
            </w:r>
            <w:r>
              <w:rPr>
                <w:noProof/>
                <w:webHidden/>
              </w:rPr>
            </w:r>
            <w:r>
              <w:rPr>
                <w:noProof/>
                <w:webHidden/>
              </w:rPr>
              <w:fldChar w:fldCharType="separate"/>
            </w:r>
            <w:r>
              <w:rPr>
                <w:noProof/>
                <w:webHidden/>
              </w:rPr>
              <w:t>15</w:t>
            </w:r>
            <w:r>
              <w:rPr>
                <w:noProof/>
                <w:webHidden/>
              </w:rPr>
              <w:fldChar w:fldCharType="end"/>
            </w:r>
          </w:hyperlink>
        </w:p>
        <w:p w:rsidR="00B70702" w:rsidRDefault="00B70702">
          <w:r w:rsidRPr="00B70702">
            <w:fldChar w:fldCharType="end"/>
          </w:r>
        </w:p>
        <w:p w:rsidR="005E5EB6" w:rsidRDefault="00B70702">
          <w:r>
            <w:tab/>
          </w:r>
        </w:p>
      </w:sdtContent>
    </w:sdt>
    <w:p w:rsidR="005E5EB6" w:rsidRPr="005E5EB6" w:rsidRDefault="005E5EB6" w:rsidP="005E5EB6"/>
    <w:p w:rsidR="005E5EB6" w:rsidRPr="005E5EB6" w:rsidRDefault="008B0DA2" w:rsidP="008B0DA2">
      <w:pPr>
        <w:tabs>
          <w:tab w:val="left" w:pos="2265"/>
        </w:tabs>
      </w:pPr>
      <w:r>
        <w:tab/>
      </w:r>
    </w:p>
    <w:p w:rsidR="005E5EB6" w:rsidRPr="005E5EB6" w:rsidRDefault="005E5EB6" w:rsidP="005E5EB6"/>
    <w:p w:rsidR="005E5EB6" w:rsidRPr="005E5EB6" w:rsidRDefault="005E5EB6" w:rsidP="005E5EB6"/>
    <w:p w:rsidR="005E5EB6" w:rsidRDefault="005E5EB6" w:rsidP="005E5EB6"/>
    <w:p w:rsidR="00B70702" w:rsidRPr="005E5EB6" w:rsidRDefault="005E5EB6" w:rsidP="005E5EB6">
      <w:pPr>
        <w:tabs>
          <w:tab w:val="left" w:pos="1937"/>
        </w:tabs>
      </w:pPr>
      <w:r>
        <w:tab/>
      </w:r>
    </w:p>
    <w:p w:rsidR="0012168F" w:rsidRPr="0012168F" w:rsidRDefault="0012168F" w:rsidP="0012168F">
      <w:pPr>
        <w:pStyle w:val="Heading1"/>
        <w:rPr>
          <w:rStyle w:val="IntenseEmphasis"/>
          <w:b/>
          <w:bCs/>
          <w:i w:val="0"/>
          <w:iCs w:val="0"/>
          <w:color w:val="E36C0A"/>
        </w:rPr>
      </w:pPr>
      <w:bookmarkStart w:id="3" w:name="_Toc367457916"/>
      <w:r w:rsidRPr="0012168F">
        <w:rPr>
          <w:rStyle w:val="IntenseEmphasis"/>
          <w:b/>
          <w:bCs/>
          <w:i w:val="0"/>
          <w:iCs w:val="0"/>
          <w:color w:val="E36C0A"/>
        </w:rPr>
        <w:lastRenderedPageBreak/>
        <w:t>Introduction</w:t>
      </w:r>
      <w:bookmarkEnd w:id="3"/>
    </w:p>
    <w:p w:rsidR="00AE086F" w:rsidRDefault="00AE086F" w:rsidP="00AE086F">
      <w:pPr>
        <w:pStyle w:val="AERbodytext"/>
        <w:numPr>
          <w:ilvl w:val="0"/>
          <w:numId w:val="13"/>
        </w:numPr>
      </w:pPr>
      <w:r w:rsidRPr="00AE086F">
        <w:t xml:space="preserve">The </w:t>
      </w:r>
      <w:r>
        <w:t>Framework and approach (F&amp;A)</w:t>
      </w:r>
      <w:r w:rsidRPr="00AE086F">
        <w:t xml:space="preserve"> is the first step in a process to determine efficient prices for electricity distribution service</w:t>
      </w:r>
      <w:r w:rsidR="00481A5A">
        <w:t>s</w:t>
      </w:r>
      <w:r w:rsidRPr="00AE086F">
        <w:t xml:space="preserve">. The F&amp;A determines, amongst other things, which services </w:t>
      </w:r>
      <w:r w:rsidR="002D4456">
        <w:t>the Australian Energy Regulator (AER)</w:t>
      </w:r>
      <w:r w:rsidRPr="00AE086F">
        <w:t xml:space="preserve"> will regulate and</w:t>
      </w:r>
      <w:r w:rsidR="00A12C04">
        <w:t xml:space="preserve"> certain aspects of a regulatory determination set out under the</w:t>
      </w:r>
      <w:r w:rsidRPr="00AE086F">
        <w:t xml:space="preserve"> National Electricity Rules (the Rules). It facilitates early public consultation </w:t>
      </w:r>
      <w:r w:rsidR="00481A5A">
        <w:t xml:space="preserve">on </w:t>
      </w:r>
      <w:r w:rsidR="00480CDD">
        <w:t>the</w:t>
      </w:r>
      <w:r w:rsidR="00481A5A">
        <w:t xml:space="preserve"> pric</w:t>
      </w:r>
      <w:r w:rsidR="00480CDD">
        <w:t>ing mechanism for</w:t>
      </w:r>
      <w:r w:rsidR="00481A5A">
        <w:t xml:space="preserve"> </w:t>
      </w:r>
      <w:r w:rsidR="000D1602">
        <w:t xml:space="preserve">regulated services </w:t>
      </w:r>
      <w:r w:rsidR="00480CDD">
        <w:t>and the</w:t>
      </w:r>
      <w:r w:rsidR="00BD0CA7">
        <w:t xml:space="preserve"> incentive schemes </w:t>
      </w:r>
      <w:r w:rsidR="00480CDD">
        <w:t>that will</w:t>
      </w:r>
      <w:r w:rsidR="00BD0CA7">
        <w:t xml:space="preserve"> encourage efficient </w:t>
      </w:r>
      <w:r w:rsidR="00480CDD">
        <w:t xml:space="preserve">network </w:t>
      </w:r>
      <w:r w:rsidR="00BD0CA7">
        <w:t>investment</w:t>
      </w:r>
      <w:r w:rsidR="00481A5A">
        <w:t>. Th</w:t>
      </w:r>
      <w:r w:rsidR="000D1602">
        <w:t>ese</w:t>
      </w:r>
      <w:r w:rsidR="00481A5A">
        <w:t xml:space="preserve"> </w:t>
      </w:r>
      <w:r w:rsidR="000D1602">
        <w:t>are</w:t>
      </w:r>
      <w:r w:rsidR="00481A5A">
        <w:t xml:space="preserve"> important </w:t>
      </w:r>
      <w:r w:rsidR="00480CDD">
        <w:t>aspects of the regulatory process</w:t>
      </w:r>
      <w:r w:rsidR="00481A5A">
        <w:t xml:space="preserve"> </w:t>
      </w:r>
      <w:r w:rsidR="00480CDD">
        <w:t>and have a sign</w:t>
      </w:r>
      <w:r w:rsidR="002231E2">
        <w:t>i</w:t>
      </w:r>
      <w:r w:rsidR="00480CDD">
        <w:t>ficant bearing on many aspects of the regulatory proposals that</w:t>
      </w:r>
      <w:r w:rsidRPr="00AE086F">
        <w:t xml:space="preserve"> Energex, Ergon Energy and SA Power Networks (network service providers) </w:t>
      </w:r>
      <w:r w:rsidR="00480CDD">
        <w:t>are required to submit in November 2014</w:t>
      </w:r>
      <w:r w:rsidRPr="00AE086F">
        <w:t>.</w:t>
      </w:r>
    </w:p>
    <w:p w:rsidR="0012042C" w:rsidRDefault="0012042C" w:rsidP="0012042C">
      <w:pPr>
        <w:pStyle w:val="Heading2"/>
      </w:pPr>
      <w:bookmarkStart w:id="4" w:name="_Toc367457917"/>
      <w:r>
        <w:t>Why is the F&amp;A important for consumers?</w:t>
      </w:r>
      <w:bookmarkEnd w:id="4"/>
    </w:p>
    <w:p w:rsidR="00D52F6B" w:rsidRDefault="00D52F6B" w:rsidP="00D52F6B">
      <w:r>
        <w:t>The F&amp;A is important because it provides an opportunity for interested parties, including consumers, to have a say in which services we should regulate and how much control we have over determining the prices for network services. The F&amp;A also sets out information around incentive schemes that will apply to network service providers to encourage efficient investment and performance. The sorts of issues we will consider in the F&amp;A include:</w:t>
      </w:r>
    </w:p>
    <w:p w:rsidR="00D52F6B" w:rsidRPr="00D52F6B" w:rsidRDefault="00D52F6B" w:rsidP="00D52F6B">
      <w:pPr>
        <w:pStyle w:val="AERbulletlistfirststyle"/>
      </w:pPr>
      <w:r>
        <w:t>a</w:t>
      </w:r>
      <w:r w:rsidRPr="00D52F6B">
        <w:t xml:space="preserve">llowing for the possibility of increased competition in the provision of some services traditionally provided only by </w:t>
      </w:r>
      <w:r w:rsidR="00E574DE">
        <w:t>network service providers</w:t>
      </w:r>
      <w:r w:rsidRPr="00D52F6B">
        <w:t xml:space="preserve">. This might happen if, for example, we were satisfied there were no significant barriers to competitive provision of a particular service. In this event, we may decide not to regulate that service, leaving prices to be set by the market. </w:t>
      </w:r>
    </w:p>
    <w:p w:rsidR="00D52F6B" w:rsidRPr="00D52F6B" w:rsidRDefault="00D52F6B" w:rsidP="00D52F6B">
      <w:pPr>
        <w:pStyle w:val="AERbulletlistfirststyle"/>
      </w:pPr>
      <w:r>
        <w:t>d</w:t>
      </w:r>
      <w:r w:rsidRPr="00D52F6B">
        <w:t xml:space="preserve">etermining the provision of some services on a fee for service basis or perhaps as a service for which there is minimal oversight by us. For example, we may determine that a distribution business may bundle the costs for a particular service into a generic electricity supply service (standard control service). Alternatively, we may decide that charging for a service on a user-pays basis is more appropriate (alternative control service). Finally, we may allow consumers and </w:t>
      </w:r>
      <w:r w:rsidR="00E574DE">
        <w:t>network service providers</w:t>
      </w:r>
      <w:r w:rsidRPr="00D52F6B">
        <w:t xml:space="preserve"> negotiate the price of a service (negotiated distribution service) and only intervene if the parties cannot reach an agreement. </w:t>
      </w:r>
    </w:p>
    <w:p w:rsidR="00D52F6B" w:rsidRDefault="00D52F6B" w:rsidP="00D52F6B">
      <w:pPr>
        <w:pStyle w:val="AERbulletlistfirststyle"/>
      </w:pPr>
      <w:r>
        <w:t>s</w:t>
      </w:r>
      <w:r w:rsidRPr="00D52F6B">
        <w:t>etting out whether incentive schemes will apply, for example, to</w:t>
      </w:r>
      <w:r w:rsidRPr="00D52F6B" w:rsidDel="00A134B8">
        <w:t xml:space="preserve"> </w:t>
      </w:r>
      <w:r w:rsidRPr="00D52F6B">
        <w:t xml:space="preserve">service quality, improvements in network reliability or capital and operating expenditure. The purpose of incentive schemes is to encourage </w:t>
      </w:r>
      <w:r w:rsidR="00E574DE">
        <w:t>network service providers</w:t>
      </w:r>
      <w:r w:rsidRPr="00D52F6B">
        <w:t xml:space="preserve"> to manage their business in a safe, reliable manner that serves the long term interests of consumers. The schemes provide </w:t>
      </w:r>
      <w:r w:rsidR="00E574DE">
        <w:t>network service providers</w:t>
      </w:r>
      <w:r w:rsidRPr="00D52F6B">
        <w:t xml:space="preserve"> with incentives to only incur efficient costs and to meet or exceed service quality targets. In some instances, </w:t>
      </w:r>
      <w:r w:rsidR="00E574DE">
        <w:t>network service providers</w:t>
      </w:r>
      <w:r w:rsidRPr="00D52F6B">
        <w:t xml:space="preserve"> may incur a financial penalty if they fail to meet set targets. </w:t>
      </w:r>
    </w:p>
    <w:p w:rsidR="0047630B" w:rsidRDefault="00D52F6B" w:rsidP="00E91DDD">
      <w:pPr>
        <w:pStyle w:val="AERbodytext"/>
        <w:numPr>
          <w:ilvl w:val="0"/>
          <w:numId w:val="0"/>
        </w:numPr>
      </w:pPr>
      <w:r>
        <w:t xml:space="preserve">We consider that consumers should be actively involved in the F&amp;A process as the decisions made, particularly relating to pricing, will apply for a five year period before they are reviewed. </w:t>
      </w:r>
      <w:r w:rsidR="00E91DDD">
        <w:t xml:space="preserve">Diagram 1 provides an overview of where the F&amp;A sits in the </w:t>
      </w:r>
      <w:r w:rsidR="00E91DDD" w:rsidRPr="00C40018">
        <w:rPr>
          <w:rStyle w:val="AERtextsize10"/>
        </w:rPr>
        <w:t>Queensland and South Australian reset process. Stakeholder consultation occurs throughout the process.</w:t>
      </w:r>
      <w:r w:rsidR="00E91DDD">
        <w:rPr>
          <w:rStyle w:val="AERtextorange"/>
        </w:rPr>
        <w:t xml:space="preserve"> </w:t>
      </w:r>
    </w:p>
    <w:p w:rsidR="0047630B" w:rsidRDefault="0047630B" w:rsidP="0047630B">
      <w:pPr>
        <w:pStyle w:val="AERbodytext"/>
        <w:numPr>
          <w:ilvl w:val="0"/>
          <w:numId w:val="0"/>
        </w:numPr>
      </w:pPr>
    </w:p>
    <w:p w:rsidR="00E91DDD" w:rsidRDefault="00E91DDD" w:rsidP="0047630B">
      <w:pPr>
        <w:pStyle w:val="AERbodytext"/>
        <w:numPr>
          <w:ilvl w:val="0"/>
          <w:numId w:val="0"/>
        </w:numPr>
      </w:pPr>
    </w:p>
    <w:p w:rsidR="00E91DDD" w:rsidRDefault="00E91DDD" w:rsidP="0047630B">
      <w:pPr>
        <w:pStyle w:val="AERbodytext"/>
        <w:numPr>
          <w:ilvl w:val="0"/>
          <w:numId w:val="0"/>
        </w:numPr>
      </w:pPr>
    </w:p>
    <w:p w:rsidR="00E91DDD" w:rsidRDefault="00E91DDD" w:rsidP="0047630B">
      <w:pPr>
        <w:pStyle w:val="AERbodytext"/>
        <w:numPr>
          <w:ilvl w:val="0"/>
          <w:numId w:val="0"/>
        </w:numPr>
      </w:pPr>
    </w:p>
    <w:p w:rsidR="0047630B" w:rsidRPr="0047630B" w:rsidRDefault="0047630B" w:rsidP="004569F0">
      <w:pPr>
        <w:pStyle w:val="AERbodytext"/>
        <w:rPr>
          <w:rStyle w:val="AERtextbold"/>
        </w:rPr>
      </w:pPr>
      <w:r w:rsidRPr="0047630B">
        <w:rPr>
          <w:rStyle w:val="AERtextbold"/>
        </w:rPr>
        <w:lastRenderedPageBreak/>
        <w:t>Diagram 1: Reset process</w:t>
      </w:r>
    </w:p>
    <w:p w:rsidR="004569F0" w:rsidRDefault="007D168F" w:rsidP="004569F0">
      <w:pPr>
        <w:pStyle w:val="AERbodytext"/>
        <w:numPr>
          <w:ilvl w:val="0"/>
          <w:numId w:val="0"/>
        </w:numPr>
      </w:pPr>
      <w:r>
        <w:rPr>
          <w:noProof/>
          <w:lang w:eastAsia="en-AU"/>
        </w:rPr>
        <w:drawing>
          <wp:inline distT="0" distB="0" distL="0" distR="0" wp14:anchorId="317466F2" wp14:editId="599E2562">
            <wp:extent cx="5777346" cy="939339"/>
            <wp:effectExtent l="19050" t="0" r="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12042C" w:rsidRPr="0012042C" w:rsidRDefault="0012042C" w:rsidP="0012042C">
      <w:pPr>
        <w:pStyle w:val="Heading2"/>
      </w:pPr>
      <w:bookmarkStart w:id="5" w:name="_Toc367457918"/>
      <w:r w:rsidRPr="0012042C">
        <w:t>Our decision</w:t>
      </w:r>
      <w:bookmarkEnd w:id="5"/>
    </w:p>
    <w:p w:rsidR="00982E8A" w:rsidRPr="00982E8A" w:rsidRDefault="00982E8A" w:rsidP="00982E8A">
      <w:pPr>
        <w:pStyle w:val="AERbodytext"/>
        <w:numPr>
          <w:ilvl w:val="0"/>
          <w:numId w:val="13"/>
        </w:numPr>
      </w:pPr>
      <w:r w:rsidRPr="00982E8A">
        <w:t>For the 2015–2020 regulatory control period we consider it prudent to undertake a more comprehensive review of the Queensland and South Australian F&amp;A papers. Changes to the Rules in November 2012 introduced new incentive schemes and make it possible for us to adopt improved approaches to the assessment of the expenditure forecast by the network service providers.</w:t>
      </w:r>
      <w:r w:rsidRPr="00982E8A">
        <w:rPr>
          <w:rStyle w:val="AERsuperscript"/>
        </w:rPr>
        <w:footnoteReference w:id="1"/>
      </w:r>
      <w:r w:rsidRPr="00982E8A">
        <w:t xml:space="preserve"> As a result, we consider the scope of changes to the F&amp;A requires us to replace, rather than amend, the F&amp;A papers for Energex and Ergon Energy in Queensland and SA Power Networks in South Australia respectively.  </w:t>
      </w:r>
      <w:r w:rsidR="00B122C2">
        <w:t xml:space="preserve">This decision sets out our reasons to replace the current F&amp;A papers for the next regulatory control period of 1 July 2015 to 30 June 2020. </w:t>
      </w:r>
      <w:r>
        <w:t xml:space="preserve">Appendix A lists the specific matters we will include in the F&amp;A papers. </w:t>
      </w:r>
      <w:r w:rsidRPr="00982E8A">
        <w:t>We will also consider any other relevant matters appropriate or convenient for us to address in the F&amp;A papers.</w:t>
      </w:r>
      <w:r w:rsidRPr="00B122C2">
        <w:rPr>
          <w:rStyle w:val="AERsuperscript"/>
        </w:rPr>
        <w:footnoteReference w:id="2"/>
      </w:r>
    </w:p>
    <w:p w:rsidR="00982E8A" w:rsidRPr="00982E8A" w:rsidRDefault="00982E8A" w:rsidP="00982E8A">
      <w:pPr>
        <w:pStyle w:val="AERbodytext"/>
        <w:numPr>
          <w:ilvl w:val="0"/>
          <w:numId w:val="13"/>
        </w:numPr>
      </w:pPr>
      <w:r w:rsidRPr="00982E8A">
        <w:t xml:space="preserve">In 2008, we published an F&amp;A paper for the Queensland network service providers and another F&amp;A paper for the South Australian network service provider for the 2010–15 regulatory control period. As the Rules were relatively new at that time, there were a range of transitional provisions in the Rules to assist in the changeover from State based regulators to the National framework. We also adopted a cautious approach, typically not departing from the State regulators' positions in order to minimise the extent of change where possible (even where we had discretion to do so). </w:t>
      </w:r>
    </w:p>
    <w:p w:rsidR="00856015" w:rsidRDefault="002E7E56" w:rsidP="00481A5A">
      <w:pPr>
        <w:pStyle w:val="AERbodytext"/>
        <w:numPr>
          <w:ilvl w:val="0"/>
          <w:numId w:val="13"/>
        </w:numPr>
      </w:pPr>
      <w:r>
        <w:t>In accordance with the Rules, w</w:t>
      </w:r>
      <w:r w:rsidR="00481A5A" w:rsidRPr="00481A5A">
        <w:t xml:space="preserve">e </w:t>
      </w:r>
      <w:r>
        <w:t>intend to</w:t>
      </w:r>
      <w:r w:rsidRPr="00481A5A">
        <w:t xml:space="preserve"> </w:t>
      </w:r>
      <w:r w:rsidR="00481A5A" w:rsidRPr="00481A5A">
        <w:t>p</w:t>
      </w:r>
      <w:r w:rsidR="007B3092">
        <w:t>u</w:t>
      </w:r>
      <w:r w:rsidR="00481A5A" w:rsidRPr="00481A5A">
        <w:t>blish replacement F&amp;A</w:t>
      </w:r>
      <w:r w:rsidR="00A46C97">
        <w:t xml:space="preserve"> paper</w:t>
      </w:r>
      <w:r w:rsidR="0070286A">
        <w:t>s</w:t>
      </w:r>
      <w:r w:rsidR="00481A5A" w:rsidRPr="00481A5A">
        <w:t xml:space="preserve"> by 30 April 2014.</w:t>
      </w:r>
      <w:r w:rsidR="00481A5A" w:rsidRPr="00481A5A">
        <w:rPr>
          <w:rStyle w:val="FootnoteReference"/>
        </w:rPr>
        <w:footnoteReference w:id="3"/>
      </w:r>
      <w:r w:rsidR="008C5FBF">
        <w:t xml:space="preserve"> Consultation on the replacement F&amp;A</w:t>
      </w:r>
      <w:r w:rsidR="00A46C97">
        <w:t xml:space="preserve"> papers</w:t>
      </w:r>
      <w:r w:rsidR="008C5FBF">
        <w:t xml:space="preserve"> will commence with publication of </w:t>
      </w:r>
      <w:r w:rsidR="00A46C97">
        <w:t>a discussion</w:t>
      </w:r>
      <w:r w:rsidR="008C5FBF">
        <w:t xml:space="preserve"> paper</w:t>
      </w:r>
      <w:r w:rsidR="00A46C97">
        <w:t xml:space="preserve"> for the Queensland network service providers and the South Australian network service provider respectively in</w:t>
      </w:r>
      <w:r w:rsidR="008C5FBF">
        <w:t xml:space="preserve"> December 2013.</w:t>
      </w:r>
    </w:p>
    <w:p w:rsidR="00684620" w:rsidRDefault="00856015" w:rsidP="00B3486A">
      <w:r>
        <w:t xml:space="preserve">Before reaching </w:t>
      </w:r>
      <w:r w:rsidR="008C5FBF">
        <w:t>this</w:t>
      </w:r>
      <w:r>
        <w:t xml:space="preserve"> decision</w:t>
      </w:r>
      <w:r w:rsidR="00BD0CA7">
        <w:t xml:space="preserve"> to replace the </w:t>
      </w:r>
      <w:r w:rsidR="00B051A0">
        <w:t xml:space="preserve">Queensland and South Australian </w:t>
      </w:r>
      <w:r w:rsidR="00BD0CA7">
        <w:t>F&amp;A</w:t>
      </w:r>
      <w:r w:rsidR="00A46C97">
        <w:t xml:space="preserve"> paper</w:t>
      </w:r>
      <w:r w:rsidR="0070286A">
        <w:t>s</w:t>
      </w:r>
      <w:r>
        <w:t xml:space="preserve">, </w:t>
      </w:r>
      <w:r w:rsidR="00A363F7" w:rsidRPr="00B3486A">
        <w:t>we issued a notice under the Rules,</w:t>
      </w:r>
      <w:r w:rsidR="00A363F7" w:rsidRPr="00B3486A">
        <w:rPr>
          <w:rStyle w:val="AERsuperscript"/>
        </w:rPr>
        <w:footnoteReference w:id="4"/>
      </w:r>
      <w:r w:rsidR="00A363F7" w:rsidRPr="00B3486A">
        <w:t xml:space="preserve"> inviting submissions on whether it is necessary or desirable to amend or replace the</w:t>
      </w:r>
      <w:r w:rsidR="00D538D4">
        <w:t xml:space="preserve"> current</w:t>
      </w:r>
      <w:r w:rsidR="00A363F7" w:rsidRPr="00B3486A">
        <w:t xml:space="preserve"> F&amp;A</w:t>
      </w:r>
      <w:r w:rsidR="00A46C97">
        <w:t xml:space="preserve"> paper</w:t>
      </w:r>
      <w:r w:rsidR="0070286A">
        <w:t>s</w:t>
      </w:r>
      <w:r w:rsidR="00A363F7" w:rsidRPr="00B3486A">
        <w:t xml:space="preserve"> for Queensland and/or South Australia. Submissions closed on 31 July 2013 and we received eight responses.</w:t>
      </w:r>
      <w:r w:rsidR="00A363F7" w:rsidRPr="00B3486A">
        <w:rPr>
          <w:rStyle w:val="AERsuperscript"/>
        </w:rPr>
        <w:footnoteReference w:id="5"/>
      </w:r>
      <w:r w:rsidR="00A363F7" w:rsidRPr="00B3486A">
        <w:t xml:space="preserve"> </w:t>
      </w:r>
      <w:r w:rsidR="00684620">
        <w:t>Th</w:t>
      </w:r>
      <w:r w:rsidR="00703DC9">
        <w:t>e submissions</w:t>
      </w:r>
      <w:r w:rsidR="00684620">
        <w:t xml:space="preserve"> </w:t>
      </w:r>
      <w:r w:rsidR="00684620" w:rsidRPr="00696071">
        <w:rPr>
          <w:rStyle w:val="AERbody"/>
        </w:rPr>
        <w:t xml:space="preserve">included a </w:t>
      </w:r>
      <w:r w:rsidR="00703DC9">
        <w:rPr>
          <w:rStyle w:val="AERbody"/>
        </w:rPr>
        <w:t xml:space="preserve">specific </w:t>
      </w:r>
      <w:r w:rsidR="00684620" w:rsidRPr="00696071">
        <w:rPr>
          <w:rStyle w:val="AERbody"/>
        </w:rPr>
        <w:t xml:space="preserve">request from Ergon Energy </w:t>
      </w:r>
      <w:r w:rsidR="00703DC9">
        <w:rPr>
          <w:rStyle w:val="AERbody"/>
        </w:rPr>
        <w:t xml:space="preserve">to address a number of issues in </w:t>
      </w:r>
      <w:r w:rsidR="0070286A">
        <w:rPr>
          <w:rStyle w:val="AERbody"/>
        </w:rPr>
        <w:t xml:space="preserve">its </w:t>
      </w:r>
      <w:r w:rsidR="00703DC9">
        <w:rPr>
          <w:rStyle w:val="AERbody"/>
        </w:rPr>
        <w:t>F&amp;A that we are required</w:t>
      </w:r>
      <w:r w:rsidR="00703DC9" w:rsidRPr="00703DC9">
        <w:rPr>
          <w:rStyle w:val="AERbody"/>
        </w:rPr>
        <w:t xml:space="preserve"> </w:t>
      </w:r>
      <w:r w:rsidR="00703DC9">
        <w:rPr>
          <w:rStyle w:val="AERbody"/>
        </w:rPr>
        <w:t>to consider. This is because the Rules include a provision that permit</w:t>
      </w:r>
      <w:r w:rsidR="00EC7662">
        <w:rPr>
          <w:rStyle w:val="AERbody"/>
        </w:rPr>
        <w:t>s</w:t>
      </w:r>
      <w:r w:rsidR="00703DC9">
        <w:rPr>
          <w:rStyle w:val="AERbody"/>
        </w:rPr>
        <w:t xml:space="preserve"> a network service provider to specify certain issues </w:t>
      </w:r>
      <w:r w:rsidR="00EC7662">
        <w:rPr>
          <w:rStyle w:val="AERbody"/>
        </w:rPr>
        <w:t xml:space="preserve">that </w:t>
      </w:r>
      <w:r w:rsidR="00703DC9">
        <w:rPr>
          <w:rStyle w:val="AERbody"/>
        </w:rPr>
        <w:t xml:space="preserve">must </w:t>
      </w:r>
      <w:r w:rsidR="00484416">
        <w:rPr>
          <w:rStyle w:val="AERbody"/>
        </w:rPr>
        <w:t xml:space="preserve">be </w:t>
      </w:r>
      <w:r w:rsidR="00423CB9">
        <w:rPr>
          <w:rStyle w:val="AERbody"/>
        </w:rPr>
        <w:t>address</w:t>
      </w:r>
      <w:r w:rsidR="00484416">
        <w:rPr>
          <w:rStyle w:val="AERbody"/>
        </w:rPr>
        <w:t>ed</w:t>
      </w:r>
      <w:r w:rsidR="00423CB9">
        <w:rPr>
          <w:rStyle w:val="AERbody"/>
        </w:rPr>
        <w:t xml:space="preserve"> </w:t>
      </w:r>
      <w:r w:rsidR="00703DC9">
        <w:rPr>
          <w:rStyle w:val="AERbody"/>
        </w:rPr>
        <w:t xml:space="preserve">in </w:t>
      </w:r>
      <w:r w:rsidR="00757E20">
        <w:rPr>
          <w:rStyle w:val="AERbody"/>
        </w:rPr>
        <w:t xml:space="preserve">its </w:t>
      </w:r>
      <w:r w:rsidR="00703DC9">
        <w:rPr>
          <w:rStyle w:val="AERbody"/>
        </w:rPr>
        <w:t>F&amp;A</w:t>
      </w:r>
      <w:r w:rsidR="00684620">
        <w:t>.</w:t>
      </w:r>
      <w:r w:rsidR="00684620">
        <w:rPr>
          <w:rStyle w:val="FootnoteReference"/>
        </w:rPr>
        <w:footnoteReference w:id="6"/>
      </w:r>
      <w:r w:rsidR="00684620">
        <w:t xml:space="preserve"> Appendix </w:t>
      </w:r>
      <w:r w:rsidR="001272E5">
        <w:t>B</w:t>
      </w:r>
      <w:r w:rsidR="00684620">
        <w:t xml:space="preserve"> contains a</w:t>
      </w:r>
      <w:r w:rsidR="00A363F7" w:rsidRPr="00B3486A">
        <w:t xml:space="preserve"> summary of </w:t>
      </w:r>
      <w:r w:rsidR="00703DC9">
        <w:t>submissions</w:t>
      </w:r>
      <w:r w:rsidR="00D538D4">
        <w:t>.</w:t>
      </w:r>
      <w:r w:rsidR="00A363F7" w:rsidRPr="00B3486A">
        <w:t xml:space="preserve"> </w:t>
      </w:r>
      <w:r w:rsidR="00684620">
        <w:t xml:space="preserve">A copy of Ergon Energy's request is at Appendix </w:t>
      </w:r>
      <w:r w:rsidR="001272E5">
        <w:t>C</w:t>
      </w:r>
      <w:r w:rsidR="00684620">
        <w:t>.</w:t>
      </w:r>
      <w:r w:rsidR="00684620">
        <w:rPr>
          <w:rStyle w:val="FootnoteReference"/>
        </w:rPr>
        <w:footnoteReference w:id="7"/>
      </w:r>
      <w:r w:rsidR="00A363F7" w:rsidRPr="00B3486A">
        <w:t xml:space="preserve"> </w:t>
      </w:r>
    </w:p>
    <w:p w:rsidR="00A363F7" w:rsidRPr="00B3486A" w:rsidRDefault="00A363F7" w:rsidP="00B3486A">
      <w:pPr>
        <w:rPr>
          <w:rStyle w:val="AERsuperscript"/>
        </w:rPr>
      </w:pPr>
      <w:r w:rsidRPr="00B3486A">
        <w:lastRenderedPageBreak/>
        <w:t xml:space="preserve">In </w:t>
      </w:r>
      <w:r w:rsidR="002231E2">
        <w:t>reaching our decision</w:t>
      </w:r>
      <w:r w:rsidRPr="00B3486A">
        <w:t xml:space="preserve">, we have </w:t>
      </w:r>
      <w:r w:rsidR="0012168F">
        <w:t xml:space="preserve">had </w:t>
      </w:r>
      <w:r w:rsidRPr="00B3486A">
        <w:t xml:space="preserve">regard to the </w:t>
      </w:r>
      <w:r w:rsidR="00684620">
        <w:t xml:space="preserve">submissions </w:t>
      </w:r>
      <w:r w:rsidRPr="00B3486A">
        <w:t>from interested parties</w:t>
      </w:r>
      <w:r w:rsidR="00B3486A">
        <w:t>.</w:t>
      </w:r>
      <w:r w:rsidRPr="00B3486A">
        <w:rPr>
          <w:rStyle w:val="AERsuperscript"/>
        </w:rPr>
        <w:footnoteReference w:id="8"/>
      </w:r>
    </w:p>
    <w:p w:rsidR="00A363F7" w:rsidRPr="00AF6E3E" w:rsidRDefault="00A363F7" w:rsidP="00A363F7">
      <w:r w:rsidRPr="00AF6E3E">
        <w:t>Reasons for our decision follow.</w:t>
      </w:r>
    </w:p>
    <w:p w:rsidR="00F22581" w:rsidRDefault="005E5EB6" w:rsidP="00F22581">
      <w:pPr>
        <w:pStyle w:val="Heading1"/>
      </w:pPr>
      <w:bookmarkStart w:id="6" w:name="_Toc367457919"/>
      <w:r>
        <w:lastRenderedPageBreak/>
        <w:t>Our</w:t>
      </w:r>
      <w:r w:rsidR="00F22581">
        <w:t xml:space="preserve"> </w:t>
      </w:r>
      <w:r w:rsidR="00773D08">
        <w:t>reasons</w:t>
      </w:r>
      <w:bookmarkEnd w:id="6"/>
    </w:p>
    <w:p w:rsidR="00736963" w:rsidRPr="00736963" w:rsidRDefault="0005795F" w:rsidP="005863B7">
      <w:pPr>
        <w:pStyle w:val="AERbodytext"/>
      </w:pPr>
      <w:r>
        <w:t>This</w:t>
      </w:r>
      <w:r w:rsidR="00360236" w:rsidRPr="00360236">
        <w:t xml:space="preserve"> </w:t>
      </w:r>
      <w:r w:rsidR="00611205">
        <w:t>chapter</w:t>
      </w:r>
      <w:r w:rsidR="00611205" w:rsidRPr="00360236">
        <w:t xml:space="preserve"> </w:t>
      </w:r>
      <w:r w:rsidR="00360236" w:rsidRPr="00360236">
        <w:t xml:space="preserve">sets out our reasons for deciding to replace the </w:t>
      </w:r>
      <w:r w:rsidR="003A2899">
        <w:t xml:space="preserve">Queensland and South Australian </w:t>
      </w:r>
      <w:r w:rsidR="00360236" w:rsidRPr="00360236">
        <w:t>F&amp;A</w:t>
      </w:r>
      <w:r w:rsidR="00A46C97">
        <w:t xml:space="preserve"> papers</w:t>
      </w:r>
      <w:r w:rsidR="00360236" w:rsidRPr="00360236">
        <w:t xml:space="preserve"> for the next regulatory control period</w:t>
      </w:r>
      <w:r w:rsidR="00360236" w:rsidRPr="00360236">
        <w:rPr>
          <w:rStyle w:val="AERbody"/>
        </w:rPr>
        <w:t xml:space="preserve"> of 1 July 2015 to 30 June 2020</w:t>
      </w:r>
      <w:r w:rsidR="00BD0CA7">
        <w:rPr>
          <w:rStyle w:val="AERbody"/>
        </w:rPr>
        <w:t>.</w:t>
      </w:r>
      <w:r w:rsidR="00360236" w:rsidRPr="00360236">
        <w:rPr>
          <w:rStyle w:val="AERbody"/>
        </w:rPr>
        <w:t xml:space="preserve"> </w:t>
      </w:r>
      <w:r w:rsidR="008C5FBF">
        <w:rPr>
          <w:rStyle w:val="AERbody"/>
        </w:rPr>
        <w:t>The</w:t>
      </w:r>
      <w:r>
        <w:rPr>
          <w:rStyle w:val="AERbody"/>
        </w:rPr>
        <w:t xml:space="preserve"> </w:t>
      </w:r>
      <w:r w:rsidR="006114C6">
        <w:rPr>
          <w:rStyle w:val="AERbody"/>
        </w:rPr>
        <w:t xml:space="preserve">sections </w:t>
      </w:r>
      <w:r w:rsidR="008C5FBF">
        <w:rPr>
          <w:rStyle w:val="AERbody"/>
        </w:rPr>
        <w:t xml:space="preserve">below correspond to the various components of </w:t>
      </w:r>
      <w:r w:rsidR="006114C6">
        <w:rPr>
          <w:rStyle w:val="AERbody"/>
        </w:rPr>
        <w:t xml:space="preserve">the F&amp;A. </w:t>
      </w:r>
    </w:p>
    <w:p w:rsidR="00030588" w:rsidRDefault="00030588" w:rsidP="00030588">
      <w:pPr>
        <w:pStyle w:val="Heading2"/>
      </w:pPr>
      <w:bookmarkStart w:id="7" w:name="_Toc367457920"/>
      <w:r>
        <w:t xml:space="preserve">New </w:t>
      </w:r>
      <w:r w:rsidR="00736963">
        <w:t>matters to include in the F&amp;A</w:t>
      </w:r>
      <w:bookmarkEnd w:id="7"/>
    </w:p>
    <w:p w:rsidR="00246560" w:rsidRDefault="00246560" w:rsidP="00A363F7">
      <w:r>
        <w:t xml:space="preserve">We consider it necessary to replace the Queensland and South Australian F&amp;A </w:t>
      </w:r>
      <w:r w:rsidR="004926D6">
        <w:t xml:space="preserve">papers </w:t>
      </w:r>
      <w:r>
        <w:t xml:space="preserve">in order to deal with a number of issues </w:t>
      </w:r>
      <w:r w:rsidR="008C5FBF">
        <w:t xml:space="preserve">that </w:t>
      </w:r>
      <w:r w:rsidR="003202BE">
        <w:t xml:space="preserve">we did not need to address </w:t>
      </w:r>
      <w:r>
        <w:t xml:space="preserve">in the current F&amp;A. These include: </w:t>
      </w:r>
    </w:p>
    <w:p w:rsidR="006318E8" w:rsidRDefault="006318E8" w:rsidP="006318E8">
      <w:pPr>
        <w:pStyle w:val="AERbulletlistfirststyle"/>
      </w:pPr>
      <w:r>
        <w:t xml:space="preserve">the </w:t>
      </w:r>
      <w:r w:rsidR="008C5FBF">
        <w:t xml:space="preserve">need to include </w:t>
      </w:r>
      <w:r>
        <w:t>formulae that give effect to the control mechanisms</w:t>
      </w:r>
      <w:r w:rsidR="00D75D37">
        <w:t xml:space="preserve"> (that is, </w:t>
      </w:r>
      <w:r w:rsidR="001A0054">
        <w:t>how price and/or revenues</w:t>
      </w:r>
      <w:r w:rsidR="00D75D37">
        <w:t xml:space="preserve"> are to be </w:t>
      </w:r>
      <w:r w:rsidR="00A0227D">
        <w:t>determined</w:t>
      </w:r>
      <w:r w:rsidR="00D75D37">
        <w:t xml:space="preserve"> during the regulatory control period)</w:t>
      </w:r>
    </w:p>
    <w:p w:rsidR="006318E8" w:rsidRDefault="006318E8" w:rsidP="006318E8">
      <w:pPr>
        <w:pStyle w:val="AERbulletlistfirststyle"/>
      </w:pPr>
      <w:r>
        <w:t xml:space="preserve">the </w:t>
      </w:r>
      <w:r w:rsidR="00791E7A">
        <w:t xml:space="preserve">likely inclusion </w:t>
      </w:r>
      <w:r>
        <w:t xml:space="preserve">of </w:t>
      </w:r>
      <w:r w:rsidR="00791E7A">
        <w:t xml:space="preserve">a </w:t>
      </w:r>
      <w:r>
        <w:t>capital expenditure sharing scheme</w:t>
      </w:r>
      <w:r w:rsidR="00850987">
        <w:t xml:space="preserve"> (to incentivise network service providers to undertake efficient capital expenditure)</w:t>
      </w:r>
    </w:p>
    <w:p w:rsidR="006318E8" w:rsidRDefault="006318E8" w:rsidP="00A11762">
      <w:pPr>
        <w:pStyle w:val="AERbulletlistfirststyle"/>
      </w:pPr>
      <w:r>
        <w:t xml:space="preserve">the </w:t>
      </w:r>
      <w:r w:rsidR="00791E7A">
        <w:t xml:space="preserve">possible inclusion </w:t>
      </w:r>
      <w:r>
        <w:t xml:space="preserve">of </w:t>
      </w:r>
      <w:r w:rsidR="00791E7A">
        <w:t xml:space="preserve">a </w:t>
      </w:r>
      <w:r>
        <w:t>small-scale incentive scheme</w:t>
      </w:r>
      <w:r w:rsidR="001A0054">
        <w:t xml:space="preserve"> (</w:t>
      </w:r>
      <w:r w:rsidR="00A11762" w:rsidRPr="00A11762">
        <w:t>pilot or test incentive schemes within an</w:t>
      </w:r>
      <w:r w:rsidR="009A1BAB">
        <w:t xml:space="preserve"> </w:t>
      </w:r>
      <w:r w:rsidR="00A11762" w:rsidRPr="00A11762">
        <w:t>environment that limits the sum of money at risk and the length of time of the</w:t>
      </w:r>
      <w:r w:rsidR="009A1BAB">
        <w:t xml:space="preserve"> </w:t>
      </w:r>
      <w:r w:rsidR="00A11762" w:rsidRPr="00A11762">
        <w:t>scheme</w:t>
      </w:r>
      <w:r w:rsidR="001A0054">
        <w:t>)</w:t>
      </w:r>
    </w:p>
    <w:p w:rsidR="006318E8" w:rsidRDefault="006318E8" w:rsidP="00850987">
      <w:pPr>
        <w:pStyle w:val="AERbulletlistfirststyle"/>
      </w:pPr>
      <w:r>
        <w:t>the application of the Expenditure Forecast Assessment Guidelines</w:t>
      </w:r>
      <w:r w:rsidR="00850987">
        <w:t xml:space="preserve"> (</w:t>
      </w:r>
      <w:r w:rsidR="00850987" w:rsidRPr="00850987">
        <w:rPr>
          <w:lang w:eastAsia="en-AU"/>
        </w:rPr>
        <w:t xml:space="preserve">a nationally consistent reporting framework </w:t>
      </w:r>
      <w:r w:rsidR="00850987">
        <w:t xml:space="preserve">which allows </w:t>
      </w:r>
      <w:r w:rsidR="00850987" w:rsidRPr="00850987">
        <w:rPr>
          <w:lang w:eastAsia="en-AU"/>
        </w:rPr>
        <w:t xml:space="preserve">us to compare the relative efficiencies of network </w:t>
      </w:r>
      <w:r w:rsidR="00850987">
        <w:t>service providers</w:t>
      </w:r>
      <w:r w:rsidR="00850987" w:rsidRPr="00850987">
        <w:rPr>
          <w:lang w:eastAsia="en-AU"/>
        </w:rPr>
        <w:t>, and decide upon efficient expenditure allowances</w:t>
      </w:r>
      <w:r w:rsidR="00850987">
        <w:t>)</w:t>
      </w:r>
    </w:p>
    <w:p w:rsidR="006318E8" w:rsidRDefault="006318E8" w:rsidP="006318E8">
      <w:pPr>
        <w:pStyle w:val="AERbulletlistfirststyle"/>
      </w:pPr>
      <w:r>
        <w:t>whether depreciation for establishing the network service providers opening regulatory asset base for the 2020</w:t>
      </w:r>
      <w:r w:rsidR="006657DE">
        <w:rPr>
          <w:rFonts w:cs="Gautami"/>
        </w:rPr>
        <w:t>–</w:t>
      </w:r>
      <w:r>
        <w:t xml:space="preserve">2025 regulatory control period is to be based on actual or forecast </w:t>
      </w:r>
      <w:r w:rsidR="00CE789C">
        <w:t>depreciation</w:t>
      </w:r>
      <w:r w:rsidR="00537872">
        <w:t>.</w:t>
      </w:r>
      <w:r w:rsidR="00537872">
        <w:rPr>
          <w:rStyle w:val="FootnoteReference"/>
        </w:rPr>
        <w:footnoteReference w:id="9"/>
      </w:r>
    </w:p>
    <w:p w:rsidR="00A363F7" w:rsidRPr="00D538D4" w:rsidRDefault="00A363F7" w:rsidP="00D538D4">
      <w:pPr>
        <w:pStyle w:val="Heading2"/>
        <w:rPr>
          <w:rStyle w:val="IntenseEmphasis"/>
          <w:b/>
          <w:bCs w:val="0"/>
          <w:i w:val="0"/>
          <w:iCs w:val="0"/>
          <w:color w:val="E36C0A"/>
        </w:rPr>
      </w:pPr>
      <w:bookmarkStart w:id="8" w:name="_Toc367457921"/>
      <w:r w:rsidRPr="00D538D4">
        <w:rPr>
          <w:rStyle w:val="IntenseEmphasis"/>
          <w:b/>
          <w:bCs w:val="0"/>
          <w:i w:val="0"/>
          <w:iCs w:val="0"/>
          <w:color w:val="E36C0A"/>
        </w:rPr>
        <w:t xml:space="preserve">Distribution </w:t>
      </w:r>
      <w:r w:rsidR="00D538D4" w:rsidRPr="00D538D4">
        <w:rPr>
          <w:rStyle w:val="IntenseEmphasis"/>
          <w:b/>
          <w:bCs w:val="0"/>
          <w:i w:val="0"/>
          <w:iCs w:val="0"/>
          <w:color w:val="E36C0A"/>
        </w:rPr>
        <w:t>s</w:t>
      </w:r>
      <w:r w:rsidRPr="00D538D4">
        <w:rPr>
          <w:rStyle w:val="IntenseEmphasis"/>
          <w:b/>
          <w:bCs w:val="0"/>
          <w:i w:val="0"/>
          <w:iCs w:val="0"/>
          <w:color w:val="E36C0A"/>
        </w:rPr>
        <w:t xml:space="preserve">ervice </w:t>
      </w:r>
      <w:r w:rsidR="00D538D4" w:rsidRPr="00D538D4">
        <w:rPr>
          <w:rStyle w:val="IntenseEmphasis"/>
          <w:b/>
          <w:bCs w:val="0"/>
          <w:i w:val="0"/>
          <w:iCs w:val="0"/>
          <w:color w:val="E36C0A"/>
        </w:rPr>
        <w:t>c</w:t>
      </w:r>
      <w:r w:rsidRPr="00D538D4">
        <w:rPr>
          <w:rStyle w:val="IntenseEmphasis"/>
          <w:b/>
          <w:bCs w:val="0"/>
          <w:i w:val="0"/>
          <w:iCs w:val="0"/>
          <w:color w:val="E36C0A"/>
        </w:rPr>
        <w:t>lassification</w:t>
      </w:r>
      <w:bookmarkEnd w:id="8"/>
    </w:p>
    <w:p w:rsidR="00E50324" w:rsidRDefault="00246560" w:rsidP="00A363F7">
      <w:r>
        <w:t>We consider it necessary to replace the Queensland and South Australian F&amp;A</w:t>
      </w:r>
      <w:r w:rsidR="00A46C97">
        <w:t xml:space="preserve"> papers</w:t>
      </w:r>
      <w:r>
        <w:t xml:space="preserve"> with respect to the classification of distribution services.</w:t>
      </w:r>
      <w:r w:rsidRPr="00246560">
        <w:rPr>
          <w:rStyle w:val="AERsuperscript"/>
        </w:rPr>
        <w:footnoteReference w:id="10"/>
      </w:r>
      <w:r>
        <w:t xml:space="preserve"> </w:t>
      </w:r>
      <w:r w:rsidR="003F1D79">
        <w:t>The Rules require us to determine which services provided by network businesses will be subject to regulation as well as the manner in which we will regulate those services.</w:t>
      </w:r>
      <w:r w:rsidR="00FB3E25">
        <w:rPr>
          <w:rStyle w:val="FootnoteReference"/>
        </w:rPr>
        <w:footnoteReference w:id="11"/>
      </w:r>
      <w:r w:rsidR="003F1D79">
        <w:t xml:space="preserve"> That is, whether </w:t>
      </w:r>
      <w:r w:rsidR="00E574DE">
        <w:t xml:space="preserve">we </w:t>
      </w:r>
      <w:r w:rsidR="003F1D79">
        <w:t xml:space="preserve">will directly control prices or take a </w:t>
      </w:r>
      <w:r w:rsidR="00484416">
        <w:t>lighter handed</w:t>
      </w:r>
      <w:r w:rsidR="003F1D79">
        <w:t xml:space="preserve"> approach and only become involved to arbitrate disputes. We may also decide not to regulate </w:t>
      </w:r>
      <w:r w:rsidR="00FB3E25">
        <w:t>a particular</w:t>
      </w:r>
      <w:r w:rsidR="003F1D79">
        <w:t xml:space="preserve"> service. We make these decisions by assessing </w:t>
      </w:r>
      <w:r w:rsidR="00773D08">
        <w:t xml:space="preserve">a range of factors to determine </w:t>
      </w:r>
      <w:r w:rsidR="003F1D79">
        <w:t xml:space="preserve">whether there is </w:t>
      </w:r>
      <w:r w:rsidR="00773D08">
        <w:t>competition or potential for competition for the provision of that service.</w:t>
      </w:r>
      <w:r w:rsidR="003F1D79">
        <w:t xml:space="preserve"> </w:t>
      </w:r>
    </w:p>
    <w:p w:rsidR="00A363F7" w:rsidRDefault="003F1D79" w:rsidP="00A363F7">
      <w:r>
        <w:t>W</w:t>
      </w:r>
      <w:r w:rsidR="00A363F7">
        <w:t xml:space="preserve">e </w:t>
      </w:r>
      <w:r>
        <w:t xml:space="preserve">consider it timely to conduct a comprehensive </w:t>
      </w:r>
      <w:r w:rsidR="00A363F7">
        <w:t>assess</w:t>
      </w:r>
      <w:r>
        <w:t>ment of distribution service</w:t>
      </w:r>
      <w:r w:rsidR="00A91451">
        <w:t xml:space="preserve"> classification in Queensland and South Australia</w:t>
      </w:r>
      <w:r>
        <w:t xml:space="preserve"> </w:t>
      </w:r>
      <w:r w:rsidR="00A363F7">
        <w:t xml:space="preserve">and whether barriers to competition exist given </w:t>
      </w:r>
      <w:r w:rsidR="00773D08">
        <w:t>recent energy sector reforms</w:t>
      </w:r>
      <w:r w:rsidR="00A363F7">
        <w:t xml:space="preserve">. This will provide an opportunity for interested parties to convey views on </w:t>
      </w:r>
      <w:r w:rsidR="00CA60C2">
        <w:t>possible options</w:t>
      </w:r>
      <w:r w:rsidR="00A363F7">
        <w:t xml:space="preserve"> to allow for competition</w:t>
      </w:r>
      <w:r w:rsidR="00730C0C">
        <w:t xml:space="preserve"> of electricity services</w:t>
      </w:r>
      <w:r w:rsidR="00A363F7">
        <w:t xml:space="preserve"> to develop. </w:t>
      </w:r>
    </w:p>
    <w:p w:rsidR="00537872" w:rsidRDefault="00A363F7" w:rsidP="00A363F7">
      <w:r>
        <w:t>Several submissions discussed reviewing the classification of services, especially the unbundling of metering services and public lighting.</w:t>
      </w:r>
      <w:r w:rsidR="005E5EB6">
        <w:rPr>
          <w:rStyle w:val="FootnoteReference"/>
        </w:rPr>
        <w:footnoteReference w:id="12"/>
      </w:r>
      <w:r>
        <w:t xml:space="preserve"> </w:t>
      </w:r>
      <w:r w:rsidR="00537872">
        <w:t xml:space="preserve">Ergon Energy requested that we amend the current </w:t>
      </w:r>
      <w:r w:rsidR="00537872">
        <w:lastRenderedPageBreak/>
        <w:t>classification of services</w:t>
      </w:r>
      <w:r w:rsidR="00537872">
        <w:rPr>
          <w:rStyle w:val="FootnoteReference"/>
        </w:rPr>
        <w:footnoteReference w:id="13"/>
      </w:r>
      <w:r w:rsidR="00537872">
        <w:t xml:space="preserve"> to include additional activities relating to the retrofitting of energy efficient street lights at a customer's request. We </w:t>
      </w:r>
      <w:r w:rsidR="005E5EB6">
        <w:t xml:space="preserve">must </w:t>
      </w:r>
      <w:r w:rsidR="00537872">
        <w:t>consider this request in developing the</w:t>
      </w:r>
      <w:r w:rsidR="0073699A">
        <w:t xml:space="preserve"> replacement</w:t>
      </w:r>
      <w:r w:rsidR="00537872">
        <w:t xml:space="preserve"> F&amp;A for Queensland</w:t>
      </w:r>
      <w:r w:rsidR="009278BA">
        <w:t>.</w:t>
      </w:r>
      <w:r w:rsidR="009278BA">
        <w:rPr>
          <w:rStyle w:val="FootnoteReference"/>
        </w:rPr>
        <w:footnoteReference w:id="14"/>
      </w:r>
      <w:r w:rsidR="00B3486A">
        <w:t xml:space="preserve"> </w:t>
      </w:r>
    </w:p>
    <w:p w:rsidR="00A363F7" w:rsidRPr="003202BE" w:rsidRDefault="00351C9B" w:rsidP="003202BE">
      <w:pPr>
        <w:pStyle w:val="Heading2"/>
        <w:rPr>
          <w:rStyle w:val="IntenseEmphasis"/>
          <w:b/>
          <w:bCs w:val="0"/>
          <w:i w:val="0"/>
          <w:iCs w:val="0"/>
          <w:color w:val="E36C0A"/>
        </w:rPr>
      </w:pPr>
      <w:bookmarkStart w:id="9" w:name="_Toc367457922"/>
      <w:r w:rsidRPr="003202BE">
        <w:rPr>
          <w:rStyle w:val="IntenseEmphasis"/>
          <w:b/>
          <w:bCs w:val="0"/>
          <w:i w:val="0"/>
          <w:iCs w:val="0"/>
          <w:color w:val="E36C0A"/>
        </w:rPr>
        <w:t>Form of co</w:t>
      </w:r>
      <w:r w:rsidR="00A363F7" w:rsidRPr="003202BE">
        <w:rPr>
          <w:rStyle w:val="IntenseEmphasis"/>
          <w:b/>
          <w:bCs w:val="0"/>
          <w:i w:val="0"/>
          <w:iCs w:val="0"/>
          <w:color w:val="E36C0A"/>
        </w:rPr>
        <w:t>ntrol</w:t>
      </w:r>
      <w:bookmarkEnd w:id="9"/>
      <w:r w:rsidR="00A363F7" w:rsidRPr="003202BE">
        <w:rPr>
          <w:rStyle w:val="IntenseEmphasis"/>
          <w:b/>
          <w:bCs w:val="0"/>
          <w:i w:val="0"/>
          <w:iCs w:val="0"/>
          <w:color w:val="E36C0A"/>
        </w:rPr>
        <w:t xml:space="preserve"> </w:t>
      </w:r>
    </w:p>
    <w:p w:rsidR="00856015" w:rsidRDefault="00791E7A" w:rsidP="0073699A">
      <w:r>
        <w:rPr>
          <w:rStyle w:val="AERbody"/>
        </w:rPr>
        <w:t>For</w:t>
      </w:r>
      <w:r w:rsidR="00A91451" w:rsidRPr="00773D08">
        <w:rPr>
          <w:rStyle w:val="AERbody"/>
        </w:rPr>
        <w:t xml:space="preserve"> distribution service</w:t>
      </w:r>
      <w:r w:rsidR="003202BE">
        <w:rPr>
          <w:rStyle w:val="AERbody"/>
        </w:rPr>
        <w:t>s</w:t>
      </w:r>
      <w:r w:rsidR="00A91451" w:rsidRPr="00773D08">
        <w:rPr>
          <w:rStyle w:val="AERbody"/>
        </w:rPr>
        <w:t xml:space="preserve"> classifi</w:t>
      </w:r>
      <w:r>
        <w:rPr>
          <w:rStyle w:val="AERbody"/>
        </w:rPr>
        <w:t>ed as direct control services</w:t>
      </w:r>
      <w:r w:rsidR="00A91451" w:rsidRPr="00773D08">
        <w:rPr>
          <w:rStyle w:val="AERbody"/>
        </w:rPr>
        <w:t xml:space="preserve">, we must </w:t>
      </w:r>
      <w:r>
        <w:rPr>
          <w:rStyle w:val="AERbody"/>
        </w:rPr>
        <w:t>determine</w:t>
      </w:r>
      <w:r w:rsidRPr="00773D08">
        <w:rPr>
          <w:rStyle w:val="AERbody"/>
        </w:rPr>
        <w:t xml:space="preserve"> </w:t>
      </w:r>
      <w:r>
        <w:rPr>
          <w:rStyle w:val="AERbody"/>
        </w:rPr>
        <w:t xml:space="preserve">the </w:t>
      </w:r>
      <w:r w:rsidR="00A91451" w:rsidRPr="00773D08">
        <w:rPr>
          <w:rStyle w:val="AERbody"/>
        </w:rPr>
        <w:t xml:space="preserve">price </w:t>
      </w:r>
      <w:r>
        <w:rPr>
          <w:rStyle w:val="AERbody"/>
        </w:rPr>
        <w:t xml:space="preserve">or revenue </w:t>
      </w:r>
      <w:r w:rsidR="00A91451" w:rsidRPr="00773D08">
        <w:rPr>
          <w:rStyle w:val="AERbody"/>
        </w:rPr>
        <w:t xml:space="preserve">controls </w:t>
      </w:r>
      <w:r w:rsidR="006657DE">
        <w:rPr>
          <w:rStyle w:val="AERbody"/>
        </w:rPr>
        <w:t xml:space="preserve">(or </w:t>
      </w:r>
      <w:r w:rsidR="00CE789C">
        <w:rPr>
          <w:rStyle w:val="AERbody"/>
        </w:rPr>
        <w:t xml:space="preserve">some other </w:t>
      </w:r>
      <w:r w:rsidR="006657DE">
        <w:rPr>
          <w:rStyle w:val="AERbody"/>
        </w:rPr>
        <w:t xml:space="preserve">hybrid arrangement) </w:t>
      </w:r>
      <w:r>
        <w:rPr>
          <w:rStyle w:val="AERbody"/>
        </w:rPr>
        <w:t>for each</w:t>
      </w:r>
      <w:r w:rsidR="00A91451" w:rsidRPr="00773D08">
        <w:rPr>
          <w:rStyle w:val="AERbody"/>
        </w:rPr>
        <w:t xml:space="preserve"> service</w:t>
      </w:r>
      <w:r w:rsidR="00351C9B">
        <w:rPr>
          <w:rStyle w:val="AERbody"/>
        </w:rPr>
        <w:t xml:space="preserve"> or group of serv</w:t>
      </w:r>
      <w:r w:rsidR="003202BE">
        <w:rPr>
          <w:rStyle w:val="AERbody"/>
        </w:rPr>
        <w:t>i</w:t>
      </w:r>
      <w:r w:rsidR="00351C9B">
        <w:rPr>
          <w:rStyle w:val="AERbody"/>
        </w:rPr>
        <w:t>ces</w:t>
      </w:r>
      <w:r w:rsidR="00A91451" w:rsidRPr="00773D08">
        <w:rPr>
          <w:rStyle w:val="AERbody"/>
        </w:rPr>
        <w:t xml:space="preserve">. </w:t>
      </w:r>
      <w:r w:rsidR="00856015">
        <w:rPr>
          <w:rStyle w:val="AERbody"/>
        </w:rPr>
        <w:t>W</w:t>
      </w:r>
      <w:r w:rsidR="00856015" w:rsidRPr="00856015">
        <w:t xml:space="preserve">e consider it necessary to replace the Queensland and South Australian F&amp;A </w:t>
      </w:r>
      <w:r w:rsidR="00A46C97">
        <w:t xml:space="preserve">papers </w:t>
      </w:r>
      <w:r w:rsidR="00856015" w:rsidRPr="00856015">
        <w:t xml:space="preserve">with respect to the </w:t>
      </w:r>
      <w:r w:rsidR="00351C9B">
        <w:t xml:space="preserve">form of </w:t>
      </w:r>
      <w:r w:rsidR="00856015" w:rsidRPr="00856015">
        <w:t xml:space="preserve">control </w:t>
      </w:r>
      <w:r>
        <w:t xml:space="preserve">as we expect </w:t>
      </w:r>
      <w:r w:rsidR="003202BE">
        <w:t xml:space="preserve">to classify </w:t>
      </w:r>
      <w:r>
        <w:t>some service</w:t>
      </w:r>
      <w:r w:rsidR="003202BE">
        <w:t>s</w:t>
      </w:r>
      <w:r>
        <w:t xml:space="preserve"> differently</w:t>
      </w:r>
      <w:r w:rsidR="00856015" w:rsidRPr="00856015">
        <w:t>.</w:t>
      </w:r>
      <w:r w:rsidR="00856015" w:rsidRPr="00CA60C2">
        <w:rPr>
          <w:rStyle w:val="AERsuperscript"/>
        </w:rPr>
        <w:footnoteReference w:id="15"/>
      </w:r>
    </w:p>
    <w:p w:rsidR="0073699A" w:rsidRPr="00773D08" w:rsidRDefault="00351C9B" w:rsidP="0073699A">
      <w:pPr>
        <w:rPr>
          <w:rStyle w:val="AERbody"/>
        </w:rPr>
      </w:pPr>
      <w:r>
        <w:rPr>
          <w:rStyle w:val="AERbody"/>
        </w:rPr>
        <w:t>The form of c</w:t>
      </w:r>
      <w:r w:rsidR="00A91451" w:rsidRPr="00773D08">
        <w:rPr>
          <w:rStyle w:val="AERbody"/>
        </w:rPr>
        <w:t>ontrol may be</w:t>
      </w:r>
      <w:r w:rsidR="00703DC9">
        <w:rPr>
          <w:rStyle w:val="AERbody"/>
        </w:rPr>
        <w:t>, for example,</w:t>
      </w:r>
      <w:r w:rsidR="00A91451" w:rsidRPr="00773D08">
        <w:rPr>
          <w:rStyle w:val="AERbody"/>
        </w:rPr>
        <w:t xml:space="preserve"> </w:t>
      </w:r>
      <w:r>
        <w:rPr>
          <w:rStyle w:val="AERbody"/>
        </w:rPr>
        <w:t>a</w:t>
      </w:r>
      <w:r w:rsidR="00A91451" w:rsidRPr="00773D08">
        <w:rPr>
          <w:rStyle w:val="AERbody"/>
        </w:rPr>
        <w:t xml:space="preserve"> cap on revenue or </w:t>
      </w:r>
      <w:r>
        <w:rPr>
          <w:rStyle w:val="AERbody"/>
        </w:rPr>
        <w:t xml:space="preserve">a cap on </w:t>
      </w:r>
      <w:r w:rsidR="00A91451" w:rsidRPr="00773D08">
        <w:rPr>
          <w:rStyle w:val="AERbody"/>
        </w:rPr>
        <w:t>prices charged by the network service providers. The Rules set out assessment criteria we must consider.</w:t>
      </w:r>
      <w:r w:rsidR="00FB3E25">
        <w:rPr>
          <w:rStyle w:val="FootnoteReference"/>
        </w:rPr>
        <w:footnoteReference w:id="16"/>
      </w:r>
      <w:r w:rsidR="00A91451" w:rsidRPr="00773D08">
        <w:rPr>
          <w:rStyle w:val="AERbody"/>
        </w:rPr>
        <w:t xml:space="preserve"> We may also apply additional criteria</w:t>
      </w:r>
      <w:r>
        <w:rPr>
          <w:rStyle w:val="AERbody"/>
        </w:rPr>
        <w:t xml:space="preserve"> in considering the form of control </w:t>
      </w:r>
      <w:r w:rsidR="003202BE">
        <w:rPr>
          <w:rStyle w:val="AERbody"/>
        </w:rPr>
        <w:t>we will apply</w:t>
      </w:r>
      <w:r>
        <w:rPr>
          <w:rStyle w:val="AERbody"/>
        </w:rPr>
        <w:t xml:space="preserve"> (as we have done elsewhere)</w:t>
      </w:r>
      <w:r w:rsidR="00A91451" w:rsidRPr="00773D08">
        <w:rPr>
          <w:rStyle w:val="AERbody"/>
        </w:rPr>
        <w:t>.</w:t>
      </w:r>
      <w:r w:rsidR="00A91451" w:rsidRPr="001F5A40">
        <w:rPr>
          <w:rStyle w:val="AERsuperscript"/>
        </w:rPr>
        <w:footnoteReference w:id="17"/>
      </w:r>
      <w:r w:rsidR="00A91451" w:rsidRPr="00773D08">
        <w:rPr>
          <w:rStyle w:val="AERbody"/>
        </w:rPr>
        <w:t xml:space="preserve"> </w:t>
      </w:r>
      <w:r w:rsidR="00E13E8E">
        <w:rPr>
          <w:rStyle w:val="AERbody"/>
        </w:rPr>
        <w:t>Our assessment</w:t>
      </w:r>
      <w:r w:rsidR="0073699A" w:rsidRPr="00773D08">
        <w:rPr>
          <w:rStyle w:val="AERbody"/>
        </w:rPr>
        <w:t xml:space="preserve"> is particularly important </w:t>
      </w:r>
      <w:r>
        <w:rPr>
          <w:rStyle w:val="AERbody"/>
        </w:rPr>
        <w:t>as</w:t>
      </w:r>
      <w:r w:rsidRPr="00773D08">
        <w:rPr>
          <w:rStyle w:val="AERbody"/>
        </w:rPr>
        <w:t xml:space="preserve"> </w:t>
      </w:r>
      <w:r w:rsidR="0073699A" w:rsidRPr="00773D08">
        <w:rPr>
          <w:rStyle w:val="AERbody"/>
        </w:rPr>
        <w:t xml:space="preserve">our decision on the </w:t>
      </w:r>
      <w:r>
        <w:rPr>
          <w:rStyle w:val="AERbody"/>
        </w:rPr>
        <w:t xml:space="preserve">form of </w:t>
      </w:r>
      <w:r w:rsidR="0073699A" w:rsidRPr="00773D08">
        <w:rPr>
          <w:rStyle w:val="AERbody"/>
        </w:rPr>
        <w:t>control in the F&amp;A is binding.</w:t>
      </w:r>
      <w:r w:rsidR="00FB3E25">
        <w:rPr>
          <w:rStyle w:val="FootnoteReference"/>
        </w:rPr>
        <w:footnoteReference w:id="18"/>
      </w:r>
      <w:r w:rsidR="0073699A" w:rsidRPr="00773D08">
        <w:rPr>
          <w:rStyle w:val="AERbody"/>
        </w:rPr>
        <w:t xml:space="preserve"> </w:t>
      </w:r>
    </w:p>
    <w:p w:rsidR="0073699A" w:rsidRDefault="00E90301" w:rsidP="00A363F7">
      <w:r>
        <w:t>At p</w:t>
      </w:r>
      <w:r w:rsidR="00A363F7">
        <w:t xml:space="preserve">resent, </w:t>
      </w:r>
      <w:r w:rsidR="00D96185">
        <w:t xml:space="preserve">Queensland operates under a revenue cap. </w:t>
      </w:r>
      <w:r w:rsidR="006657DE">
        <w:t>W</w:t>
      </w:r>
      <w:r w:rsidR="00D96185">
        <w:t xml:space="preserve">e received </w:t>
      </w:r>
      <w:r w:rsidR="00751ACB">
        <w:t xml:space="preserve">a </w:t>
      </w:r>
      <w:r w:rsidR="00D96185">
        <w:t>submission from Origin supporting a move to a weighted average price</w:t>
      </w:r>
      <w:r w:rsidR="0073699A">
        <w:t xml:space="preserve"> cap</w:t>
      </w:r>
      <w:r w:rsidR="00D96185">
        <w:t>.</w:t>
      </w:r>
      <w:r w:rsidR="00751ACB">
        <w:rPr>
          <w:rStyle w:val="FootnoteReference"/>
        </w:rPr>
        <w:footnoteReference w:id="19"/>
      </w:r>
      <w:r w:rsidR="00D96185">
        <w:t xml:space="preserve"> </w:t>
      </w:r>
      <w:r w:rsidR="00751ACB">
        <w:t>The Queensland Government</w:t>
      </w:r>
      <w:r>
        <w:t>,</w:t>
      </w:r>
      <w:r w:rsidR="00751ACB">
        <w:t xml:space="preserve"> subject to further work confirming customer benefits</w:t>
      </w:r>
      <w:r>
        <w:t>,</w:t>
      </w:r>
      <w:r w:rsidR="00751ACB">
        <w:t xml:space="preserve"> also supports </w:t>
      </w:r>
      <w:r w:rsidR="00745AB4">
        <w:t>a weighted average price cap</w:t>
      </w:r>
      <w:r w:rsidR="00751ACB">
        <w:t xml:space="preserve"> in principal</w:t>
      </w:r>
      <w:r w:rsidR="00D96185">
        <w:t>.</w:t>
      </w:r>
      <w:r w:rsidR="00751ACB">
        <w:rPr>
          <w:rStyle w:val="FootnoteReference"/>
        </w:rPr>
        <w:footnoteReference w:id="20"/>
      </w:r>
      <w:r w:rsidR="00D96185">
        <w:t xml:space="preserve"> </w:t>
      </w:r>
      <w:r w:rsidR="00F22581">
        <w:t>Energex also submits that we should address all matters relevant to the control mec</w:t>
      </w:r>
      <w:r w:rsidR="008A43B9">
        <w:t>hanism under the new Rules.</w:t>
      </w:r>
      <w:r w:rsidR="00751ACB">
        <w:rPr>
          <w:rStyle w:val="FootnoteReference"/>
        </w:rPr>
        <w:footnoteReference w:id="21"/>
      </w:r>
      <w:r w:rsidR="00F22581">
        <w:t xml:space="preserve"> </w:t>
      </w:r>
    </w:p>
    <w:p w:rsidR="008A43B9" w:rsidRDefault="008A43B9" w:rsidP="00A363F7">
      <w:r>
        <w:t xml:space="preserve">SA Power Networks currently operates under a weighted average price cap. </w:t>
      </w:r>
      <w:r w:rsidR="00A363F7">
        <w:t xml:space="preserve">SA Power Networks </w:t>
      </w:r>
      <w:r>
        <w:t xml:space="preserve">is </w:t>
      </w:r>
      <w:r w:rsidR="00A363F7">
        <w:t>yet to express its views about the control mechanism</w:t>
      </w:r>
      <w:r>
        <w:t xml:space="preserve"> going forward</w:t>
      </w:r>
      <w:r w:rsidR="00246560">
        <w:t>.</w:t>
      </w:r>
      <w:r>
        <w:t xml:space="preserve"> </w:t>
      </w:r>
      <w:r w:rsidR="00EF61A9">
        <w:t>SA Power Networks submitted that recent changes to energy policy and operating environment could result in amended approaches to the form of control mechanism.</w:t>
      </w:r>
      <w:r w:rsidR="00EF61A9">
        <w:rPr>
          <w:rStyle w:val="FootnoteReference"/>
        </w:rPr>
        <w:footnoteReference w:id="22"/>
      </w:r>
      <w:r w:rsidR="00EF61A9">
        <w:t xml:space="preserve"> </w:t>
      </w:r>
    </w:p>
    <w:p w:rsidR="00927828" w:rsidRDefault="00927828" w:rsidP="00A363F7">
      <w:r>
        <w:t>The Rules also require us to set out the control mechanism we will apply. The control mechanism is the formulae we will use to calculate service prices. The control mechanism listed in the F&amp;A is not binding</w:t>
      </w:r>
      <w:r w:rsidR="00303DB4">
        <w:t xml:space="preserve"> and so may be changed at the time of the Determination if unforeseen circumstances arise</w:t>
      </w:r>
      <w:r>
        <w:t xml:space="preserve">. </w:t>
      </w:r>
    </w:p>
    <w:p w:rsidR="0073699A" w:rsidRDefault="0073699A" w:rsidP="0073699A">
      <w:pPr>
        <w:pStyle w:val="Heading2"/>
      </w:pPr>
      <w:bookmarkStart w:id="10" w:name="_Toc367457923"/>
      <w:r>
        <w:t>Dual</w:t>
      </w:r>
      <w:r w:rsidR="008C1DB1">
        <w:t>-</w:t>
      </w:r>
      <w:r>
        <w:t>function assets</w:t>
      </w:r>
      <w:bookmarkEnd w:id="10"/>
    </w:p>
    <w:p w:rsidR="001F5A40" w:rsidRDefault="001F5A40" w:rsidP="00A363F7">
      <w:pPr>
        <w:rPr>
          <w:rStyle w:val="AERbody"/>
        </w:rPr>
      </w:pPr>
      <w:r>
        <w:rPr>
          <w:rStyle w:val="AERbody"/>
        </w:rPr>
        <w:t>Dual</w:t>
      </w:r>
      <w:r w:rsidR="00C7189E">
        <w:rPr>
          <w:rStyle w:val="AERbody"/>
        </w:rPr>
        <w:t>-</w:t>
      </w:r>
      <w:r>
        <w:rPr>
          <w:rStyle w:val="AERbody"/>
        </w:rPr>
        <w:t xml:space="preserve">function assets are high voltage transmission assets forming part of the distribution network. Transmission network service providers usually operate these assets. Considering transmission assets as part of a distribution determination avoids </w:t>
      </w:r>
      <w:r w:rsidR="00E13E8E">
        <w:rPr>
          <w:rStyle w:val="AERbody"/>
        </w:rPr>
        <w:t xml:space="preserve">the </w:t>
      </w:r>
      <w:r>
        <w:rPr>
          <w:rStyle w:val="AERbody"/>
        </w:rPr>
        <w:t xml:space="preserve">need for a separate transmission proposal. </w:t>
      </w:r>
      <w:r w:rsidR="00C7189E">
        <w:rPr>
          <w:rStyle w:val="AERbody"/>
        </w:rPr>
        <w:t xml:space="preserve">Where a network service provider owns, controls or operates dual-function assets, we are required to consider whether we should price these assets according to the transmission or distribution pricing principles. </w:t>
      </w:r>
    </w:p>
    <w:p w:rsidR="00D62336" w:rsidRDefault="00D62336" w:rsidP="00A363F7">
      <w:pPr>
        <w:rPr>
          <w:rStyle w:val="AERbody"/>
        </w:rPr>
      </w:pPr>
      <w:r>
        <w:rPr>
          <w:rStyle w:val="AERbody"/>
        </w:rPr>
        <w:lastRenderedPageBreak/>
        <w:t>The treatment of d</w:t>
      </w:r>
      <w:r w:rsidR="00757158" w:rsidRPr="001F5A40">
        <w:rPr>
          <w:rStyle w:val="AERbody"/>
        </w:rPr>
        <w:t xml:space="preserve">ual-function assets </w:t>
      </w:r>
      <w:r>
        <w:rPr>
          <w:rStyle w:val="AERbody"/>
        </w:rPr>
        <w:t>is not a feature of</w:t>
      </w:r>
      <w:r w:rsidR="00757158" w:rsidRPr="001F5A40">
        <w:rPr>
          <w:rStyle w:val="AERbody"/>
        </w:rPr>
        <w:t xml:space="preserve"> the current Queensland and South Australian </w:t>
      </w:r>
      <w:r>
        <w:rPr>
          <w:rStyle w:val="AERbody"/>
        </w:rPr>
        <w:t xml:space="preserve">electricity determinations or </w:t>
      </w:r>
      <w:r w:rsidR="00757158" w:rsidRPr="001F5A40">
        <w:rPr>
          <w:rStyle w:val="AERbody"/>
        </w:rPr>
        <w:t>F&amp;A</w:t>
      </w:r>
      <w:r w:rsidR="004926D6">
        <w:rPr>
          <w:rStyle w:val="AERbody"/>
        </w:rPr>
        <w:t xml:space="preserve"> papers</w:t>
      </w:r>
      <w:r>
        <w:rPr>
          <w:rStyle w:val="AERbody"/>
        </w:rPr>
        <w:t xml:space="preserve">. This is because </w:t>
      </w:r>
      <w:r w:rsidR="00070FCB">
        <w:rPr>
          <w:rStyle w:val="AERbody"/>
        </w:rPr>
        <w:t xml:space="preserve">none of the network service providers </w:t>
      </w:r>
      <w:r w:rsidR="00E90301">
        <w:rPr>
          <w:rStyle w:val="AERbody"/>
        </w:rPr>
        <w:t>owned</w:t>
      </w:r>
      <w:r w:rsidR="00544A4D">
        <w:rPr>
          <w:rStyle w:val="AERbody"/>
        </w:rPr>
        <w:t>, controlled</w:t>
      </w:r>
      <w:r>
        <w:rPr>
          <w:rStyle w:val="AERbody"/>
        </w:rPr>
        <w:t xml:space="preserve"> </w:t>
      </w:r>
      <w:r w:rsidR="00E90301">
        <w:rPr>
          <w:rStyle w:val="AERbody"/>
        </w:rPr>
        <w:t xml:space="preserve">or operated </w:t>
      </w:r>
      <w:r>
        <w:rPr>
          <w:rStyle w:val="AERbody"/>
        </w:rPr>
        <w:t>dual</w:t>
      </w:r>
      <w:r w:rsidR="00C7189E">
        <w:rPr>
          <w:rStyle w:val="AERbody"/>
        </w:rPr>
        <w:t>-</w:t>
      </w:r>
      <w:r>
        <w:rPr>
          <w:rStyle w:val="AERbody"/>
        </w:rPr>
        <w:t xml:space="preserve">function assets </w:t>
      </w:r>
      <w:r w:rsidR="00E90301">
        <w:rPr>
          <w:rStyle w:val="AERbody"/>
        </w:rPr>
        <w:t>at the time of the last determination</w:t>
      </w:r>
      <w:r w:rsidR="00757158" w:rsidRPr="001F5A40">
        <w:rPr>
          <w:rStyle w:val="AERbody"/>
        </w:rPr>
        <w:t xml:space="preserve">. </w:t>
      </w:r>
    </w:p>
    <w:p w:rsidR="00757158" w:rsidRPr="001F5A40" w:rsidRDefault="00757158" w:rsidP="00A363F7">
      <w:pPr>
        <w:rPr>
          <w:rStyle w:val="AERbody"/>
        </w:rPr>
      </w:pPr>
      <w:r w:rsidRPr="001F5A40">
        <w:rPr>
          <w:rStyle w:val="AERbody"/>
        </w:rPr>
        <w:t xml:space="preserve">Neither Energex </w:t>
      </w:r>
      <w:r w:rsidR="00C91461">
        <w:rPr>
          <w:rStyle w:val="AERbody"/>
        </w:rPr>
        <w:t>n</w:t>
      </w:r>
      <w:r w:rsidRPr="001F5A40">
        <w:rPr>
          <w:rStyle w:val="AERbody"/>
        </w:rPr>
        <w:t xml:space="preserve">or Ergon Energy </w:t>
      </w:r>
      <w:r w:rsidR="00C7189E">
        <w:rPr>
          <w:rStyle w:val="AERbody"/>
        </w:rPr>
        <w:t xml:space="preserve">currently </w:t>
      </w:r>
      <w:r w:rsidRPr="001F5A40">
        <w:rPr>
          <w:rStyle w:val="AERbody"/>
        </w:rPr>
        <w:t>own</w:t>
      </w:r>
      <w:r w:rsidR="00C91461">
        <w:rPr>
          <w:rStyle w:val="AERbody"/>
        </w:rPr>
        <w:t>, control</w:t>
      </w:r>
      <w:r w:rsidRPr="001F5A40">
        <w:rPr>
          <w:rStyle w:val="AERbody"/>
        </w:rPr>
        <w:t xml:space="preserve"> or operate any dual-function assets. </w:t>
      </w:r>
      <w:r w:rsidR="00265E4E" w:rsidRPr="001F5A40">
        <w:rPr>
          <w:rStyle w:val="AERbody"/>
        </w:rPr>
        <w:t xml:space="preserve">This is because </w:t>
      </w:r>
      <w:r w:rsidR="008C1DB1">
        <w:rPr>
          <w:rStyle w:val="AERbody"/>
        </w:rPr>
        <w:t xml:space="preserve">there is a permanent derogation in the </w:t>
      </w:r>
      <w:r w:rsidR="00265E4E" w:rsidRPr="001F5A40">
        <w:rPr>
          <w:rStyle w:val="AERbody"/>
        </w:rPr>
        <w:t>Rules in relation to the definition of 'transmission network' in Queensland.</w:t>
      </w:r>
      <w:r w:rsidR="008C1DB1">
        <w:rPr>
          <w:rStyle w:val="FootnoteReference"/>
        </w:rPr>
        <w:footnoteReference w:id="23"/>
      </w:r>
      <w:r w:rsidR="00265E4E" w:rsidRPr="001F5A40">
        <w:rPr>
          <w:rStyle w:val="AERbody"/>
        </w:rPr>
        <w:t xml:space="preserve"> </w:t>
      </w:r>
    </w:p>
    <w:p w:rsidR="00757158" w:rsidRPr="001F5A40" w:rsidRDefault="00757158" w:rsidP="00A363F7">
      <w:pPr>
        <w:rPr>
          <w:rStyle w:val="AERbody"/>
        </w:rPr>
      </w:pPr>
      <w:r w:rsidRPr="001F5A40">
        <w:rPr>
          <w:rStyle w:val="AERbody"/>
        </w:rPr>
        <w:t>SA Power Networks also does not</w:t>
      </w:r>
      <w:r w:rsidR="00C7189E">
        <w:rPr>
          <w:rStyle w:val="AERbody"/>
        </w:rPr>
        <w:t xml:space="preserve"> currently</w:t>
      </w:r>
      <w:r w:rsidRPr="001F5A40">
        <w:rPr>
          <w:rStyle w:val="AERbody"/>
        </w:rPr>
        <w:t xml:space="preserve"> own</w:t>
      </w:r>
      <w:r w:rsidR="008C1DB1">
        <w:rPr>
          <w:rStyle w:val="AERbody"/>
        </w:rPr>
        <w:t>, control</w:t>
      </w:r>
      <w:r w:rsidRPr="001F5A40">
        <w:rPr>
          <w:rStyle w:val="AERbody"/>
        </w:rPr>
        <w:t xml:space="preserve"> or operate any dual-function assets.</w:t>
      </w:r>
      <w:r w:rsidR="00C7189E">
        <w:rPr>
          <w:rStyle w:val="FootnoteReference"/>
        </w:rPr>
        <w:footnoteReference w:id="24"/>
      </w:r>
      <w:r w:rsidRPr="001F5A40">
        <w:rPr>
          <w:rStyle w:val="AERbody"/>
        </w:rPr>
        <w:t xml:space="preserve"> </w:t>
      </w:r>
    </w:p>
    <w:p w:rsidR="00757158" w:rsidRPr="001F5A40" w:rsidRDefault="008C1DB1" w:rsidP="00A363F7">
      <w:pPr>
        <w:rPr>
          <w:rStyle w:val="AERbody"/>
        </w:rPr>
      </w:pPr>
      <w:r>
        <w:rPr>
          <w:rStyle w:val="AERbody"/>
        </w:rPr>
        <w:t>For these reasons w</w:t>
      </w:r>
      <w:r w:rsidR="00757158" w:rsidRPr="001F5A40">
        <w:rPr>
          <w:rStyle w:val="AERbody"/>
        </w:rPr>
        <w:t xml:space="preserve">e do not need to make a decision </w:t>
      </w:r>
      <w:r w:rsidR="00791E7A">
        <w:rPr>
          <w:rStyle w:val="AERbody"/>
        </w:rPr>
        <w:t>in regard to</w:t>
      </w:r>
      <w:r w:rsidR="00791E7A" w:rsidRPr="001F5A40">
        <w:rPr>
          <w:rStyle w:val="AERbody"/>
        </w:rPr>
        <w:t xml:space="preserve"> </w:t>
      </w:r>
      <w:r w:rsidR="004978B9" w:rsidRPr="001F5A40">
        <w:rPr>
          <w:rStyle w:val="AERbody"/>
        </w:rPr>
        <w:t>dual-function assets in the F&amp;A</w:t>
      </w:r>
      <w:r w:rsidR="00A46C97">
        <w:rPr>
          <w:rStyle w:val="AERbody"/>
        </w:rPr>
        <w:t xml:space="preserve"> papers</w:t>
      </w:r>
      <w:r w:rsidR="004978B9" w:rsidRPr="001F5A40">
        <w:rPr>
          <w:rStyle w:val="AERbody"/>
        </w:rPr>
        <w:t xml:space="preserve">. </w:t>
      </w:r>
    </w:p>
    <w:p w:rsidR="00A363F7" w:rsidRPr="00D96185" w:rsidRDefault="00A363F7" w:rsidP="00D96185">
      <w:pPr>
        <w:pStyle w:val="Heading2"/>
        <w:rPr>
          <w:rStyle w:val="IntenseEmphasis"/>
          <w:b/>
          <w:bCs w:val="0"/>
          <w:i w:val="0"/>
          <w:iCs w:val="0"/>
          <w:color w:val="E36C0A"/>
        </w:rPr>
      </w:pPr>
      <w:bookmarkStart w:id="11" w:name="_Toc367457924"/>
      <w:r w:rsidRPr="00D96185">
        <w:rPr>
          <w:rStyle w:val="IntenseEmphasis"/>
          <w:b/>
          <w:bCs w:val="0"/>
          <w:i w:val="0"/>
          <w:iCs w:val="0"/>
          <w:color w:val="E36C0A"/>
        </w:rPr>
        <w:t>Application of incentive schemes</w:t>
      </w:r>
      <w:bookmarkEnd w:id="11"/>
    </w:p>
    <w:p w:rsidR="002072E7" w:rsidRDefault="00C35450" w:rsidP="00B85071">
      <w:r>
        <w:t xml:space="preserve">We have </w:t>
      </w:r>
      <w:r w:rsidR="00791E7A">
        <w:t>developed</w:t>
      </w:r>
      <w:r>
        <w:t xml:space="preserve"> several</w:t>
      </w:r>
      <w:r w:rsidR="002072E7">
        <w:t xml:space="preserve"> mechanisms </w:t>
      </w:r>
      <w:r w:rsidR="00791E7A">
        <w:t>that provide incentives for</w:t>
      </w:r>
      <w:r>
        <w:t xml:space="preserve"> </w:t>
      </w:r>
      <w:r w:rsidR="002072E7">
        <w:t xml:space="preserve">network service providers to </w:t>
      </w:r>
      <w:r w:rsidR="00791E7A">
        <w:t xml:space="preserve">invest efficiently and therefore </w:t>
      </w:r>
      <w:r w:rsidR="00351C9B">
        <w:t xml:space="preserve">be </w:t>
      </w:r>
      <w:r w:rsidR="00791E7A">
        <w:t xml:space="preserve">more likely to </w:t>
      </w:r>
      <w:r w:rsidR="002072E7">
        <w:t xml:space="preserve">operate </w:t>
      </w:r>
      <w:r>
        <w:t xml:space="preserve">in the </w:t>
      </w:r>
      <w:r w:rsidR="00791E7A">
        <w:t>long term</w:t>
      </w:r>
      <w:r>
        <w:t xml:space="preserve"> interests of consumers</w:t>
      </w:r>
      <w:r w:rsidR="002072E7">
        <w:t xml:space="preserve">. </w:t>
      </w:r>
      <w:r w:rsidR="00B051A0">
        <w:t xml:space="preserve">These schemes include the service target performance incentive scheme, efficiency benefit sharing scheme, capital expenditure sharing scheme and demand management and embedded generation connection incentive scheme. </w:t>
      </w:r>
      <w:r w:rsidR="002072E7">
        <w:t>The overall objectives of the schemes are to:</w:t>
      </w:r>
      <w:r w:rsidR="00745AB4">
        <w:rPr>
          <w:rStyle w:val="FootnoteReference"/>
        </w:rPr>
        <w:footnoteReference w:id="25"/>
      </w:r>
    </w:p>
    <w:p w:rsidR="002072E7" w:rsidRDefault="002072E7" w:rsidP="002072E7">
      <w:pPr>
        <w:pStyle w:val="AERbulletlistfirststyle"/>
      </w:pPr>
      <w:r>
        <w:t xml:space="preserve">incentivise network service providers to spend more efficiently on </w:t>
      </w:r>
      <w:r w:rsidR="001F5A40">
        <w:t>capital and operating</w:t>
      </w:r>
      <w:r w:rsidR="00757158">
        <w:t xml:space="preserve"> expenditure</w:t>
      </w:r>
    </w:p>
    <w:p w:rsidR="00757158" w:rsidRDefault="00CE789C" w:rsidP="002072E7">
      <w:pPr>
        <w:pStyle w:val="AERbulletlistfirststyle"/>
      </w:pPr>
      <w:r>
        <w:t xml:space="preserve">reduce the risk of </w:t>
      </w:r>
      <w:r w:rsidR="00757158">
        <w:t xml:space="preserve">consumers paying </w:t>
      </w:r>
      <w:r>
        <w:t xml:space="preserve">for </w:t>
      </w:r>
      <w:r w:rsidR="00C40018">
        <w:t xml:space="preserve">unnecessary </w:t>
      </w:r>
      <w:r w:rsidR="00757158">
        <w:t>capital expenditure</w:t>
      </w:r>
      <w:r>
        <w:t xml:space="preserve"> </w:t>
      </w:r>
    </w:p>
    <w:p w:rsidR="00757158" w:rsidRDefault="00757158" w:rsidP="002072E7">
      <w:pPr>
        <w:pStyle w:val="AERbulletlistfirststyle"/>
      </w:pPr>
      <w:r>
        <w:t>share efficient improvements and losses between network service providers and consumers</w:t>
      </w:r>
    </w:p>
    <w:p w:rsidR="00757158" w:rsidRDefault="00757158" w:rsidP="002072E7">
      <w:pPr>
        <w:pStyle w:val="AERbulletlistfirststyle"/>
      </w:pPr>
      <w:r>
        <w:t xml:space="preserve">encourage </w:t>
      </w:r>
      <w:r w:rsidR="00E820AF">
        <w:t xml:space="preserve">appropriate levels of </w:t>
      </w:r>
      <w:r>
        <w:t>service quality</w:t>
      </w:r>
    </w:p>
    <w:p w:rsidR="00757158" w:rsidRDefault="00E820AF" w:rsidP="002072E7">
      <w:pPr>
        <w:pStyle w:val="AERbulletlistfirststyle"/>
      </w:pPr>
      <w:r>
        <w:t xml:space="preserve">maintain </w:t>
      </w:r>
      <w:r w:rsidR="00757158">
        <w:t>network reliability</w:t>
      </w:r>
      <w:r>
        <w:t xml:space="preserve"> as appropriate</w:t>
      </w:r>
      <w:r w:rsidR="00757158">
        <w:t xml:space="preserve">. </w:t>
      </w:r>
    </w:p>
    <w:p w:rsidR="00C35450" w:rsidRDefault="00C35450" w:rsidP="00B85071">
      <w:r>
        <w:t>W</w:t>
      </w:r>
      <w:r w:rsidRPr="00C35450">
        <w:t xml:space="preserve">e consider it necessary to replace the Queensland and South Australian F&amp;A </w:t>
      </w:r>
      <w:r w:rsidR="00A46C97">
        <w:t xml:space="preserve">papers </w:t>
      </w:r>
      <w:r w:rsidRPr="00C35450">
        <w:t>with respect to the application of all incentive schemes.</w:t>
      </w:r>
      <w:r w:rsidRPr="00C35450">
        <w:rPr>
          <w:rStyle w:val="AERsuperscript"/>
        </w:rPr>
        <w:footnoteReference w:id="26"/>
      </w:r>
    </w:p>
    <w:p w:rsidR="0091540F" w:rsidRDefault="00757158" w:rsidP="00B85071">
      <w:r>
        <w:t xml:space="preserve">A number of incentive schemes already apply to the network service providers. </w:t>
      </w:r>
      <w:r w:rsidR="00B051A0">
        <w:t>T</w:t>
      </w:r>
      <w:r w:rsidR="00A363F7">
        <w:t xml:space="preserve">he Rules </w:t>
      </w:r>
      <w:r>
        <w:t xml:space="preserve">also </w:t>
      </w:r>
      <w:r w:rsidR="00B63A23">
        <w:t>contain a number of new</w:t>
      </w:r>
      <w:r w:rsidR="00A363F7">
        <w:t xml:space="preserve"> incentive schemes</w:t>
      </w:r>
      <w:r w:rsidR="00B63A23">
        <w:t xml:space="preserve">. </w:t>
      </w:r>
      <w:r w:rsidR="00B85071">
        <w:t>Additionally, the</w:t>
      </w:r>
      <w:r w:rsidR="00F84EFC" w:rsidRPr="00F84EFC">
        <w:rPr>
          <w:lang w:val="en" w:eastAsia="en-AU"/>
        </w:rPr>
        <w:t xml:space="preserve"> </w:t>
      </w:r>
      <w:r w:rsidR="003202BE">
        <w:t xml:space="preserve">Australian Energy Market Commission </w:t>
      </w:r>
      <w:r w:rsidR="00F84EFC" w:rsidRPr="00F84EFC">
        <w:rPr>
          <w:lang w:val="en" w:eastAsia="en-AU"/>
        </w:rPr>
        <w:t xml:space="preserve">completed its Power of Choice review in November 2012. </w:t>
      </w:r>
      <w:r w:rsidR="00B85071">
        <w:t>This review</w:t>
      </w:r>
      <w:r w:rsidR="00F84EFC" w:rsidRPr="00F84EFC">
        <w:rPr>
          <w:lang w:val="en" w:eastAsia="en-AU"/>
        </w:rPr>
        <w:t xml:space="preserve"> propose</w:t>
      </w:r>
      <w:r w:rsidR="00B85071">
        <w:t>d</w:t>
      </w:r>
      <w:r w:rsidR="00F84EFC" w:rsidRPr="00F84EFC">
        <w:rPr>
          <w:lang w:val="en" w:eastAsia="en-AU"/>
        </w:rPr>
        <w:t xml:space="preserve"> a number of recommendations to the Standing Council on Energy and Resources on required changes to the </w:t>
      </w:r>
      <w:r w:rsidR="00B85071">
        <w:t>Rules</w:t>
      </w:r>
      <w:r w:rsidR="00F84EFC" w:rsidRPr="00F84EFC">
        <w:rPr>
          <w:lang w:val="en" w:eastAsia="en-AU"/>
        </w:rPr>
        <w:t xml:space="preserve"> and broader market reforms</w:t>
      </w:r>
      <w:r w:rsidR="00745AB4">
        <w:t>. These include</w:t>
      </w:r>
      <w:r w:rsidR="00B85071">
        <w:t xml:space="preserve"> those relating to</w:t>
      </w:r>
      <w:r w:rsidR="00B85071" w:rsidRPr="00B85071">
        <w:t xml:space="preserve"> the demand management embedded generation connection incentive scheme and other demand side incentives</w:t>
      </w:r>
      <w:r w:rsidR="00B85071">
        <w:t>.</w:t>
      </w:r>
      <w:r w:rsidR="0091540F" w:rsidRPr="0091540F">
        <w:t xml:space="preserve"> </w:t>
      </w:r>
    </w:p>
    <w:p w:rsidR="00B85071" w:rsidRPr="00B85071" w:rsidRDefault="0091540F" w:rsidP="00B85071">
      <w:r>
        <w:t xml:space="preserve">We are also reviewing the application of the </w:t>
      </w:r>
      <w:r w:rsidR="00751ACB">
        <w:t xml:space="preserve">efficiency benefit sharing scheme </w:t>
      </w:r>
      <w:r>
        <w:t xml:space="preserve">and </w:t>
      </w:r>
      <w:r w:rsidR="00751ACB">
        <w:t>service target performance incentive scheme</w:t>
      </w:r>
      <w:r>
        <w:t xml:space="preserve"> in light of the AEMC's reforms to ensure that these schemes operate effectively. </w:t>
      </w:r>
      <w:r w:rsidRPr="0091540F">
        <w:t>We foresee further developments in this area.</w:t>
      </w:r>
      <w:r>
        <w:t xml:space="preserve"> </w:t>
      </w:r>
    </w:p>
    <w:p w:rsidR="00A363F7" w:rsidRPr="00EE564F" w:rsidRDefault="00A363F7" w:rsidP="00A363F7">
      <w:r>
        <w:lastRenderedPageBreak/>
        <w:t>Origin and SA Power Networks support amending or replacing the F&amp;A</w:t>
      </w:r>
      <w:r w:rsidR="00A46C97">
        <w:t xml:space="preserve"> papers</w:t>
      </w:r>
      <w:r>
        <w:t xml:space="preserve"> for Queensland and/or South Australia to address the application of incentive schemes</w:t>
      </w:r>
      <w:r w:rsidR="0073699A">
        <w:t xml:space="preserve"> given recent policy changes and reforms</w:t>
      </w:r>
      <w:r>
        <w:t>.</w:t>
      </w:r>
      <w:r w:rsidR="00A253E2">
        <w:rPr>
          <w:rStyle w:val="FootnoteReference"/>
        </w:rPr>
        <w:footnoteReference w:id="27"/>
      </w:r>
    </w:p>
    <w:p w:rsidR="00A363F7" w:rsidRPr="0073699A" w:rsidRDefault="00F84EFC" w:rsidP="0073699A">
      <w:pPr>
        <w:pStyle w:val="Heading2"/>
      </w:pPr>
      <w:bookmarkStart w:id="12" w:name="_Toc367457925"/>
      <w:r w:rsidRPr="0073699A">
        <w:t xml:space="preserve">Other </w:t>
      </w:r>
      <w:r w:rsidR="00D538D4">
        <w:t>matters</w:t>
      </w:r>
      <w:bookmarkEnd w:id="12"/>
    </w:p>
    <w:p w:rsidR="00F84EFC" w:rsidRDefault="008F7AEB" w:rsidP="00A363F7">
      <w:r>
        <w:t>Ergon Energy requested that we review a range of 'other matters' addressed in the existing F&amp;A paper</w:t>
      </w:r>
      <w:r w:rsidR="00751ACB">
        <w:rPr>
          <w:rStyle w:val="FootnoteReference"/>
        </w:rPr>
        <w:footnoteReference w:id="28"/>
      </w:r>
      <w:r>
        <w:t xml:space="preserve"> </w:t>
      </w:r>
      <w:r w:rsidR="0073699A">
        <w:t xml:space="preserve">developed in accordance with </w:t>
      </w:r>
      <w:r>
        <w:t xml:space="preserve">the previous Chapter 6 of the Rules. Ergon Energy </w:t>
      </w:r>
      <w:r w:rsidR="0073699A">
        <w:t xml:space="preserve">states </w:t>
      </w:r>
      <w:r>
        <w:t>that a review of these additional element</w:t>
      </w:r>
      <w:r w:rsidR="00CE229C">
        <w:t>s</w:t>
      </w:r>
      <w:r>
        <w:t xml:space="preserve"> is </w:t>
      </w:r>
      <w:r w:rsidR="00CA60C2" w:rsidRPr="00CA60C2">
        <w:rPr>
          <w:rStyle w:val="AERbody"/>
        </w:rPr>
        <w:t>necessary</w:t>
      </w:r>
      <w:r w:rsidR="00CA60C2">
        <w:t xml:space="preserve"> </w:t>
      </w:r>
      <w:r>
        <w:t>to determine whether they should remain in the F&amp;A paper for the next regulatory control period.</w:t>
      </w:r>
      <w:r w:rsidR="00A253E2">
        <w:rPr>
          <w:rStyle w:val="FootnoteReference"/>
        </w:rPr>
        <w:footnoteReference w:id="29"/>
      </w:r>
      <w:r>
        <w:t xml:space="preserve"> The 'other matters' include:</w:t>
      </w:r>
    </w:p>
    <w:p w:rsidR="008F7AEB" w:rsidRDefault="008F7AEB" w:rsidP="008F7AEB">
      <w:pPr>
        <w:pStyle w:val="AERbulletlistfirststyle"/>
      </w:pPr>
      <w:r>
        <w:t>negotiating framework</w:t>
      </w:r>
      <w:r w:rsidR="004978B9">
        <w:t xml:space="preserve"> (provides a framework for network service providers and consumers to negotiate services and prices for services classified as negotiated distribution services)</w:t>
      </w:r>
    </w:p>
    <w:p w:rsidR="008F7AEB" w:rsidRDefault="008F7AEB" w:rsidP="008F7AEB">
      <w:pPr>
        <w:pStyle w:val="AERbulletlistfirststyle"/>
      </w:pPr>
      <w:r>
        <w:t>Mt Isa</w:t>
      </w:r>
      <w:r>
        <w:rPr>
          <w:rFonts w:cs="Gautami"/>
        </w:rPr>
        <w:t>–</w:t>
      </w:r>
      <w:r>
        <w:t>Cloncurry network</w:t>
      </w:r>
      <w:r w:rsidR="004978B9">
        <w:t xml:space="preserve"> (an isolated distribution network that was regulated by the Queensland Competition Authority at time the current Queensland F&amp;A </w:t>
      </w:r>
      <w:r w:rsidR="00A46C97">
        <w:t xml:space="preserve">paper </w:t>
      </w:r>
      <w:r w:rsidR="004978B9">
        <w:t>was published)</w:t>
      </w:r>
    </w:p>
    <w:p w:rsidR="008F7AEB" w:rsidRDefault="008F7AEB" w:rsidP="008F7AEB">
      <w:pPr>
        <w:pStyle w:val="AERbulletlistfirststyle"/>
      </w:pPr>
      <w:r>
        <w:t>asset categories</w:t>
      </w:r>
      <w:r w:rsidR="004978B9">
        <w:t xml:space="preserve"> and asset lives (</w:t>
      </w:r>
      <w:r w:rsidR="00C86679">
        <w:t>the groups of assets and their life-span for regulatory reporting purposes)</w:t>
      </w:r>
    </w:p>
    <w:p w:rsidR="008F7AEB" w:rsidRDefault="008F7AEB" w:rsidP="008F7AEB">
      <w:pPr>
        <w:pStyle w:val="AERbulletlistfirststyle"/>
      </w:pPr>
      <w:r>
        <w:t xml:space="preserve">regulatory asset </w:t>
      </w:r>
      <w:r w:rsidR="004978B9">
        <w:t xml:space="preserve">base </w:t>
      </w:r>
      <w:r>
        <w:t>value</w:t>
      </w:r>
      <w:r w:rsidR="00C86679">
        <w:t xml:space="preserve"> (the value of Ergon Energy's regulated assets at a point in time)</w:t>
      </w:r>
    </w:p>
    <w:p w:rsidR="008F7AEB" w:rsidRDefault="008F7AEB" w:rsidP="008F7AEB">
      <w:pPr>
        <w:pStyle w:val="AERbulletlistfirststyle"/>
      </w:pPr>
      <w:r>
        <w:t>no prudency review</w:t>
      </w:r>
      <w:r w:rsidR="00C86679">
        <w:t xml:space="preserve"> (a review of whether Ergon Energy's capital expenditure has been prudent)</w:t>
      </w:r>
    </w:p>
    <w:p w:rsidR="00757158" w:rsidRDefault="00757158" w:rsidP="008F7AEB">
      <w:pPr>
        <w:pStyle w:val="AERbulletlistfirststyle"/>
      </w:pPr>
      <w:r>
        <w:t>various aspects of cost pass throughs</w:t>
      </w:r>
      <w:r>
        <w:rPr>
          <w:rStyle w:val="FootnoteReference"/>
        </w:rPr>
        <w:footnoteReference w:id="30"/>
      </w:r>
      <w:r w:rsidR="00C86679">
        <w:t xml:space="preserve"> (where network service providers apply to pass on costs to consumers)</w:t>
      </w:r>
    </w:p>
    <w:p w:rsidR="008F7AEB" w:rsidRDefault="008F7AEB" w:rsidP="008F7AEB">
      <w:pPr>
        <w:pStyle w:val="AERbulletlistfirststyle"/>
      </w:pPr>
      <w:r>
        <w:t>application of security of supply standards</w:t>
      </w:r>
      <w:r w:rsidR="00C86679">
        <w:t xml:space="preserve"> (approved by the Queensland Government)</w:t>
      </w:r>
      <w:r w:rsidR="00B70702">
        <w:t>.</w:t>
      </w:r>
      <w:r>
        <w:t xml:space="preserve"> </w:t>
      </w:r>
    </w:p>
    <w:p w:rsidR="00B70702" w:rsidRDefault="00CE229C" w:rsidP="00A363F7">
      <w:r>
        <w:t xml:space="preserve">We </w:t>
      </w:r>
      <w:r w:rsidR="005E5EB6">
        <w:t>will</w:t>
      </w:r>
      <w:r>
        <w:t xml:space="preserve"> </w:t>
      </w:r>
      <w:r w:rsidR="00E556E4">
        <w:t>address</w:t>
      </w:r>
      <w:r>
        <w:t xml:space="preserve"> these additional elements</w:t>
      </w:r>
      <w:r w:rsidR="00B3486A">
        <w:t xml:space="preserve"> in a replacement F&amp;A</w:t>
      </w:r>
      <w:r w:rsidR="00A46C97">
        <w:t xml:space="preserve"> paper</w:t>
      </w:r>
      <w:r w:rsidR="00B3486A">
        <w:t xml:space="preserve"> for Queensland</w:t>
      </w:r>
      <w:r>
        <w:t>.</w:t>
      </w:r>
      <w:r w:rsidR="00B70702">
        <w:rPr>
          <w:rStyle w:val="FootnoteReference"/>
        </w:rPr>
        <w:footnoteReference w:id="31"/>
      </w:r>
      <w:r w:rsidR="00B3486A" w:rsidRPr="00B3486A">
        <w:t xml:space="preserve"> </w:t>
      </w:r>
    </w:p>
    <w:p w:rsidR="00CE229C" w:rsidRDefault="00CE229C" w:rsidP="00A363F7">
      <w:r>
        <w:t>Ergon Energy and Energex also submit</w:t>
      </w:r>
      <w:r w:rsidR="00757158">
        <w:t>ted</w:t>
      </w:r>
      <w:r>
        <w:t xml:space="preserve"> </w:t>
      </w:r>
      <w:r w:rsidR="007E64D8">
        <w:t xml:space="preserve">that we should clarify in the </w:t>
      </w:r>
      <w:r w:rsidR="00A46C97">
        <w:t xml:space="preserve">Queensland </w:t>
      </w:r>
      <w:r w:rsidR="007E64D8">
        <w:t xml:space="preserve">F&amp;A </w:t>
      </w:r>
      <w:r w:rsidR="00A46C97">
        <w:t xml:space="preserve">paper </w:t>
      </w:r>
      <w:r w:rsidR="007E64D8">
        <w:t xml:space="preserve">a number of transitional arrangements </w:t>
      </w:r>
      <w:r w:rsidR="00484416">
        <w:t xml:space="preserve">that </w:t>
      </w:r>
      <w:r w:rsidR="007E64D8">
        <w:t>will not apply in the next regulatory control period.</w:t>
      </w:r>
      <w:r w:rsidR="00EF61A9">
        <w:rPr>
          <w:rStyle w:val="FootnoteReference"/>
        </w:rPr>
        <w:footnoteReference w:id="32"/>
      </w:r>
      <w:r w:rsidR="007E64D8">
        <w:t xml:space="preserve"> These include</w:t>
      </w:r>
      <w:r w:rsidR="002B142B">
        <w:t xml:space="preserve"> the</w:t>
      </w:r>
      <w:r w:rsidR="007E64D8">
        <w:t>:</w:t>
      </w:r>
    </w:p>
    <w:p w:rsidR="007E64D8" w:rsidRDefault="007E64D8" w:rsidP="007E64D8">
      <w:pPr>
        <w:pStyle w:val="AERbulletlistfirststyle"/>
      </w:pPr>
      <w:r>
        <w:t>treatment of capital contributions in calculating the Annual Revenue Requirement</w:t>
      </w:r>
    </w:p>
    <w:p w:rsidR="007E64D8" w:rsidRDefault="007E64D8" w:rsidP="007E64D8">
      <w:pPr>
        <w:pStyle w:val="AERbulletlistfirststyle"/>
      </w:pPr>
      <w:r>
        <w:t>treatment of solar feed-in tariffs</w:t>
      </w:r>
    </w:p>
    <w:p w:rsidR="007E64D8" w:rsidRDefault="007E64D8" w:rsidP="007E64D8">
      <w:pPr>
        <w:pStyle w:val="AERbulletlistfirststyle"/>
      </w:pPr>
      <w:r>
        <w:t>treatment of revenue adjustments for the carry forward of over-recovery and under-recovery of revenue for the current regulatory control period.</w:t>
      </w:r>
    </w:p>
    <w:p w:rsidR="007E64D8" w:rsidRDefault="007E64D8" w:rsidP="007E64D8">
      <w:pPr>
        <w:pStyle w:val="AERbulletlistfirststyle"/>
        <w:numPr>
          <w:ilvl w:val="0"/>
          <w:numId w:val="0"/>
        </w:numPr>
        <w:ind w:left="357" w:hanging="357"/>
      </w:pPr>
      <w:r>
        <w:t xml:space="preserve">Ergon Energy also </w:t>
      </w:r>
      <w:r w:rsidR="00484416">
        <w:t>suggested the AER should address the following issues</w:t>
      </w:r>
      <w:r>
        <w:t>:</w:t>
      </w:r>
      <w:r w:rsidR="00EF61A9">
        <w:rPr>
          <w:rStyle w:val="FootnoteReference"/>
        </w:rPr>
        <w:footnoteReference w:id="33"/>
      </w:r>
    </w:p>
    <w:p w:rsidR="007E64D8" w:rsidRDefault="007E64D8" w:rsidP="007E64D8">
      <w:pPr>
        <w:pStyle w:val="AERbulletlistfirststyle"/>
      </w:pPr>
      <w:r>
        <w:lastRenderedPageBreak/>
        <w:t>the treatment of assets included in the regulated asset base that are used to provide standard control, alternative control and unregulated services under transitional arrangements</w:t>
      </w:r>
    </w:p>
    <w:p w:rsidR="007E64D8" w:rsidRDefault="007E64D8" w:rsidP="007E64D8">
      <w:pPr>
        <w:pStyle w:val="AERbulletlistfirststyle"/>
      </w:pPr>
      <w:r>
        <w:t>the recovery of charges for using the non-regulated 220kV network which supplies Cloncurry</w:t>
      </w:r>
    </w:p>
    <w:p w:rsidR="007E64D8" w:rsidRDefault="007E64D8" w:rsidP="007E64D8">
      <w:pPr>
        <w:pStyle w:val="AERbulletlistfirststyle"/>
      </w:pPr>
      <w:r>
        <w:t>the recovery of entry and exit charges relating to non-regulated connection points between Powerlink's transmission network and Ergon Energy's distribution network</w:t>
      </w:r>
    </w:p>
    <w:p w:rsidR="007E64D8" w:rsidRDefault="007E64D8" w:rsidP="007E64D8">
      <w:pPr>
        <w:pStyle w:val="AERbulletlistfirststyle"/>
      </w:pPr>
      <w:r>
        <w:t xml:space="preserve">approach to capital contributions policy in the absence of </w:t>
      </w:r>
      <w:r w:rsidR="00EF61A9" w:rsidRPr="00EF61A9">
        <w:t>National Energy Customer Framework</w:t>
      </w:r>
      <w:r>
        <w:t xml:space="preserve"> requirements. </w:t>
      </w:r>
    </w:p>
    <w:p w:rsidR="00A12C04" w:rsidRDefault="00851351" w:rsidP="00A363F7">
      <w:r>
        <w:t>The Rules require us to co</w:t>
      </w:r>
      <w:r w:rsidR="00207746">
        <w:t>n</w:t>
      </w:r>
      <w:r>
        <w:t xml:space="preserve">sider </w:t>
      </w:r>
      <w:r w:rsidR="00BC1363">
        <w:t xml:space="preserve">these matters </w:t>
      </w:r>
      <w:r>
        <w:t xml:space="preserve">in developing the </w:t>
      </w:r>
      <w:r w:rsidR="00EF61A9">
        <w:t>F&amp;A for Queensland</w:t>
      </w:r>
      <w:r>
        <w:t xml:space="preserve"> </w:t>
      </w:r>
      <w:r w:rsidR="00D456D5">
        <w:t>for</w:t>
      </w:r>
      <w:r>
        <w:t xml:space="preserve"> the next reg</w:t>
      </w:r>
      <w:r w:rsidR="00207746">
        <w:t>ulatory control</w:t>
      </w:r>
      <w:r>
        <w:t xml:space="preserve"> period.</w:t>
      </w:r>
      <w:r w:rsidR="00EF61A9">
        <w:t xml:space="preserve"> </w:t>
      </w:r>
      <w:r>
        <w:t xml:space="preserve">However, </w:t>
      </w:r>
      <w:r w:rsidR="00C722E1">
        <w:t>similar to the current Queensland F&amp;A,</w:t>
      </w:r>
      <w:r w:rsidR="00C722E1">
        <w:rPr>
          <w:rStyle w:val="FootnoteReference"/>
        </w:rPr>
        <w:footnoteReference w:id="34"/>
      </w:r>
      <w:r w:rsidR="00C722E1">
        <w:t xml:space="preserve"> </w:t>
      </w:r>
      <w:r>
        <w:t xml:space="preserve">we may consider </w:t>
      </w:r>
      <w:r w:rsidR="00C722E1">
        <w:t xml:space="preserve">it unsuitable to state </w:t>
      </w:r>
      <w:r w:rsidR="00F7335D">
        <w:t>a specific position on these matters in the F&amp;A</w:t>
      </w:r>
      <w:r w:rsidR="00C722E1">
        <w:t xml:space="preserve">. </w:t>
      </w:r>
      <w:r w:rsidR="00F7335D">
        <w:t xml:space="preserve">This may be because, for example, </w:t>
      </w:r>
      <w:r w:rsidR="00A46C97">
        <w:t xml:space="preserve">our </w:t>
      </w:r>
      <w:r w:rsidR="00F7335D">
        <w:t xml:space="preserve">position may be </w:t>
      </w:r>
      <w:r w:rsidR="00A46C97">
        <w:t>dependent</w:t>
      </w:r>
      <w:r w:rsidR="00F7335D">
        <w:t xml:space="preserve"> on information that will only become available </w:t>
      </w:r>
      <w:r w:rsidR="00611205">
        <w:t>once</w:t>
      </w:r>
      <w:r w:rsidR="00F7335D">
        <w:t xml:space="preserve"> </w:t>
      </w:r>
      <w:r w:rsidR="00611205">
        <w:t>a</w:t>
      </w:r>
      <w:r w:rsidR="00F7335D">
        <w:t xml:space="preserve"> </w:t>
      </w:r>
      <w:r w:rsidR="00A46C97">
        <w:t>network service provider</w:t>
      </w:r>
      <w:r w:rsidR="00F7335D">
        <w:t xml:space="preserve"> </w:t>
      </w:r>
      <w:r w:rsidR="00A12C04">
        <w:t>submits it</w:t>
      </w:r>
      <w:r w:rsidR="00C40018">
        <w:t>s</w:t>
      </w:r>
      <w:r w:rsidR="00A12C04">
        <w:t xml:space="preserve"> </w:t>
      </w:r>
      <w:r w:rsidR="00F7335D">
        <w:t>regulatory proposal</w:t>
      </w:r>
      <w:r w:rsidR="00A12C04">
        <w:t>.</w:t>
      </w:r>
      <w:r w:rsidR="00F7335D">
        <w:t xml:space="preserve"> </w:t>
      </w:r>
    </w:p>
    <w:p w:rsidR="00EF61A9" w:rsidRDefault="00A363F7" w:rsidP="00A363F7">
      <w:r>
        <w:t>For the above reasons and having regard to the submissions, we consider it necessary to replace the F&amp;A for Queensland and South Australia</w:t>
      </w:r>
      <w:r w:rsidR="00BC1363">
        <w:t xml:space="preserve"> </w:t>
      </w:r>
      <w:r w:rsidR="00BC1363" w:rsidRPr="00BC1363">
        <w:t>for the next regulatory control period of 1 July 2015 to 30 June 2020</w:t>
      </w:r>
      <w:r>
        <w:t xml:space="preserve">. </w:t>
      </w:r>
      <w:r w:rsidR="00850987">
        <w:t xml:space="preserve">We </w:t>
      </w:r>
      <w:r w:rsidR="00F7335D">
        <w:t>expect to</w:t>
      </w:r>
      <w:r w:rsidR="00850987">
        <w:t xml:space="preserve"> issue a discussion paper on the Queensland and South Australian F&amp;A</w:t>
      </w:r>
      <w:r w:rsidR="00A46C97">
        <w:t xml:space="preserve"> papers respectively </w:t>
      </w:r>
      <w:r w:rsidR="00850987">
        <w:t xml:space="preserve">in December 2013 outlining preliminary views on the matters outlined in this decision. We must then publish </w:t>
      </w:r>
      <w:r w:rsidR="00D456D5">
        <w:t xml:space="preserve">both </w:t>
      </w:r>
      <w:r w:rsidR="00850987">
        <w:t>the Queensland and South Australian F&amp;A</w:t>
      </w:r>
      <w:r w:rsidR="00A46C97">
        <w:t xml:space="preserve"> papers</w:t>
      </w:r>
      <w:r w:rsidR="00850987">
        <w:t xml:space="preserve"> by 30 April 2014. </w:t>
      </w:r>
    </w:p>
    <w:p w:rsidR="001272E5" w:rsidRDefault="001272E5" w:rsidP="00CA60C2">
      <w:pPr>
        <w:pStyle w:val="UnnumberedHeading"/>
      </w:pPr>
      <w:bookmarkStart w:id="13" w:name="_Toc367457926"/>
      <w:r>
        <w:lastRenderedPageBreak/>
        <w:t xml:space="preserve">Appendix A </w:t>
      </w:r>
      <w:r w:rsidR="0005795F">
        <w:rPr>
          <w:rFonts w:cs="Gautami"/>
        </w:rPr>
        <w:t>–</w:t>
      </w:r>
      <w:r>
        <w:t xml:space="preserve"> Matters to be </w:t>
      </w:r>
      <w:r w:rsidR="00791E7A">
        <w:t>addressed</w:t>
      </w:r>
      <w:r>
        <w:t xml:space="preserve"> in the F&amp;A</w:t>
      </w:r>
      <w:bookmarkEnd w:id="13"/>
    </w:p>
    <w:p w:rsidR="001272E5" w:rsidRPr="007B3092" w:rsidRDefault="001272E5" w:rsidP="001272E5">
      <w:r w:rsidRPr="007B3092">
        <w:t xml:space="preserve">The replacement </w:t>
      </w:r>
      <w:r>
        <w:t xml:space="preserve">Queensland and South Australian </w:t>
      </w:r>
      <w:r w:rsidRPr="007B3092">
        <w:t>F&amp;A will address the following matters:</w:t>
      </w:r>
    </w:p>
    <w:p w:rsidR="001272E5" w:rsidRPr="007B3092" w:rsidRDefault="001272E5" w:rsidP="001272E5">
      <w:pPr>
        <w:pStyle w:val="AERbulletlistfirststyle"/>
      </w:pPr>
      <w:r w:rsidRPr="007B3092">
        <w:t>classification of distribution services (which services we will regulate)</w:t>
      </w:r>
    </w:p>
    <w:p w:rsidR="001272E5" w:rsidRPr="007B3092" w:rsidRDefault="00927828" w:rsidP="001272E5">
      <w:pPr>
        <w:pStyle w:val="AERbulletlistfirststyle"/>
      </w:pPr>
      <w:r>
        <w:t>form of control</w:t>
      </w:r>
      <w:r w:rsidR="001272E5" w:rsidRPr="007B3092">
        <w:t xml:space="preserve"> </w:t>
      </w:r>
      <w:r>
        <w:t xml:space="preserve">mechanisms </w:t>
      </w:r>
      <w:r w:rsidR="001272E5" w:rsidRPr="007B3092">
        <w:t xml:space="preserve">(how we will determine prices for regulated services) and the </w:t>
      </w:r>
      <w:r>
        <w:t xml:space="preserve">control mechanism </w:t>
      </w:r>
      <w:r w:rsidR="001272E5" w:rsidRPr="007B3092">
        <w:t xml:space="preserve">formulae that give effect to the </w:t>
      </w:r>
      <w:r>
        <w:t xml:space="preserve">form of </w:t>
      </w:r>
      <w:r w:rsidR="001272E5" w:rsidRPr="007B3092">
        <w:t>control mechanisms</w:t>
      </w:r>
    </w:p>
    <w:p w:rsidR="001272E5" w:rsidRPr="007B3092" w:rsidRDefault="001272E5" w:rsidP="001272E5">
      <w:pPr>
        <w:pStyle w:val="AERbulletlistfirststyle"/>
      </w:pPr>
      <w:r w:rsidRPr="007B3092">
        <w:t>application of a range of incentive schemes that encourage things like service quality, improvements in network reliability or efficient capital and operating expenditure. This includes application of the:</w:t>
      </w:r>
      <w:bookmarkStart w:id="14" w:name="_GoBack"/>
      <w:bookmarkEnd w:id="14"/>
    </w:p>
    <w:p w:rsidR="001272E5" w:rsidRPr="007B3092" w:rsidRDefault="001272E5" w:rsidP="001272E5">
      <w:pPr>
        <w:pStyle w:val="AERbulletlistfirststyle"/>
      </w:pPr>
      <w:r w:rsidRPr="007B3092">
        <w:t>service target performance incentive scheme</w:t>
      </w:r>
    </w:p>
    <w:p w:rsidR="001272E5" w:rsidRPr="007B3092" w:rsidRDefault="001272E5" w:rsidP="001272E5">
      <w:pPr>
        <w:pStyle w:val="AERbulletlistfirststyle"/>
      </w:pPr>
      <w:r w:rsidRPr="007B3092">
        <w:t>efficiency benefit sharing scheme</w:t>
      </w:r>
    </w:p>
    <w:p w:rsidR="001272E5" w:rsidRPr="007B3092" w:rsidRDefault="001272E5" w:rsidP="001272E5">
      <w:pPr>
        <w:pStyle w:val="AERbulletlistfirststyle"/>
      </w:pPr>
      <w:r w:rsidRPr="007B3092">
        <w:t>capital expenditure sharing scheme</w:t>
      </w:r>
    </w:p>
    <w:p w:rsidR="001272E5" w:rsidRPr="007B3092" w:rsidRDefault="001272E5" w:rsidP="001272E5">
      <w:pPr>
        <w:pStyle w:val="AERbulletlistfirststyle"/>
      </w:pPr>
      <w:r w:rsidRPr="007B3092">
        <w:t>demand management and embedded generation connection incentive scheme</w:t>
      </w:r>
    </w:p>
    <w:p w:rsidR="001272E5" w:rsidRPr="007B3092" w:rsidRDefault="001272E5" w:rsidP="001272E5">
      <w:pPr>
        <w:pStyle w:val="AERbulletlistfirststyle"/>
      </w:pPr>
      <w:r w:rsidRPr="007B3092">
        <w:t>small-scale incentive scheme</w:t>
      </w:r>
    </w:p>
    <w:p w:rsidR="001272E5" w:rsidRPr="007B3092" w:rsidRDefault="001272E5" w:rsidP="001272E5">
      <w:pPr>
        <w:pStyle w:val="AERbulletlistfirststyle"/>
      </w:pPr>
      <w:r w:rsidRPr="007B3092">
        <w:t>expenditure forecast assessment guidelines</w:t>
      </w:r>
    </w:p>
    <w:p w:rsidR="001272E5" w:rsidRPr="007B3092" w:rsidRDefault="001272E5" w:rsidP="001272E5">
      <w:pPr>
        <w:pStyle w:val="AERbulletlistfirststyle"/>
      </w:pPr>
      <w:r w:rsidRPr="007B3092">
        <w:t>whether depreciation for establishing the regulatory asset base the network service providers opening regulatory asset base for the 2020–2025 regulatory control period is to be based on actual or forecast capital expenditure</w:t>
      </w:r>
    </w:p>
    <w:p w:rsidR="001272E5" w:rsidRPr="007B3092" w:rsidRDefault="001272E5" w:rsidP="001272E5">
      <w:pPr>
        <w:pStyle w:val="AERbulletlistfirststyle"/>
      </w:pPr>
      <w:r w:rsidRPr="007B3092">
        <w:t xml:space="preserve">'Other' matters as outlined in section </w:t>
      </w:r>
      <w:r w:rsidR="00CA60C2">
        <w:t>2.6</w:t>
      </w:r>
      <w:r w:rsidR="003A2899">
        <w:t xml:space="preserve"> (Queensland F&amp;A only)</w:t>
      </w:r>
      <w:r w:rsidRPr="007B3092">
        <w:t>.</w:t>
      </w:r>
    </w:p>
    <w:p w:rsidR="001272E5" w:rsidRDefault="001272E5">
      <w:pPr>
        <w:spacing w:after="0" w:line="240" w:lineRule="auto"/>
        <w:jc w:val="left"/>
        <w:rPr>
          <w:rFonts w:eastAsia="Times New Roman"/>
          <w:b/>
          <w:bCs/>
          <w:color w:val="E36C0A"/>
          <w:sz w:val="36"/>
          <w:szCs w:val="28"/>
        </w:rPr>
      </w:pPr>
      <w:r>
        <w:br w:type="page"/>
      </w:r>
    </w:p>
    <w:p w:rsidR="00A363F7" w:rsidRPr="00A363F7" w:rsidRDefault="00A363F7" w:rsidP="00492630">
      <w:pPr>
        <w:pStyle w:val="UnnumberedHeading"/>
      </w:pPr>
      <w:bookmarkStart w:id="15" w:name="_Toc367457927"/>
      <w:r w:rsidRPr="00A363F7">
        <w:lastRenderedPageBreak/>
        <w:t xml:space="preserve">Appendix </w:t>
      </w:r>
      <w:r w:rsidR="001272E5">
        <w:t>B</w:t>
      </w:r>
      <w:r w:rsidRPr="00A363F7">
        <w:t xml:space="preserve"> – Submissions</w:t>
      </w:r>
      <w:bookmarkEnd w:id="15"/>
    </w:p>
    <w:tbl>
      <w:tblPr>
        <w:tblStyle w:val="AERtable-numbers"/>
        <w:tblW w:w="0" w:type="auto"/>
        <w:tblLook w:val="04A0" w:firstRow="1" w:lastRow="0" w:firstColumn="1" w:lastColumn="0" w:noHBand="0" w:noVBand="1"/>
      </w:tblPr>
      <w:tblGrid>
        <w:gridCol w:w="3080"/>
        <w:gridCol w:w="906"/>
        <w:gridCol w:w="5194"/>
      </w:tblGrid>
      <w:tr w:rsidR="00A363F7" w:rsidTr="003257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80" w:type="dxa"/>
          </w:tcPr>
          <w:p w:rsidR="00A363F7" w:rsidRPr="00A363F7" w:rsidRDefault="00A363F7" w:rsidP="00A363F7">
            <w:r w:rsidRPr="00A363F7">
              <w:t>COMPANY/ORGANISATION</w:t>
            </w:r>
          </w:p>
        </w:tc>
        <w:tc>
          <w:tcPr>
            <w:tcW w:w="906" w:type="dxa"/>
          </w:tcPr>
          <w:p w:rsidR="00A363F7" w:rsidRPr="00A363F7" w:rsidRDefault="00A363F7" w:rsidP="00A363F7">
            <w:pPr>
              <w:cnfStyle w:val="100000000000" w:firstRow="1" w:lastRow="0" w:firstColumn="0" w:lastColumn="0" w:oddVBand="0" w:evenVBand="0" w:oddHBand="0" w:evenHBand="0" w:firstRowFirstColumn="0" w:firstRowLastColumn="0" w:lastRowFirstColumn="0" w:lastRowLastColumn="0"/>
            </w:pPr>
            <w:r w:rsidRPr="00A363F7">
              <w:t>STATE</w:t>
            </w:r>
            <w:r w:rsidRPr="00A363F7">
              <w:rPr>
                <w:rStyle w:val="FootnoteReference"/>
              </w:rPr>
              <w:footnoteReference w:id="35"/>
            </w:r>
          </w:p>
        </w:tc>
        <w:tc>
          <w:tcPr>
            <w:tcW w:w="5194" w:type="dxa"/>
          </w:tcPr>
          <w:p w:rsidR="00A363F7" w:rsidRPr="00A363F7" w:rsidRDefault="00A363F7" w:rsidP="00A363F7">
            <w:pPr>
              <w:cnfStyle w:val="100000000000" w:firstRow="1" w:lastRow="0" w:firstColumn="0" w:lastColumn="0" w:oddVBand="0" w:evenVBand="0" w:oddHBand="0" w:evenHBand="0" w:firstRowFirstColumn="0" w:firstRowLastColumn="0" w:lastRowFirstColumn="0" w:lastRowLastColumn="0"/>
            </w:pPr>
            <w:r w:rsidRPr="00A363F7">
              <w:t>SUBMISSION SUMMARY</w:t>
            </w:r>
          </w:p>
        </w:tc>
      </w:tr>
      <w:tr w:rsidR="00A363F7" w:rsidTr="003257C4">
        <w:tc>
          <w:tcPr>
            <w:cnfStyle w:val="001000000000" w:firstRow="0" w:lastRow="0" w:firstColumn="1" w:lastColumn="0" w:oddVBand="0" w:evenVBand="0" w:oddHBand="0" w:evenHBand="0" w:firstRowFirstColumn="0" w:firstRowLastColumn="0" w:lastRowFirstColumn="0" w:lastRowLastColumn="0"/>
            <w:tcW w:w="3080" w:type="dxa"/>
          </w:tcPr>
          <w:p w:rsidR="00A363F7" w:rsidRPr="00FF1ED9" w:rsidRDefault="00A363F7" w:rsidP="00A363F7">
            <w:r w:rsidRPr="00FF1ED9">
              <w:t>Energex</w:t>
            </w:r>
          </w:p>
        </w:tc>
        <w:tc>
          <w:tcPr>
            <w:tcW w:w="906" w:type="dxa"/>
          </w:tcPr>
          <w:p w:rsidR="00A363F7" w:rsidRPr="00FF1ED9" w:rsidRDefault="00A363F7" w:rsidP="00A363F7">
            <w:pPr>
              <w:cnfStyle w:val="000000000000" w:firstRow="0" w:lastRow="0" w:firstColumn="0" w:lastColumn="0" w:oddVBand="0" w:evenVBand="0" w:oddHBand="0" w:evenHBand="0" w:firstRowFirstColumn="0" w:firstRowLastColumn="0" w:lastRowFirstColumn="0" w:lastRowLastColumn="0"/>
            </w:pPr>
            <w:r w:rsidRPr="00FF1ED9">
              <w:t>QLD</w:t>
            </w:r>
          </w:p>
        </w:tc>
        <w:tc>
          <w:tcPr>
            <w:tcW w:w="5194" w:type="dxa"/>
          </w:tcPr>
          <w:p w:rsidR="00A363F7" w:rsidRPr="00A363F7" w:rsidRDefault="00A363F7" w:rsidP="00A363F7">
            <w:pPr>
              <w:cnfStyle w:val="000000000000" w:firstRow="0" w:lastRow="0" w:firstColumn="0" w:lastColumn="0" w:oddVBand="0" w:evenVBand="0" w:oddHBand="0" w:evenHBand="0" w:firstRowFirstColumn="0" w:firstRowLastColumn="0" w:lastRowFirstColumn="0" w:lastRowLastColumn="0"/>
            </w:pPr>
            <w:r>
              <w:t>T</w:t>
            </w:r>
            <w:r w:rsidRPr="00A363F7">
              <w:t xml:space="preserve">he AER should address </w:t>
            </w:r>
            <w:r w:rsidR="00B3486A" w:rsidRPr="00B3486A">
              <w:t xml:space="preserve">all matters relevant to the control mechanism for the new F&amp;A </w:t>
            </w:r>
            <w:r w:rsidR="00B3486A">
              <w:t xml:space="preserve">including </w:t>
            </w:r>
            <w:r w:rsidRPr="00A363F7">
              <w:t>the implications to the control mechanism formulae due to changes with the:</w:t>
            </w:r>
          </w:p>
          <w:p w:rsidR="00A363F7" w:rsidRPr="00A363F7" w:rsidRDefault="00B3486A" w:rsidP="003257C4">
            <w:pPr>
              <w:pStyle w:val="AERbulletlistfirststyle"/>
              <w:cnfStyle w:val="000000000000" w:firstRow="0" w:lastRow="0" w:firstColumn="0" w:lastColumn="0" w:oddVBand="0" w:evenVBand="0" w:oddHBand="0" w:evenHBand="0" w:firstRowFirstColumn="0" w:firstRowLastColumn="0" w:lastRowFirstColumn="0" w:lastRowLastColumn="0"/>
            </w:pPr>
            <w:r>
              <w:t>r</w:t>
            </w:r>
            <w:r w:rsidR="00A363F7" w:rsidRPr="00A363F7">
              <w:t>ate of return provisions and guideline, particularly the new return on debt provisions</w:t>
            </w:r>
          </w:p>
          <w:p w:rsidR="00A363F7" w:rsidRPr="00B3486A" w:rsidRDefault="00B3486A" w:rsidP="00B3486A">
            <w:pPr>
              <w:pStyle w:val="AERbulletlistfirststyle"/>
              <w:cnfStyle w:val="000000000000" w:firstRow="0" w:lastRow="0" w:firstColumn="0" w:lastColumn="0" w:oddVBand="0" w:evenVBand="0" w:oddHBand="0" w:evenHBand="0" w:firstRowFirstColumn="0" w:firstRowLastColumn="0" w:lastRowFirstColumn="0" w:lastRowLastColumn="0"/>
            </w:pPr>
            <w:r>
              <w:t>r</w:t>
            </w:r>
            <w:r w:rsidR="00A363F7" w:rsidRPr="00A363F7">
              <w:t>evenue and pricing controls due to the expiry of se</w:t>
            </w:r>
            <w:r>
              <w:t>veral transitional arrangements</w:t>
            </w:r>
          </w:p>
        </w:tc>
      </w:tr>
      <w:tr w:rsidR="00A363F7" w:rsidTr="003257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A363F7" w:rsidRPr="00FF1ED9" w:rsidRDefault="00A363F7" w:rsidP="00A363F7">
            <w:r w:rsidRPr="00FF1ED9">
              <w:t>Ergon Energy</w:t>
            </w:r>
          </w:p>
        </w:tc>
        <w:tc>
          <w:tcPr>
            <w:tcW w:w="906" w:type="dxa"/>
          </w:tcPr>
          <w:p w:rsidR="00A363F7" w:rsidRPr="00FF1ED9" w:rsidRDefault="00A363F7" w:rsidP="00A363F7">
            <w:pPr>
              <w:cnfStyle w:val="000000010000" w:firstRow="0" w:lastRow="0" w:firstColumn="0" w:lastColumn="0" w:oddVBand="0" w:evenVBand="0" w:oddHBand="0" w:evenHBand="1" w:firstRowFirstColumn="0" w:firstRowLastColumn="0" w:lastRowFirstColumn="0" w:lastRowLastColumn="0"/>
            </w:pPr>
            <w:r w:rsidRPr="00FF1ED9">
              <w:t>QLD</w:t>
            </w:r>
          </w:p>
        </w:tc>
        <w:tc>
          <w:tcPr>
            <w:tcW w:w="5194" w:type="dxa"/>
          </w:tcPr>
          <w:p w:rsidR="00A363F7" w:rsidRPr="00A363F7" w:rsidRDefault="00A363F7" w:rsidP="00A363F7">
            <w:pPr>
              <w:cnfStyle w:val="000000010000" w:firstRow="0" w:lastRow="0" w:firstColumn="0" w:lastColumn="0" w:oddVBand="0" w:evenVBand="0" w:oddHBand="0" w:evenHBand="1" w:firstRowFirstColumn="0" w:firstRowLastColumn="0" w:lastRowFirstColumn="0" w:lastRowLastColumn="0"/>
            </w:pPr>
            <w:r>
              <w:t xml:space="preserve">Ergon Energy </w:t>
            </w:r>
            <w:r w:rsidR="00B3486A">
              <w:t>requests</w:t>
            </w:r>
            <w:r>
              <w:t xml:space="preserve"> the AER:</w:t>
            </w:r>
          </w:p>
          <w:p w:rsidR="00A363F7" w:rsidRDefault="00B3486A" w:rsidP="003257C4">
            <w:pPr>
              <w:pStyle w:val="AERbulletlistfirststyle"/>
              <w:cnfStyle w:val="000000010000" w:firstRow="0" w:lastRow="0" w:firstColumn="0" w:lastColumn="0" w:oddVBand="0" w:evenVBand="0" w:oddHBand="0" w:evenHBand="1" w:firstRowFirstColumn="0" w:firstRowLastColumn="0" w:lastRowFirstColumn="0" w:lastRowLastColumn="0"/>
            </w:pPr>
            <w:r>
              <w:t>e</w:t>
            </w:r>
            <w:r w:rsidR="00A363F7" w:rsidRPr="00A363F7">
              <w:t xml:space="preserve">xtend the classification of services to retrofitting energy efficient street lights. </w:t>
            </w:r>
          </w:p>
          <w:p w:rsidR="00B3486A" w:rsidRDefault="002B142B" w:rsidP="003257C4">
            <w:pPr>
              <w:pStyle w:val="AERbulletlistfirststyle"/>
              <w:cnfStyle w:val="000000010000" w:firstRow="0" w:lastRow="0" w:firstColumn="0" w:lastColumn="0" w:oddVBand="0" w:evenVBand="0" w:oddHBand="0" w:evenHBand="1" w:firstRowFirstColumn="0" w:firstRowLastColumn="0" w:lastRowFirstColumn="0" w:lastRowLastColumn="0"/>
            </w:pPr>
            <w:r>
              <w:t>a</w:t>
            </w:r>
            <w:r w:rsidR="00B3486A">
              <w:t xml:space="preserve">ddress 'Other matters' outlined in Chapter 5 of our </w:t>
            </w:r>
            <w:r w:rsidR="00B3486A" w:rsidRPr="00B3486A">
              <w:rPr>
                <w:rStyle w:val="AERtextitalic"/>
              </w:rPr>
              <w:t>Final F&amp;A paper, Application of schemes, Energex and Ergon Energy 2010-15</w:t>
            </w:r>
            <w:r w:rsidR="00B3486A">
              <w:t xml:space="preserve"> (November 2008) and whether these matters will apply to the F&amp;A for the next regulatory control period.</w:t>
            </w:r>
          </w:p>
          <w:p w:rsidR="00B3486A" w:rsidRPr="00A363F7" w:rsidRDefault="00B3486A" w:rsidP="00B3486A">
            <w:pPr>
              <w:pStyle w:val="AERbulletlistfirststyle"/>
              <w:numPr>
                <w:ilvl w:val="0"/>
                <w:numId w:val="0"/>
              </w:numPr>
              <w:cnfStyle w:val="000000010000" w:firstRow="0" w:lastRow="0" w:firstColumn="0" w:lastColumn="0" w:oddVBand="0" w:evenVBand="0" w:oddHBand="0" w:evenHBand="1" w:firstRowFirstColumn="0" w:firstRowLastColumn="0" w:lastRowFirstColumn="0" w:lastRowLastColumn="0"/>
            </w:pPr>
            <w:r>
              <w:t xml:space="preserve">Ergon Energy also submits that the AER address: </w:t>
            </w:r>
          </w:p>
          <w:p w:rsidR="00A363F7" w:rsidRPr="00A363F7" w:rsidRDefault="00A363F7" w:rsidP="003257C4">
            <w:pPr>
              <w:pStyle w:val="AERbulletlistfirststyle"/>
              <w:cnfStyle w:val="000000010000" w:firstRow="0" w:lastRow="0" w:firstColumn="0" w:lastColumn="0" w:oddVBand="0" w:evenVBand="0" w:oddHBand="0" w:evenHBand="1" w:firstRowFirstColumn="0" w:firstRowLastColumn="0" w:lastRowFirstColumn="0" w:lastRowLastColumn="0"/>
            </w:pPr>
            <w:r>
              <w:t>adjustments in r</w:t>
            </w:r>
            <w:r w:rsidRPr="00A363F7">
              <w:t>evenue and pricing controls due to the expiry of several transitional arrangements</w:t>
            </w:r>
          </w:p>
          <w:p w:rsidR="00A363F7" w:rsidRPr="00A363F7" w:rsidRDefault="00B3486A" w:rsidP="003257C4">
            <w:pPr>
              <w:pStyle w:val="AERbulletlistfirststyle"/>
              <w:cnfStyle w:val="000000010000" w:firstRow="0" w:lastRow="0" w:firstColumn="0" w:lastColumn="0" w:oddVBand="0" w:evenVBand="0" w:oddHBand="0" w:evenHBand="1" w:firstRowFirstColumn="0" w:firstRowLastColumn="0" w:lastRowFirstColumn="0" w:lastRowLastColumn="0"/>
            </w:pPr>
            <w:r>
              <w:t>p</w:t>
            </w:r>
            <w:r w:rsidR="00A363F7">
              <w:t>rovide guidance to revenue adjustments for over-recovery or under-recovery of revenue and the approach to capital contributions policy</w:t>
            </w:r>
          </w:p>
        </w:tc>
      </w:tr>
      <w:tr w:rsidR="00A363F7" w:rsidTr="003257C4">
        <w:tc>
          <w:tcPr>
            <w:cnfStyle w:val="001000000000" w:firstRow="0" w:lastRow="0" w:firstColumn="1" w:lastColumn="0" w:oddVBand="0" w:evenVBand="0" w:oddHBand="0" w:evenHBand="0" w:firstRowFirstColumn="0" w:firstRowLastColumn="0" w:lastRowFirstColumn="0" w:lastRowLastColumn="0"/>
            <w:tcW w:w="3080" w:type="dxa"/>
          </w:tcPr>
          <w:p w:rsidR="00A363F7" w:rsidRPr="00FF1ED9" w:rsidRDefault="00A363F7" w:rsidP="00A363F7">
            <w:r w:rsidRPr="00FF1ED9">
              <w:t>Origin</w:t>
            </w:r>
          </w:p>
        </w:tc>
        <w:tc>
          <w:tcPr>
            <w:tcW w:w="906" w:type="dxa"/>
          </w:tcPr>
          <w:p w:rsidR="00A363F7" w:rsidRPr="00A363F7" w:rsidRDefault="00A363F7" w:rsidP="00A363F7">
            <w:pPr>
              <w:cnfStyle w:val="000000000000" w:firstRow="0" w:lastRow="0" w:firstColumn="0" w:lastColumn="0" w:oddVBand="0" w:evenVBand="0" w:oddHBand="0" w:evenHBand="0" w:firstRowFirstColumn="0" w:firstRowLastColumn="0" w:lastRowFirstColumn="0" w:lastRowLastColumn="0"/>
            </w:pPr>
            <w:r>
              <w:t>QLD/SA</w:t>
            </w:r>
          </w:p>
        </w:tc>
        <w:tc>
          <w:tcPr>
            <w:tcW w:w="5194" w:type="dxa"/>
          </w:tcPr>
          <w:p w:rsidR="00A363F7" w:rsidRPr="00A363F7" w:rsidRDefault="00A363F7" w:rsidP="00A363F7">
            <w:pPr>
              <w:cnfStyle w:val="000000000000" w:firstRow="0" w:lastRow="0" w:firstColumn="0" w:lastColumn="0" w:oddVBand="0" w:evenVBand="0" w:oddHBand="0" w:evenHBand="0" w:firstRowFirstColumn="0" w:firstRowLastColumn="0" w:lastRowFirstColumn="0" w:lastRowLastColumn="0"/>
            </w:pPr>
            <w:r>
              <w:t xml:space="preserve">The </w:t>
            </w:r>
            <w:r w:rsidRPr="00A363F7">
              <w:t>AER should amend or review the current F&amp;A on matters including the:</w:t>
            </w:r>
          </w:p>
          <w:p w:rsidR="00A363F7" w:rsidRPr="00A363F7" w:rsidRDefault="00B3486A" w:rsidP="003257C4">
            <w:pPr>
              <w:pStyle w:val="AERbulletlistfirststyle"/>
              <w:cnfStyle w:val="000000000000" w:firstRow="0" w:lastRow="0" w:firstColumn="0" w:lastColumn="0" w:oddVBand="0" w:evenVBand="0" w:oddHBand="0" w:evenHBand="0" w:firstRowFirstColumn="0" w:firstRowLastColumn="0" w:lastRowFirstColumn="0" w:lastRowLastColumn="0"/>
            </w:pPr>
            <w:r>
              <w:t>c</w:t>
            </w:r>
            <w:r w:rsidR="00A363F7">
              <w:t>lassification of metering services</w:t>
            </w:r>
            <w:r w:rsidR="00A363F7" w:rsidRPr="00A363F7">
              <w:t xml:space="preserve"> in Queensland and South Australia</w:t>
            </w:r>
          </w:p>
          <w:p w:rsidR="00A363F7" w:rsidRPr="00A363F7" w:rsidRDefault="00A363F7" w:rsidP="003257C4">
            <w:pPr>
              <w:pStyle w:val="AERbulletlistfirststyle"/>
              <w:cnfStyle w:val="000000000000" w:firstRow="0" w:lastRow="0" w:firstColumn="0" w:lastColumn="0" w:oddVBand="0" w:evenVBand="0" w:oddHBand="0" w:evenHBand="0" w:firstRowFirstColumn="0" w:firstRowLastColumn="0" w:lastRowFirstColumn="0" w:lastRowLastColumn="0"/>
            </w:pPr>
            <w:r>
              <w:t>form of control</w:t>
            </w:r>
            <w:r w:rsidRPr="00A363F7">
              <w:t xml:space="preserve"> – moving to a weighted average price cap (WAPC)</w:t>
            </w:r>
          </w:p>
          <w:p w:rsidR="00A363F7" w:rsidRPr="00A363F7" w:rsidRDefault="00B3486A" w:rsidP="003257C4">
            <w:pPr>
              <w:pStyle w:val="AERbulletlistfirststyle"/>
              <w:cnfStyle w:val="000000000000" w:firstRow="0" w:lastRow="0" w:firstColumn="0" w:lastColumn="0" w:oddVBand="0" w:evenVBand="0" w:oddHBand="0" w:evenHBand="0" w:firstRowFirstColumn="0" w:firstRowLastColumn="0" w:lastRowFirstColumn="0" w:lastRowLastColumn="0"/>
            </w:pPr>
            <w:r>
              <w:t>a</w:t>
            </w:r>
            <w:r w:rsidR="00A363F7">
              <w:t>pplication of incentive schemes</w:t>
            </w:r>
            <w:r>
              <w:t xml:space="preserve"> in Queensland and South Australia</w:t>
            </w:r>
          </w:p>
        </w:tc>
      </w:tr>
      <w:tr w:rsidR="00A363F7" w:rsidTr="003257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A363F7" w:rsidRDefault="00A363F7" w:rsidP="00A363F7">
            <w:r>
              <w:t>Trans Tasman Energy Group</w:t>
            </w:r>
          </w:p>
        </w:tc>
        <w:tc>
          <w:tcPr>
            <w:tcW w:w="906" w:type="dxa"/>
          </w:tcPr>
          <w:p w:rsidR="00A363F7" w:rsidRPr="00A363F7" w:rsidRDefault="00A363F7" w:rsidP="00A363F7">
            <w:pPr>
              <w:cnfStyle w:val="000000010000" w:firstRow="0" w:lastRow="0" w:firstColumn="0" w:lastColumn="0" w:oddVBand="0" w:evenVBand="0" w:oddHBand="0" w:evenHBand="1" w:firstRowFirstColumn="0" w:firstRowLastColumn="0" w:lastRowFirstColumn="0" w:lastRowLastColumn="0"/>
            </w:pPr>
            <w:r>
              <w:t>QLD/SA</w:t>
            </w:r>
          </w:p>
        </w:tc>
        <w:tc>
          <w:tcPr>
            <w:tcW w:w="5194" w:type="dxa"/>
          </w:tcPr>
          <w:p w:rsidR="00A363F7" w:rsidRPr="00A363F7" w:rsidRDefault="00A363F7" w:rsidP="00B26B18">
            <w:pPr>
              <w:cnfStyle w:val="000000010000" w:firstRow="0" w:lastRow="0" w:firstColumn="0" w:lastColumn="0" w:oddVBand="0" w:evenVBand="0" w:oddHBand="0" w:evenHBand="1" w:firstRowFirstColumn="0" w:firstRowLastColumn="0" w:lastRowFirstColumn="0" w:lastRowLastColumn="0"/>
            </w:pPr>
            <w:r>
              <w:t xml:space="preserve">The AER </w:t>
            </w:r>
            <w:r w:rsidRPr="00A363F7">
              <w:t xml:space="preserve">should review the classification of </w:t>
            </w:r>
            <w:r w:rsidR="00B26B18">
              <w:t>'</w:t>
            </w:r>
            <w:r w:rsidRPr="00A363F7">
              <w:t>non-natural</w:t>
            </w:r>
            <w:r w:rsidR="00B26B18">
              <w:t>'</w:t>
            </w:r>
            <w:r w:rsidRPr="00A363F7">
              <w:t xml:space="preserve"> monopoly services provided by </w:t>
            </w:r>
            <w:r w:rsidR="00B26B18">
              <w:t>network s</w:t>
            </w:r>
            <w:r w:rsidRPr="00A363F7">
              <w:t xml:space="preserve">ervice </w:t>
            </w:r>
            <w:r w:rsidR="00B26B18">
              <w:t xml:space="preserve">providers, particularly the classification of public lighting services to negotiated distribution services. </w:t>
            </w:r>
          </w:p>
        </w:tc>
      </w:tr>
      <w:tr w:rsidR="00A363F7" w:rsidTr="003257C4">
        <w:tc>
          <w:tcPr>
            <w:cnfStyle w:val="001000000000" w:firstRow="0" w:lastRow="0" w:firstColumn="1" w:lastColumn="0" w:oddVBand="0" w:evenVBand="0" w:oddHBand="0" w:evenHBand="0" w:firstRowFirstColumn="0" w:firstRowLastColumn="0" w:lastRowFirstColumn="0" w:lastRowLastColumn="0"/>
            <w:tcW w:w="3080" w:type="dxa"/>
          </w:tcPr>
          <w:p w:rsidR="00A363F7" w:rsidRPr="00A363F7" w:rsidRDefault="00A363F7" w:rsidP="00A363F7">
            <w:r>
              <w:t>Department of Planning, Transport and Infrastructure in South Australia</w:t>
            </w:r>
          </w:p>
        </w:tc>
        <w:tc>
          <w:tcPr>
            <w:tcW w:w="906" w:type="dxa"/>
          </w:tcPr>
          <w:p w:rsidR="00A363F7" w:rsidRPr="00FF1ED9" w:rsidRDefault="00A363F7" w:rsidP="00A363F7">
            <w:pPr>
              <w:cnfStyle w:val="000000000000" w:firstRow="0" w:lastRow="0" w:firstColumn="0" w:lastColumn="0" w:oddVBand="0" w:evenVBand="0" w:oddHBand="0" w:evenHBand="0" w:firstRowFirstColumn="0" w:firstRowLastColumn="0" w:lastRowFirstColumn="0" w:lastRowLastColumn="0"/>
            </w:pPr>
            <w:r w:rsidRPr="00FF1ED9">
              <w:t>SA</w:t>
            </w:r>
          </w:p>
        </w:tc>
        <w:tc>
          <w:tcPr>
            <w:tcW w:w="5194" w:type="dxa"/>
          </w:tcPr>
          <w:p w:rsidR="00A363F7" w:rsidRPr="00A363F7" w:rsidRDefault="00A363F7" w:rsidP="00A363F7">
            <w:pPr>
              <w:cnfStyle w:val="000000000000" w:firstRow="0" w:lastRow="0" w:firstColumn="0" w:lastColumn="0" w:oddVBand="0" w:evenVBand="0" w:oddHBand="0" w:evenHBand="0" w:firstRowFirstColumn="0" w:firstRowLastColumn="0" w:lastRowFirstColumn="0" w:lastRowLastColumn="0"/>
            </w:pPr>
            <w:r w:rsidRPr="00591A20">
              <w:t xml:space="preserve">The </w:t>
            </w:r>
            <w:r w:rsidRPr="00A363F7">
              <w:t>AER should retain its current classification of SA Power Networks’ public lighting services for the next regulatory control period.</w:t>
            </w:r>
          </w:p>
        </w:tc>
      </w:tr>
      <w:tr w:rsidR="00A363F7" w:rsidTr="003257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A363F7" w:rsidRDefault="00A363F7" w:rsidP="00A363F7">
            <w:r>
              <w:lastRenderedPageBreak/>
              <w:t>Local Government Association of South Australia</w:t>
            </w:r>
          </w:p>
        </w:tc>
        <w:tc>
          <w:tcPr>
            <w:tcW w:w="906" w:type="dxa"/>
          </w:tcPr>
          <w:p w:rsidR="00A363F7" w:rsidRPr="00FF1ED9" w:rsidRDefault="00A363F7" w:rsidP="00A363F7">
            <w:pPr>
              <w:cnfStyle w:val="000000010000" w:firstRow="0" w:lastRow="0" w:firstColumn="0" w:lastColumn="0" w:oddVBand="0" w:evenVBand="0" w:oddHBand="0" w:evenHBand="1" w:firstRowFirstColumn="0" w:firstRowLastColumn="0" w:lastRowFirstColumn="0" w:lastRowLastColumn="0"/>
            </w:pPr>
            <w:r w:rsidRPr="00FF1ED9">
              <w:t>SA</w:t>
            </w:r>
          </w:p>
        </w:tc>
        <w:tc>
          <w:tcPr>
            <w:tcW w:w="5194" w:type="dxa"/>
          </w:tcPr>
          <w:p w:rsidR="00A363F7" w:rsidRPr="00A363F7" w:rsidRDefault="00A363F7" w:rsidP="00A363F7">
            <w:pPr>
              <w:cnfStyle w:val="000000010000" w:firstRow="0" w:lastRow="0" w:firstColumn="0" w:lastColumn="0" w:oddVBand="0" w:evenVBand="0" w:oddHBand="0" w:evenHBand="1" w:firstRowFirstColumn="0" w:firstRowLastColumn="0" w:lastRowFirstColumn="0" w:lastRowLastColumn="0"/>
            </w:pPr>
            <w:r w:rsidRPr="00591A20">
              <w:t xml:space="preserve">The </w:t>
            </w:r>
            <w:r w:rsidRPr="00A363F7">
              <w:t>AER should retain its current classification of SA Power Networks’ public lighting services for the next regulatory control period.</w:t>
            </w:r>
          </w:p>
        </w:tc>
      </w:tr>
      <w:tr w:rsidR="00A363F7" w:rsidTr="003257C4">
        <w:tc>
          <w:tcPr>
            <w:cnfStyle w:val="001000000000" w:firstRow="0" w:lastRow="0" w:firstColumn="1" w:lastColumn="0" w:oddVBand="0" w:evenVBand="0" w:oddHBand="0" w:evenHBand="0" w:firstRowFirstColumn="0" w:firstRowLastColumn="0" w:lastRowFirstColumn="0" w:lastRowLastColumn="0"/>
            <w:tcW w:w="3080" w:type="dxa"/>
          </w:tcPr>
          <w:p w:rsidR="00A363F7" w:rsidRPr="00FF1ED9" w:rsidRDefault="00A363F7" w:rsidP="00A363F7">
            <w:r w:rsidRPr="00FF1ED9">
              <w:t>SA Power Networks</w:t>
            </w:r>
          </w:p>
        </w:tc>
        <w:tc>
          <w:tcPr>
            <w:tcW w:w="906" w:type="dxa"/>
          </w:tcPr>
          <w:p w:rsidR="00A363F7" w:rsidRPr="00FF1ED9" w:rsidRDefault="00A363F7" w:rsidP="00A363F7">
            <w:pPr>
              <w:cnfStyle w:val="000000000000" w:firstRow="0" w:lastRow="0" w:firstColumn="0" w:lastColumn="0" w:oddVBand="0" w:evenVBand="0" w:oddHBand="0" w:evenHBand="0" w:firstRowFirstColumn="0" w:firstRowLastColumn="0" w:lastRowFirstColumn="0" w:lastRowLastColumn="0"/>
            </w:pPr>
            <w:r w:rsidRPr="00FF1ED9">
              <w:t>SA</w:t>
            </w:r>
          </w:p>
        </w:tc>
        <w:tc>
          <w:tcPr>
            <w:tcW w:w="5194" w:type="dxa"/>
          </w:tcPr>
          <w:p w:rsidR="00A363F7" w:rsidRPr="00A363F7" w:rsidRDefault="00A363F7" w:rsidP="00A363F7">
            <w:pPr>
              <w:cnfStyle w:val="000000000000" w:firstRow="0" w:lastRow="0" w:firstColumn="0" w:lastColumn="0" w:oddVBand="0" w:evenVBand="0" w:oddHBand="0" w:evenHBand="0" w:firstRowFirstColumn="0" w:firstRowLastColumn="0" w:lastRowFirstColumn="0" w:lastRowLastColumn="0"/>
            </w:pPr>
            <w:r>
              <w:t>The AER should develop a new F&amp;A applying only to SA Power Networks necessitated by extensive changes to the Rules</w:t>
            </w:r>
            <w:r w:rsidRPr="00A363F7">
              <w:t xml:space="preserve"> which include additional matters not covered in the current F&amp;A. Due to changes in energy policy and processes and methodologies, the AER should also amend approaches to the:</w:t>
            </w:r>
          </w:p>
          <w:p w:rsidR="00A363F7" w:rsidRPr="00A363F7" w:rsidRDefault="00A363F7" w:rsidP="003257C4">
            <w:pPr>
              <w:pStyle w:val="AERbulletlistfirststyle"/>
              <w:cnfStyle w:val="000000000000" w:firstRow="0" w:lastRow="0" w:firstColumn="0" w:lastColumn="0" w:oddVBand="0" w:evenVBand="0" w:oddHBand="0" w:evenHBand="0" w:firstRowFirstColumn="0" w:firstRowLastColumn="0" w:lastRowFirstColumn="0" w:lastRowLastColumn="0"/>
            </w:pPr>
            <w:r>
              <w:t>form of control</w:t>
            </w:r>
          </w:p>
          <w:p w:rsidR="00A363F7" w:rsidRPr="00A363F7" w:rsidRDefault="00A363F7" w:rsidP="003257C4">
            <w:pPr>
              <w:pStyle w:val="AERbulletlistfirststyle"/>
              <w:cnfStyle w:val="000000000000" w:firstRow="0" w:lastRow="0" w:firstColumn="0" w:lastColumn="0" w:oddVBand="0" w:evenVBand="0" w:oddHBand="0" w:evenHBand="0" w:firstRowFirstColumn="0" w:firstRowLastColumn="0" w:lastRowFirstColumn="0" w:lastRowLastColumn="0"/>
            </w:pPr>
            <w:r>
              <w:t xml:space="preserve">classification of certain distribution services </w:t>
            </w:r>
          </w:p>
          <w:p w:rsidR="00A363F7" w:rsidRPr="00A363F7" w:rsidRDefault="00A363F7" w:rsidP="003257C4">
            <w:pPr>
              <w:pStyle w:val="AERbulletlistfirststyle"/>
              <w:cnfStyle w:val="000000000000" w:firstRow="0" w:lastRow="0" w:firstColumn="0" w:lastColumn="0" w:oddVBand="0" w:evenVBand="0" w:oddHBand="0" w:evenHBand="0" w:firstRowFirstColumn="0" w:firstRowLastColumn="0" w:lastRowFirstColumn="0" w:lastRowLastColumn="0"/>
            </w:pPr>
            <w:r>
              <w:t xml:space="preserve">service target performance incentive scheme </w:t>
            </w:r>
          </w:p>
        </w:tc>
      </w:tr>
      <w:tr w:rsidR="00A363F7" w:rsidTr="003257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A363F7" w:rsidRDefault="00A363F7" w:rsidP="00A363F7">
            <w:r>
              <w:t>South Australian Council of Social Services</w:t>
            </w:r>
          </w:p>
        </w:tc>
        <w:tc>
          <w:tcPr>
            <w:tcW w:w="906" w:type="dxa"/>
          </w:tcPr>
          <w:p w:rsidR="00A363F7" w:rsidRPr="00A363F7" w:rsidRDefault="00A363F7" w:rsidP="00A363F7">
            <w:pPr>
              <w:cnfStyle w:val="000000010000" w:firstRow="0" w:lastRow="0" w:firstColumn="0" w:lastColumn="0" w:oddVBand="0" w:evenVBand="0" w:oddHBand="0" w:evenHBand="1" w:firstRowFirstColumn="0" w:firstRowLastColumn="0" w:lastRowFirstColumn="0" w:lastRowLastColumn="0"/>
            </w:pPr>
            <w:r>
              <w:t>SA</w:t>
            </w:r>
          </w:p>
        </w:tc>
        <w:tc>
          <w:tcPr>
            <w:tcW w:w="5194" w:type="dxa"/>
          </w:tcPr>
          <w:p w:rsidR="00A363F7" w:rsidRPr="00A363F7" w:rsidRDefault="00A363F7" w:rsidP="00A363F7">
            <w:pPr>
              <w:cnfStyle w:val="000000010000" w:firstRow="0" w:lastRow="0" w:firstColumn="0" w:lastColumn="0" w:oddVBand="0" w:evenVBand="0" w:oddHBand="0" w:evenHBand="1" w:firstRowFirstColumn="0" w:firstRowLastColumn="0" w:lastRowFirstColumn="0" w:lastRowLastColumn="0"/>
            </w:pPr>
            <w:r>
              <w:t xml:space="preserve">The AER should amend or replace the F&amp;A for </w:t>
            </w:r>
            <w:r w:rsidRPr="00A363F7">
              <w:t xml:space="preserve">SA Power Networks for the next regulatory control period due to significant changes in the energy market. </w:t>
            </w:r>
          </w:p>
        </w:tc>
      </w:tr>
    </w:tbl>
    <w:p w:rsidR="00A363F7" w:rsidRPr="00A363F7" w:rsidRDefault="00A363F7" w:rsidP="00A363F7"/>
    <w:p w:rsidR="0089125A" w:rsidRDefault="0089125A">
      <w:pPr>
        <w:spacing w:after="0" w:line="240" w:lineRule="auto"/>
        <w:jc w:val="left"/>
        <w:rPr>
          <w:rFonts w:eastAsia="Times New Roman"/>
          <w:b/>
          <w:sz w:val="40"/>
          <w:szCs w:val="24"/>
          <w:lang w:eastAsia="en-AU"/>
        </w:rPr>
      </w:pPr>
      <w:r>
        <w:br w:type="page"/>
      </w:r>
    </w:p>
    <w:p w:rsidR="00EF0E19" w:rsidRDefault="0089125A" w:rsidP="0089125A">
      <w:pPr>
        <w:pStyle w:val="UnnumberedHeading"/>
      </w:pPr>
      <w:bookmarkStart w:id="16" w:name="_Toc367457928"/>
      <w:r>
        <w:lastRenderedPageBreak/>
        <w:t xml:space="preserve">Appendix </w:t>
      </w:r>
      <w:r w:rsidR="001272E5">
        <w:t>C</w:t>
      </w:r>
      <w:r w:rsidR="00BF71D6">
        <w:t xml:space="preserve"> </w:t>
      </w:r>
      <w:r w:rsidR="00BF71D6">
        <w:rPr>
          <w:rFonts w:cs="Gautami"/>
        </w:rPr>
        <w:t>–</w:t>
      </w:r>
      <w:r w:rsidR="00BF71D6">
        <w:t xml:space="preserve"> Ergon Energy's request</w:t>
      </w:r>
      <w:bookmarkEnd w:id="16"/>
    </w:p>
    <w:p w:rsidR="00EF0E19" w:rsidRDefault="0089125A" w:rsidP="0089125A">
      <w:pPr>
        <w:pStyle w:val="AERtitle1"/>
        <w:jc w:val="both"/>
      </w:pPr>
      <w:r w:rsidRPr="0089125A">
        <w:rPr>
          <w:noProof/>
        </w:rPr>
        <w:drawing>
          <wp:inline distT="0" distB="0" distL="0" distR="0" wp14:anchorId="2C06F26C" wp14:editId="218EF52C">
            <wp:extent cx="5731510" cy="81065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1510" cy="8106556"/>
                    </a:xfrm>
                    <a:prstGeom prst="rect">
                      <a:avLst/>
                    </a:prstGeom>
                  </pic:spPr>
                </pic:pic>
              </a:graphicData>
            </a:graphic>
          </wp:inline>
        </w:drawing>
      </w:r>
    </w:p>
    <w:p w:rsidR="00EF0E19" w:rsidRDefault="00EF0E19" w:rsidP="00EF0E19">
      <w:pPr>
        <w:rPr>
          <w:rStyle w:val="AERtextbold"/>
        </w:rPr>
      </w:pPr>
      <w:r>
        <w:rPr>
          <w:rStyle w:val="AERtextbold"/>
        </w:rPr>
        <w:br w:type="page"/>
      </w:r>
      <w:r w:rsidR="0089125A" w:rsidRPr="0089125A">
        <w:rPr>
          <w:noProof/>
          <w:lang w:eastAsia="en-AU"/>
        </w:rPr>
        <w:lastRenderedPageBreak/>
        <w:drawing>
          <wp:inline distT="0" distB="0" distL="0" distR="0" wp14:anchorId="774CF48A" wp14:editId="5E4E59FA">
            <wp:extent cx="5731510" cy="8095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8095700"/>
                    </a:xfrm>
                    <a:prstGeom prst="rect">
                      <a:avLst/>
                    </a:prstGeom>
                    <a:noFill/>
                    <a:ln>
                      <a:noFill/>
                    </a:ln>
                  </pic:spPr>
                </pic:pic>
              </a:graphicData>
            </a:graphic>
          </wp:inline>
        </w:drawing>
      </w:r>
    </w:p>
    <w:p w:rsidR="0089125A" w:rsidRDefault="0089125A" w:rsidP="00EF0E19">
      <w:pPr>
        <w:rPr>
          <w:rStyle w:val="AERtextbold"/>
        </w:rPr>
      </w:pPr>
    </w:p>
    <w:p w:rsidR="0089125A" w:rsidRDefault="0089125A" w:rsidP="00EF0E19">
      <w:pPr>
        <w:rPr>
          <w:rStyle w:val="AERtextbold"/>
        </w:rPr>
      </w:pPr>
    </w:p>
    <w:p w:rsidR="0089125A" w:rsidRDefault="0089125A" w:rsidP="00EF0E19">
      <w:pPr>
        <w:rPr>
          <w:rStyle w:val="AERtextbold"/>
        </w:rPr>
      </w:pPr>
      <w:r w:rsidRPr="0089125A">
        <w:rPr>
          <w:noProof/>
          <w:lang w:eastAsia="en-AU"/>
        </w:rPr>
        <w:lastRenderedPageBreak/>
        <w:drawing>
          <wp:inline distT="0" distB="0" distL="0" distR="0" wp14:anchorId="575AEE58" wp14:editId="567688A6">
            <wp:extent cx="5731510" cy="810655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31510" cy="8106556"/>
                    </a:xfrm>
                    <a:prstGeom prst="rect">
                      <a:avLst/>
                    </a:prstGeom>
                  </pic:spPr>
                </pic:pic>
              </a:graphicData>
            </a:graphic>
          </wp:inline>
        </w:drawing>
      </w:r>
    </w:p>
    <w:p w:rsidR="0089125A" w:rsidRDefault="0089125A" w:rsidP="00EF0E19">
      <w:pPr>
        <w:rPr>
          <w:rStyle w:val="AERtextbold"/>
        </w:rPr>
      </w:pPr>
    </w:p>
    <w:p w:rsidR="0089125A" w:rsidRDefault="0089125A" w:rsidP="00EF0E19">
      <w:pPr>
        <w:rPr>
          <w:rStyle w:val="AERtextbold"/>
        </w:rPr>
      </w:pPr>
    </w:p>
    <w:p w:rsidR="0089125A" w:rsidRPr="00EF0E19" w:rsidRDefault="0089125A" w:rsidP="00EF0E19">
      <w:pPr>
        <w:rPr>
          <w:rStyle w:val="AERtextbold"/>
        </w:rPr>
      </w:pPr>
      <w:r w:rsidRPr="0089125A">
        <w:rPr>
          <w:noProof/>
          <w:lang w:eastAsia="en-AU"/>
        </w:rPr>
        <w:lastRenderedPageBreak/>
        <w:drawing>
          <wp:inline distT="0" distB="0" distL="0" distR="0" wp14:anchorId="65332E0C" wp14:editId="777A5F7E">
            <wp:extent cx="5731510" cy="810655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1510" cy="8106556"/>
                    </a:xfrm>
                    <a:prstGeom prst="rect">
                      <a:avLst/>
                    </a:prstGeom>
                  </pic:spPr>
                </pic:pic>
              </a:graphicData>
            </a:graphic>
          </wp:inline>
        </w:drawing>
      </w:r>
    </w:p>
    <w:sectPr w:rsidR="0089125A" w:rsidRPr="00EF0E19" w:rsidSect="00456081">
      <w:footerReference w:type="even" r:id="rId20"/>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0018" w:rsidRPr="00AB4345" w:rsidRDefault="00C40018" w:rsidP="00AB4345">
      <w:r>
        <w:separator/>
      </w:r>
    </w:p>
  </w:endnote>
  <w:endnote w:type="continuationSeparator" w:id="0">
    <w:p w:rsidR="00C40018" w:rsidRPr="00AB4345" w:rsidRDefault="00C40018" w:rsidP="00AB4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autami">
    <w:panose1 w:val="02000500000000000000"/>
    <w:charset w:val="00"/>
    <w:family w:val="auto"/>
    <w:pitch w:val="variable"/>
    <w:sig w:usb0="002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4882516"/>
      <w:docPartObj>
        <w:docPartGallery w:val="Page Numbers (Bottom of Page)"/>
        <w:docPartUnique/>
      </w:docPartObj>
    </w:sdtPr>
    <w:sdtEndPr/>
    <w:sdtContent>
      <w:p w:rsidR="00B122C2" w:rsidRPr="00824CC8" w:rsidRDefault="00B122C2" w:rsidP="00824CC8">
        <w:pPr>
          <w:pStyle w:val="Footer"/>
        </w:pPr>
        <w:r w:rsidRPr="00824CC8">
          <w:fldChar w:fldCharType="begin"/>
        </w:r>
        <w:r w:rsidRPr="00824CC8">
          <w:instrText xml:space="preserve"> PAGE   \* MERGEFORMAT </w:instrText>
        </w:r>
        <w:r w:rsidRPr="00824CC8">
          <w:fldChar w:fldCharType="separate"/>
        </w:r>
        <w:r w:rsidR="00AF5EB4">
          <w:rPr>
            <w:noProof/>
          </w:rPr>
          <w:t>2</w:t>
        </w:r>
        <w:r w:rsidRPr="00824CC8">
          <w:fldChar w:fldCharType="end"/>
        </w:r>
        <w:r w:rsidRPr="00824CC8">
          <w:tab/>
        </w:r>
        <w:r>
          <w:rPr>
            <w:rStyle w:val="AERbody"/>
          </w:rPr>
          <w:t xml:space="preserve">Replacement of Framework and Approach </w:t>
        </w:r>
        <w:r w:rsidRPr="00824CC8">
          <w:rPr>
            <w:rStyle w:val="AERbody"/>
          </w:rPr>
          <w:t xml:space="preserve">| </w:t>
        </w:r>
        <w:r>
          <w:rPr>
            <w:rStyle w:val="AERbody"/>
          </w:rPr>
          <w:t xml:space="preserve">Queensland and South Australia </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018" w:rsidRPr="00824CC8" w:rsidRDefault="00C40018" w:rsidP="00824CC8">
    <w:pPr>
      <w:pStyle w:val="Footer"/>
      <w:rPr>
        <w:rStyle w:val="AERbody"/>
      </w:rPr>
    </w:pPr>
    <w:r>
      <w:rPr>
        <w:rStyle w:val="AERbody"/>
      </w:rPr>
      <w:t>Replacement of Framework and Approach</w:t>
    </w:r>
    <w:r w:rsidRPr="00824CC8">
      <w:rPr>
        <w:rStyle w:val="AERbody"/>
      </w:rPr>
      <w:t xml:space="preserve">| </w:t>
    </w:r>
    <w:r>
      <w:rPr>
        <w:rStyle w:val="AERbody"/>
      </w:rPr>
      <w:t xml:space="preserve">Queensland and South Australia </w:t>
    </w:r>
    <w:r w:rsidRPr="00210880">
      <w:rPr>
        <w:rStyle w:val="AERbody"/>
      </w:rPr>
      <w:tab/>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AF5EB4">
      <w:rPr>
        <w:rStyle w:val="AERbody"/>
        <w:noProof/>
      </w:rPr>
      <w:t>1</w:t>
    </w:r>
    <w:r w:rsidRPr="00824CC8">
      <w:rPr>
        <w:rStyle w:val="AERbody"/>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0018" w:rsidRPr="00AB4345" w:rsidRDefault="00C40018" w:rsidP="00AB4345">
      <w:r>
        <w:separator/>
      </w:r>
    </w:p>
  </w:footnote>
  <w:footnote w:type="continuationSeparator" w:id="0">
    <w:p w:rsidR="00C40018" w:rsidRPr="00AB4345" w:rsidRDefault="00C40018" w:rsidP="00AB4345">
      <w:r>
        <w:continuationSeparator/>
      </w:r>
    </w:p>
  </w:footnote>
  <w:footnote w:id="1">
    <w:p w:rsidR="00C40018" w:rsidRDefault="00C40018" w:rsidP="00982E8A">
      <w:pPr>
        <w:pStyle w:val="FootnoteText"/>
      </w:pPr>
      <w:r>
        <w:rPr>
          <w:rStyle w:val="FootnoteReference"/>
        </w:rPr>
        <w:footnoteRef/>
      </w:r>
      <w:r>
        <w:t xml:space="preserve"> </w:t>
      </w:r>
      <w:r>
        <w:tab/>
        <w:t xml:space="preserve">Which we outline in a number of recently published guidelines. These guidelines are available at </w:t>
      </w:r>
      <w:hyperlink r:id="rId1" w:history="1">
        <w:r w:rsidRPr="004B2740">
          <w:rPr>
            <w:rStyle w:val="Hyperlink"/>
          </w:rPr>
          <w:t>www.aer.gov.au/Better-regulation-reform-program</w:t>
        </w:r>
      </w:hyperlink>
      <w:r>
        <w:t>.</w:t>
      </w:r>
    </w:p>
  </w:footnote>
  <w:footnote w:id="2">
    <w:p w:rsidR="00C40018" w:rsidRDefault="00C40018" w:rsidP="00982E8A">
      <w:pPr>
        <w:pStyle w:val="FootnoteText"/>
      </w:pPr>
      <w:r>
        <w:rPr>
          <w:rStyle w:val="FootnoteReference"/>
        </w:rPr>
        <w:footnoteRef/>
      </w:r>
      <w:r>
        <w:t xml:space="preserve"> </w:t>
      </w:r>
      <w:r>
        <w:tab/>
        <w:t xml:space="preserve">NER, cl. 6.8.1(g). The AER would consult appropriately on any additional matters it wishes to include in the F&amp;A. </w:t>
      </w:r>
    </w:p>
  </w:footnote>
  <w:footnote w:id="3">
    <w:p w:rsidR="00C40018" w:rsidRDefault="00C40018" w:rsidP="00481A5A">
      <w:pPr>
        <w:pStyle w:val="FootnoteText"/>
      </w:pPr>
      <w:r>
        <w:rPr>
          <w:rStyle w:val="FootnoteReference"/>
        </w:rPr>
        <w:footnoteRef/>
      </w:r>
      <w:r>
        <w:t xml:space="preserve"> </w:t>
      </w:r>
      <w:r>
        <w:tab/>
        <w:t>NER, cll. 6.8.1(e) and 11.60.3(c).</w:t>
      </w:r>
    </w:p>
  </w:footnote>
  <w:footnote w:id="4">
    <w:p w:rsidR="00C40018" w:rsidRDefault="00C40018" w:rsidP="00A363F7">
      <w:pPr>
        <w:pStyle w:val="FootnoteText"/>
      </w:pPr>
      <w:r>
        <w:rPr>
          <w:rStyle w:val="FootnoteReference"/>
        </w:rPr>
        <w:footnoteRef/>
      </w:r>
      <w:r>
        <w:t xml:space="preserve"> </w:t>
      </w:r>
      <w:r>
        <w:tab/>
        <w:t xml:space="preserve">NER, cl. 6.8.1(a)(2). We issued this notice on 27 June 2013. </w:t>
      </w:r>
    </w:p>
  </w:footnote>
  <w:footnote w:id="5">
    <w:p w:rsidR="00C40018" w:rsidRPr="00492630" w:rsidRDefault="00C40018" w:rsidP="00492630">
      <w:pPr>
        <w:pStyle w:val="FootnoteText"/>
      </w:pPr>
      <w:r>
        <w:rPr>
          <w:rStyle w:val="FootnoteReference"/>
        </w:rPr>
        <w:footnoteRef/>
      </w:r>
      <w:r>
        <w:t xml:space="preserve"> </w:t>
      </w:r>
      <w:r>
        <w:tab/>
      </w:r>
      <w:r w:rsidRPr="00492630">
        <w:t xml:space="preserve">Responses for Queensland and South Australia are available at </w:t>
      </w:r>
      <w:hyperlink r:id="rId2" w:history="1">
        <w:r w:rsidRPr="007A3B1A">
          <w:rPr>
            <w:rStyle w:val="Hyperlink"/>
          </w:rPr>
          <w:t>www.aer.gov.au/node/20187</w:t>
        </w:r>
      </w:hyperlink>
      <w:r>
        <w:t xml:space="preserve"> </w:t>
      </w:r>
      <w:r w:rsidRPr="00492630">
        <w:t xml:space="preserve">and </w:t>
      </w:r>
      <w:hyperlink r:id="rId3" w:history="1">
        <w:r w:rsidRPr="00492630">
          <w:rPr>
            <w:rStyle w:val="Hyperlink"/>
          </w:rPr>
          <w:t>www.aer.gov.au/node/20941</w:t>
        </w:r>
      </w:hyperlink>
      <w:r w:rsidRPr="00492630">
        <w:t xml:space="preserve"> respectively.</w:t>
      </w:r>
      <w:r>
        <w:t xml:space="preserve"> Ergon Energy provided a written request in accordance with NER, cl. 6.8.1(c)(1). </w:t>
      </w:r>
    </w:p>
  </w:footnote>
  <w:footnote w:id="6">
    <w:p w:rsidR="00C40018" w:rsidRDefault="00C40018">
      <w:pPr>
        <w:pStyle w:val="FootnoteText"/>
      </w:pPr>
      <w:r>
        <w:rPr>
          <w:rStyle w:val="FootnoteReference"/>
        </w:rPr>
        <w:footnoteRef/>
      </w:r>
      <w:r>
        <w:t xml:space="preserve"> </w:t>
      </w:r>
      <w:r>
        <w:tab/>
        <w:t xml:space="preserve">NER, cl. 6.8.1(c)(1) and (3)(i). </w:t>
      </w:r>
    </w:p>
  </w:footnote>
  <w:footnote w:id="7">
    <w:p w:rsidR="00C40018" w:rsidRDefault="00C40018">
      <w:pPr>
        <w:pStyle w:val="FootnoteText"/>
      </w:pPr>
      <w:r>
        <w:rPr>
          <w:rStyle w:val="FootnoteReference"/>
        </w:rPr>
        <w:footnoteRef/>
      </w:r>
      <w:r>
        <w:t xml:space="preserve"> </w:t>
      </w:r>
      <w:r>
        <w:tab/>
        <w:t>As required under NER, cl. 6.8.1(c)(3)(ii).</w:t>
      </w:r>
    </w:p>
  </w:footnote>
  <w:footnote w:id="8">
    <w:p w:rsidR="00C40018" w:rsidRDefault="00C40018" w:rsidP="00A363F7">
      <w:pPr>
        <w:pStyle w:val="FootnoteText"/>
      </w:pPr>
      <w:r>
        <w:rPr>
          <w:rStyle w:val="FootnoteReference"/>
        </w:rPr>
        <w:footnoteRef/>
      </w:r>
      <w:r>
        <w:t xml:space="preserve"> </w:t>
      </w:r>
      <w:r>
        <w:tab/>
        <w:t>NER, cll. 6.8.1(c)(3) and 6.8.1(d).</w:t>
      </w:r>
    </w:p>
  </w:footnote>
  <w:footnote w:id="9">
    <w:p w:rsidR="00C40018" w:rsidRDefault="00C40018">
      <w:pPr>
        <w:pStyle w:val="FootnoteText"/>
      </w:pPr>
      <w:r>
        <w:rPr>
          <w:rStyle w:val="FootnoteReference"/>
        </w:rPr>
        <w:footnoteRef/>
      </w:r>
      <w:r>
        <w:t xml:space="preserve"> </w:t>
      </w:r>
      <w:r>
        <w:tab/>
        <w:t>NER, cl. 6.8.1(b)(2).</w:t>
      </w:r>
    </w:p>
  </w:footnote>
  <w:footnote w:id="10">
    <w:p w:rsidR="00C40018" w:rsidRDefault="00C40018" w:rsidP="00246560">
      <w:pPr>
        <w:pStyle w:val="FootnoteText"/>
      </w:pPr>
      <w:r>
        <w:rPr>
          <w:rStyle w:val="FootnoteReference"/>
        </w:rPr>
        <w:footnoteRef/>
      </w:r>
      <w:r>
        <w:t xml:space="preserve"> </w:t>
      </w:r>
      <w:r>
        <w:tab/>
        <w:t>NER, cl. 6.8.1(b)(2)(i).</w:t>
      </w:r>
    </w:p>
  </w:footnote>
  <w:footnote w:id="11">
    <w:p w:rsidR="00C40018" w:rsidRDefault="00C40018">
      <w:pPr>
        <w:pStyle w:val="FootnoteText"/>
      </w:pPr>
      <w:r>
        <w:rPr>
          <w:rStyle w:val="FootnoteReference"/>
        </w:rPr>
        <w:footnoteRef/>
      </w:r>
      <w:r>
        <w:t xml:space="preserve"> </w:t>
      </w:r>
      <w:r>
        <w:tab/>
        <w:t>NER, cll. 6.2.1 and 6.2.2</w:t>
      </w:r>
    </w:p>
  </w:footnote>
  <w:footnote w:id="12">
    <w:p w:rsidR="00C40018" w:rsidRDefault="00C40018">
      <w:pPr>
        <w:pStyle w:val="FootnoteText"/>
      </w:pPr>
      <w:r>
        <w:rPr>
          <w:rStyle w:val="FootnoteReference"/>
        </w:rPr>
        <w:footnoteRef/>
      </w:r>
      <w:r>
        <w:t xml:space="preserve"> </w:t>
      </w:r>
      <w:r>
        <w:tab/>
        <w:t xml:space="preserve">SA Department of Planning, </w:t>
      </w:r>
      <w:r w:rsidRPr="005E5EB6">
        <w:rPr>
          <w:rStyle w:val="AERtextitalic"/>
        </w:rPr>
        <w:t>Transport and Infrastructure, South Australian Framework and approach paper</w:t>
      </w:r>
      <w:r>
        <w:t xml:space="preserve">, 25 July 2013; Origin, </w:t>
      </w:r>
      <w:r w:rsidRPr="005E5EB6">
        <w:rPr>
          <w:rStyle w:val="AERtextitalic"/>
        </w:rPr>
        <w:t>Queensland and South Australia framework and approach for the period 2015–2020</w:t>
      </w:r>
      <w:r>
        <w:t xml:space="preserve">, 31 July 2013; Local Government Association of South Australia, </w:t>
      </w:r>
      <w:r w:rsidRPr="005E5EB6">
        <w:rPr>
          <w:rStyle w:val="AERtextitalic"/>
        </w:rPr>
        <w:t>South Australian Framework and approach paper</w:t>
      </w:r>
      <w:r>
        <w:t xml:space="preserve">, 29 July 2013; Trans Tasman Energy Group, </w:t>
      </w:r>
      <w:r w:rsidRPr="005E5EB6">
        <w:rPr>
          <w:rStyle w:val="AERtextitalic"/>
        </w:rPr>
        <w:t>Queensland and SA distribution businesses - Framework and approach</w:t>
      </w:r>
      <w:r>
        <w:t>, 18 July 2013.</w:t>
      </w:r>
    </w:p>
  </w:footnote>
  <w:footnote w:id="13">
    <w:p w:rsidR="00C40018" w:rsidRDefault="00C40018">
      <w:pPr>
        <w:pStyle w:val="FootnoteText"/>
      </w:pPr>
      <w:r>
        <w:rPr>
          <w:rStyle w:val="FootnoteReference"/>
        </w:rPr>
        <w:footnoteRef/>
      </w:r>
      <w:r>
        <w:t xml:space="preserve"> </w:t>
      </w:r>
      <w:r>
        <w:tab/>
        <w:t xml:space="preserve">AER, </w:t>
      </w:r>
      <w:r w:rsidRPr="00537872">
        <w:rPr>
          <w:rStyle w:val="AERtextitalic"/>
        </w:rPr>
        <w:t>Final decision, Framework and approach paper, Classification of services and control mechanisms, Energex and Ergon Energy 2010–15</w:t>
      </w:r>
      <w:r>
        <w:t xml:space="preserve">, Appendix B. </w:t>
      </w:r>
    </w:p>
  </w:footnote>
  <w:footnote w:id="14">
    <w:p w:rsidR="00C40018" w:rsidRDefault="00C40018" w:rsidP="009278BA">
      <w:pPr>
        <w:pStyle w:val="FootnoteText"/>
      </w:pPr>
      <w:r>
        <w:rPr>
          <w:rStyle w:val="FootnoteReference"/>
        </w:rPr>
        <w:footnoteRef/>
      </w:r>
      <w:r>
        <w:t xml:space="preserve"> </w:t>
      </w:r>
      <w:r>
        <w:tab/>
        <w:t xml:space="preserve">NER, cl. 6.8.1(c)(3)(i). </w:t>
      </w:r>
    </w:p>
  </w:footnote>
  <w:footnote w:id="15">
    <w:p w:rsidR="00C40018" w:rsidRDefault="00C40018" w:rsidP="00856015">
      <w:pPr>
        <w:pStyle w:val="FootnoteText"/>
      </w:pPr>
      <w:r>
        <w:rPr>
          <w:rStyle w:val="FootnoteReference"/>
        </w:rPr>
        <w:footnoteRef/>
      </w:r>
      <w:r>
        <w:t xml:space="preserve"> </w:t>
      </w:r>
      <w:r>
        <w:tab/>
        <w:t xml:space="preserve">NER, cl. 6.8.1(b)(2)(ii). </w:t>
      </w:r>
    </w:p>
  </w:footnote>
  <w:footnote w:id="16">
    <w:p w:rsidR="00C40018" w:rsidRDefault="00C40018">
      <w:pPr>
        <w:pStyle w:val="FootnoteText"/>
      </w:pPr>
      <w:r>
        <w:rPr>
          <w:rStyle w:val="FootnoteReference"/>
        </w:rPr>
        <w:footnoteRef/>
      </w:r>
      <w:r>
        <w:t xml:space="preserve"> </w:t>
      </w:r>
      <w:r>
        <w:tab/>
        <w:t>NER, cl. 6.2.5.</w:t>
      </w:r>
    </w:p>
  </w:footnote>
  <w:footnote w:id="17">
    <w:p w:rsidR="00C40018" w:rsidRDefault="00C40018">
      <w:pPr>
        <w:pStyle w:val="FootnoteText"/>
      </w:pPr>
      <w:r>
        <w:rPr>
          <w:rStyle w:val="FootnoteReference"/>
        </w:rPr>
        <w:footnoteRef/>
      </w:r>
      <w:r>
        <w:t xml:space="preserve"> </w:t>
      </w:r>
      <w:r>
        <w:tab/>
      </w:r>
      <w:r w:rsidRPr="0073699A">
        <w:t xml:space="preserve">In the New South Wales and Australian Capital Territory F&amp;A processes, we applied three additional criteria in our </w:t>
      </w:r>
      <w:r>
        <w:t xml:space="preserve">form of </w:t>
      </w:r>
      <w:r w:rsidRPr="0073699A">
        <w:t>control mechanism assessment. For consistency, we consider it prudent to apply the same criteria to</w:t>
      </w:r>
      <w:r>
        <w:t xml:space="preserve"> Queensland and South Australia. See </w:t>
      </w:r>
      <w:r w:rsidRPr="00E556E4">
        <w:t xml:space="preserve">AER, </w:t>
      </w:r>
      <w:r w:rsidRPr="00E574DE">
        <w:rPr>
          <w:rStyle w:val="AERtextitalic"/>
        </w:rPr>
        <w:t>Stage 1 Framework and approach paper Ausgrid, Endeavour Energy and Essential Energy 2014–2019</w:t>
      </w:r>
      <w:r w:rsidRPr="00E556E4">
        <w:t>, March 2013, p. 43.</w:t>
      </w:r>
    </w:p>
  </w:footnote>
  <w:footnote w:id="18">
    <w:p w:rsidR="00C40018" w:rsidRDefault="00C40018">
      <w:pPr>
        <w:pStyle w:val="FootnoteText"/>
      </w:pPr>
      <w:r>
        <w:rPr>
          <w:rStyle w:val="FootnoteReference"/>
        </w:rPr>
        <w:footnoteRef/>
      </w:r>
      <w:r>
        <w:t xml:space="preserve"> </w:t>
      </w:r>
      <w:r>
        <w:tab/>
        <w:t>NER, cll. 6.8.1(b)(1)(i) and 6.12.3(c) and (c1).</w:t>
      </w:r>
    </w:p>
  </w:footnote>
  <w:footnote w:id="19">
    <w:p w:rsidR="00C40018" w:rsidRDefault="00C40018">
      <w:pPr>
        <w:pStyle w:val="FootnoteText"/>
      </w:pPr>
      <w:r>
        <w:rPr>
          <w:rStyle w:val="FootnoteReference"/>
        </w:rPr>
        <w:footnoteRef/>
      </w:r>
      <w:r>
        <w:t xml:space="preserve"> </w:t>
      </w:r>
      <w:r>
        <w:tab/>
        <w:t xml:space="preserve">Origin, </w:t>
      </w:r>
      <w:r w:rsidRPr="00751ACB">
        <w:rPr>
          <w:rStyle w:val="AERtextitalic"/>
        </w:rPr>
        <w:t>Queensland and South Australia Framework and approach for the period 2015-2020</w:t>
      </w:r>
      <w:r>
        <w:t>, 31 July 2013.</w:t>
      </w:r>
    </w:p>
  </w:footnote>
  <w:footnote w:id="20">
    <w:p w:rsidR="00C40018" w:rsidRDefault="00C40018">
      <w:pPr>
        <w:pStyle w:val="FootnoteText"/>
      </w:pPr>
      <w:r>
        <w:rPr>
          <w:rStyle w:val="FootnoteReference"/>
        </w:rPr>
        <w:footnoteRef/>
      </w:r>
      <w:r>
        <w:t xml:space="preserve"> </w:t>
      </w:r>
      <w:r>
        <w:tab/>
        <w:t xml:space="preserve">Queensland Government, </w:t>
      </w:r>
      <w:r w:rsidRPr="00751ACB">
        <w:rPr>
          <w:rStyle w:val="AERtextitalic"/>
        </w:rPr>
        <w:t>Response to the Interdepartmental Committee on Electricity Sector Reform</w:t>
      </w:r>
      <w:r>
        <w:t>, 2013.</w:t>
      </w:r>
    </w:p>
  </w:footnote>
  <w:footnote w:id="21">
    <w:p w:rsidR="00C40018" w:rsidRDefault="00C40018">
      <w:pPr>
        <w:pStyle w:val="FootnoteText"/>
      </w:pPr>
      <w:r>
        <w:rPr>
          <w:rStyle w:val="FootnoteReference"/>
        </w:rPr>
        <w:footnoteRef/>
      </w:r>
      <w:r>
        <w:t xml:space="preserve"> </w:t>
      </w:r>
      <w:r>
        <w:tab/>
        <w:t xml:space="preserve">Energex, </w:t>
      </w:r>
      <w:r w:rsidRPr="00751ACB">
        <w:rPr>
          <w:rStyle w:val="AERtextitalic"/>
        </w:rPr>
        <w:t>Queensland Electricity Distribution Businesses Framework and approach</w:t>
      </w:r>
      <w:r>
        <w:t xml:space="preserve">, 24 July 2013; AER, </w:t>
      </w:r>
      <w:r w:rsidRPr="00751ACB">
        <w:rPr>
          <w:rStyle w:val="AERtextitalic"/>
        </w:rPr>
        <w:t>Draft Rate of Return Guidelines</w:t>
      </w:r>
      <w:r>
        <w:t xml:space="preserve">, August 2013. </w:t>
      </w:r>
    </w:p>
  </w:footnote>
  <w:footnote w:id="22">
    <w:p w:rsidR="00C40018" w:rsidRDefault="00C40018">
      <w:pPr>
        <w:pStyle w:val="FootnoteText"/>
      </w:pPr>
      <w:r>
        <w:rPr>
          <w:rStyle w:val="FootnoteReference"/>
        </w:rPr>
        <w:footnoteRef/>
      </w:r>
      <w:r>
        <w:t xml:space="preserve"> </w:t>
      </w:r>
      <w:r>
        <w:tab/>
        <w:t xml:space="preserve">SA Power Networks, </w:t>
      </w:r>
      <w:r w:rsidRPr="00EF61A9">
        <w:rPr>
          <w:rStyle w:val="AERtextitalic"/>
        </w:rPr>
        <w:t>New</w:t>
      </w:r>
      <w:r>
        <w:rPr>
          <w:rStyle w:val="AERtextitalic"/>
        </w:rPr>
        <w:t xml:space="preserve"> f</w:t>
      </w:r>
      <w:r w:rsidRPr="00EF61A9">
        <w:rPr>
          <w:rStyle w:val="AERtextitalic"/>
        </w:rPr>
        <w:t>ramework and approach paper for 2015–2020 regulatory control period</w:t>
      </w:r>
      <w:r>
        <w:t>, 19 July 2013.</w:t>
      </w:r>
    </w:p>
  </w:footnote>
  <w:footnote w:id="23">
    <w:p w:rsidR="00C40018" w:rsidRDefault="00C40018">
      <w:pPr>
        <w:pStyle w:val="FootnoteText"/>
      </w:pPr>
      <w:r>
        <w:rPr>
          <w:rStyle w:val="FootnoteReference"/>
        </w:rPr>
        <w:footnoteRef/>
      </w:r>
      <w:r>
        <w:t xml:space="preserve"> </w:t>
      </w:r>
      <w:r>
        <w:tab/>
        <w:t xml:space="preserve">NER, cl. 9.32.1(b). </w:t>
      </w:r>
    </w:p>
  </w:footnote>
  <w:footnote w:id="24">
    <w:p w:rsidR="00C40018" w:rsidRDefault="00C40018">
      <w:pPr>
        <w:pStyle w:val="FootnoteText"/>
      </w:pPr>
      <w:r>
        <w:rPr>
          <w:rStyle w:val="FootnoteReference"/>
        </w:rPr>
        <w:footnoteRef/>
      </w:r>
      <w:r>
        <w:t xml:space="preserve"> </w:t>
      </w:r>
      <w:r>
        <w:tab/>
        <w:t>SA Power Networks, email to the AER, 2 September 2013.</w:t>
      </w:r>
    </w:p>
  </w:footnote>
  <w:footnote w:id="25">
    <w:p w:rsidR="00C40018" w:rsidRDefault="00C40018">
      <w:pPr>
        <w:pStyle w:val="FootnoteText"/>
      </w:pPr>
      <w:r>
        <w:rPr>
          <w:rStyle w:val="FootnoteReference"/>
        </w:rPr>
        <w:footnoteRef/>
      </w:r>
      <w:r>
        <w:t xml:space="preserve"> </w:t>
      </w:r>
      <w:r>
        <w:tab/>
        <w:t xml:space="preserve">AER, </w:t>
      </w:r>
      <w:r w:rsidRPr="00C7189E">
        <w:rPr>
          <w:rStyle w:val="AERtextitalic"/>
        </w:rPr>
        <w:t>Electricity distribution network service providers, Service target performance incentive schemes</w:t>
      </w:r>
      <w:r>
        <w:t xml:space="preserve">, June 2008, p. 2; AER, </w:t>
      </w:r>
      <w:r w:rsidRPr="00C7189E">
        <w:rPr>
          <w:rStyle w:val="AERtextitalic"/>
        </w:rPr>
        <w:t>Better Regulation, Draft expenditure incentives</w:t>
      </w:r>
      <w:r>
        <w:t xml:space="preserve">, 9 August 2013. </w:t>
      </w:r>
    </w:p>
  </w:footnote>
  <w:footnote w:id="26">
    <w:p w:rsidR="00C40018" w:rsidRDefault="00C40018" w:rsidP="00C35450">
      <w:pPr>
        <w:pStyle w:val="FootnoteText"/>
      </w:pPr>
      <w:r>
        <w:rPr>
          <w:rStyle w:val="FootnoteReference"/>
        </w:rPr>
        <w:footnoteRef/>
      </w:r>
      <w:r>
        <w:t xml:space="preserve"> </w:t>
      </w:r>
      <w:r>
        <w:tab/>
        <w:t>NER, cll. 6.8.1(b)(2)(iii)-(viii).</w:t>
      </w:r>
    </w:p>
  </w:footnote>
  <w:footnote w:id="27">
    <w:p w:rsidR="00C40018" w:rsidRDefault="00C40018">
      <w:pPr>
        <w:pStyle w:val="FootnoteText"/>
      </w:pPr>
      <w:r>
        <w:rPr>
          <w:rStyle w:val="FootnoteReference"/>
        </w:rPr>
        <w:footnoteRef/>
      </w:r>
      <w:r>
        <w:t xml:space="preserve"> </w:t>
      </w:r>
      <w:r>
        <w:tab/>
        <w:t xml:space="preserve">Origin, </w:t>
      </w:r>
      <w:r w:rsidRPr="00C7189E">
        <w:rPr>
          <w:rStyle w:val="AERtextitalic"/>
        </w:rPr>
        <w:t>Queensland and South Australia framework and approach for the period 2015–2020</w:t>
      </w:r>
      <w:r>
        <w:t xml:space="preserve">, 31 July 2013; SA Power Networks, </w:t>
      </w:r>
      <w:r w:rsidRPr="00C7189E">
        <w:rPr>
          <w:rStyle w:val="AERtextitalic"/>
        </w:rPr>
        <w:t>New framework and approach paper for 2015</w:t>
      </w:r>
      <w:r w:rsidRPr="00C7189E">
        <w:rPr>
          <w:rStyle w:val="AERtextitalic"/>
          <w:rFonts w:hint="eastAsia"/>
        </w:rPr>
        <w:t>–</w:t>
      </w:r>
      <w:r w:rsidRPr="00C7189E">
        <w:rPr>
          <w:rStyle w:val="AERtextitalic"/>
        </w:rPr>
        <w:t>2020 regulatory control period</w:t>
      </w:r>
      <w:r>
        <w:t>, 19 July 2013.</w:t>
      </w:r>
    </w:p>
  </w:footnote>
  <w:footnote w:id="28">
    <w:p w:rsidR="00C40018" w:rsidRDefault="00C40018">
      <w:pPr>
        <w:pStyle w:val="FootnoteText"/>
      </w:pPr>
      <w:r>
        <w:rPr>
          <w:rStyle w:val="FootnoteReference"/>
        </w:rPr>
        <w:footnoteRef/>
      </w:r>
      <w:r>
        <w:t xml:space="preserve"> </w:t>
      </w:r>
      <w:r>
        <w:tab/>
        <w:t xml:space="preserve">AER, </w:t>
      </w:r>
      <w:r w:rsidRPr="00B70702">
        <w:rPr>
          <w:rStyle w:val="AERtextitalic"/>
        </w:rPr>
        <w:t>Final F&amp;A paper, Application of schemes, Energex and Ergon Energy 2010–15</w:t>
      </w:r>
      <w:r>
        <w:t>, November 2008, pp. 47-58.</w:t>
      </w:r>
    </w:p>
  </w:footnote>
  <w:footnote w:id="29">
    <w:p w:rsidR="00C40018" w:rsidRDefault="00C40018">
      <w:pPr>
        <w:pStyle w:val="FootnoteText"/>
      </w:pPr>
      <w:r>
        <w:rPr>
          <w:rStyle w:val="FootnoteReference"/>
        </w:rPr>
        <w:footnoteRef/>
      </w:r>
      <w:r>
        <w:t xml:space="preserve"> </w:t>
      </w:r>
      <w:r>
        <w:tab/>
        <w:t xml:space="preserve">Ergon Energy, </w:t>
      </w:r>
      <w:r w:rsidRPr="00C7189E">
        <w:rPr>
          <w:rStyle w:val="AERtextitalic"/>
        </w:rPr>
        <w:t>Submission on whether it is necessary or desirable to amend or replace the current framework and approach</w:t>
      </w:r>
      <w:r>
        <w:t>, 31 July 2013.</w:t>
      </w:r>
    </w:p>
  </w:footnote>
  <w:footnote w:id="30">
    <w:p w:rsidR="00C40018" w:rsidRDefault="00C40018">
      <w:pPr>
        <w:pStyle w:val="FootnoteText"/>
      </w:pPr>
      <w:r>
        <w:rPr>
          <w:rStyle w:val="FootnoteReference"/>
        </w:rPr>
        <w:footnoteRef/>
      </w:r>
      <w:r>
        <w:t xml:space="preserve"> </w:t>
      </w:r>
      <w:r>
        <w:tab/>
        <w:t xml:space="preserve">This includes cost pass through for input cost increases, cost pass through materiality threshold, cost pass through amount, information requirements and process. </w:t>
      </w:r>
    </w:p>
  </w:footnote>
  <w:footnote w:id="31">
    <w:p w:rsidR="00C40018" w:rsidRDefault="00C40018">
      <w:pPr>
        <w:pStyle w:val="FootnoteText"/>
      </w:pPr>
      <w:r>
        <w:rPr>
          <w:rStyle w:val="FootnoteReference"/>
        </w:rPr>
        <w:footnoteRef/>
      </w:r>
      <w:r>
        <w:t xml:space="preserve"> </w:t>
      </w:r>
      <w:r>
        <w:tab/>
        <w:t xml:space="preserve">NER, cl. 6.8.1(c)(3)(i). </w:t>
      </w:r>
    </w:p>
  </w:footnote>
  <w:footnote w:id="32">
    <w:p w:rsidR="00C40018" w:rsidRDefault="00C40018">
      <w:pPr>
        <w:pStyle w:val="FootnoteText"/>
      </w:pPr>
      <w:r>
        <w:rPr>
          <w:rStyle w:val="FootnoteReference"/>
        </w:rPr>
        <w:footnoteRef/>
      </w:r>
      <w:r>
        <w:t xml:space="preserve"> </w:t>
      </w:r>
      <w:r>
        <w:tab/>
        <w:t xml:space="preserve">Energex, </w:t>
      </w:r>
      <w:r w:rsidRPr="00751ACB">
        <w:rPr>
          <w:rStyle w:val="AERtextitalic"/>
        </w:rPr>
        <w:t>Queensland Electricity Distribution Businesses Framework and approach</w:t>
      </w:r>
      <w:r>
        <w:t xml:space="preserve">, 24 July 2013; AER, </w:t>
      </w:r>
      <w:r w:rsidRPr="00751ACB">
        <w:rPr>
          <w:rStyle w:val="AERtextitalic"/>
        </w:rPr>
        <w:t>Draft Rate of Return Guidelines</w:t>
      </w:r>
      <w:r>
        <w:t xml:space="preserve">, August 2013; Ergon Energy, </w:t>
      </w:r>
      <w:r w:rsidRPr="00EF61A9">
        <w:rPr>
          <w:rStyle w:val="AERtextitalic"/>
        </w:rPr>
        <w:t>Submission on whether it is necessary or desirable to amend or replace the current framework and approach</w:t>
      </w:r>
      <w:r>
        <w:t xml:space="preserve">, 31 July 2013. </w:t>
      </w:r>
    </w:p>
  </w:footnote>
  <w:footnote w:id="33">
    <w:p w:rsidR="00C40018" w:rsidRDefault="00C40018">
      <w:pPr>
        <w:pStyle w:val="FootnoteText"/>
      </w:pPr>
      <w:r>
        <w:rPr>
          <w:rStyle w:val="FootnoteReference"/>
        </w:rPr>
        <w:footnoteRef/>
      </w:r>
      <w:r>
        <w:t xml:space="preserve"> </w:t>
      </w:r>
      <w:r>
        <w:tab/>
        <w:t xml:space="preserve">Ergon Energy, </w:t>
      </w:r>
      <w:r w:rsidRPr="00EF61A9">
        <w:rPr>
          <w:rStyle w:val="AERtextitalic"/>
        </w:rPr>
        <w:t>Submission on whether it is necessary or desirable to amend or replace the current framework and approach</w:t>
      </w:r>
      <w:r>
        <w:t>, 31 July 2013.</w:t>
      </w:r>
    </w:p>
  </w:footnote>
  <w:footnote w:id="34">
    <w:p w:rsidR="00C40018" w:rsidRDefault="00C40018">
      <w:pPr>
        <w:pStyle w:val="FootnoteText"/>
      </w:pPr>
      <w:r>
        <w:rPr>
          <w:rStyle w:val="FootnoteReference"/>
        </w:rPr>
        <w:footnoteRef/>
      </w:r>
      <w:r>
        <w:t xml:space="preserve"> </w:t>
      </w:r>
      <w:r>
        <w:tab/>
        <w:t xml:space="preserve">AER, </w:t>
      </w:r>
      <w:r w:rsidRPr="00C722E1">
        <w:rPr>
          <w:rStyle w:val="AERtextitalic"/>
        </w:rPr>
        <w:t>Final framework and approach paper, application of schemes, Energex and Ergon Energy 2010–15, November 2008</w:t>
      </w:r>
      <w:r>
        <w:t>, pp. 47-58.</w:t>
      </w:r>
    </w:p>
  </w:footnote>
  <w:footnote w:id="35">
    <w:p w:rsidR="00C40018" w:rsidRDefault="00C40018" w:rsidP="00A363F7">
      <w:pPr>
        <w:pStyle w:val="FootnoteText"/>
      </w:pPr>
      <w:r>
        <w:rPr>
          <w:rStyle w:val="FootnoteReference"/>
        </w:rPr>
        <w:footnoteRef/>
      </w:r>
      <w:r>
        <w:t xml:space="preserve"> The State/s each submission relates to.</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83E63"/>
    <w:multiLevelType w:val="multilevel"/>
    <w:tmpl w:val="950A1C52"/>
    <w:numStyleLink w:val="AERHeadings"/>
  </w:abstractNum>
  <w:abstractNum w:abstractNumId="1">
    <w:nsid w:val="031C7FA6"/>
    <w:multiLevelType w:val="hybridMultilevel"/>
    <w:tmpl w:val="1A7E9E04"/>
    <w:lvl w:ilvl="0" w:tplc="A356B254">
      <w:start w:val="1"/>
      <w:numFmt w:val="bullet"/>
      <w:pStyle w:val="AERbulletlistsecondstyle"/>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
    <w:nsid w:val="042A7C0D"/>
    <w:multiLevelType w:val="hybridMultilevel"/>
    <w:tmpl w:val="AE00C4A8"/>
    <w:lvl w:ilvl="0" w:tplc="816A40CE">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B102140"/>
    <w:multiLevelType w:val="multilevel"/>
    <w:tmpl w:val="B478DFE6"/>
    <w:numStyleLink w:val="AERnumberedlist"/>
  </w:abstractNum>
  <w:abstractNum w:abstractNumId="4">
    <w:nsid w:val="0D0D5C79"/>
    <w:multiLevelType w:val="multilevel"/>
    <w:tmpl w:val="ABDA5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517D24"/>
    <w:multiLevelType w:val="hybridMultilevel"/>
    <w:tmpl w:val="BD7E2B36"/>
    <w:lvl w:ilvl="0" w:tplc="23B41A36">
      <w:start w:val="1"/>
      <w:numFmt w:val="lowerRoman"/>
      <w:lvlText w:val="%1."/>
      <w:lvlJc w:val="left"/>
      <w:pPr>
        <w:tabs>
          <w:tab w:val="num" w:pos="1440"/>
        </w:tabs>
        <w:ind w:left="1440" w:hanging="360"/>
      </w:pPr>
      <w:rPr>
        <w:rFonts w:hint="default"/>
        <w:b w:val="0"/>
        <w:i w:val="0"/>
        <w:sz w:val="22"/>
      </w:rPr>
    </w:lvl>
    <w:lvl w:ilvl="1" w:tplc="0C090003" w:tentative="1">
      <w:start w:val="1"/>
      <w:numFmt w:val="bullet"/>
      <w:lvlText w:val="o"/>
      <w:lvlJc w:val="left"/>
      <w:pPr>
        <w:tabs>
          <w:tab w:val="num" w:pos="1806"/>
        </w:tabs>
        <w:ind w:left="1806" w:hanging="360"/>
      </w:pPr>
      <w:rPr>
        <w:rFonts w:ascii="Courier New" w:hAnsi="Courier New" w:cs="Courier New" w:hint="default"/>
      </w:rPr>
    </w:lvl>
    <w:lvl w:ilvl="2" w:tplc="0C090005" w:tentative="1">
      <w:start w:val="1"/>
      <w:numFmt w:val="bullet"/>
      <w:lvlText w:val=""/>
      <w:lvlJc w:val="left"/>
      <w:pPr>
        <w:tabs>
          <w:tab w:val="num" w:pos="2526"/>
        </w:tabs>
        <w:ind w:left="2526" w:hanging="360"/>
      </w:pPr>
      <w:rPr>
        <w:rFonts w:ascii="Wingdings" w:hAnsi="Wingdings" w:hint="default"/>
      </w:rPr>
    </w:lvl>
    <w:lvl w:ilvl="3" w:tplc="0C090001" w:tentative="1">
      <w:start w:val="1"/>
      <w:numFmt w:val="bullet"/>
      <w:lvlText w:val=""/>
      <w:lvlJc w:val="left"/>
      <w:pPr>
        <w:tabs>
          <w:tab w:val="num" w:pos="3246"/>
        </w:tabs>
        <w:ind w:left="3246" w:hanging="360"/>
      </w:pPr>
      <w:rPr>
        <w:rFonts w:ascii="Symbol" w:hAnsi="Symbol" w:hint="default"/>
      </w:rPr>
    </w:lvl>
    <w:lvl w:ilvl="4" w:tplc="0C090003" w:tentative="1">
      <w:start w:val="1"/>
      <w:numFmt w:val="bullet"/>
      <w:lvlText w:val="o"/>
      <w:lvlJc w:val="left"/>
      <w:pPr>
        <w:tabs>
          <w:tab w:val="num" w:pos="3966"/>
        </w:tabs>
        <w:ind w:left="3966" w:hanging="360"/>
      </w:pPr>
      <w:rPr>
        <w:rFonts w:ascii="Courier New" w:hAnsi="Courier New" w:cs="Courier New" w:hint="default"/>
      </w:rPr>
    </w:lvl>
    <w:lvl w:ilvl="5" w:tplc="0C090005" w:tentative="1">
      <w:start w:val="1"/>
      <w:numFmt w:val="bullet"/>
      <w:lvlText w:val=""/>
      <w:lvlJc w:val="left"/>
      <w:pPr>
        <w:tabs>
          <w:tab w:val="num" w:pos="4686"/>
        </w:tabs>
        <w:ind w:left="4686" w:hanging="360"/>
      </w:pPr>
      <w:rPr>
        <w:rFonts w:ascii="Wingdings" w:hAnsi="Wingdings" w:hint="default"/>
      </w:rPr>
    </w:lvl>
    <w:lvl w:ilvl="6" w:tplc="0C090001" w:tentative="1">
      <w:start w:val="1"/>
      <w:numFmt w:val="bullet"/>
      <w:lvlText w:val=""/>
      <w:lvlJc w:val="left"/>
      <w:pPr>
        <w:tabs>
          <w:tab w:val="num" w:pos="5406"/>
        </w:tabs>
        <w:ind w:left="5406" w:hanging="360"/>
      </w:pPr>
      <w:rPr>
        <w:rFonts w:ascii="Symbol" w:hAnsi="Symbol" w:hint="default"/>
      </w:rPr>
    </w:lvl>
    <w:lvl w:ilvl="7" w:tplc="0C090003" w:tentative="1">
      <w:start w:val="1"/>
      <w:numFmt w:val="bullet"/>
      <w:lvlText w:val="o"/>
      <w:lvlJc w:val="left"/>
      <w:pPr>
        <w:tabs>
          <w:tab w:val="num" w:pos="6126"/>
        </w:tabs>
        <w:ind w:left="6126" w:hanging="360"/>
      </w:pPr>
      <w:rPr>
        <w:rFonts w:ascii="Courier New" w:hAnsi="Courier New" w:cs="Courier New" w:hint="default"/>
      </w:rPr>
    </w:lvl>
    <w:lvl w:ilvl="8" w:tplc="0C090005" w:tentative="1">
      <w:start w:val="1"/>
      <w:numFmt w:val="bullet"/>
      <w:lvlText w:val=""/>
      <w:lvlJc w:val="left"/>
      <w:pPr>
        <w:tabs>
          <w:tab w:val="num" w:pos="6846"/>
        </w:tabs>
        <w:ind w:left="6846" w:hanging="360"/>
      </w:pPr>
      <w:rPr>
        <w:rFonts w:ascii="Wingdings" w:hAnsi="Wingdings" w:hint="default"/>
      </w:rPr>
    </w:lvl>
  </w:abstractNum>
  <w:abstractNum w:abstractNumId="6">
    <w:nsid w:val="0DF10734"/>
    <w:multiLevelType w:val="hybridMultilevel"/>
    <w:tmpl w:val="31062BCE"/>
    <w:lvl w:ilvl="0" w:tplc="109A33EC">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3597CF9"/>
    <w:multiLevelType w:val="multilevel"/>
    <w:tmpl w:val="B478DFE6"/>
    <w:numStyleLink w:val="AERnumberedlist"/>
  </w:abstractNum>
  <w:abstractNum w:abstractNumId="8">
    <w:nsid w:val="176B27A6"/>
    <w:multiLevelType w:val="multilevel"/>
    <w:tmpl w:val="950A1C52"/>
    <w:numStyleLink w:val="AERHeadings"/>
  </w:abstractNum>
  <w:abstractNum w:abstractNumId="9">
    <w:nsid w:val="1972601F"/>
    <w:multiLevelType w:val="multilevel"/>
    <w:tmpl w:val="950A1C52"/>
    <w:numStyleLink w:val="AERHeadings"/>
  </w:abstractNum>
  <w:abstractNum w:abstractNumId="10">
    <w:nsid w:val="1DFA331B"/>
    <w:multiLevelType w:val="multilevel"/>
    <w:tmpl w:val="B478DFE6"/>
    <w:numStyleLink w:val="AERnumberedlist"/>
  </w:abstractNum>
  <w:abstractNum w:abstractNumId="11">
    <w:nsid w:val="233428C7"/>
    <w:multiLevelType w:val="multilevel"/>
    <w:tmpl w:val="B478DFE6"/>
    <w:numStyleLink w:val="AERnumberedlist"/>
  </w:abstractNum>
  <w:abstractNum w:abstractNumId="12">
    <w:nsid w:val="2776270C"/>
    <w:multiLevelType w:val="multilevel"/>
    <w:tmpl w:val="B478DFE6"/>
    <w:numStyleLink w:val="AERnumberedlist"/>
  </w:abstractNum>
  <w:abstractNum w:abstractNumId="13">
    <w:nsid w:val="281977C0"/>
    <w:multiLevelType w:val="multilevel"/>
    <w:tmpl w:val="950A1C52"/>
    <w:numStyleLink w:val="AERHeadings"/>
  </w:abstractNum>
  <w:abstractNum w:abstractNumId="14">
    <w:nsid w:val="295C7239"/>
    <w:multiLevelType w:val="multilevel"/>
    <w:tmpl w:val="950A1C52"/>
    <w:numStyleLink w:val="AERHeadings"/>
  </w:abstractNum>
  <w:abstractNum w:abstractNumId="15">
    <w:nsid w:val="2C2D6B9E"/>
    <w:multiLevelType w:val="multilevel"/>
    <w:tmpl w:val="950A1C52"/>
    <w:numStyleLink w:val="AERHeadings"/>
  </w:abstractNum>
  <w:abstractNum w:abstractNumId="16">
    <w:nsid w:val="2DB12A3A"/>
    <w:multiLevelType w:val="multilevel"/>
    <w:tmpl w:val="950A1C52"/>
    <w:numStyleLink w:val="AERHeadings"/>
  </w:abstractNum>
  <w:abstractNum w:abstractNumId="17">
    <w:nsid w:val="2FB612CC"/>
    <w:multiLevelType w:val="multilevel"/>
    <w:tmpl w:val="950A1C52"/>
    <w:styleLink w:val="AERHeadings"/>
    <w:lvl w:ilvl="0">
      <w:start w:val="1"/>
      <w:numFmt w:val="none"/>
      <w:pStyle w:val="UnnumberedHeading"/>
      <w:lvlText w:val="%1"/>
      <w:lvlJc w:val="left"/>
      <w:pPr>
        <w:tabs>
          <w:tab w:val="num" w:pos="0"/>
        </w:tabs>
        <w:ind w:left="0" w:firstLine="0"/>
      </w:pPr>
      <w:rPr>
        <w:rFonts w:hint="default"/>
      </w:rPr>
    </w:lvl>
    <w:lvl w:ilvl="1">
      <w:start w:val="1"/>
      <w:numFmt w:val="decimal"/>
      <w:pStyle w:val="Heading1"/>
      <w:lvlText w:val="%1%2"/>
      <w:lvlJc w:val="left"/>
      <w:pPr>
        <w:tabs>
          <w:tab w:val="num" w:pos="0"/>
        </w:tabs>
        <w:ind w:left="0" w:hanging="851"/>
      </w:pPr>
      <w:rPr>
        <w:rFonts w:hint="default"/>
      </w:rPr>
    </w:lvl>
    <w:lvl w:ilvl="2">
      <w:start w:val="1"/>
      <w:numFmt w:val="decimal"/>
      <w:pStyle w:val="Heading2"/>
      <w:lvlText w:val="%1%2.%3"/>
      <w:lvlJc w:val="left"/>
      <w:pPr>
        <w:tabs>
          <w:tab w:val="num" w:pos="0"/>
        </w:tabs>
        <w:ind w:left="0" w:hanging="851"/>
      </w:pPr>
      <w:rPr>
        <w:rFonts w:hint="default"/>
      </w:rPr>
    </w:lvl>
    <w:lvl w:ilvl="3">
      <w:start w:val="1"/>
      <w:numFmt w:val="decimal"/>
      <w:pStyle w:val="Heading3"/>
      <w:lvlText w:val="%2.%3.%4"/>
      <w:lvlJc w:val="left"/>
      <w:pPr>
        <w:tabs>
          <w:tab w:val="num" w:pos="0"/>
        </w:tabs>
        <w:ind w:left="0" w:hanging="851"/>
      </w:pPr>
      <w:rPr>
        <w:rFonts w:hint="default"/>
      </w:rPr>
    </w:lvl>
    <w:lvl w:ilvl="4">
      <w:start w:val="1"/>
      <w:numFmt w:val="upperLetter"/>
      <w:lvlRestart w:val="1"/>
      <w:pStyle w:val="Heading7"/>
      <w:lvlText w:val="%5"/>
      <w:lvlJc w:val="left"/>
      <w:pPr>
        <w:tabs>
          <w:tab w:val="num" w:pos="0"/>
        </w:tabs>
        <w:ind w:left="0" w:hanging="851"/>
      </w:pPr>
      <w:rPr>
        <w:rFonts w:hint="default"/>
      </w:rPr>
    </w:lvl>
    <w:lvl w:ilvl="5">
      <w:start w:val="1"/>
      <w:numFmt w:val="decimal"/>
      <w:pStyle w:val="Heading8"/>
      <w:lvlText w:val="%5.%6"/>
      <w:lvlJc w:val="left"/>
      <w:pPr>
        <w:tabs>
          <w:tab w:val="num" w:pos="0"/>
        </w:tabs>
        <w:ind w:left="0" w:hanging="851"/>
      </w:pPr>
      <w:rPr>
        <w:rFonts w:hint="default"/>
      </w:rPr>
    </w:lvl>
    <w:lvl w:ilvl="6">
      <w:start w:val="1"/>
      <w:numFmt w:val="decimal"/>
      <w:pStyle w:val="Heading9"/>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18">
    <w:nsid w:val="301B31FF"/>
    <w:multiLevelType w:val="multilevel"/>
    <w:tmpl w:val="A5AEB1CE"/>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9">
    <w:nsid w:val="31AA058E"/>
    <w:multiLevelType w:val="hybridMultilevel"/>
    <w:tmpl w:val="3C70101E"/>
    <w:lvl w:ilvl="0" w:tplc="B336B1FC">
      <w:start w:val="1"/>
      <w:numFmt w:val="bullet"/>
      <w:pStyle w:val="AERbulletlistthirdstyle"/>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0">
    <w:nsid w:val="333E0E05"/>
    <w:multiLevelType w:val="multilevel"/>
    <w:tmpl w:val="950A1C52"/>
    <w:numStyleLink w:val="AERHeadings"/>
  </w:abstractNum>
  <w:abstractNum w:abstractNumId="21">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3AF336BC"/>
    <w:multiLevelType w:val="hybridMultilevel"/>
    <w:tmpl w:val="955A02CC"/>
    <w:lvl w:ilvl="0" w:tplc="C90C7928">
      <w:start w:val="1"/>
      <w:numFmt w:val="bullet"/>
      <w:pStyle w:val="AERbulletlistfirststyle"/>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C721288"/>
    <w:multiLevelType w:val="multilevel"/>
    <w:tmpl w:val="950A1C52"/>
    <w:numStyleLink w:val="AERHeadings"/>
  </w:abstractNum>
  <w:abstractNum w:abstractNumId="24">
    <w:nsid w:val="443F74CB"/>
    <w:multiLevelType w:val="hybridMultilevel"/>
    <w:tmpl w:val="5FB40038"/>
    <w:lvl w:ilvl="0" w:tplc="921A7DDA">
      <w:start w:val="1"/>
      <w:numFmt w:val="decimal"/>
      <w:lvlText w:val="%1."/>
      <w:lvlJc w:val="left"/>
      <w:pPr>
        <w:tabs>
          <w:tab w:val="num" w:pos="357"/>
        </w:tabs>
        <w:ind w:left="357" w:hanging="357"/>
      </w:pPr>
      <w:rPr>
        <w:rFonts w:ascii="Gautami" w:hAnsi="Gautami" w:hint="default"/>
        <w:b w:val="0"/>
        <w:i w:val="0"/>
        <w:sz w:val="22"/>
      </w:rPr>
    </w:lvl>
    <w:lvl w:ilvl="1" w:tplc="6A7A61AE">
      <w:start w:val="1"/>
      <w:numFmt w:val="bullet"/>
      <w:lvlText w:val=""/>
      <w:lvlJc w:val="left"/>
      <w:pPr>
        <w:tabs>
          <w:tab w:val="num" w:pos="4498"/>
        </w:tabs>
        <w:ind w:left="4498" w:hanging="358"/>
      </w:pPr>
      <w:rPr>
        <w:rFonts w:ascii="Wingdings" w:hAnsi="Wingdings" w:hint="default"/>
        <w:b w:val="0"/>
        <w:i w:val="0"/>
        <w:sz w:val="22"/>
      </w:rPr>
    </w:lvl>
    <w:lvl w:ilvl="2" w:tplc="0C090005" w:tentative="1">
      <w:start w:val="1"/>
      <w:numFmt w:val="lowerRoman"/>
      <w:lvlText w:val="%3."/>
      <w:lvlJc w:val="right"/>
      <w:pPr>
        <w:tabs>
          <w:tab w:val="num" w:pos="5220"/>
        </w:tabs>
        <w:ind w:left="5220" w:hanging="180"/>
      </w:pPr>
    </w:lvl>
    <w:lvl w:ilvl="3" w:tplc="0C090001" w:tentative="1">
      <w:start w:val="1"/>
      <w:numFmt w:val="decimal"/>
      <w:lvlText w:val="%4."/>
      <w:lvlJc w:val="left"/>
      <w:pPr>
        <w:tabs>
          <w:tab w:val="num" w:pos="5940"/>
        </w:tabs>
        <w:ind w:left="5940" w:hanging="360"/>
      </w:pPr>
    </w:lvl>
    <w:lvl w:ilvl="4" w:tplc="0C090003">
      <w:start w:val="1"/>
      <w:numFmt w:val="lowerLetter"/>
      <w:lvlText w:val="%5."/>
      <w:lvlJc w:val="left"/>
      <w:pPr>
        <w:tabs>
          <w:tab w:val="num" w:pos="6660"/>
        </w:tabs>
        <w:ind w:left="6660" w:hanging="360"/>
      </w:pPr>
    </w:lvl>
    <w:lvl w:ilvl="5" w:tplc="0C090005">
      <w:start w:val="1"/>
      <w:numFmt w:val="lowerRoman"/>
      <w:lvlText w:val="%6."/>
      <w:lvlJc w:val="right"/>
      <w:pPr>
        <w:tabs>
          <w:tab w:val="num" w:pos="7380"/>
        </w:tabs>
        <w:ind w:left="7380" w:hanging="180"/>
      </w:pPr>
    </w:lvl>
    <w:lvl w:ilvl="6" w:tplc="0C090001" w:tentative="1">
      <w:start w:val="1"/>
      <w:numFmt w:val="decimal"/>
      <w:lvlText w:val="%7."/>
      <w:lvlJc w:val="left"/>
      <w:pPr>
        <w:tabs>
          <w:tab w:val="num" w:pos="8100"/>
        </w:tabs>
        <w:ind w:left="8100" w:hanging="360"/>
      </w:pPr>
    </w:lvl>
    <w:lvl w:ilvl="7" w:tplc="0C090003" w:tentative="1">
      <w:start w:val="1"/>
      <w:numFmt w:val="lowerLetter"/>
      <w:lvlText w:val="%8."/>
      <w:lvlJc w:val="left"/>
      <w:pPr>
        <w:tabs>
          <w:tab w:val="num" w:pos="8820"/>
        </w:tabs>
        <w:ind w:left="8820" w:hanging="360"/>
      </w:pPr>
    </w:lvl>
    <w:lvl w:ilvl="8" w:tplc="0C090005" w:tentative="1">
      <w:start w:val="1"/>
      <w:numFmt w:val="lowerRoman"/>
      <w:lvlText w:val="%9."/>
      <w:lvlJc w:val="right"/>
      <w:pPr>
        <w:tabs>
          <w:tab w:val="num" w:pos="9540"/>
        </w:tabs>
        <w:ind w:left="9540" w:hanging="180"/>
      </w:pPr>
    </w:lvl>
  </w:abstractNum>
  <w:abstractNum w:abstractNumId="25">
    <w:nsid w:val="4F037C49"/>
    <w:multiLevelType w:val="multilevel"/>
    <w:tmpl w:val="B478DFE6"/>
    <w:numStyleLink w:val="AERnumberedlist"/>
  </w:abstractNum>
  <w:abstractNum w:abstractNumId="26">
    <w:nsid w:val="4F820549"/>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7">
    <w:nsid w:val="51487971"/>
    <w:multiLevelType w:val="multilevel"/>
    <w:tmpl w:val="B478DFE6"/>
    <w:styleLink w:val="AERnumberedlist"/>
    <w:lvl w:ilvl="0">
      <w:start w:val="1"/>
      <w:numFmt w:val="none"/>
      <w:pStyle w:val="AERbodytext"/>
      <w:lvlText w:val="%1"/>
      <w:lvlJc w:val="left"/>
      <w:pPr>
        <w:tabs>
          <w:tab w:val="num" w:pos="0"/>
        </w:tabs>
        <w:ind w:left="0" w:firstLine="0"/>
      </w:pPr>
      <w:rPr>
        <w:rFonts w:hint="default"/>
      </w:rPr>
    </w:lvl>
    <w:lvl w:ilvl="1">
      <w:start w:val="1"/>
      <w:numFmt w:val="decimal"/>
      <w:pStyle w:val="AERnumberedlistfirststyle"/>
      <w:lvlText w:val="%2."/>
      <w:lvlJc w:val="left"/>
      <w:pPr>
        <w:tabs>
          <w:tab w:val="num" w:pos="357"/>
        </w:tabs>
        <w:ind w:left="357" w:hanging="357"/>
      </w:pPr>
      <w:rPr>
        <w:rFonts w:hint="default"/>
      </w:rPr>
    </w:lvl>
    <w:lvl w:ilvl="2">
      <w:start w:val="1"/>
      <w:numFmt w:val="lowerLetter"/>
      <w:pStyle w:val="AERnumberedlistsecondstyle"/>
      <w:lvlText w:val="%3."/>
      <w:lvlJc w:val="left"/>
      <w:pPr>
        <w:tabs>
          <w:tab w:val="num" w:pos="720"/>
        </w:tabs>
        <w:ind w:left="720" w:hanging="363"/>
      </w:pPr>
      <w:rPr>
        <w:rFonts w:hint="default"/>
      </w:rPr>
    </w:lvl>
    <w:lvl w:ilvl="3">
      <w:start w:val="1"/>
      <w:numFmt w:val="lowerRoman"/>
      <w:pStyle w:val="AERnumberedlistthirdstyle"/>
      <w:lvlText w:val="%4."/>
      <w:lvlJc w:val="left"/>
      <w:pPr>
        <w:tabs>
          <w:tab w:val="num" w:pos="1077"/>
        </w:tabs>
        <w:ind w:left="1077" w:hanging="357"/>
      </w:pPr>
      <w:rPr>
        <w:rFonts w:hint="default"/>
      </w:rPr>
    </w:lvl>
    <w:lvl w:ilvl="4">
      <w:start w:val="1"/>
      <w:numFmt w:val="decimal"/>
      <w:lvlRestart w:val="1"/>
      <w:pStyle w:val="AERnumberedlist2first"/>
      <w:lvlText w:val="(%5)"/>
      <w:lvlJc w:val="left"/>
      <w:pPr>
        <w:tabs>
          <w:tab w:val="num" w:pos="357"/>
        </w:tabs>
        <w:ind w:left="357" w:hanging="357"/>
      </w:pPr>
      <w:rPr>
        <w:rFonts w:hint="default"/>
      </w:rPr>
    </w:lvl>
    <w:lvl w:ilvl="5">
      <w:start w:val="1"/>
      <w:numFmt w:val="lowerLetter"/>
      <w:lvlRestart w:val="2"/>
      <w:pStyle w:val="AERnumberedlist2second"/>
      <w:lvlText w:val="(%6)"/>
      <w:lvlJc w:val="left"/>
      <w:pPr>
        <w:tabs>
          <w:tab w:val="num" w:pos="720"/>
        </w:tabs>
        <w:ind w:left="720" w:hanging="363"/>
      </w:pPr>
      <w:rPr>
        <w:rFonts w:hint="default"/>
      </w:rPr>
    </w:lvl>
    <w:lvl w:ilvl="6">
      <w:start w:val="1"/>
      <w:numFmt w:val="lowerRoman"/>
      <w:lvlRestart w:val="3"/>
      <w:pStyle w:val="AERnumberedlist2third"/>
      <w:lvlText w:val="(%7)"/>
      <w:lvlJc w:val="left"/>
      <w:pPr>
        <w:tabs>
          <w:tab w:val="num" w:pos="1077"/>
        </w:tabs>
        <w:ind w:left="1077" w:hanging="357"/>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51807103"/>
    <w:multiLevelType w:val="multilevel"/>
    <w:tmpl w:val="B478DFE6"/>
    <w:numStyleLink w:val="AERnumberedlist"/>
  </w:abstractNum>
  <w:abstractNum w:abstractNumId="29">
    <w:nsid w:val="5D386EA7"/>
    <w:multiLevelType w:val="multilevel"/>
    <w:tmpl w:val="950A1C52"/>
    <w:numStyleLink w:val="AERHeadings"/>
  </w:abstractNum>
  <w:abstractNum w:abstractNumId="30">
    <w:nsid w:val="5DCC1B18"/>
    <w:multiLevelType w:val="multilevel"/>
    <w:tmpl w:val="B478DFE6"/>
    <w:numStyleLink w:val="AERnumberedlist"/>
  </w:abstractNum>
  <w:abstractNum w:abstractNumId="31">
    <w:nsid w:val="68247CF7"/>
    <w:multiLevelType w:val="multilevel"/>
    <w:tmpl w:val="950A1C52"/>
    <w:numStyleLink w:val="AERHeadings"/>
  </w:abstractNum>
  <w:abstractNum w:abstractNumId="32">
    <w:nsid w:val="69315B1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74595980"/>
    <w:multiLevelType w:val="multilevel"/>
    <w:tmpl w:val="950A1C52"/>
    <w:numStyleLink w:val="AERHeadings"/>
  </w:abstractNum>
  <w:abstractNum w:abstractNumId="34">
    <w:nsid w:val="74F81DDF"/>
    <w:multiLevelType w:val="multilevel"/>
    <w:tmpl w:val="950A1C52"/>
    <w:numStyleLink w:val="AERHeadings"/>
  </w:abstractNum>
  <w:abstractNum w:abstractNumId="35">
    <w:nsid w:val="787F66A4"/>
    <w:multiLevelType w:val="multilevel"/>
    <w:tmpl w:val="950A1C52"/>
    <w:numStyleLink w:val="AERHeadings"/>
  </w:abstractNum>
  <w:abstractNum w:abstractNumId="36">
    <w:nsid w:val="79493B3A"/>
    <w:multiLevelType w:val="hybridMultilevel"/>
    <w:tmpl w:val="2C623620"/>
    <w:lvl w:ilvl="0" w:tplc="AD5880A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AAC6DD7"/>
    <w:multiLevelType w:val="multilevel"/>
    <w:tmpl w:val="950A1C52"/>
    <w:numStyleLink w:val="AERHeadings"/>
  </w:abstractNum>
  <w:abstractNum w:abstractNumId="38">
    <w:nsid w:val="7AEA3AE1"/>
    <w:multiLevelType w:val="hybridMultilevel"/>
    <w:tmpl w:val="52969776"/>
    <w:lvl w:ilvl="0" w:tplc="1B665800">
      <w:start w:val="1"/>
      <w:numFmt w:val="bullet"/>
      <w:pStyle w:val="AERquotebullet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7BE97BF8"/>
    <w:multiLevelType w:val="multilevel"/>
    <w:tmpl w:val="950A1C52"/>
    <w:numStyleLink w:val="AERHeadings"/>
  </w:abstractNum>
  <w:abstractNum w:abstractNumId="40">
    <w:nsid w:val="7CDA0F5F"/>
    <w:multiLevelType w:val="multilevel"/>
    <w:tmpl w:val="950A1C52"/>
    <w:numStyleLink w:val="AERHeadings"/>
  </w:abstractNum>
  <w:num w:numId="1">
    <w:abstractNumId w:val="32"/>
  </w:num>
  <w:num w:numId="2">
    <w:abstractNumId w:val="17"/>
  </w:num>
  <w:num w:numId="3">
    <w:abstractNumId w:val="24"/>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24"/>
    <w:lvlOverride w:ilvl="0">
      <w:startOverride w:val="1"/>
    </w:lvlOverride>
  </w:num>
  <w:num w:numId="7">
    <w:abstractNumId w:val="22"/>
  </w:num>
  <w:num w:numId="8">
    <w:abstractNumId w:val="19"/>
  </w:num>
  <w:num w:numId="9">
    <w:abstractNumId w:val="38"/>
  </w:num>
  <w:num w:numId="10">
    <w:abstractNumId w:val="24"/>
    <w:lvlOverride w:ilvl="0">
      <w:startOverride w:val="1"/>
    </w:lvlOverride>
  </w:num>
  <w:num w:numId="11">
    <w:abstractNumId w:val="1"/>
  </w:num>
  <w:num w:numId="12">
    <w:abstractNumId w:val="24"/>
    <w:lvlOverride w:ilvl="0">
      <w:startOverride w:val="1"/>
    </w:lvlOverride>
  </w:num>
  <w:num w:numId="13">
    <w:abstractNumId w:val="27"/>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3"/>
  </w:num>
  <w:num w:numId="17">
    <w:abstractNumId w:val="25"/>
  </w:num>
  <w:num w:numId="18">
    <w:abstractNumId w:val="10"/>
  </w:num>
  <w:num w:numId="19">
    <w:abstractNumId w:val="12"/>
  </w:num>
  <w:num w:numId="20">
    <w:abstractNumId w:val="34"/>
  </w:num>
  <w:num w:numId="21">
    <w:abstractNumId w:val="30"/>
  </w:num>
  <w:num w:numId="2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num>
  <w:num w:numId="27">
    <w:abstractNumId w:val="40"/>
  </w:num>
  <w:num w:numId="28">
    <w:abstractNumId w:val="20"/>
  </w:num>
  <w:num w:numId="29">
    <w:abstractNumId w:val="13"/>
  </w:num>
  <w:num w:numId="30">
    <w:abstractNumId w:val="8"/>
  </w:num>
  <w:num w:numId="31">
    <w:abstractNumId w:val="0"/>
  </w:num>
  <w:num w:numId="32">
    <w:abstractNumId w:val="9"/>
  </w:num>
  <w:num w:numId="33">
    <w:abstractNumId w:val="35"/>
  </w:num>
  <w:num w:numId="34">
    <w:abstractNumId w:val="31"/>
  </w:num>
  <w:num w:numId="35">
    <w:abstractNumId w:val="33"/>
  </w:num>
  <w:num w:numId="36">
    <w:abstractNumId w:val="39"/>
  </w:num>
  <w:num w:numId="37">
    <w:abstractNumId w:val="29"/>
  </w:num>
  <w:num w:numId="38">
    <w:abstractNumId w:val="15"/>
  </w:num>
  <w:num w:numId="39">
    <w:abstractNumId w:val="16"/>
  </w:num>
  <w:num w:numId="40">
    <w:abstractNumId w:val="23"/>
  </w:num>
  <w:num w:numId="41">
    <w:abstractNumId w:val="28"/>
  </w:num>
  <w:num w:numId="42">
    <w:abstractNumId w:val="7"/>
  </w:num>
  <w:num w:numId="43">
    <w:abstractNumId w:val="37"/>
  </w:num>
  <w:num w:numId="44">
    <w:abstractNumId w:val="26"/>
  </w:num>
  <w:num w:numId="45">
    <w:abstractNumId w:val="2"/>
  </w:num>
  <w:num w:numId="46">
    <w:abstractNumId w:val="6"/>
  </w:num>
  <w:num w:numId="47">
    <w:abstractNumId w:val="36"/>
  </w:num>
  <w:num w:numId="48">
    <w:abstractNumId w:val="4"/>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spelling="clean" w:grammar="clean"/>
  <w:trackRevisions/>
  <w:documentProtection w:formatting="1" w:enforcement="1" w:cryptProviderType="rsaFull" w:cryptAlgorithmClass="hash" w:cryptAlgorithmType="typeAny" w:cryptAlgorithmSid="4" w:cryptSpinCount="100000" w:hash="3tni1Im3gWLcXXA48pYeE2pYocA=" w:salt="YWu0LhJRQHfhQFvGolLeNw=="/>
  <w:defaultTabStop w:val="720"/>
  <w:evenAndOddHeaders/>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currentname" w:val="\\cbrvpwxfs01\home$\rlowi\qld and sa notice 2 - decision (D2013-00119178).docx"/>
  </w:docVars>
  <w:rsids>
    <w:rsidRoot w:val="000C052F"/>
    <w:rsid w:val="00006C77"/>
    <w:rsid w:val="00011129"/>
    <w:rsid w:val="0001441F"/>
    <w:rsid w:val="00022606"/>
    <w:rsid w:val="00025269"/>
    <w:rsid w:val="00027662"/>
    <w:rsid w:val="00030588"/>
    <w:rsid w:val="000325C8"/>
    <w:rsid w:val="00040599"/>
    <w:rsid w:val="00040749"/>
    <w:rsid w:val="0005795F"/>
    <w:rsid w:val="000608D0"/>
    <w:rsid w:val="00066621"/>
    <w:rsid w:val="00070FCB"/>
    <w:rsid w:val="000A1CC2"/>
    <w:rsid w:val="000A5342"/>
    <w:rsid w:val="000B15CA"/>
    <w:rsid w:val="000B6BCB"/>
    <w:rsid w:val="000C052F"/>
    <w:rsid w:val="000C26C5"/>
    <w:rsid w:val="000C3430"/>
    <w:rsid w:val="000C3E16"/>
    <w:rsid w:val="000D03C2"/>
    <w:rsid w:val="000D04B1"/>
    <w:rsid w:val="000D1602"/>
    <w:rsid w:val="000D33AE"/>
    <w:rsid w:val="000D401F"/>
    <w:rsid w:val="000E1A25"/>
    <w:rsid w:val="000E3816"/>
    <w:rsid w:val="000F3A6A"/>
    <w:rsid w:val="001033B3"/>
    <w:rsid w:val="00105636"/>
    <w:rsid w:val="0012042C"/>
    <w:rsid w:val="00120D2F"/>
    <w:rsid w:val="0012168F"/>
    <w:rsid w:val="001272E5"/>
    <w:rsid w:val="00132DD5"/>
    <w:rsid w:val="001543D2"/>
    <w:rsid w:val="00174026"/>
    <w:rsid w:val="001766BC"/>
    <w:rsid w:val="001856EE"/>
    <w:rsid w:val="0019123A"/>
    <w:rsid w:val="00194C3C"/>
    <w:rsid w:val="001964CF"/>
    <w:rsid w:val="001A0054"/>
    <w:rsid w:val="001C12E5"/>
    <w:rsid w:val="001C23F8"/>
    <w:rsid w:val="001F5A40"/>
    <w:rsid w:val="0020586F"/>
    <w:rsid w:val="0020711E"/>
    <w:rsid w:val="002072E7"/>
    <w:rsid w:val="00207746"/>
    <w:rsid w:val="00210880"/>
    <w:rsid w:val="002231E2"/>
    <w:rsid w:val="002257B9"/>
    <w:rsid w:val="0023137D"/>
    <w:rsid w:val="00246560"/>
    <w:rsid w:val="00257E28"/>
    <w:rsid w:val="00265673"/>
    <w:rsid w:val="00265E4E"/>
    <w:rsid w:val="00266710"/>
    <w:rsid w:val="002805B8"/>
    <w:rsid w:val="002938CE"/>
    <w:rsid w:val="002B142B"/>
    <w:rsid w:val="002B6640"/>
    <w:rsid w:val="002D4456"/>
    <w:rsid w:val="002D61AC"/>
    <w:rsid w:val="002E4720"/>
    <w:rsid w:val="002E7E56"/>
    <w:rsid w:val="00303452"/>
    <w:rsid w:val="00303DB4"/>
    <w:rsid w:val="00310147"/>
    <w:rsid w:val="003202BE"/>
    <w:rsid w:val="003257C4"/>
    <w:rsid w:val="003324F7"/>
    <w:rsid w:val="00333315"/>
    <w:rsid w:val="00334F88"/>
    <w:rsid w:val="00351C9B"/>
    <w:rsid w:val="00360236"/>
    <w:rsid w:val="0036047C"/>
    <w:rsid w:val="003641FE"/>
    <w:rsid w:val="003707DB"/>
    <w:rsid w:val="00375AEC"/>
    <w:rsid w:val="00376236"/>
    <w:rsid w:val="0037652C"/>
    <w:rsid w:val="003800E4"/>
    <w:rsid w:val="00380FF5"/>
    <w:rsid w:val="00394147"/>
    <w:rsid w:val="003A2899"/>
    <w:rsid w:val="003A6174"/>
    <w:rsid w:val="003D0E8F"/>
    <w:rsid w:val="003D2E3F"/>
    <w:rsid w:val="003F1D79"/>
    <w:rsid w:val="003F76DC"/>
    <w:rsid w:val="004030AB"/>
    <w:rsid w:val="00411EEF"/>
    <w:rsid w:val="00412282"/>
    <w:rsid w:val="00423CB9"/>
    <w:rsid w:val="004256BA"/>
    <w:rsid w:val="00431999"/>
    <w:rsid w:val="00435682"/>
    <w:rsid w:val="00456081"/>
    <w:rsid w:val="004569F0"/>
    <w:rsid w:val="00464F5D"/>
    <w:rsid w:val="00473796"/>
    <w:rsid w:val="00474FBD"/>
    <w:rsid w:val="0047630B"/>
    <w:rsid w:val="00480CDD"/>
    <w:rsid w:val="00481A5A"/>
    <w:rsid w:val="00484416"/>
    <w:rsid w:val="00491D7D"/>
    <w:rsid w:val="00492630"/>
    <w:rsid w:val="004926D6"/>
    <w:rsid w:val="004978B9"/>
    <w:rsid w:val="004B2740"/>
    <w:rsid w:val="004B5DE1"/>
    <w:rsid w:val="004C0E44"/>
    <w:rsid w:val="004C3F45"/>
    <w:rsid w:val="004E40EF"/>
    <w:rsid w:val="004E6DD1"/>
    <w:rsid w:val="004E73F7"/>
    <w:rsid w:val="004F6E46"/>
    <w:rsid w:val="004F76A0"/>
    <w:rsid w:val="00500E7F"/>
    <w:rsid w:val="0052179D"/>
    <w:rsid w:val="005360DC"/>
    <w:rsid w:val="00537872"/>
    <w:rsid w:val="00544A4D"/>
    <w:rsid w:val="005456A9"/>
    <w:rsid w:val="00545714"/>
    <w:rsid w:val="00547DA9"/>
    <w:rsid w:val="00555D52"/>
    <w:rsid w:val="005566D7"/>
    <w:rsid w:val="00561F7F"/>
    <w:rsid w:val="00566B35"/>
    <w:rsid w:val="005732CC"/>
    <w:rsid w:val="00575422"/>
    <w:rsid w:val="005863B7"/>
    <w:rsid w:val="005867A4"/>
    <w:rsid w:val="005938C6"/>
    <w:rsid w:val="005A0431"/>
    <w:rsid w:val="005B0C15"/>
    <w:rsid w:val="005B3752"/>
    <w:rsid w:val="005B61C2"/>
    <w:rsid w:val="005D26B7"/>
    <w:rsid w:val="005D4AA1"/>
    <w:rsid w:val="005E5EB6"/>
    <w:rsid w:val="0060088C"/>
    <w:rsid w:val="0060146C"/>
    <w:rsid w:val="0060207D"/>
    <w:rsid w:val="006039F2"/>
    <w:rsid w:val="006061B0"/>
    <w:rsid w:val="0060732E"/>
    <w:rsid w:val="006076A9"/>
    <w:rsid w:val="00611205"/>
    <w:rsid w:val="006114C6"/>
    <w:rsid w:val="006318E8"/>
    <w:rsid w:val="0065077B"/>
    <w:rsid w:val="006544EA"/>
    <w:rsid w:val="00661884"/>
    <w:rsid w:val="0066569F"/>
    <w:rsid w:val="006657DE"/>
    <w:rsid w:val="0067453E"/>
    <w:rsid w:val="00684620"/>
    <w:rsid w:val="0068628E"/>
    <w:rsid w:val="0069004B"/>
    <w:rsid w:val="00696071"/>
    <w:rsid w:val="006B08EB"/>
    <w:rsid w:val="006B481F"/>
    <w:rsid w:val="006E3850"/>
    <w:rsid w:val="006F638E"/>
    <w:rsid w:val="0070286A"/>
    <w:rsid w:val="00703DC9"/>
    <w:rsid w:val="00703E42"/>
    <w:rsid w:val="00730C0C"/>
    <w:rsid w:val="007368AD"/>
    <w:rsid w:val="00736963"/>
    <w:rsid w:val="0073699A"/>
    <w:rsid w:val="00745AB4"/>
    <w:rsid w:val="00751ACB"/>
    <w:rsid w:val="00751D2A"/>
    <w:rsid w:val="0075402A"/>
    <w:rsid w:val="00755095"/>
    <w:rsid w:val="00757158"/>
    <w:rsid w:val="00757E20"/>
    <w:rsid w:val="00771C46"/>
    <w:rsid w:val="00773D08"/>
    <w:rsid w:val="00791E7A"/>
    <w:rsid w:val="00796A07"/>
    <w:rsid w:val="007A333F"/>
    <w:rsid w:val="007B3092"/>
    <w:rsid w:val="007D161E"/>
    <w:rsid w:val="007D168F"/>
    <w:rsid w:val="007D2043"/>
    <w:rsid w:val="007E64D8"/>
    <w:rsid w:val="007F10E3"/>
    <w:rsid w:val="007F2C0E"/>
    <w:rsid w:val="00804AEB"/>
    <w:rsid w:val="00824CC8"/>
    <w:rsid w:val="008356A9"/>
    <w:rsid w:val="00836D17"/>
    <w:rsid w:val="00840A55"/>
    <w:rsid w:val="00841E25"/>
    <w:rsid w:val="008464CD"/>
    <w:rsid w:val="00850987"/>
    <w:rsid w:val="00851351"/>
    <w:rsid w:val="008515EE"/>
    <w:rsid w:val="00856015"/>
    <w:rsid w:val="00861C4E"/>
    <w:rsid w:val="00866D21"/>
    <w:rsid w:val="00872D85"/>
    <w:rsid w:val="0087436B"/>
    <w:rsid w:val="00883DDA"/>
    <w:rsid w:val="0089125A"/>
    <w:rsid w:val="00891AEC"/>
    <w:rsid w:val="00891FF9"/>
    <w:rsid w:val="00893367"/>
    <w:rsid w:val="008A11B7"/>
    <w:rsid w:val="008A43B9"/>
    <w:rsid w:val="008B0DA2"/>
    <w:rsid w:val="008B34ED"/>
    <w:rsid w:val="008B7956"/>
    <w:rsid w:val="008C1DB1"/>
    <w:rsid w:val="008C3B67"/>
    <w:rsid w:val="008C3F48"/>
    <w:rsid w:val="008C5FBF"/>
    <w:rsid w:val="008D49B4"/>
    <w:rsid w:val="008D7498"/>
    <w:rsid w:val="008F53F6"/>
    <w:rsid w:val="008F7AEB"/>
    <w:rsid w:val="0091540F"/>
    <w:rsid w:val="00916449"/>
    <w:rsid w:val="00927828"/>
    <w:rsid w:val="009278BA"/>
    <w:rsid w:val="00932E96"/>
    <w:rsid w:val="009418E6"/>
    <w:rsid w:val="0094235F"/>
    <w:rsid w:val="0094279F"/>
    <w:rsid w:val="00946B98"/>
    <w:rsid w:val="0095052A"/>
    <w:rsid w:val="009658F0"/>
    <w:rsid w:val="00971655"/>
    <w:rsid w:val="00971C63"/>
    <w:rsid w:val="00982E8A"/>
    <w:rsid w:val="00991354"/>
    <w:rsid w:val="009A1BAB"/>
    <w:rsid w:val="009A2617"/>
    <w:rsid w:val="009A4AE9"/>
    <w:rsid w:val="009B1103"/>
    <w:rsid w:val="009B431A"/>
    <w:rsid w:val="009C71D5"/>
    <w:rsid w:val="009F621B"/>
    <w:rsid w:val="009F763C"/>
    <w:rsid w:val="009F7CE4"/>
    <w:rsid w:val="00A0227D"/>
    <w:rsid w:val="00A11162"/>
    <w:rsid w:val="00A11762"/>
    <w:rsid w:val="00A12C04"/>
    <w:rsid w:val="00A253E2"/>
    <w:rsid w:val="00A363F7"/>
    <w:rsid w:val="00A37B0D"/>
    <w:rsid w:val="00A43227"/>
    <w:rsid w:val="00A46C97"/>
    <w:rsid w:val="00A46CCD"/>
    <w:rsid w:val="00A65133"/>
    <w:rsid w:val="00A652C5"/>
    <w:rsid w:val="00A81F8A"/>
    <w:rsid w:val="00A85C5A"/>
    <w:rsid w:val="00A91451"/>
    <w:rsid w:val="00A96A08"/>
    <w:rsid w:val="00AA0161"/>
    <w:rsid w:val="00AB1D08"/>
    <w:rsid w:val="00AB4345"/>
    <w:rsid w:val="00AB5BD7"/>
    <w:rsid w:val="00AC0135"/>
    <w:rsid w:val="00AC070D"/>
    <w:rsid w:val="00AC1B94"/>
    <w:rsid w:val="00AD0616"/>
    <w:rsid w:val="00AD17D7"/>
    <w:rsid w:val="00AD34FF"/>
    <w:rsid w:val="00AD4DE6"/>
    <w:rsid w:val="00AE086F"/>
    <w:rsid w:val="00AE6DBC"/>
    <w:rsid w:val="00AF3E95"/>
    <w:rsid w:val="00AF5EB4"/>
    <w:rsid w:val="00AF7C67"/>
    <w:rsid w:val="00B051A0"/>
    <w:rsid w:val="00B122C2"/>
    <w:rsid w:val="00B14E4F"/>
    <w:rsid w:val="00B15FE9"/>
    <w:rsid w:val="00B26B18"/>
    <w:rsid w:val="00B322B7"/>
    <w:rsid w:val="00B3486A"/>
    <w:rsid w:val="00B51883"/>
    <w:rsid w:val="00B61FD4"/>
    <w:rsid w:val="00B6301D"/>
    <w:rsid w:val="00B63A23"/>
    <w:rsid w:val="00B674DB"/>
    <w:rsid w:val="00B70702"/>
    <w:rsid w:val="00B82E8D"/>
    <w:rsid w:val="00B8369D"/>
    <w:rsid w:val="00B85071"/>
    <w:rsid w:val="00B90B9A"/>
    <w:rsid w:val="00B9264D"/>
    <w:rsid w:val="00B9389F"/>
    <w:rsid w:val="00B94D99"/>
    <w:rsid w:val="00BB3FA1"/>
    <w:rsid w:val="00BB62BB"/>
    <w:rsid w:val="00BB757B"/>
    <w:rsid w:val="00BC05C5"/>
    <w:rsid w:val="00BC1363"/>
    <w:rsid w:val="00BD04BE"/>
    <w:rsid w:val="00BD0CA7"/>
    <w:rsid w:val="00BD4E69"/>
    <w:rsid w:val="00BD5A17"/>
    <w:rsid w:val="00BE6F28"/>
    <w:rsid w:val="00BF29FA"/>
    <w:rsid w:val="00BF71D6"/>
    <w:rsid w:val="00C034A3"/>
    <w:rsid w:val="00C04D2B"/>
    <w:rsid w:val="00C105AA"/>
    <w:rsid w:val="00C35450"/>
    <w:rsid w:val="00C40018"/>
    <w:rsid w:val="00C624AB"/>
    <w:rsid w:val="00C6463D"/>
    <w:rsid w:val="00C70105"/>
    <w:rsid w:val="00C7189E"/>
    <w:rsid w:val="00C722E1"/>
    <w:rsid w:val="00C737C5"/>
    <w:rsid w:val="00C86679"/>
    <w:rsid w:val="00C91461"/>
    <w:rsid w:val="00CA3540"/>
    <w:rsid w:val="00CA60C2"/>
    <w:rsid w:val="00CA6DED"/>
    <w:rsid w:val="00CC1218"/>
    <w:rsid w:val="00CC49D4"/>
    <w:rsid w:val="00CD1566"/>
    <w:rsid w:val="00CD1C32"/>
    <w:rsid w:val="00CE229C"/>
    <w:rsid w:val="00CE62AE"/>
    <w:rsid w:val="00CE6F5A"/>
    <w:rsid w:val="00CE789C"/>
    <w:rsid w:val="00CF42CF"/>
    <w:rsid w:val="00D01515"/>
    <w:rsid w:val="00D01D44"/>
    <w:rsid w:val="00D05E64"/>
    <w:rsid w:val="00D102E9"/>
    <w:rsid w:val="00D1688F"/>
    <w:rsid w:val="00D2117F"/>
    <w:rsid w:val="00D25317"/>
    <w:rsid w:val="00D456D5"/>
    <w:rsid w:val="00D52F6B"/>
    <w:rsid w:val="00D538D4"/>
    <w:rsid w:val="00D62336"/>
    <w:rsid w:val="00D66E8B"/>
    <w:rsid w:val="00D75D37"/>
    <w:rsid w:val="00D85715"/>
    <w:rsid w:val="00D8706C"/>
    <w:rsid w:val="00D96185"/>
    <w:rsid w:val="00DA4C62"/>
    <w:rsid w:val="00DB11B2"/>
    <w:rsid w:val="00DB3A04"/>
    <w:rsid w:val="00DB6A17"/>
    <w:rsid w:val="00DD5520"/>
    <w:rsid w:val="00DF16C2"/>
    <w:rsid w:val="00DF196E"/>
    <w:rsid w:val="00E00F76"/>
    <w:rsid w:val="00E13E8E"/>
    <w:rsid w:val="00E208F6"/>
    <w:rsid w:val="00E21E75"/>
    <w:rsid w:val="00E322FB"/>
    <w:rsid w:val="00E50324"/>
    <w:rsid w:val="00E519DC"/>
    <w:rsid w:val="00E556E4"/>
    <w:rsid w:val="00E574DE"/>
    <w:rsid w:val="00E77AC2"/>
    <w:rsid w:val="00E807DA"/>
    <w:rsid w:val="00E820AF"/>
    <w:rsid w:val="00E84E3A"/>
    <w:rsid w:val="00E90301"/>
    <w:rsid w:val="00E91DDD"/>
    <w:rsid w:val="00EA05AF"/>
    <w:rsid w:val="00EA6F16"/>
    <w:rsid w:val="00EA77F8"/>
    <w:rsid w:val="00EC43B9"/>
    <w:rsid w:val="00EC7662"/>
    <w:rsid w:val="00ED4D69"/>
    <w:rsid w:val="00EE362F"/>
    <w:rsid w:val="00EF0E19"/>
    <w:rsid w:val="00EF61A9"/>
    <w:rsid w:val="00F02E8F"/>
    <w:rsid w:val="00F114AE"/>
    <w:rsid w:val="00F22581"/>
    <w:rsid w:val="00F42578"/>
    <w:rsid w:val="00F43CA0"/>
    <w:rsid w:val="00F55030"/>
    <w:rsid w:val="00F73147"/>
    <w:rsid w:val="00F7335D"/>
    <w:rsid w:val="00F74EBF"/>
    <w:rsid w:val="00F7696F"/>
    <w:rsid w:val="00F8209B"/>
    <w:rsid w:val="00F84EFC"/>
    <w:rsid w:val="00F86628"/>
    <w:rsid w:val="00F97CD9"/>
    <w:rsid w:val="00FA0576"/>
    <w:rsid w:val="00FB3E25"/>
    <w:rsid w:val="00FB50B4"/>
    <w:rsid w:val="00FD4469"/>
    <w:rsid w:val="00FD4B97"/>
    <w:rsid w:val="00FE55E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autami" w:eastAsia="Calibri" w:hAnsi="Gautami" w:cs="Times New Roman"/>
        <w:lang w:val="en-AU" w:eastAsia="en-AU"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semiHidden="0" w:uiPriority="9" w:unhideWhenUsed="0" w:qFormat="1"/>
    <w:lsdException w:name="heading 3" w:locked="0" w:semiHidden="0" w:uiPriority="9" w:unhideWhenUsed="0" w:qFormat="1"/>
    <w:lsdException w:name="heading 4" w:semiHidden="0" w:uiPriority="9" w:unhideWhenUsed="0" w:qFormat="1"/>
    <w:lsdException w:name="heading 5" w:uiPriority="9" w:qFormat="1"/>
    <w:lsdException w:name="heading 6" w:uiPriority="9" w:qFormat="1"/>
    <w:lsdException w:name="heading 7" w:locked="0" w:uiPriority="9" w:qFormat="1"/>
    <w:lsdException w:name="heading 8" w:locked="0" w:uiPriority="9" w:qFormat="1"/>
    <w:lsdException w:name="heading 9" w:locked="0" w:uiPriority="9" w:qFormat="1"/>
    <w:lsdException w:name="index 1" w:locked="0"/>
    <w:lsdException w:name="index 2" w:locked="0"/>
    <w:lsdException w:name="index 3" w:locked="0"/>
    <w:lsdException w:name="index 4" w:locked="0"/>
    <w:lsdException w:name="index 5" w:locked="0"/>
    <w:lsdException w:name="index 6" w:locked="0"/>
    <w:lsdException w:name="index 7" w:locked="0"/>
    <w:lsdException w:name="index 8" w:locked="0"/>
    <w:lsdException w:name="index 9" w:locked="0"/>
    <w:lsdException w:name="toc 1" w:locked="0" w:uiPriority="39" w:qFormat="1"/>
    <w:lsdException w:name="toc 2" w:locked="0" w:uiPriority="39" w:qFormat="1"/>
    <w:lsdException w:name="toc 3" w:locked="0"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locked="0" w:qFormat="1"/>
    <w:lsdException w:name="header" w:locked="0"/>
    <w:lsdException w:name="footer" w:locked="0" w:qFormat="1"/>
    <w:lsdException w:name="index heading" w:locked="0"/>
    <w:lsdException w:name="caption" w:locked="0" w:uiPriority="35" w:qFormat="1"/>
    <w:lsdException w:name="table of figures" w:locked="0"/>
    <w:lsdException w:name="envelope address" w:locked="0"/>
    <w:lsdException w:name="envelope return" w:locked="0"/>
    <w:lsdException w:name="footnote reference" w:locked="0"/>
    <w:lsdException w:name="line number" w:locked="0"/>
    <w:lsdException w:name="page number" w:locked="0" w:uiPriority="0"/>
    <w:lsdException w:name="endnote reference" w:locked="0"/>
    <w:lsdException w:name="endnote text" w:locked="0"/>
    <w:lsdException w:name="table of authorities" w:locked="0"/>
    <w:lsdException w:name="macro" w:locked="0"/>
    <w:lsdException w:name="toa heading" w:locked="0"/>
    <w:lsdException w:name="Title" w:locked="0" w:uiPriority="10"/>
    <w:lsdException w:name="Closing" w:locked="0"/>
    <w:lsdException w:name="Signature" w:locked="0"/>
    <w:lsdException w:name="Default Paragraph Font" w:locked="0" w:uiPriority="1"/>
    <w:lsdException w:name="Message Header" w:locked="0"/>
    <w:lsdException w:name="Subtitle" w:locked="0" w:uiPriority="11" w:qFormat="1"/>
    <w:lsdException w:name="Salutation" w:locked="0"/>
    <w:lsdException w:name="Date" w:locked="0"/>
    <w:lsdException w:name="Note Heading" w:locked="0"/>
    <w:lsdException w:name="Hyperlink" w:locked="0"/>
    <w:lsdException w:name="FollowedHyperlink" w:locked="0"/>
    <w:lsdException w:name="Strong" w:locked="0" w:uiPriority="22" w:qFormat="1"/>
    <w:lsdException w:name="Emphasis" w:locked="0" w:uiPriority="20" w:qFormat="1"/>
    <w:lsdException w:name="Document Map" w:locked="0"/>
    <w:lsdException w:name="Plain Text" w:locked="0"/>
    <w:lsdException w:name="E-mail Signature" w:locked="0"/>
    <w:lsdException w:name="HTML Top of Form" w:locked="0"/>
    <w:lsdException w:name="HTML Bottom of Form" w:locked="0"/>
    <w:lsdException w:name="HTML Acronym" w:locked="0"/>
    <w:lsdException w:name="HTML Address" w:locked="0"/>
    <w:lsdException w:name="HTML Cite" w:locked="0"/>
    <w:lsdException w:name="HTML Code" w:locked="0"/>
    <w:lsdException w:name="HTML Definition" w:locked="0"/>
    <w:lsdException w:name="HTML Keyboard" w:locked="0"/>
    <w:lsdException w:name="HTML Preformatted" w:locked="0"/>
    <w:lsdException w:name="HTML Sample" w:locked="0"/>
    <w:lsdException w:name="HTML Typewriter" w:locked="0"/>
    <w:lsdException w:name="HTML Variable" w:locked="0"/>
    <w:lsdException w:name="Normal Table" w:locked="0"/>
    <w:lsdException w:name="No List" w:locked="0"/>
    <w:lsdException w:name="Outline List 3" w:locked="0"/>
    <w:lsdException w:name="Table Grid" w:locked="0" w:semiHidden="0" w:uiPriority="59" w:unhideWhenUsed="0"/>
    <w:lsdException w:name="Placeholder Text" w:locked="0"/>
    <w:lsdException w:name="No Spacing" w:locked="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uiPriority="34" w:qFormat="1"/>
    <w:lsdException w:name="Quote" w:locked="0" w:uiPriority="29" w:qFormat="1"/>
    <w:lsdException w:name="Intense Quote" w:locked="0"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uiPriority="37"/>
    <w:lsdException w:name="TOC Heading" w:uiPriority="39" w:qFormat="1"/>
  </w:latentStyles>
  <w:style w:type="paragraph" w:default="1" w:styleId="Normal">
    <w:name w:val="Normal"/>
    <w:semiHidden/>
    <w:qFormat/>
    <w:rsid w:val="00F97CD9"/>
    <w:pPr>
      <w:spacing w:after="240" w:line="288" w:lineRule="auto"/>
      <w:jc w:val="both"/>
    </w:pPr>
    <w:rPr>
      <w:lang w:eastAsia="en-US"/>
    </w:rPr>
  </w:style>
  <w:style w:type="paragraph" w:styleId="Heading1">
    <w:name w:val="heading 1"/>
    <w:next w:val="AERbodytext"/>
    <w:link w:val="Heading1Char"/>
    <w:uiPriority w:val="9"/>
    <w:qFormat/>
    <w:rsid w:val="00B94D99"/>
    <w:pPr>
      <w:keepNext/>
      <w:keepLines/>
      <w:pageBreakBefore/>
      <w:numPr>
        <w:ilvl w:val="1"/>
        <w:numId w:val="43"/>
      </w:numPr>
      <w:spacing w:before="120" w:after="120" w:line="288" w:lineRule="auto"/>
      <w:outlineLvl w:val="0"/>
    </w:pPr>
    <w:rPr>
      <w:rFonts w:eastAsia="Times New Roman"/>
      <w:b/>
      <w:bCs/>
      <w:color w:val="E36C0A"/>
      <w:sz w:val="36"/>
      <w:szCs w:val="28"/>
      <w:lang w:eastAsia="en-US"/>
    </w:rPr>
  </w:style>
  <w:style w:type="paragraph" w:styleId="Heading2">
    <w:name w:val="heading 2"/>
    <w:basedOn w:val="Heading1"/>
    <w:next w:val="AERbodytext"/>
    <w:link w:val="Heading2Char"/>
    <w:uiPriority w:val="9"/>
    <w:qFormat/>
    <w:rsid w:val="000A1CC2"/>
    <w:pPr>
      <w:pageBreakBefore w:val="0"/>
      <w:numPr>
        <w:ilvl w:val="2"/>
      </w:numPr>
      <w:outlineLvl w:val="1"/>
    </w:pPr>
    <w:rPr>
      <w:bCs w:val="0"/>
      <w:sz w:val="28"/>
      <w:szCs w:val="26"/>
    </w:rPr>
  </w:style>
  <w:style w:type="paragraph" w:styleId="Heading3">
    <w:name w:val="heading 3"/>
    <w:basedOn w:val="Heading2"/>
    <w:next w:val="AERbodytext"/>
    <w:link w:val="Heading3Char"/>
    <w:uiPriority w:val="9"/>
    <w:qFormat/>
    <w:rsid w:val="000A1CC2"/>
    <w:pPr>
      <w:numPr>
        <w:ilvl w:val="3"/>
      </w:numPr>
      <w:outlineLvl w:val="2"/>
    </w:pPr>
    <w:rPr>
      <w:bCs/>
      <w:sz w:val="24"/>
    </w:rPr>
  </w:style>
  <w:style w:type="paragraph" w:styleId="Heading4">
    <w:name w:val="heading 4"/>
    <w:basedOn w:val="AERbodytext"/>
    <w:next w:val="AERbodytext"/>
    <w:link w:val="Heading4Char"/>
    <w:uiPriority w:val="9"/>
    <w:semiHidden/>
    <w:qFormat/>
    <w:rsid w:val="005A0431"/>
    <w:pPr>
      <w:keepNext/>
      <w:numPr>
        <w:numId w:val="0"/>
      </w:numPr>
      <w:outlineLvl w:val="3"/>
    </w:pPr>
    <w:rPr>
      <w:b/>
      <w:iCs/>
      <w:color w:val="FF0000"/>
      <w:sz w:val="22"/>
    </w:rPr>
  </w:style>
  <w:style w:type="paragraph" w:styleId="Heading5">
    <w:name w:val="heading 5"/>
    <w:basedOn w:val="Heading4"/>
    <w:next w:val="AERbodytext"/>
    <w:link w:val="Heading5Char"/>
    <w:uiPriority w:val="9"/>
    <w:semiHidden/>
    <w:qFormat/>
    <w:rsid w:val="005A0431"/>
    <w:pPr>
      <w:numPr>
        <w:ilvl w:val="5"/>
      </w:numPr>
      <w:outlineLvl w:val="4"/>
    </w:pPr>
    <w:rPr>
      <w:i/>
      <w:sz w:val="20"/>
    </w:rPr>
  </w:style>
  <w:style w:type="paragraph" w:styleId="Heading6">
    <w:name w:val="heading 6"/>
    <w:basedOn w:val="Heading5"/>
    <w:next w:val="AERbodytext"/>
    <w:link w:val="Heading6Char"/>
    <w:uiPriority w:val="9"/>
    <w:semiHidden/>
    <w:qFormat/>
    <w:rsid w:val="005A0431"/>
    <w:pPr>
      <w:numPr>
        <w:ilvl w:val="6"/>
      </w:numPr>
      <w:outlineLvl w:val="5"/>
    </w:pPr>
    <w:rPr>
      <w:b w:val="0"/>
      <w:iCs w:val="0"/>
    </w:rPr>
  </w:style>
  <w:style w:type="paragraph" w:styleId="Heading7">
    <w:name w:val="heading 7"/>
    <w:basedOn w:val="UnnumberedHeading"/>
    <w:next w:val="AERbodytext"/>
    <w:link w:val="Heading7Char"/>
    <w:uiPriority w:val="9"/>
    <w:qFormat/>
    <w:rsid w:val="00303452"/>
    <w:pPr>
      <w:numPr>
        <w:ilvl w:val="4"/>
      </w:numPr>
      <w:outlineLvl w:val="6"/>
    </w:pPr>
    <w:rPr>
      <w:iCs/>
      <w:szCs w:val="24"/>
    </w:rPr>
  </w:style>
  <w:style w:type="paragraph" w:styleId="Heading8">
    <w:name w:val="heading 8"/>
    <w:basedOn w:val="Heading7"/>
    <w:next w:val="AERbodytext"/>
    <w:link w:val="Heading8Char"/>
    <w:uiPriority w:val="9"/>
    <w:qFormat/>
    <w:rsid w:val="00303452"/>
    <w:pPr>
      <w:pageBreakBefore w:val="0"/>
      <w:numPr>
        <w:ilvl w:val="5"/>
      </w:numPr>
      <w:outlineLvl w:val="7"/>
    </w:pPr>
    <w:rPr>
      <w:sz w:val="28"/>
      <w:szCs w:val="20"/>
    </w:rPr>
  </w:style>
  <w:style w:type="paragraph" w:styleId="Heading9">
    <w:name w:val="heading 9"/>
    <w:basedOn w:val="Heading8"/>
    <w:next w:val="AERbodytext"/>
    <w:link w:val="Heading9Char"/>
    <w:uiPriority w:val="9"/>
    <w:qFormat/>
    <w:rsid w:val="00303452"/>
    <w:pPr>
      <w:numPr>
        <w:ilvl w:val="6"/>
      </w:numPr>
      <w:outlineLvl w:val="8"/>
    </w:pPr>
    <w:rPr>
      <w:iCs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AERHeadings">
    <w:name w:val="AER Headings"/>
    <w:uiPriority w:val="99"/>
    <w:rsid w:val="004E73F7"/>
    <w:pPr>
      <w:numPr>
        <w:numId w:val="2"/>
      </w:numPr>
    </w:pPr>
  </w:style>
  <w:style w:type="character" w:customStyle="1" w:styleId="Heading1Char">
    <w:name w:val="Heading 1 Char"/>
    <w:basedOn w:val="DefaultParagraphFont"/>
    <w:link w:val="Heading1"/>
    <w:uiPriority w:val="9"/>
    <w:rsid w:val="00B94D99"/>
    <w:rPr>
      <w:rFonts w:eastAsia="Times New Roman"/>
      <w:b/>
      <w:bCs/>
      <w:color w:val="E36C0A"/>
      <w:sz w:val="36"/>
      <w:szCs w:val="28"/>
      <w:lang w:eastAsia="en-US"/>
    </w:rPr>
  </w:style>
  <w:style w:type="character" w:customStyle="1" w:styleId="Heading2Char">
    <w:name w:val="Heading 2 Char"/>
    <w:basedOn w:val="DefaultParagraphFont"/>
    <w:link w:val="Heading2"/>
    <w:uiPriority w:val="9"/>
    <w:rsid w:val="000A1CC2"/>
    <w:rPr>
      <w:rFonts w:ascii="Gautami" w:eastAsia="Times New Roman" w:hAnsi="Gautami" w:cs="Times New Roman"/>
      <w:b/>
      <w:color w:val="F79646"/>
      <w:sz w:val="28"/>
      <w:szCs w:val="26"/>
    </w:rPr>
  </w:style>
  <w:style w:type="character" w:customStyle="1" w:styleId="Heading3Char">
    <w:name w:val="Heading 3 Char"/>
    <w:basedOn w:val="DefaultParagraphFont"/>
    <w:link w:val="Heading3"/>
    <w:uiPriority w:val="9"/>
    <w:rsid w:val="000A1CC2"/>
    <w:rPr>
      <w:rFonts w:ascii="Gautami" w:eastAsia="Times New Roman" w:hAnsi="Gautami" w:cs="Times New Roman"/>
      <w:b/>
      <w:bCs/>
      <w:color w:val="F79646"/>
      <w:sz w:val="24"/>
      <w:szCs w:val="26"/>
    </w:rPr>
  </w:style>
  <w:style w:type="character" w:customStyle="1" w:styleId="Heading4Char">
    <w:name w:val="Heading 4 Char"/>
    <w:basedOn w:val="DefaultParagraphFont"/>
    <w:link w:val="Heading4"/>
    <w:uiPriority w:val="9"/>
    <w:semiHidden/>
    <w:rsid w:val="00F97CD9"/>
    <w:rPr>
      <w:rFonts w:eastAsia="Times New Roman"/>
      <w:b/>
      <w:iCs/>
      <w:color w:val="FF0000"/>
      <w:sz w:val="22"/>
      <w:szCs w:val="24"/>
      <w:lang w:eastAsia="en-US"/>
    </w:rPr>
  </w:style>
  <w:style w:type="character" w:customStyle="1" w:styleId="Heading5Char">
    <w:name w:val="Heading 5 Char"/>
    <w:basedOn w:val="DefaultParagraphFont"/>
    <w:link w:val="Heading5"/>
    <w:uiPriority w:val="9"/>
    <w:semiHidden/>
    <w:rsid w:val="00F97CD9"/>
    <w:rPr>
      <w:rFonts w:eastAsia="Times New Roman"/>
      <w:b/>
      <w:i/>
      <w:iCs/>
      <w:color w:val="FF0000"/>
      <w:szCs w:val="24"/>
      <w:lang w:eastAsia="en-US"/>
    </w:rPr>
  </w:style>
  <w:style w:type="character" w:customStyle="1" w:styleId="Heading6Char">
    <w:name w:val="Heading 6 Char"/>
    <w:basedOn w:val="DefaultParagraphFont"/>
    <w:link w:val="Heading6"/>
    <w:uiPriority w:val="9"/>
    <w:semiHidden/>
    <w:rsid w:val="00F97CD9"/>
    <w:rPr>
      <w:rFonts w:eastAsia="Times New Roman"/>
      <w:i/>
      <w:color w:val="FF0000"/>
      <w:szCs w:val="24"/>
      <w:lang w:eastAsia="en-US"/>
    </w:rPr>
  </w:style>
  <w:style w:type="character" w:customStyle="1" w:styleId="Heading7Char">
    <w:name w:val="Heading 7 Char"/>
    <w:basedOn w:val="DefaultParagraphFont"/>
    <w:link w:val="Heading7"/>
    <w:uiPriority w:val="9"/>
    <w:rsid w:val="00303452"/>
    <w:rPr>
      <w:rFonts w:ascii="Gautami" w:eastAsia="Times New Roman" w:hAnsi="Gautami" w:cs="Times New Roman"/>
      <w:b/>
      <w:bCs/>
      <w:iCs/>
      <w:color w:val="E36C0A"/>
      <w:sz w:val="36"/>
      <w:szCs w:val="24"/>
    </w:rPr>
  </w:style>
  <w:style w:type="character" w:customStyle="1" w:styleId="Heading8Char">
    <w:name w:val="Heading 8 Char"/>
    <w:basedOn w:val="DefaultParagraphFont"/>
    <w:link w:val="Heading8"/>
    <w:uiPriority w:val="9"/>
    <w:rsid w:val="00303452"/>
    <w:rPr>
      <w:rFonts w:ascii="Gautami" w:eastAsia="Times New Roman" w:hAnsi="Gautami" w:cs="Times New Roman"/>
      <w:b/>
      <w:bCs/>
      <w:iCs/>
      <w:color w:val="E36C0A"/>
      <w:sz w:val="28"/>
      <w:szCs w:val="20"/>
    </w:rPr>
  </w:style>
  <w:style w:type="character" w:customStyle="1" w:styleId="Heading9Char">
    <w:name w:val="Heading 9 Char"/>
    <w:basedOn w:val="DefaultParagraphFont"/>
    <w:link w:val="Heading9"/>
    <w:uiPriority w:val="9"/>
    <w:rsid w:val="00303452"/>
    <w:rPr>
      <w:rFonts w:ascii="Gautami" w:eastAsia="Times New Roman" w:hAnsi="Gautami" w:cs="Times New Roman"/>
      <w:b/>
      <w:bCs/>
      <w:color w:val="E36C0A"/>
      <w:sz w:val="24"/>
      <w:szCs w:val="20"/>
    </w:rPr>
  </w:style>
  <w:style w:type="paragraph" w:styleId="Caption">
    <w:name w:val="caption"/>
    <w:basedOn w:val="AERbodytext"/>
    <w:next w:val="AERbodytext"/>
    <w:uiPriority w:val="35"/>
    <w:qFormat/>
    <w:rsid w:val="00DA4C62"/>
    <w:pPr>
      <w:keepNext/>
      <w:numPr>
        <w:numId w:val="0"/>
      </w:numPr>
      <w:tabs>
        <w:tab w:val="left" w:pos="1440"/>
      </w:tabs>
      <w:spacing w:before="120" w:after="120"/>
      <w:ind w:left="1440" w:hanging="1440"/>
    </w:pPr>
    <w:rPr>
      <w:b/>
      <w:bCs/>
      <w:szCs w:val="18"/>
    </w:rPr>
  </w:style>
  <w:style w:type="character" w:customStyle="1" w:styleId="AERbody">
    <w:name w:val="AER body"/>
    <w:basedOn w:val="DefaultParagraphFont"/>
    <w:qFormat/>
    <w:rsid w:val="00971C63"/>
    <w:rPr>
      <w:rFonts w:ascii="Gautami" w:hAnsi="Gautami"/>
      <w:color w:val="auto"/>
      <w:sz w:val="20"/>
    </w:rPr>
  </w:style>
  <w:style w:type="paragraph" w:customStyle="1" w:styleId="AERbodytext">
    <w:name w:val="AER body text"/>
    <w:link w:val="AERbodytextChar"/>
    <w:qFormat/>
    <w:rsid w:val="000E1A25"/>
    <w:pPr>
      <w:numPr>
        <w:numId w:val="42"/>
      </w:numPr>
      <w:spacing w:after="240" w:line="288" w:lineRule="auto"/>
      <w:jc w:val="both"/>
    </w:pPr>
    <w:rPr>
      <w:rFonts w:eastAsia="Times New Roman"/>
      <w:szCs w:val="24"/>
      <w:lang w:eastAsia="en-US"/>
    </w:rPr>
  </w:style>
  <w:style w:type="paragraph" w:customStyle="1" w:styleId="AERbodytextindent1">
    <w:name w:val="AER body text (indent 1)"/>
    <w:basedOn w:val="AERbodytext"/>
    <w:qFormat/>
    <w:rsid w:val="008D49B4"/>
    <w:pPr>
      <w:numPr>
        <w:numId w:val="0"/>
      </w:numPr>
      <w:ind w:left="357"/>
    </w:pPr>
  </w:style>
  <w:style w:type="paragraph" w:customStyle="1" w:styleId="AERbodytextindent2">
    <w:name w:val="AER body text (indent 2)"/>
    <w:basedOn w:val="AERbodytextindent1"/>
    <w:qFormat/>
    <w:rsid w:val="00BC05C5"/>
    <w:pPr>
      <w:ind w:left="709"/>
    </w:pPr>
  </w:style>
  <w:style w:type="paragraph" w:customStyle="1" w:styleId="AERbodytextindent3">
    <w:name w:val="AER body text (indent 3)"/>
    <w:basedOn w:val="AERbodytext"/>
    <w:qFormat/>
    <w:rsid w:val="008D49B4"/>
    <w:pPr>
      <w:numPr>
        <w:numId w:val="0"/>
      </w:numPr>
      <w:ind w:left="1077"/>
    </w:pPr>
  </w:style>
  <w:style w:type="paragraph" w:customStyle="1" w:styleId="AERbulletlistfirststyle">
    <w:name w:val="AER bullet list (first style)"/>
    <w:basedOn w:val="AERbodytext"/>
    <w:qFormat/>
    <w:rsid w:val="005732CC"/>
    <w:pPr>
      <w:numPr>
        <w:numId w:val="7"/>
      </w:numPr>
      <w:tabs>
        <w:tab w:val="left" w:pos="357"/>
      </w:tabs>
      <w:spacing w:after="200"/>
      <w:ind w:left="357" w:hanging="357"/>
    </w:pPr>
  </w:style>
  <w:style w:type="paragraph" w:customStyle="1" w:styleId="AERbulletlistsecondstyle">
    <w:name w:val="AER bullet list (second style)"/>
    <w:basedOn w:val="AERbodytext"/>
    <w:qFormat/>
    <w:rsid w:val="005732CC"/>
    <w:pPr>
      <w:numPr>
        <w:numId w:val="11"/>
      </w:numPr>
      <w:tabs>
        <w:tab w:val="left" w:pos="709"/>
      </w:tabs>
      <w:spacing w:after="200"/>
      <w:ind w:left="714" w:hanging="357"/>
    </w:pPr>
  </w:style>
  <w:style w:type="paragraph" w:customStyle="1" w:styleId="AERbulletlistthirdstyle">
    <w:name w:val="AER bullet list (third style)"/>
    <w:basedOn w:val="AERbodytext"/>
    <w:qFormat/>
    <w:rsid w:val="005732CC"/>
    <w:pPr>
      <w:numPr>
        <w:numId w:val="8"/>
      </w:numPr>
      <w:tabs>
        <w:tab w:val="left" w:pos="1077"/>
      </w:tabs>
      <w:spacing w:after="200"/>
      <w:ind w:left="1071" w:hanging="357"/>
    </w:pPr>
  </w:style>
  <w:style w:type="character" w:customStyle="1" w:styleId="AERtextconfidential">
    <w:name w:val="AER text confidential"/>
    <w:qFormat/>
    <w:rsid w:val="00971C63"/>
    <w:rPr>
      <w:bdr w:val="none" w:sz="0" w:space="0" w:color="auto"/>
      <w:shd w:val="clear" w:color="auto" w:fill="CCFFFF"/>
    </w:rPr>
  </w:style>
  <w:style w:type="paragraph" w:customStyle="1" w:styleId="AERnumberedlistfirststyle">
    <w:name w:val="AER numbered list (first style)"/>
    <w:basedOn w:val="AERbodytext"/>
    <w:qFormat/>
    <w:rsid w:val="005732CC"/>
    <w:pPr>
      <w:numPr>
        <w:ilvl w:val="1"/>
      </w:numPr>
      <w:spacing w:after="200"/>
    </w:pPr>
  </w:style>
  <w:style w:type="paragraph" w:customStyle="1" w:styleId="AERnumberedlistsecondstyle">
    <w:name w:val="AER numbered list (second style)"/>
    <w:basedOn w:val="AERnumberedlistfirststyle"/>
    <w:qFormat/>
    <w:rsid w:val="005732CC"/>
    <w:pPr>
      <w:numPr>
        <w:ilvl w:val="2"/>
      </w:numPr>
    </w:pPr>
  </w:style>
  <w:style w:type="paragraph" w:customStyle="1" w:styleId="AERnumberedlistthirdstyle">
    <w:name w:val="AER numbered list (third style)"/>
    <w:basedOn w:val="AERnumberedlistsecondstyle"/>
    <w:qFormat/>
    <w:rsid w:val="005732CC"/>
    <w:pPr>
      <w:numPr>
        <w:ilvl w:val="3"/>
      </w:numPr>
    </w:pPr>
  </w:style>
  <w:style w:type="paragraph" w:customStyle="1" w:styleId="AERquote">
    <w:name w:val="AER quote"/>
    <w:next w:val="AERbodytext"/>
    <w:qFormat/>
    <w:rsid w:val="002938CE"/>
    <w:pPr>
      <w:tabs>
        <w:tab w:val="num" w:pos="709"/>
      </w:tabs>
      <w:spacing w:after="160" w:line="288" w:lineRule="auto"/>
      <w:ind w:left="709" w:right="720"/>
      <w:jc w:val="both"/>
    </w:pPr>
    <w:rPr>
      <w:rFonts w:eastAsia="Times New Roman"/>
      <w:color w:val="000000"/>
      <w:sz w:val="16"/>
      <w:szCs w:val="24"/>
      <w:lang w:eastAsia="en-US"/>
    </w:rPr>
  </w:style>
  <w:style w:type="paragraph" w:customStyle="1" w:styleId="AERquoteindent1">
    <w:name w:val="AER quote (indent 1)"/>
    <w:basedOn w:val="AERquote"/>
    <w:qFormat/>
    <w:rsid w:val="003A6174"/>
    <w:pPr>
      <w:tabs>
        <w:tab w:val="clear" w:pos="709"/>
        <w:tab w:val="num" w:pos="1077"/>
      </w:tabs>
      <w:ind w:left="1077" w:right="1440"/>
    </w:pPr>
  </w:style>
  <w:style w:type="paragraph" w:customStyle="1" w:styleId="AERquoteindent2">
    <w:name w:val="AER quote (indent 2)"/>
    <w:basedOn w:val="AERquoteindent1"/>
    <w:qFormat/>
    <w:rsid w:val="003A6174"/>
    <w:pPr>
      <w:tabs>
        <w:tab w:val="clear" w:pos="1077"/>
        <w:tab w:val="left" w:pos="1440"/>
      </w:tabs>
      <w:ind w:left="1440" w:right="1797"/>
    </w:pPr>
  </w:style>
  <w:style w:type="paragraph" w:customStyle="1" w:styleId="AERquoteindent3">
    <w:name w:val="AER quote (indent 3)"/>
    <w:basedOn w:val="AERquoteindent2"/>
    <w:qFormat/>
    <w:rsid w:val="003A6174"/>
    <w:pPr>
      <w:tabs>
        <w:tab w:val="clear" w:pos="1440"/>
        <w:tab w:val="left" w:pos="1803"/>
      </w:tabs>
      <w:ind w:left="1803" w:right="2160"/>
    </w:pPr>
  </w:style>
  <w:style w:type="paragraph" w:customStyle="1" w:styleId="AERquotebullet1">
    <w:name w:val="AER quote bullet 1"/>
    <w:basedOn w:val="Normal"/>
    <w:qFormat/>
    <w:rsid w:val="003A6174"/>
    <w:pPr>
      <w:numPr>
        <w:numId w:val="9"/>
      </w:numPr>
      <w:tabs>
        <w:tab w:val="left" w:pos="1077"/>
      </w:tabs>
      <w:spacing w:line="200" w:lineRule="atLeast"/>
      <w:ind w:left="1077" w:right="663" w:hanging="357"/>
    </w:pPr>
    <w:rPr>
      <w:rFonts w:eastAsia="Times New Roman"/>
      <w:sz w:val="16"/>
      <w:szCs w:val="16"/>
    </w:rPr>
  </w:style>
  <w:style w:type="paragraph" w:customStyle="1" w:styleId="AERrevisionbox">
    <w:name w:val="AER revision box"/>
    <w:basedOn w:val="AERbodytext"/>
    <w:qFormat/>
    <w:rsid w:val="00971C63"/>
    <w:pPr>
      <w:pBdr>
        <w:top w:val="single" w:sz="4" w:space="1" w:color="auto"/>
        <w:left w:val="single" w:sz="4" w:space="4" w:color="auto"/>
        <w:bottom w:val="single" w:sz="4" w:space="1" w:color="auto"/>
        <w:right w:val="single" w:sz="4" w:space="4" w:color="auto"/>
      </w:pBdr>
      <w:shd w:val="clear" w:color="auto" w:fill="E0E0E0"/>
    </w:pPr>
  </w:style>
  <w:style w:type="character" w:customStyle="1" w:styleId="AERsubscript">
    <w:name w:val="AER subscript"/>
    <w:qFormat/>
    <w:rsid w:val="00971C63"/>
    <w:rPr>
      <w:rFonts w:ascii="Gautami" w:hAnsi="Gautami"/>
      <w:vertAlign w:val="subscript"/>
    </w:rPr>
  </w:style>
  <w:style w:type="character" w:customStyle="1" w:styleId="AERsuperscript">
    <w:name w:val="AER superscript"/>
    <w:qFormat/>
    <w:rsid w:val="00971C63"/>
    <w:rPr>
      <w:rFonts w:ascii="Gautami" w:hAnsi="Gautami"/>
      <w:vertAlign w:val="superscript"/>
    </w:rPr>
  </w:style>
  <w:style w:type="paragraph" w:customStyle="1" w:styleId="AERtablesource">
    <w:name w:val="AER table source"/>
    <w:next w:val="AERbodytext"/>
    <w:qFormat/>
    <w:rsid w:val="00474FBD"/>
    <w:pPr>
      <w:tabs>
        <w:tab w:val="left" w:pos="794"/>
      </w:tabs>
      <w:spacing w:before="40" w:after="240"/>
      <w:ind w:left="794" w:hanging="794"/>
      <w:contextualSpacing/>
      <w:jc w:val="both"/>
    </w:pPr>
    <w:rPr>
      <w:rFonts w:eastAsia="Times New Roman"/>
      <w:sz w:val="16"/>
      <w:szCs w:val="24"/>
      <w:lang w:eastAsia="en-US"/>
    </w:rPr>
  </w:style>
  <w:style w:type="table" w:customStyle="1" w:styleId="AERtable-text">
    <w:name w:val="AER table - text"/>
    <w:basedOn w:val="TableNormal"/>
    <w:uiPriority w:val="99"/>
    <w:rsid w:val="00C04D2B"/>
    <w:pPr>
      <w:spacing w:before="120" w:after="80"/>
    </w:pPr>
    <w:rPr>
      <w:sz w:val="16"/>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customStyle="1" w:styleId="AERtabletextleft">
    <w:name w:val="AER table text left"/>
    <w:qFormat/>
    <w:rsid w:val="00BC05C5"/>
    <w:pPr>
      <w:spacing w:before="80" w:after="120" w:line="288" w:lineRule="auto"/>
    </w:pPr>
    <w:rPr>
      <w:rFonts w:eastAsia="Times New Roman"/>
      <w:sz w:val="16"/>
      <w:szCs w:val="24"/>
      <w:lang w:eastAsia="en-US"/>
    </w:rPr>
  </w:style>
  <w:style w:type="character" w:customStyle="1" w:styleId="AERtextbold">
    <w:name w:val="AER text bold"/>
    <w:qFormat/>
    <w:rsid w:val="00971C63"/>
    <w:rPr>
      <w:b/>
    </w:rPr>
  </w:style>
  <w:style w:type="character" w:customStyle="1" w:styleId="AERtextbolditalics">
    <w:name w:val="AER text bold italics"/>
    <w:basedOn w:val="AERtextbold"/>
    <w:qFormat/>
    <w:rsid w:val="00971C63"/>
    <w:rPr>
      <w:b/>
      <w:i/>
    </w:rPr>
  </w:style>
  <w:style w:type="character" w:customStyle="1" w:styleId="AERtextboldunderline">
    <w:name w:val="AER text bold underline"/>
    <w:qFormat/>
    <w:rsid w:val="00971C63"/>
    <w:rPr>
      <w:b/>
      <w:u w:val="single"/>
    </w:rPr>
  </w:style>
  <w:style w:type="character" w:customStyle="1" w:styleId="AERtexthighlight">
    <w:name w:val="AER text highlight"/>
    <w:qFormat/>
    <w:rsid w:val="005566D7"/>
    <w:rPr>
      <w:bdr w:val="none" w:sz="0" w:space="0" w:color="auto"/>
      <w:shd w:val="clear" w:color="auto" w:fill="FFFF00"/>
    </w:rPr>
  </w:style>
  <w:style w:type="character" w:customStyle="1" w:styleId="AERtextitalic">
    <w:name w:val="AER text italic"/>
    <w:qFormat/>
    <w:rsid w:val="00971C63"/>
    <w:rPr>
      <w:i/>
    </w:rPr>
  </w:style>
  <w:style w:type="character" w:customStyle="1" w:styleId="AERtextunderline">
    <w:name w:val="AER text underline"/>
    <w:qFormat/>
    <w:rsid w:val="00971C63"/>
    <w:rPr>
      <w:u w:val="single"/>
    </w:rPr>
  </w:style>
  <w:style w:type="paragraph" w:styleId="FootnoteText">
    <w:name w:val="footnote text"/>
    <w:basedOn w:val="AERbodytext"/>
    <w:link w:val="FootnoteTextChar"/>
    <w:uiPriority w:val="99"/>
    <w:qFormat/>
    <w:rsid w:val="00DD5520"/>
    <w:pPr>
      <w:numPr>
        <w:numId w:val="0"/>
      </w:numPr>
      <w:tabs>
        <w:tab w:val="left" w:pos="426"/>
      </w:tabs>
      <w:spacing w:after="0" w:line="240" w:lineRule="auto"/>
      <w:ind w:left="426" w:hanging="426"/>
    </w:pPr>
    <w:rPr>
      <w:sz w:val="16"/>
      <w:szCs w:val="20"/>
    </w:rPr>
  </w:style>
  <w:style w:type="character" w:customStyle="1" w:styleId="FootnoteTextChar">
    <w:name w:val="Footnote Text Char"/>
    <w:basedOn w:val="DefaultParagraphFont"/>
    <w:link w:val="FootnoteText"/>
    <w:uiPriority w:val="99"/>
    <w:rsid w:val="00DD5520"/>
    <w:rPr>
      <w:rFonts w:ascii="Gautami" w:eastAsia="Times New Roman" w:hAnsi="Gautami" w:cs="Times New Roman"/>
      <w:sz w:val="16"/>
      <w:szCs w:val="20"/>
    </w:rPr>
  </w:style>
  <w:style w:type="character" w:styleId="FootnoteReference">
    <w:name w:val="footnote reference"/>
    <w:basedOn w:val="DefaultParagraphFont"/>
    <w:uiPriority w:val="99"/>
    <w:semiHidden/>
    <w:unhideWhenUsed/>
    <w:rsid w:val="003800E4"/>
    <w:rPr>
      <w:vertAlign w:val="superscript"/>
    </w:rPr>
  </w:style>
  <w:style w:type="paragraph" w:styleId="Header">
    <w:name w:val="header"/>
    <w:basedOn w:val="Normal"/>
    <w:link w:val="HeaderChar"/>
    <w:uiPriority w:val="99"/>
    <w:unhideWhenUsed/>
    <w:rsid w:val="00380F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0FF5"/>
  </w:style>
  <w:style w:type="paragraph" w:styleId="Footer">
    <w:name w:val="footer"/>
    <w:basedOn w:val="Normal"/>
    <w:link w:val="FooterChar"/>
    <w:uiPriority w:val="99"/>
    <w:qFormat/>
    <w:rsid w:val="007368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68AD"/>
    <w:rPr>
      <w:rFonts w:ascii="Gautami" w:hAnsi="Gautami"/>
      <w:sz w:val="20"/>
    </w:rPr>
  </w:style>
  <w:style w:type="paragraph" w:customStyle="1" w:styleId="UnnumberedHeading">
    <w:name w:val="Unnumbered Heading"/>
    <w:basedOn w:val="Heading1"/>
    <w:next w:val="AERbodytext"/>
    <w:link w:val="UnnumberedHeadingChar"/>
    <w:qFormat/>
    <w:rsid w:val="00B94D99"/>
    <w:pPr>
      <w:numPr>
        <w:ilvl w:val="0"/>
      </w:numPr>
    </w:pPr>
  </w:style>
  <w:style w:type="table" w:styleId="TableGrid">
    <w:name w:val="Table Grid"/>
    <w:basedOn w:val="TableNormal"/>
    <w:uiPriority w:val="59"/>
    <w:rsid w:val="00500E7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ERnumberedlist">
    <w:name w:val="AER numbered list"/>
    <w:uiPriority w:val="99"/>
    <w:rsid w:val="000E1A25"/>
    <w:pPr>
      <w:numPr>
        <w:numId w:val="13"/>
      </w:numPr>
    </w:pPr>
  </w:style>
  <w:style w:type="numbering" w:customStyle="1" w:styleId="OldAERheadings">
    <w:name w:val="Old AER headings"/>
    <w:uiPriority w:val="99"/>
    <w:locked/>
    <w:rsid w:val="008515EE"/>
    <w:pPr>
      <w:numPr>
        <w:numId w:val="24"/>
      </w:numPr>
    </w:pPr>
  </w:style>
  <w:style w:type="character" w:customStyle="1" w:styleId="AERtextorange">
    <w:name w:val="AER text orange"/>
    <w:uiPriority w:val="1"/>
    <w:qFormat/>
    <w:rsid w:val="00DB6A17"/>
    <w:rPr>
      <w:color w:val="E36C0A"/>
    </w:rPr>
  </w:style>
  <w:style w:type="paragraph" w:customStyle="1" w:styleId="AERtitle1">
    <w:name w:val="AER title 1"/>
    <w:qFormat/>
    <w:rsid w:val="000A1CC2"/>
    <w:pPr>
      <w:spacing w:after="240" w:line="288" w:lineRule="auto"/>
      <w:jc w:val="center"/>
    </w:pPr>
    <w:rPr>
      <w:rFonts w:eastAsia="Times New Roman"/>
      <w:b/>
      <w:sz w:val="40"/>
      <w:szCs w:val="24"/>
    </w:rPr>
  </w:style>
  <w:style w:type="paragraph" w:customStyle="1" w:styleId="AERtitle2">
    <w:name w:val="AER title 2"/>
    <w:qFormat/>
    <w:rsid w:val="000A1CC2"/>
    <w:pPr>
      <w:spacing w:after="240" w:line="288" w:lineRule="auto"/>
      <w:jc w:val="center"/>
    </w:pPr>
    <w:rPr>
      <w:rFonts w:eastAsia="Times New Roman"/>
      <w:sz w:val="32"/>
      <w:szCs w:val="24"/>
      <w:lang w:eastAsia="en-US"/>
    </w:rPr>
  </w:style>
  <w:style w:type="paragraph" w:styleId="ListParagraph">
    <w:name w:val="List Paragraph"/>
    <w:basedOn w:val="Normal"/>
    <w:uiPriority w:val="34"/>
    <w:unhideWhenUsed/>
    <w:qFormat/>
    <w:rsid w:val="005D26B7"/>
    <w:pPr>
      <w:ind w:left="720"/>
      <w:contextualSpacing/>
    </w:pPr>
  </w:style>
  <w:style w:type="character" w:customStyle="1" w:styleId="AERtextblue">
    <w:name w:val="AER text blue"/>
    <w:uiPriority w:val="1"/>
    <w:qFormat/>
    <w:rsid w:val="00D2117F"/>
    <w:rPr>
      <w:color w:val="365F91"/>
    </w:rPr>
  </w:style>
  <w:style w:type="character" w:customStyle="1" w:styleId="UnnumberedHeadingChar">
    <w:name w:val="Unnumbered Heading Char"/>
    <w:basedOn w:val="Heading1Char"/>
    <w:link w:val="UnnumberedHeading"/>
    <w:rsid w:val="00B94D99"/>
    <w:rPr>
      <w:rFonts w:eastAsia="Times New Roman"/>
      <w:b/>
      <w:bCs/>
      <w:color w:val="E36C0A"/>
      <w:sz w:val="36"/>
      <w:szCs w:val="28"/>
      <w:lang w:eastAsia="en-US"/>
    </w:rPr>
  </w:style>
  <w:style w:type="table" w:customStyle="1" w:styleId="AERtable-numbers">
    <w:name w:val="AER table - numbers"/>
    <w:basedOn w:val="TableNormal"/>
    <w:uiPriority w:val="99"/>
    <w:rsid w:val="00C04D2B"/>
    <w:pPr>
      <w:spacing w:before="120" w:after="80"/>
      <w:jc w:val="right"/>
    </w:pPr>
    <w:rPr>
      <w:sz w:val="16"/>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locked/>
    <w:rsid w:val="00B82E8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bodytextnospace">
    <w:name w:val="AER body text no space"/>
    <w:basedOn w:val="AERbodytext"/>
    <w:qFormat/>
    <w:rsid w:val="00BC05C5"/>
    <w:pPr>
      <w:spacing w:after="0"/>
    </w:pPr>
  </w:style>
  <w:style w:type="paragraph" w:customStyle="1" w:styleId="AERtabletextright">
    <w:name w:val="AER table text right"/>
    <w:basedOn w:val="AERtabletextleft"/>
    <w:qFormat/>
    <w:rsid w:val="00435682"/>
    <w:pPr>
      <w:spacing w:before="120" w:after="80"/>
      <w:jc w:val="right"/>
    </w:pPr>
  </w:style>
  <w:style w:type="paragraph" w:styleId="TOCHeading">
    <w:name w:val="TOC Heading"/>
    <w:basedOn w:val="Heading1"/>
    <w:next w:val="Normal"/>
    <w:uiPriority w:val="39"/>
    <w:semiHidden/>
    <w:unhideWhenUsed/>
    <w:qFormat/>
    <w:rsid w:val="00AF3E95"/>
    <w:pPr>
      <w:pageBreakBefore w:val="0"/>
      <w:numPr>
        <w:ilvl w:val="0"/>
        <w:numId w:val="0"/>
      </w:numPr>
      <w:spacing w:before="480" w:after="0" w:line="276" w:lineRule="auto"/>
      <w:outlineLvl w:val="9"/>
    </w:pPr>
    <w:rPr>
      <w:rFonts w:ascii="Cambria" w:hAnsi="Cambria"/>
      <w:color w:val="365F91"/>
      <w:sz w:val="28"/>
      <w:lang w:val="en-US"/>
    </w:rPr>
  </w:style>
  <w:style w:type="paragraph" w:styleId="TOC1">
    <w:name w:val="toc 1"/>
    <w:basedOn w:val="Normal"/>
    <w:next w:val="Normal"/>
    <w:autoRedefine/>
    <w:uiPriority w:val="39"/>
    <w:unhideWhenUsed/>
    <w:qFormat/>
    <w:rsid w:val="00AF3E95"/>
    <w:pPr>
      <w:spacing w:before="240" w:after="120"/>
      <w:jc w:val="left"/>
    </w:pPr>
    <w:rPr>
      <w:b/>
      <w:bCs/>
    </w:rPr>
  </w:style>
  <w:style w:type="paragraph" w:styleId="TOC2">
    <w:name w:val="toc 2"/>
    <w:basedOn w:val="Normal"/>
    <w:next w:val="Normal"/>
    <w:autoRedefine/>
    <w:uiPriority w:val="39"/>
    <w:unhideWhenUsed/>
    <w:qFormat/>
    <w:rsid w:val="00AF3E95"/>
    <w:pPr>
      <w:spacing w:before="120" w:after="0"/>
      <w:ind w:left="200"/>
      <w:jc w:val="left"/>
    </w:pPr>
    <w:rPr>
      <w:iCs/>
    </w:rPr>
  </w:style>
  <w:style w:type="paragraph" w:styleId="TOC3">
    <w:name w:val="toc 3"/>
    <w:basedOn w:val="Normal"/>
    <w:next w:val="Normal"/>
    <w:autoRedefine/>
    <w:uiPriority w:val="39"/>
    <w:unhideWhenUsed/>
    <w:qFormat/>
    <w:rsid w:val="00AF3E95"/>
    <w:pPr>
      <w:spacing w:after="0"/>
      <w:ind w:left="400"/>
      <w:jc w:val="left"/>
    </w:pPr>
  </w:style>
  <w:style w:type="character" w:styleId="Hyperlink">
    <w:name w:val="Hyperlink"/>
    <w:basedOn w:val="DefaultParagraphFont"/>
    <w:uiPriority w:val="99"/>
    <w:unhideWhenUsed/>
    <w:rsid w:val="00AF3E95"/>
    <w:rPr>
      <w:color w:val="0000FF"/>
      <w:u w:val="single"/>
    </w:rPr>
  </w:style>
  <w:style w:type="paragraph" w:styleId="BalloonText">
    <w:name w:val="Balloon Text"/>
    <w:basedOn w:val="Normal"/>
    <w:link w:val="BalloonTextChar"/>
    <w:uiPriority w:val="99"/>
    <w:semiHidden/>
    <w:unhideWhenUsed/>
    <w:rsid w:val="00AF3E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3E95"/>
    <w:rPr>
      <w:rFonts w:ascii="Tahoma" w:hAnsi="Tahoma" w:cs="Tahoma"/>
      <w:sz w:val="16"/>
      <w:szCs w:val="16"/>
    </w:rPr>
  </w:style>
  <w:style w:type="paragraph" w:styleId="TOC4">
    <w:name w:val="toc 4"/>
    <w:basedOn w:val="Normal"/>
    <w:next w:val="Normal"/>
    <w:autoRedefine/>
    <w:uiPriority w:val="39"/>
    <w:semiHidden/>
    <w:locked/>
    <w:rsid w:val="00AF3E95"/>
    <w:pPr>
      <w:spacing w:after="0"/>
      <w:ind w:left="600"/>
      <w:jc w:val="left"/>
    </w:pPr>
    <w:rPr>
      <w:rFonts w:ascii="Calibri" w:hAnsi="Calibri"/>
    </w:rPr>
  </w:style>
  <w:style w:type="paragraph" w:styleId="TOC5">
    <w:name w:val="toc 5"/>
    <w:basedOn w:val="Normal"/>
    <w:next w:val="Normal"/>
    <w:autoRedefine/>
    <w:uiPriority w:val="39"/>
    <w:semiHidden/>
    <w:locked/>
    <w:rsid w:val="00AF3E95"/>
    <w:pPr>
      <w:spacing w:after="0"/>
      <w:ind w:left="800"/>
      <w:jc w:val="left"/>
    </w:pPr>
    <w:rPr>
      <w:rFonts w:ascii="Calibri" w:hAnsi="Calibri"/>
    </w:rPr>
  </w:style>
  <w:style w:type="paragraph" w:styleId="TOC6">
    <w:name w:val="toc 6"/>
    <w:basedOn w:val="Normal"/>
    <w:next w:val="Normal"/>
    <w:autoRedefine/>
    <w:uiPriority w:val="39"/>
    <w:semiHidden/>
    <w:locked/>
    <w:rsid w:val="00AF3E95"/>
    <w:pPr>
      <w:spacing w:after="0"/>
      <w:ind w:left="1000"/>
      <w:jc w:val="left"/>
    </w:pPr>
    <w:rPr>
      <w:rFonts w:ascii="Calibri" w:hAnsi="Calibri"/>
    </w:rPr>
  </w:style>
  <w:style w:type="paragraph" w:styleId="TOC7">
    <w:name w:val="toc 7"/>
    <w:basedOn w:val="Normal"/>
    <w:next w:val="Normal"/>
    <w:autoRedefine/>
    <w:uiPriority w:val="39"/>
    <w:semiHidden/>
    <w:locked/>
    <w:rsid w:val="00AF3E95"/>
    <w:pPr>
      <w:spacing w:after="0"/>
      <w:ind w:left="1200"/>
      <w:jc w:val="left"/>
    </w:pPr>
    <w:rPr>
      <w:rFonts w:ascii="Calibri" w:hAnsi="Calibri"/>
    </w:rPr>
  </w:style>
  <w:style w:type="paragraph" w:styleId="TOC8">
    <w:name w:val="toc 8"/>
    <w:basedOn w:val="Normal"/>
    <w:next w:val="Normal"/>
    <w:autoRedefine/>
    <w:uiPriority w:val="39"/>
    <w:semiHidden/>
    <w:locked/>
    <w:rsid w:val="00AF3E95"/>
    <w:pPr>
      <w:spacing w:after="0"/>
      <w:ind w:left="1400"/>
      <w:jc w:val="left"/>
    </w:pPr>
    <w:rPr>
      <w:rFonts w:ascii="Calibri" w:hAnsi="Calibri"/>
    </w:rPr>
  </w:style>
  <w:style w:type="paragraph" w:styleId="TOC9">
    <w:name w:val="toc 9"/>
    <w:basedOn w:val="Normal"/>
    <w:next w:val="Normal"/>
    <w:autoRedefine/>
    <w:uiPriority w:val="39"/>
    <w:semiHidden/>
    <w:locked/>
    <w:rsid w:val="00AF3E95"/>
    <w:pPr>
      <w:spacing w:after="0"/>
      <w:ind w:left="1600"/>
      <w:jc w:val="left"/>
    </w:pPr>
    <w:rPr>
      <w:rFonts w:ascii="Calibri" w:hAnsi="Calibri"/>
    </w:rPr>
  </w:style>
  <w:style w:type="character" w:styleId="CommentReference">
    <w:name w:val="annotation reference"/>
    <w:basedOn w:val="DefaultParagraphFont"/>
    <w:uiPriority w:val="99"/>
    <w:semiHidden/>
    <w:unhideWhenUsed/>
    <w:rsid w:val="00BE6F28"/>
    <w:rPr>
      <w:sz w:val="16"/>
      <w:szCs w:val="16"/>
    </w:rPr>
  </w:style>
  <w:style w:type="paragraph" w:styleId="CommentText">
    <w:name w:val="annotation text"/>
    <w:basedOn w:val="Normal"/>
    <w:link w:val="CommentTextChar"/>
    <w:uiPriority w:val="99"/>
    <w:semiHidden/>
    <w:unhideWhenUsed/>
    <w:rsid w:val="00BE6F28"/>
    <w:pPr>
      <w:spacing w:line="240" w:lineRule="auto"/>
    </w:pPr>
  </w:style>
  <w:style w:type="character" w:customStyle="1" w:styleId="CommentTextChar">
    <w:name w:val="Comment Text Char"/>
    <w:basedOn w:val="DefaultParagraphFont"/>
    <w:link w:val="CommentText"/>
    <w:uiPriority w:val="99"/>
    <w:semiHidden/>
    <w:rsid w:val="00BE6F28"/>
  </w:style>
  <w:style w:type="paragraph" w:styleId="CommentSubject">
    <w:name w:val="annotation subject"/>
    <w:basedOn w:val="CommentText"/>
    <w:next w:val="CommentText"/>
    <w:link w:val="CommentSubjectChar"/>
    <w:uiPriority w:val="99"/>
    <w:semiHidden/>
    <w:unhideWhenUsed/>
    <w:rsid w:val="00BE6F28"/>
    <w:rPr>
      <w:b/>
      <w:bCs/>
    </w:rPr>
  </w:style>
  <w:style w:type="character" w:customStyle="1" w:styleId="CommentSubjectChar">
    <w:name w:val="Comment Subject Char"/>
    <w:basedOn w:val="CommentTextChar"/>
    <w:link w:val="CommentSubject"/>
    <w:uiPriority w:val="99"/>
    <w:semiHidden/>
    <w:rsid w:val="00BE6F28"/>
    <w:rPr>
      <w:b/>
      <w:bCs/>
    </w:rPr>
  </w:style>
  <w:style w:type="character" w:customStyle="1" w:styleId="AERtextsize8">
    <w:name w:val="AER text size 8"/>
    <w:uiPriority w:val="1"/>
    <w:qFormat/>
    <w:rsid w:val="0020711E"/>
    <w:rPr>
      <w:sz w:val="16"/>
    </w:rPr>
  </w:style>
  <w:style w:type="character" w:customStyle="1" w:styleId="AERtextsize10">
    <w:name w:val="AER text size 10"/>
    <w:uiPriority w:val="1"/>
    <w:qFormat/>
    <w:rsid w:val="0020711E"/>
    <w:rPr>
      <w:sz w:val="20"/>
    </w:rPr>
  </w:style>
  <w:style w:type="paragraph" w:customStyle="1" w:styleId="AERnumberedlist2first">
    <w:name w:val="AER numbered list 2 first"/>
    <w:basedOn w:val="AERbodytext"/>
    <w:qFormat/>
    <w:rsid w:val="000E1A25"/>
    <w:pPr>
      <w:numPr>
        <w:ilvl w:val="4"/>
      </w:numPr>
    </w:pPr>
  </w:style>
  <w:style w:type="paragraph" w:customStyle="1" w:styleId="AERnumberedlist2second">
    <w:name w:val="AER numbered list 2 second"/>
    <w:basedOn w:val="AERnumberedlist2first"/>
    <w:qFormat/>
    <w:rsid w:val="000E1A25"/>
    <w:pPr>
      <w:numPr>
        <w:ilvl w:val="5"/>
      </w:numPr>
    </w:pPr>
  </w:style>
  <w:style w:type="paragraph" w:customStyle="1" w:styleId="AERnumberedlist2third">
    <w:name w:val="AER numbered list 2 third"/>
    <w:basedOn w:val="AERnumberedlist2second"/>
    <w:qFormat/>
    <w:rsid w:val="000E1A25"/>
    <w:pPr>
      <w:numPr>
        <w:ilvl w:val="6"/>
      </w:numPr>
    </w:pPr>
  </w:style>
  <w:style w:type="paragraph" w:customStyle="1" w:styleId="HeadingBoldBlue">
    <w:name w:val="Heading Bold Blue"/>
    <w:basedOn w:val="AERbodytext"/>
    <w:next w:val="AERbodytext"/>
    <w:link w:val="HeadingBoldBlueChar"/>
    <w:qFormat/>
    <w:rsid w:val="002E4720"/>
    <w:pPr>
      <w:keepNext/>
      <w:spacing w:before="120" w:after="120"/>
    </w:pPr>
    <w:rPr>
      <w:b/>
      <w:color w:val="365F91" w:themeColor="accent1" w:themeShade="BF"/>
      <w:sz w:val="22"/>
    </w:rPr>
  </w:style>
  <w:style w:type="paragraph" w:customStyle="1" w:styleId="HeadingBoldItalic">
    <w:name w:val="Heading Bold Italic"/>
    <w:basedOn w:val="AERbodytext"/>
    <w:next w:val="AERbodytext"/>
    <w:qFormat/>
    <w:rsid w:val="002E4720"/>
    <w:pPr>
      <w:keepNext/>
      <w:spacing w:before="120" w:after="120"/>
    </w:pPr>
    <w:rPr>
      <w:b/>
      <w:i/>
      <w:color w:val="E36C0A"/>
    </w:rPr>
  </w:style>
  <w:style w:type="character" w:customStyle="1" w:styleId="AERbodytextChar">
    <w:name w:val="AER body text Char"/>
    <w:basedOn w:val="DefaultParagraphFont"/>
    <w:link w:val="AERbodytext"/>
    <w:rsid w:val="00BD04BE"/>
    <w:rPr>
      <w:rFonts w:eastAsia="Times New Roman"/>
      <w:szCs w:val="24"/>
      <w:lang w:eastAsia="en-US"/>
    </w:rPr>
  </w:style>
  <w:style w:type="character" w:customStyle="1" w:styleId="HeadingBoldBlueChar">
    <w:name w:val="Heading Bold Blue Char"/>
    <w:basedOn w:val="AERbodytextChar"/>
    <w:link w:val="HeadingBoldBlue"/>
    <w:rsid w:val="002E4720"/>
    <w:rPr>
      <w:rFonts w:eastAsia="Times New Roman"/>
      <w:b/>
      <w:color w:val="365F91" w:themeColor="accent1" w:themeShade="BF"/>
      <w:sz w:val="22"/>
      <w:szCs w:val="24"/>
      <w:lang w:eastAsia="en-US"/>
    </w:rPr>
  </w:style>
  <w:style w:type="paragraph" w:customStyle="1" w:styleId="HeadingItalic">
    <w:name w:val="Heading Italic"/>
    <w:basedOn w:val="AERbodytext"/>
    <w:next w:val="AERbodytext"/>
    <w:qFormat/>
    <w:rsid w:val="002E4720"/>
    <w:pPr>
      <w:keepNext/>
      <w:spacing w:before="120" w:after="120"/>
    </w:pPr>
    <w:rPr>
      <w:i/>
      <w:color w:val="365F91" w:themeColor="accent1" w:themeShade="BF"/>
    </w:rPr>
  </w:style>
  <w:style w:type="character" w:styleId="PageNumber">
    <w:name w:val="page number"/>
    <w:basedOn w:val="DefaultParagraphFont"/>
    <w:rsid w:val="00CC49D4"/>
    <w:rPr>
      <w:rFonts w:ascii="Gautami" w:hAnsi="Gautami"/>
      <w:sz w:val="18"/>
    </w:rPr>
  </w:style>
  <w:style w:type="character" w:styleId="IntenseEmphasis">
    <w:name w:val="Intense Emphasis"/>
    <w:basedOn w:val="DefaultParagraphFont"/>
    <w:uiPriority w:val="21"/>
    <w:qFormat/>
    <w:rsid w:val="00A363F7"/>
    <w:rPr>
      <w:b/>
      <w:bCs/>
      <w:i/>
      <w:iCs/>
      <w:color w:val="4F81BD" w:themeColor="accent1"/>
    </w:rPr>
  </w:style>
  <w:style w:type="paragraph" w:styleId="Revision">
    <w:name w:val="Revision"/>
    <w:hidden/>
    <w:uiPriority w:val="99"/>
    <w:semiHidden/>
    <w:rsid w:val="0047630B"/>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AERHeadings">
    <w:name w:val="AERHeadings"/>
    <w:pPr>
      <w:numPr>
        <w:numId w:val="2"/>
      </w:numPr>
    </w:pPr>
  </w:style>
  <w:style w:type="numbering" w:customStyle="1" w:styleId="Heading1Char">
    <w:name w:val="OldAERheadings"/>
    <w:pPr>
      <w:numPr>
        <w:numId w:val="24"/>
      </w:numPr>
    </w:pPr>
  </w:style>
  <w:style w:type="numbering" w:customStyle="1" w:styleId="Heading2Char">
    <w:name w:val="AERnumberedlist"/>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3216248">
      <w:bodyDiv w:val="1"/>
      <w:marLeft w:val="0"/>
      <w:marRight w:val="0"/>
      <w:marTop w:val="0"/>
      <w:marBottom w:val="0"/>
      <w:divBdr>
        <w:top w:val="none" w:sz="0" w:space="0" w:color="auto"/>
        <w:left w:val="none" w:sz="0" w:space="0" w:color="auto"/>
        <w:bottom w:val="none" w:sz="0" w:space="0" w:color="auto"/>
        <w:right w:val="none" w:sz="0" w:space="0" w:color="auto"/>
      </w:divBdr>
    </w:div>
    <w:div w:id="1988822264">
      <w:bodyDiv w:val="1"/>
      <w:marLeft w:val="0"/>
      <w:marRight w:val="0"/>
      <w:marTop w:val="0"/>
      <w:marBottom w:val="0"/>
      <w:divBdr>
        <w:top w:val="none" w:sz="0" w:space="0" w:color="auto"/>
        <w:left w:val="none" w:sz="0" w:space="0" w:color="auto"/>
        <w:bottom w:val="none" w:sz="0" w:space="0" w:color="auto"/>
        <w:right w:val="none" w:sz="0" w:space="0" w:color="auto"/>
      </w:divBdr>
      <w:divsChild>
        <w:div w:id="1702438361">
          <w:marLeft w:val="0"/>
          <w:marRight w:val="0"/>
          <w:marTop w:val="0"/>
          <w:marBottom w:val="0"/>
          <w:divBdr>
            <w:top w:val="none" w:sz="0" w:space="0" w:color="auto"/>
            <w:left w:val="none" w:sz="0" w:space="0" w:color="auto"/>
            <w:bottom w:val="none" w:sz="0" w:space="0" w:color="auto"/>
            <w:right w:val="none" w:sz="0" w:space="0" w:color="auto"/>
          </w:divBdr>
          <w:divsChild>
            <w:div w:id="780607329">
              <w:marLeft w:val="0"/>
              <w:marRight w:val="0"/>
              <w:marTop w:val="0"/>
              <w:marBottom w:val="0"/>
              <w:divBdr>
                <w:top w:val="none" w:sz="0" w:space="0" w:color="auto"/>
                <w:left w:val="none" w:sz="0" w:space="0" w:color="auto"/>
                <w:bottom w:val="none" w:sz="0" w:space="0" w:color="auto"/>
                <w:right w:val="none" w:sz="0" w:space="0" w:color="auto"/>
              </w:divBdr>
              <w:divsChild>
                <w:div w:id="1914729208">
                  <w:marLeft w:val="0"/>
                  <w:marRight w:val="0"/>
                  <w:marTop w:val="0"/>
                  <w:marBottom w:val="0"/>
                  <w:divBdr>
                    <w:top w:val="none" w:sz="0" w:space="0" w:color="auto"/>
                    <w:left w:val="none" w:sz="0" w:space="0" w:color="auto"/>
                    <w:bottom w:val="none" w:sz="0" w:space="0" w:color="auto"/>
                    <w:right w:val="none" w:sz="0" w:space="0" w:color="auto"/>
                  </w:divBdr>
                  <w:divsChild>
                    <w:div w:id="1896744586">
                      <w:marLeft w:val="0"/>
                      <w:marRight w:val="0"/>
                      <w:marTop w:val="0"/>
                      <w:marBottom w:val="0"/>
                      <w:divBdr>
                        <w:top w:val="none" w:sz="0" w:space="0" w:color="auto"/>
                        <w:left w:val="none" w:sz="0" w:space="0" w:color="auto"/>
                        <w:bottom w:val="none" w:sz="0" w:space="0" w:color="auto"/>
                        <w:right w:val="none" w:sz="0" w:space="0" w:color="auto"/>
                      </w:divBdr>
                      <w:divsChild>
                        <w:div w:id="21833510">
                          <w:marLeft w:val="0"/>
                          <w:marRight w:val="0"/>
                          <w:marTop w:val="0"/>
                          <w:marBottom w:val="0"/>
                          <w:divBdr>
                            <w:top w:val="none" w:sz="0" w:space="0" w:color="auto"/>
                            <w:left w:val="none" w:sz="0" w:space="0" w:color="auto"/>
                            <w:bottom w:val="none" w:sz="0" w:space="0" w:color="auto"/>
                            <w:right w:val="none" w:sz="0" w:space="0" w:color="auto"/>
                          </w:divBdr>
                          <w:divsChild>
                            <w:div w:id="1753429399">
                              <w:marLeft w:val="0"/>
                              <w:marRight w:val="0"/>
                              <w:marTop w:val="0"/>
                              <w:marBottom w:val="0"/>
                              <w:divBdr>
                                <w:top w:val="none" w:sz="0" w:space="0" w:color="auto"/>
                                <w:left w:val="none" w:sz="0" w:space="0" w:color="auto"/>
                                <w:bottom w:val="none" w:sz="0" w:space="0" w:color="auto"/>
                                <w:right w:val="none" w:sz="0" w:space="0" w:color="auto"/>
                              </w:divBdr>
                              <w:divsChild>
                                <w:div w:id="682896493">
                                  <w:marLeft w:val="0"/>
                                  <w:marRight w:val="0"/>
                                  <w:marTop w:val="0"/>
                                  <w:marBottom w:val="0"/>
                                  <w:divBdr>
                                    <w:top w:val="none" w:sz="0" w:space="0" w:color="auto"/>
                                    <w:left w:val="none" w:sz="0" w:space="0" w:color="auto"/>
                                    <w:bottom w:val="none" w:sz="0" w:space="0" w:color="auto"/>
                                    <w:right w:val="none" w:sz="0" w:space="0" w:color="auto"/>
                                  </w:divBdr>
                                  <w:divsChild>
                                    <w:div w:id="974067491">
                                      <w:marLeft w:val="240"/>
                                      <w:marRight w:val="240"/>
                                      <w:marTop w:val="240"/>
                                      <w:marBottom w:val="0"/>
                                      <w:divBdr>
                                        <w:top w:val="none" w:sz="0" w:space="0" w:color="auto"/>
                                        <w:left w:val="none" w:sz="0" w:space="0" w:color="auto"/>
                                        <w:bottom w:val="none" w:sz="0" w:space="0" w:color="auto"/>
                                        <w:right w:val="none" w:sz="0" w:space="0" w:color="auto"/>
                                      </w:divBdr>
                                      <w:divsChild>
                                        <w:div w:id="577055335">
                                          <w:marLeft w:val="0"/>
                                          <w:marRight w:val="0"/>
                                          <w:marTop w:val="0"/>
                                          <w:marBottom w:val="0"/>
                                          <w:divBdr>
                                            <w:top w:val="none" w:sz="0" w:space="0" w:color="auto"/>
                                            <w:left w:val="none" w:sz="0" w:space="0" w:color="auto"/>
                                            <w:bottom w:val="none" w:sz="0" w:space="0" w:color="auto"/>
                                            <w:right w:val="none" w:sz="0" w:space="0" w:color="auto"/>
                                          </w:divBdr>
                                          <w:divsChild>
                                            <w:div w:id="36861971">
                                              <w:marLeft w:val="0"/>
                                              <w:marRight w:val="0"/>
                                              <w:marTop w:val="0"/>
                                              <w:marBottom w:val="0"/>
                                              <w:divBdr>
                                                <w:top w:val="none" w:sz="0" w:space="0" w:color="auto"/>
                                                <w:left w:val="none" w:sz="0" w:space="0" w:color="auto"/>
                                                <w:bottom w:val="none" w:sz="0" w:space="0" w:color="auto"/>
                                                <w:right w:val="none" w:sz="0" w:space="0" w:color="auto"/>
                                              </w:divBdr>
                                              <w:divsChild>
                                                <w:div w:id="1105921615">
                                                  <w:marLeft w:val="0"/>
                                                  <w:marRight w:val="0"/>
                                                  <w:marTop w:val="0"/>
                                                  <w:marBottom w:val="0"/>
                                                  <w:divBdr>
                                                    <w:top w:val="none" w:sz="0" w:space="0" w:color="auto"/>
                                                    <w:left w:val="none" w:sz="0" w:space="0" w:color="auto"/>
                                                    <w:bottom w:val="none" w:sz="0" w:space="0" w:color="auto"/>
                                                    <w:right w:val="none" w:sz="0" w:space="0" w:color="auto"/>
                                                  </w:divBdr>
                                                  <w:divsChild>
                                                    <w:div w:id="1969166099">
                                                      <w:marLeft w:val="0"/>
                                                      <w:marRight w:val="0"/>
                                                      <w:marTop w:val="0"/>
                                                      <w:marBottom w:val="120"/>
                                                      <w:divBdr>
                                                        <w:top w:val="none" w:sz="0" w:space="0" w:color="auto"/>
                                                        <w:left w:val="none" w:sz="0" w:space="0" w:color="auto"/>
                                                        <w:bottom w:val="none" w:sz="0" w:space="0" w:color="auto"/>
                                                        <w:right w:val="none" w:sz="0" w:space="0" w:color="auto"/>
                                                      </w:divBdr>
                                                      <w:divsChild>
                                                        <w:div w:id="1715618427">
                                                          <w:marLeft w:val="0"/>
                                                          <w:marRight w:val="0"/>
                                                          <w:marTop w:val="0"/>
                                                          <w:marBottom w:val="0"/>
                                                          <w:divBdr>
                                                            <w:top w:val="none" w:sz="0" w:space="0" w:color="auto"/>
                                                            <w:left w:val="none" w:sz="0" w:space="0" w:color="auto"/>
                                                            <w:bottom w:val="none" w:sz="0" w:space="0" w:color="auto"/>
                                                            <w:right w:val="none" w:sz="0" w:space="0" w:color="auto"/>
                                                          </w:divBdr>
                                                          <w:divsChild>
                                                            <w:div w:id="5066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theme" Target="theme/theme1.xml"/><Relationship Id="rId10" Type="http://schemas.openxmlformats.org/officeDocument/2006/relationships/hyperlink" Target="mailto:AERInquiry@aer.gov.au" TargetMode="Externa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Colors" Target="diagrams/colors1.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file:///\\cbrvpwxfs01\home$\rlowi\www.aer.gov.au\node\20941" TargetMode="External"/><Relationship Id="rId2" Type="http://schemas.openxmlformats.org/officeDocument/2006/relationships/hyperlink" Target="http://www.aer.gov.au/node/20187" TargetMode="External"/><Relationship Id="rId1" Type="http://schemas.openxmlformats.org/officeDocument/2006/relationships/hyperlink" Target="http://www.aer.gov.au/Better-regulation-reform-program"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89C552E-BBC6-4E4A-9463-1DC71C4E825F}" type="doc">
      <dgm:prSet loTypeId="urn:microsoft.com/office/officeart/2005/8/layout/process1" loCatId="process" qsTypeId="urn:microsoft.com/office/officeart/2005/8/quickstyle/simple1" qsCatId="simple" csTypeId="urn:microsoft.com/office/officeart/2005/8/colors/accent1_2" csCatId="accent1" phldr="1"/>
      <dgm:spPr/>
    </dgm:pt>
    <dgm:pt modelId="{9C4D24EE-833F-4AC2-A7F0-714A86855E11}">
      <dgm:prSet phldrT="[Text]"/>
      <dgm:spPr/>
      <dgm:t>
        <a:bodyPr/>
        <a:lstStyle/>
        <a:p>
          <a:r>
            <a:rPr lang="en-AU"/>
            <a:t>Decision to replace F&amp;A</a:t>
          </a:r>
        </a:p>
        <a:p>
          <a:r>
            <a:rPr lang="en-AU"/>
            <a:t>September 2013</a:t>
          </a:r>
        </a:p>
      </dgm:t>
    </dgm:pt>
    <dgm:pt modelId="{7D81FD87-FD6A-4D46-8D95-DCD5D8D5AFF0}" type="parTrans" cxnId="{EB37AFD1-7AF0-4D80-94EF-9E3A77CB2A36}">
      <dgm:prSet/>
      <dgm:spPr/>
      <dgm:t>
        <a:bodyPr/>
        <a:lstStyle/>
        <a:p>
          <a:endParaRPr lang="en-AU"/>
        </a:p>
      </dgm:t>
    </dgm:pt>
    <dgm:pt modelId="{8D9E78B9-D047-4E46-B379-021C7BA2516E}" type="sibTrans" cxnId="{EB37AFD1-7AF0-4D80-94EF-9E3A77CB2A36}">
      <dgm:prSet/>
      <dgm:spPr/>
      <dgm:t>
        <a:bodyPr/>
        <a:lstStyle/>
        <a:p>
          <a:endParaRPr lang="en-AU"/>
        </a:p>
      </dgm:t>
    </dgm:pt>
    <dgm:pt modelId="{6EF4CEF8-8B5C-40EE-B1C8-1C80779DF1CA}">
      <dgm:prSet phldrT="[Text]"/>
      <dgm:spPr/>
      <dgm:t>
        <a:bodyPr/>
        <a:lstStyle/>
        <a:p>
          <a:r>
            <a:rPr lang="en-AU"/>
            <a:t>Preliminary positions F&amp;A</a:t>
          </a:r>
        </a:p>
        <a:p>
          <a:r>
            <a:rPr lang="en-AU"/>
            <a:t>December 2013</a:t>
          </a:r>
        </a:p>
      </dgm:t>
    </dgm:pt>
    <dgm:pt modelId="{C7168772-1E2E-41DD-B279-1F528A6066E5}" type="parTrans" cxnId="{C44B0174-803F-476A-A7D6-04191781BCCC}">
      <dgm:prSet/>
      <dgm:spPr/>
      <dgm:t>
        <a:bodyPr/>
        <a:lstStyle/>
        <a:p>
          <a:endParaRPr lang="en-AU"/>
        </a:p>
      </dgm:t>
    </dgm:pt>
    <dgm:pt modelId="{D4AE801F-FD08-47D5-B4CB-31DBE7481397}" type="sibTrans" cxnId="{C44B0174-803F-476A-A7D6-04191781BCCC}">
      <dgm:prSet/>
      <dgm:spPr/>
      <dgm:t>
        <a:bodyPr/>
        <a:lstStyle/>
        <a:p>
          <a:endParaRPr lang="en-AU"/>
        </a:p>
      </dgm:t>
    </dgm:pt>
    <dgm:pt modelId="{CA4D0DA2-9934-492C-8A57-E35E4352E04D}">
      <dgm:prSet phldrT="[Text]"/>
      <dgm:spPr/>
      <dgm:t>
        <a:bodyPr/>
        <a:lstStyle/>
        <a:p>
          <a:r>
            <a:rPr lang="en-AU"/>
            <a:t>F&amp;A published</a:t>
          </a:r>
        </a:p>
        <a:p>
          <a:r>
            <a:rPr lang="en-AU"/>
            <a:t>April 2014</a:t>
          </a:r>
        </a:p>
      </dgm:t>
    </dgm:pt>
    <dgm:pt modelId="{92307DC4-3B85-4A50-8913-6A8A29B3FD7A}" type="parTrans" cxnId="{6EDB7694-FCE9-4118-9ABE-F18710030530}">
      <dgm:prSet/>
      <dgm:spPr/>
      <dgm:t>
        <a:bodyPr/>
        <a:lstStyle/>
        <a:p>
          <a:endParaRPr lang="en-AU"/>
        </a:p>
      </dgm:t>
    </dgm:pt>
    <dgm:pt modelId="{3F287283-88AE-4C20-B19B-F2C60D65C9DE}" type="sibTrans" cxnId="{6EDB7694-FCE9-4118-9ABE-F18710030530}">
      <dgm:prSet/>
      <dgm:spPr/>
      <dgm:t>
        <a:bodyPr/>
        <a:lstStyle/>
        <a:p>
          <a:endParaRPr lang="en-AU"/>
        </a:p>
      </dgm:t>
    </dgm:pt>
    <dgm:pt modelId="{246562A4-771D-4A3D-AE88-A5768686A428}">
      <dgm:prSet/>
      <dgm:spPr/>
      <dgm:t>
        <a:bodyPr/>
        <a:lstStyle/>
        <a:p>
          <a:r>
            <a:rPr lang="en-AU"/>
            <a:t>Businesses submit regulatory proposals</a:t>
          </a:r>
        </a:p>
        <a:p>
          <a:r>
            <a:rPr lang="en-AU"/>
            <a:t>October 2014</a:t>
          </a:r>
        </a:p>
      </dgm:t>
    </dgm:pt>
    <dgm:pt modelId="{889656C1-5E8F-41A6-88E7-833526C053B4}" type="parTrans" cxnId="{11D56FB8-3AAB-4C24-B472-961B05B77506}">
      <dgm:prSet/>
      <dgm:spPr/>
      <dgm:t>
        <a:bodyPr/>
        <a:lstStyle/>
        <a:p>
          <a:endParaRPr lang="en-AU"/>
        </a:p>
      </dgm:t>
    </dgm:pt>
    <dgm:pt modelId="{EC060156-C9BC-48A6-A72E-4EE4E760E8AD}" type="sibTrans" cxnId="{11D56FB8-3AAB-4C24-B472-961B05B77506}">
      <dgm:prSet/>
      <dgm:spPr/>
      <dgm:t>
        <a:bodyPr/>
        <a:lstStyle/>
        <a:p>
          <a:endParaRPr lang="en-AU"/>
        </a:p>
      </dgm:t>
    </dgm:pt>
    <dgm:pt modelId="{BBE6A144-C122-4F5E-BEFF-7BD09B3159E9}">
      <dgm:prSet/>
      <dgm:spPr/>
      <dgm:t>
        <a:bodyPr/>
        <a:lstStyle/>
        <a:p>
          <a:r>
            <a:rPr lang="en-AU"/>
            <a:t>AER review process  continues</a:t>
          </a:r>
        </a:p>
        <a:p>
          <a:r>
            <a:rPr lang="en-AU"/>
            <a:t>through 2015</a:t>
          </a:r>
        </a:p>
      </dgm:t>
    </dgm:pt>
    <dgm:pt modelId="{FD6E8E88-CE3A-4B66-8170-359F67AFC83B}" type="parTrans" cxnId="{A1FE99FD-CB72-4076-AC44-D0CCC67003E0}">
      <dgm:prSet/>
      <dgm:spPr/>
      <dgm:t>
        <a:bodyPr/>
        <a:lstStyle/>
        <a:p>
          <a:endParaRPr lang="en-AU"/>
        </a:p>
      </dgm:t>
    </dgm:pt>
    <dgm:pt modelId="{DDE0F575-D4F4-49B6-8003-F2207F89C41D}" type="sibTrans" cxnId="{A1FE99FD-CB72-4076-AC44-D0CCC67003E0}">
      <dgm:prSet/>
      <dgm:spPr/>
      <dgm:t>
        <a:bodyPr/>
        <a:lstStyle/>
        <a:p>
          <a:endParaRPr lang="en-AU"/>
        </a:p>
      </dgm:t>
    </dgm:pt>
    <dgm:pt modelId="{F991F726-47F1-4899-9123-B9B856358CC9}">
      <dgm:prSet/>
      <dgm:spPr/>
      <dgm:t>
        <a:bodyPr/>
        <a:lstStyle/>
        <a:p>
          <a:r>
            <a:rPr lang="en-AU"/>
            <a:t>New prices apply </a:t>
          </a:r>
        </a:p>
        <a:p>
          <a:r>
            <a:rPr lang="en-AU"/>
            <a:t>1 July 2015</a:t>
          </a:r>
        </a:p>
      </dgm:t>
    </dgm:pt>
    <dgm:pt modelId="{4B139DC6-532B-44A6-9256-ACA813B10EBE}" type="parTrans" cxnId="{A26A8369-237F-4A3B-A16D-57A48A60AF37}">
      <dgm:prSet/>
      <dgm:spPr/>
      <dgm:t>
        <a:bodyPr/>
        <a:lstStyle/>
        <a:p>
          <a:endParaRPr lang="en-AU"/>
        </a:p>
      </dgm:t>
    </dgm:pt>
    <dgm:pt modelId="{9BC9FBF1-2836-4F65-86DC-340D720A3CFD}" type="sibTrans" cxnId="{A26A8369-237F-4A3B-A16D-57A48A60AF37}">
      <dgm:prSet/>
      <dgm:spPr/>
      <dgm:t>
        <a:bodyPr/>
        <a:lstStyle/>
        <a:p>
          <a:endParaRPr lang="en-AU"/>
        </a:p>
      </dgm:t>
    </dgm:pt>
    <dgm:pt modelId="{CBD416F2-278C-4DBE-956E-E089DABBE38B}" type="pres">
      <dgm:prSet presAssocID="{589C552E-BBC6-4E4A-9463-1DC71C4E825F}" presName="Name0" presStyleCnt="0">
        <dgm:presLayoutVars>
          <dgm:dir/>
          <dgm:resizeHandles val="exact"/>
        </dgm:presLayoutVars>
      </dgm:prSet>
      <dgm:spPr/>
    </dgm:pt>
    <dgm:pt modelId="{56DBBAEC-E5DE-4BD1-9FB6-2C58CF3EC9A2}" type="pres">
      <dgm:prSet presAssocID="{9C4D24EE-833F-4AC2-A7F0-714A86855E11}" presName="node" presStyleLbl="node1" presStyleIdx="0" presStyleCnt="6">
        <dgm:presLayoutVars>
          <dgm:bulletEnabled val="1"/>
        </dgm:presLayoutVars>
      </dgm:prSet>
      <dgm:spPr/>
      <dgm:t>
        <a:bodyPr/>
        <a:lstStyle/>
        <a:p>
          <a:endParaRPr lang="en-AU"/>
        </a:p>
      </dgm:t>
    </dgm:pt>
    <dgm:pt modelId="{E11F1310-A00D-4243-ABAD-C5B36843122C}" type="pres">
      <dgm:prSet presAssocID="{8D9E78B9-D047-4E46-B379-021C7BA2516E}" presName="sibTrans" presStyleLbl="sibTrans2D1" presStyleIdx="0" presStyleCnt="5"/>
      <dgm:spPr/>
      <dgm:t>
        <a:bodyPr/>
        <a:lstStyle/>
        <a:p>
          <a:endParaRPr lang="en-AU"/>
        </a:p>
      </dgm:t>
    </dgm:pt>
    <dgm:pt modelId="{86971F5E-B9DF-43D2-91C7-76860B6E36E3}" type="pres">
      <dgm:prSet presAssocID="{8D9E78B9-D047-4E46-B379-021C7BA2516E}" presName="connectorText" presStyleLbl="sibTrans2D1" presStyleIdx="0" presStyleCnt="5"/>
      <dgm:spPr/>
      <dgm:t>
        <a:bodyPr/>
        <a:lstStyle/>
        <a:p>
          <a:endParaRPr lang="en-AU"/>
        </a:p>
      </dgm:t>
    </dgm:pt>
    <dgm:pt modelId="{94B0A6B7-68C6-4865-BF2D-6FC9D0AD83A5}" type="pres">
      <dgm:prSet presAssocID="{6EF4CEF8-8B5C-40EE-B1C8-1C80779DF1CA}" presName="node" presStyleLbl="node1" presStyleIdx="1" presStyleCnt="6">
        <dgm:presLayoutVars>
          <dgm:bulletEnabled val="1"/>
        </dgm:presLayoutVars>
      </dgm:prSet>
      <dgm:spPr/>
      <dgm:t>
        <a:bodyPr/>
        <a:lstStyle/>
        <a:p>
          <a:endParaRPr lang="en-AU"/>
        </a:p>
      </dgm:t>
    </dgm:pt>
    <dgm:pt modelId="{2354249F-FEF2-44FA-ABB9-696C92010595}" type="pres">
      <dgm:prSet presAssocID="{D4AE801F-FD08-47D5-B4CB-31DBE7481397}" presName="sibTrans" presStyleLbl="sibTrans2D1" presStyleIdx="1" presStyleCnt="5"/>
      <dgm:spPr/>
      <dgm:t>
        <a:bodyPr/>
        <a:lstStyle/>
        <a:p>
          <a:endParaRPr lang="en-AU"/>
        </a:p>
      </dgm:t>
    </dgm:pt>
    <dgm:pt modelId="{3DA1E25C-1964-4EEB-B039-73A5F9C520F2}" type="pres">
      <dgm:prSet presAssocID="{D4AE801F-FD08-47D5-B4CB-31DBE7481397}" presName="connectorText" presStyleLbl="sibTrans2D1" presStyleIdx="1" presStyleCnt="5"/>
      <dgm:spPr/>
      <dgm:t>
        <a:bodyPr/>
        <a:lstStyle/>
        <a:p>
          <a:endParaRPr lang="en-AU"/>
        </a:p>
      </dgm:t>
    </dgm:pt>
    <dgm:pt modelId="{A56A1FBB-831E-4113-8D3F-36FBCE0F58EC}" type="pres">
      <dgm:prSet presAssocID="{CA4D0DA2-9934-492C-8A57-E35E4352E04D}" presName="node" presStyleLbl="node1" presStyleIdx="2" presStyleCnt="6">
        <dgm:presLayoutVars>
          <dgm:bulletEnabled val="1"/>
        </dgm:presLayoutVars>
      </dgm:prSet>
      <dgm:spPr/>
      <dgm:t>
        <a:bodyPr/>
        <a:lstStyle/>
        <a:p>
          <a:endParaRPr lang="en-AU"/>
        </a:p>
      </dgm:t>
    </dgm:pt>
    <dgm:pt modelId="{D0B016B8-2C7C-43B7-9E86-2D8352C1B53C}" type="pres">
      <dgm:prSet presAssocID="{3F287283-88AE-4C20-B19B-F2C60D65C9DE}" presName="sibTrans" presStyleLbl="sibTrans2D1" presStyleIdx="2" presStyleCnt="5"/>
      <dgm:spPr/>
      <dgm:t>
        <a:bodyPr/>
        <a:lstStyle/>
        <a:p>
          <a:endParaRPr lang="en-AU"/>
        </a:p>
      </dgm:t>
    </dgm:pt>
    <dgm:pt modelId="{7E5291B0-2A35-415D-A6EC-E7A18BA50075}" type="pres">
      <dgm:prSet presAssocID="{3F287283-88AE-4C20-B19B-F2C60D65C9DE}" presName="connectorText" presStyleLbl="sibTrans2D1" presStyleIdx="2" presStyleCnt="5"/>
      <dgm:spPr/>
      <dgm:t>
        <a:bodyPr/>
        <a:lstStyle/>
        <a:p>
          <a:endParaRPr lang="en-AU"/>
        </a:p>
      </dgm:t>
    </dgm:pt>
    <dgm:pt modelId="{2BA99A85-8184-432C-B56A-B36AE9CEEF0E}" type="pres">
      <dgm:prSet presAssocID="{246562A4-771D-4A3D-AE88-A5768686A428}" presName="node" presStyleLbl="node1" presStyleIdx="3" presStyleCnt="6">
        <dgm:presLayoutVars>
          <dgm:bulletEnabled val="1"/>
        </dgm:presLayoutVars>
      </dgm:prSet>
      <dgm:spPr/>
      <dgm:t>
        <a:bodyPr/>
        <a:lstStyle/>
        <a:p>
          <a:endParaRPr lang="en-AU"/>
        </a:p>
      </dgm:t>
    </dgm:pt>
    <dgm:pt modelId="{C29E94B8-1BA5-4AFD-882F-496E1B151678}" type="pres">
      <dgm:prSet presAssocID="{EC060156-C9BC-48A6-A72E-4EE4E760E8AD}" presName="sibTrans" presStyleLbl="sibTrans2D1" presStyleIdx="3" presStyleCnt="5"/>
      <dgm:spPr/>
      <dgm:t>
        <a:bodyPr/>
        <a:lstStyle/>
        <a:p>
          <a:endParaRPr lang="en-AU"/>
        </a:p>
      </dgm:t>
    </dgm:pt>
    <dgm:pt modelId="{2F5AE374-6F46-4D88-8D46-32971D931E15}" type="pres">
      <dgm:prSet presAssocID="{EC060156-C9BC-48A6-A72E-4EE4E760E8AD}" presName="connectorText" presStyleLbl="sibTrans2D1" presStyleIdx="3" presStyleCnt="5"/>
      <dgm:spPr/>
      <dgm:t>
        <a:bodyPr/>
        <a:lstStyle/>
        <a:p>
          <a:endParaRPr lang="en-AU"/>
        </a:p>
      </dgm:t>
    </dgm:pt>
    <dgm:pt modelId="{22B67C8F-0775-4628-BF03-724693E8BC4F}" type="pres">
      <dgm:prSet presAssocID="{BBE6A144-C122-4F5E-BEFF-7BD09B3159E9}" presName="node" presStyleLbl="node1" presStyleIdx="4" presStyleCnt="6">
        <dgm:presLayoutVars>
          <dgm:bulletEnabled val="1"/>
        </dgm:presLayoutVars>
      </dgm:prSet>
      <dgm:spPr/>
      <dgm:t>
        <a:bodyPr/>
        <a:lstStyle/>
        <a:p>
          <a:endParaRPr lang="en-AU"/>
        </a:p>
      </dgm:t>
    </dgm:pt>
    <dgm:pt modelId="{119ABD66-3638-4306-9F60-9A1A61B4EFF0}" type="pres">
      <dgm:prSet presAssocID="{DDE0F575-D4F4-49B6-8003-F2207F89C41D}" presName="sibTrans" presStyleLbl="sibTrans2D1" presStyleIdx="4" presStyleCnt="5"/>
      <dgm:spPr/>
      <dgm:t>
        <a:bodyPr/>
        <a:lstStyle/>
        <a:p>
          <a:endParaRPr lang="en-AU"/>
        </a:p>
      </dgm:t>
    </dgm:pt>
    <dgm:pt modelId="{792C6D78-DFDC-4D14-80FB-F3E3A7E96BAF}" type="pres">
      <dgm:prSet presAssocID="{DDE0F575-D4F4-49B6-8003-F2207F89C41D}" presName="connectorText" presStyleLbl="sibTrans2D1" presStyleIdx="4" presStyleCnt="5"/>
      <dgm:spPr/>
      <dgm:t>
        <a:bodyPr/>
        <a:lstStyle/>
        <a:p>
          <a:endParaRPr lang="en-AU"/>
        </a:p>
      </dgm:t>
    </dgm:pt>
    <dgm:pt modelId="{426DEF53-F8A6-43CA-9D0C-F8584B82BF0E}" type="pres">
      <dgm:prSet presAssocID="{F991F726-47F1-4899-9123-B9B856358CC9}" presName="node" presStyleLbl="node1" presStyleIdx="5" presStyleCnt="6">
        <dgm:presLayoutVars>
          <dgm:bulletEnabled val="1"/>
        </dgm:presLayoutVars>
      </dgm:prSet>
      <dgm:spPr/>
      <dgm:t>
        <a:bodyPr/>
        <a:lstStyle/>
        <a:p>
          <a:endParaRPr lang="en-AU"/>
        </a:p>
      </dgm:t>
    </dgm:pt>
  </dgm:ptLst>
  <dgm:cxnLst>
    <dgm:cxn modelId="{46677AB3-F221-4416-BD1E-0658CC443D96}" type="presOf" srcId="{BBE6A144-C122-4F5E-BEFF-7BD09B3159E9}" destId="{22B67C8F-0775-4628-BF03-724693E8BC4F}" srcOrd="0" destOrd="0" presId="urn:microsoft.com/office/officeart/2005/8/layout/process1"/>
    <dgm:cxn modelId="{A26A8369-237F-4A3B-A16D-57A48A60AF37}" srcId="{589C552E-BBC6-4E4A-9463-1DC71C4E825F}" destId="{F991F726-47F1-4899-9123-B9B856358CC9}" srcOrd="5" destOrd="0" parTransId="{4B139DC6-532B-44A6-9256-ACA813B10EBE}" sibTransId="{9BC9FBF1-2836-4F65-86DC-340D720A3CFD}"/>
    <dgm:cxn modelId="{12141063-FAD8-486F-BB2C-7B9788A52F32}" type="presOf" srcId="{D4AE801F-FD08-47D5-B4CB-31DBE7481397}" destId="{3DA1E25C-1964-4EEB-B039-73A5F9C520F2}" srcOrd="1" destOrd="0" presId="urn:microsoft.com/office/officeart/2005/8/layout/process1"/>
    <dgm:cxn modelId="{A14BD122-99FA-4645-A159-FF20B726A611}" type="presOf" srcId="{EC060156-C9BC-48A6-A72E-4EE4E760E8AD}" destId="{2F5AE374-6F46-4D88-8D46-32971D931E15}" srcOrd="1" destOrd="0" presId="urn:microsoft.com/office/officeart/2005/8/layout/process1"/>
    <dgm:cxn modelId="{EB37AFD1-7AF0-4D80-94EF-9E3A77CB2A36}" srcId="{589C552E-BBC6-4E4A-9463-1DC71C4E825F}" destId="{9C4D24EE-833F-4AC2-A7F0-714A86855E11}" srcOrd="0" destOrd="0" parTransId="{7D81FD87-FD6A-4D46-8D95-DCD5D8D5AFF0}" sibTransId="{8D9E78B9-D047-4E46-B379-021C7BA2516E}"/>
    <dgm:cxn modelId="{1C9758BC-5719-4371-9136-B19460895905}" type="presOf" srcId="{246562A4-771D-4A3D-AE88-A5768686A428}" destId="{2BA99A85-8184-432C-B56A-B36AE9CEEF0E}" srcOrd="0" destOrd="0" presId="urn:microsoft.com/office/officeart/2005/8/layout/process1"/>
    <dgm:cxn modelId="{CF8DA183-B9DF-4178-8985-0BDF07836A9C}" type="presOf" srcId="{8D9E78B9-D047-4E46-B379-021C7BA2516E}" destId="{E11F1310-A00D-4243-ABAD-C5B36843122C}" srcOrd="0" destOrd="0" presId="urn:microsoft.com/office/officeart/2005/8/layout/process1"/>
    <dgm:cxn modelId="{C44B0174-803F-476A-A7D6-04191781BCCC}" srcId="{589C552E-BBC6-4E4A-9463-1DC71C4E825F}" destId="{6EF4CEF8-8B5C-40EE-B1C8-1C80779DF1CA}" srcOrd="1" destOrd="0" parTransId="{C7168772-1E2E-41DD-B279-1F528A6066E5}" sibTransId="{D4AE801F-FD08-47D5-B4CB-31DBE7481397}"/>
    <dgm:cxn modelId="{B28129E2-18B6-49F3-8406-8ADF4096D4AF}" type="presOf" srcId="{CA4D0DA2-9934-492C-8A57-E35E4352E04D}" destId="{A56A1FBB-831E-4113-8D3F-36FBCE0F58EC}" srcOrd="0" destOrd="0" presId="urn:microsoft.com/office/officeart/2005/8/layout/process1"/>
    <dgm:cxn modelId="{48D5F40F-8F82-4FE3-9FA4-1B7882F2A5B2}" type="presOf" srcId="{9C4D24EE-833F-4AC2-A7F0-714A86855E11}" destId="{56DBBAEC-E5DE-4BD1-9FB6-2C58CF3EC9A2}" srcOrd="0" destOrd="0" presId="urn:microsoft.com/office/officeart/2005/8/layout/process1"/>
    <dgm:cxn modelId="{A1FE99FD-CB72-4076-AC44-D0CCC67003E0}" srcId="{589C552E-BBC6-4E4A-9463-1DC71C4E825F}" destId="{BBE6A144-C122-4F5E-BEFF-7BD09B3159E9}" srcOrd="4" destOrd="0" parTransId="{FD6E8E88-CE3A-4B66-8170-359F67AFC83B}" sibTransId="{DDE0F575-D4F4-49B6-8003-F2207F89C41D}"/>
    <dgm:cxn modelId="{3D7F59DD-F977-4BD1-BE28-B366F45BA415}" type="presOf" srcId="{EC060156-C9BC-48A6-A72E-4EE4E760E8AD}" destId="{C29E94B8-1BA5-4AFD-882F-496E1B151678}" srcOrd="0" destOrd="0" presId="urn:microsoft.com/office/officeart/2005/8/layout/process1"/>
    <dgm:cxn modelId="{29E5CB3A-F1EA-4168-AB08-41B258C49520}" type="presOf" srcId="{8D9E78B9-D047-4E46-B379-021C7BA2516E}" destId="{86971F5E-B9DF-43D2-91C7-76860B6E36E3}" srcOrd="1" destOrd="0" presId="urn:microsoft.com/office/officeart/2005/8/layout/process1"/>
    <dgm:cxn modelId="{BC854697-3EF1-4EB1-B5BA-DC9F30DAB6A5}" type="presOf" srcId="{3F287283-88AE-4C20-B19B-F2C60D65C9DE}" destId="{7E5291B0-2A35-415D-A6EC-E7A18BA50075}" srcOrd="1" destOrd="0" presId="urn:microsoft.com/office/officeart/2005/8/layout/process1"/>
    <dgm:cxn modelId="{2A65D2A9-B7FA-4C79-B71A-7761760397FD}" type="presOf" srcId="{589C552E-BBC6-4E4A-9463-1DC71C4E825F}" destId="{CBD416F2-278C-4DBE-956E-E089DABBE38B}" srcOrd="0" destOrd="0" presId="urn:microsoft.com/office/officeart/2005/8/layout/process1"/>
    <dgm:cxn modelId="{11D56FB8-3AAB-4C24-B472-961B05B77506}" srcId="{589C552E-BBC6-4E4A-9463-1DC71C4E825F}" destId="{246562A4-771D-4A3D-AE88-A5768686A428}" srcOrd="3" destOrd="0" parTransId="{889656C1-5E8F-41A6-88E7-833526C053B4}" sibTransId="{EC060156-C9BC-48A6-A72E-4EE4E760E8AD}"/>
    <dgm:cxn modelId="{0049A548-3DDC-411E-A688-153FC0FED307}" type="presOf" srcId="{DDE0F575-D4F4-49B6-8003-F2207F89C41D}" destId="{792C6D78-DFDC-4D14-80FB-F3E3A7E96BAF}" srcOrd="1" destOrd="0" presId="urn:microsoft.com/office/officeart/2005/8/layout/process1"/>
    <dgm:cxn modelId="{4C6D7E49-2CD5-41A5-81F0-9362E287A4CC}" type="presOf" srcId="{F991F726-47F1-4899-9123-B9B856358CC9}" destId="{426DEF53-F8A6-43CA-9D0C-F8584B82BF0E}" srcOrd="0" destOrd="0" presId="urn:microsoft.com/office/officeart/2005/8/layout/process1"/>
    <dgm:cxn modelId="{6EDB7694-FCE9-4118-9ABE-F18710030530}" srcId="{589C552E-BBC6-4E4A-9463-1DC71C4E825F}" destId="{CA4D0DA2-9934-492C-8A57-E35E4352E04D}" srcOrd="2" destOrd="0" parTransId="{92307DC4-3B85-4A50-8913-6A8A29B3FD7A}" sibTransId="{3F287283-88AE-4C20-B19B-F2C60D65C9DE}"/>
    <dgm:cxn modelId="{276F1F8C-0B1F-4398-9421-5771BD75F8AB}" type="presOf" srcId="{6EF4CEF8-8B5C-40EE-B1C8-1C80779DF1CA}" destId="{94B0A6B7-68C6-4865-BF2D-6FC9D0AD83A5}" srcOrd="0" destOrd="0" presId="urn:microsoft.com/office/officeart/2005/8/layout/process1"/>
    <dgm:cxn modelId="{604E5060-A3F1-48A7-B797-ACEA5986FF3D}" type="presOf" srcId="{3F287283-88AE-4C20-B19B-F2C60D65C9DE}" destId="{D0B016B8-2C7C-43B7-9E86-2D8352C1B53C}" srcOrd="0" destOrd="0" presId="urn:microsoft.com/office/officeart/2005/8/layout/process1"/>
    <dgm:cxn modelId="{14049FC9-CCA3-41EA-889B-BA11991E4E87}" type="presOf" srcId="{DDE0F575-D4F4-49B6-8003-F2207F89C41D}" destId="{119ABD66-3638-4306-9F60-9A1A61B4EFF0}" srcOrd="0" destOrd="0" presId="urn:microsoft.com/office/officeart/2005/8/layout/process1"/>
    <dgm:cxn modelId="{FA4C36FE-E969-40E5-B403-DFBECB5696E3}" type="presOf" srcId="{D4AE801F-FD08-47D5-B4CB-31DBE7481397}" destId="{2354249F-FEF2-44FA-ABB9-696C92010595}" srcOrd="0" destOrd="0" presId="urn:microsoft.com/office/officeart/2005/8/layout/process1"/>
    <dgm:cxn modelId="{14AFCDC0-DDA2-4011-9937-C5B1D6ED45A4}" type="presParOf" srcId="{CBD416F2-278C-4DBE-956E-E089DABBE38B}" destId="{56DBBAEC-E5DE-4BD1-9FB6-2C58CF3EC9A2}" srcOrd="0" destOrd="0" presId="urn:microsoft.com/office/officeart/2005/8/layout/process1"/>
    <dgm:cxn modelId="{6281C0D7-218A-47C1-8CCB-C702338BA6A8}" type="presParOf" srcId="{CBD416F2-278C-4DBE-956E-E089DABBE38B}" destId="{E11F1310-A00D-4243-ABAD-C5B36843122C}" srcOrd="1" destOrd="0" presId="urn:microsoft.com/office/officeart/2005/8/layout/process1"/>
    <dgm:cxn modelId="{954C7A49-8427-4952-98D5-E745A7B97480}" type="presParOf" srcId="{E11F1310-A00D-4243-ABAD-C5B36843122C}" destId="{86971F5E-B9DF-43D2-91C7-76860B6E36E3}" srcOrd="0" destOrd="0" presId="urn:microsoft.com/office/officeart/2005/8/layout/process1"/>
    <dgm:cxn modelId="{57A19C01-92E7-41E5-82A3-07AEA982F054}" type="presParOf" srcId="{CBD416F2-278C-4DBE-956E-E089DABBE38B}" destId="{94B0A6B7-68C6-4865-BF2D-6FC9D0AD83A5}" srcOrd="2" destOrd="0" presId="urn:microsoft.com/office/officeart/2005/8/layout/process1"/>
    <dgm:cxn modelId="{D6E2A683-8E3C-4610-9A23-C5F6211A54D5}" type="presParOf" srcId="{CBD416F2-278C-4DBE-956E-E089DABBE38B}" destId="{2354249F-FEF2-44FA-ABB9-696C92010595}" srcOrd="3" destOrd="0" presId="urn:microsoft.com/office/officeart/2005/8/layout/process1"/>
    <dgm:cxn modelId="{BA36F3D7-B763-4A00-BAD8-1B5E6940EAD9}" type="presParOf" srcId="{2354249F-FEF2-44FA-ABB9-696C92010595}" destId="{3DA1E25C-1964-4EEB-B039-73A5F9C520F2}" srcOrd="0" destOrd="0" presId="urn:microsoft.com/office/officeart/2005/8/layout/process1"/>
    <dgm:cxn modelId="{D76F18A3-2909-4C36-8B3B-3B569E677217}" type="presParOf" srcId="{CBD416F2-278C-4DBE-956E-E089DABBE38B}" destId="{A56A1FBB-831E-4113-8D3F-36FBCE0F58EC}" srcOrd="4" destOrd="0" presId="urn:microsoft.com/office/officeart/2005/8/layout/process1"/>
    <dgm:cxn modelId="{F767D6FE-CF59-4169-A8F4-A478123CBBA4}" type="presParOf" srcId="{CBD416F2-278C-4DBE-956E-E089DABBE38B}" destId="{D0B016B8-2C7C-43B7-9E86-2D8352C1B53C}" srcOrd="5" destOrd="0" presId="urn:microsoft.com/office/officeart/2005/8/layout/process1"/>
    <dgm:cxn modelId="{AE15FEB3-B010-4BE2-A4C6-A1F9914EBCCF}" type="presParOf" srcId="{D0B016B8-2C7C-43B7-9E86-2D8352C1B53C}" destId="{7E5291B0-2A35-415D-A6EC-E7A18BA50075}" srcOrd="0" destOrd="0" presId="urn:microsoft.com/office/officeart/2005/8/layout/process1"/>
    <dgm:cxn modelId="{667FEB64-98E9-43E2-B9D1-024F89DC713A}" type="presParOf" srcId="{CBD416F2-278C-4DBE-956E-E089DABBE38B}" destId="{2BA99A85-8184-432C-B56A-B36AE9CEEF0E}" srcOrd="6" destOrd="0" presId="urn:microsoft.com/office/officeart/2005/8/layout/process1"/>
    <dgm:cxn modelId="{72696B18-BE94-4BC7-AB01-88B2EDD6D2B8}" type="presParOf" srcId="{CBD416F2-278C-4DBE-956E-E089DABBE38B}" destId="{C29E94B8-1BA5-4AFD-882F-496E1B151678}" srcOrd="7" destOrd="0" presId="urn:microsoft.com/office/officeart/2005/8/layout/process1"/>
    <dgm:cxn modelId="{26D6D78B-86BE-4860-8B8F-8371D6A80817}" type="presParOf" srcId="{C29E94B8-1BA5-4AFD-882F-496E1B151678}" destId="{2F5AE374-6F46-4D88-8D46-32971D931E15}" srcOrd="0" destOrd="0" presId="urn:microsoft.com/office/officeart/2005/8/layout/process1"/>
    <dgm:cxn modelId="{21A16C38-5E28-44E1-BC89-027EAA178ACD}" type="presParOf" srcId="{CBD416F2-278C-4DBE-956E-E089DABBE38B}" destId="{22B67C8F-0775-4628-BF03-724693E8BC4F}" srcOrd="8" destOrd="0" presId="urn:microsoft.com/office/officeart/2005/8/layout/process1"/>
    <dgm:cxn modelId="{6BAB6391-0401-49A0-912B-CE3025ACE7A7}" type="presParOf" srcId="{CBD416F2-278C-4DBE-956E-E089DABBE38B}" destId="{119ABD66-3638-4306-9F60-9A1A61B4EFF0}" srcOrd="9" destOrd="0" presId="urn:microsoft.com/office/officeart/2005/8/layout/process1"/>
    <dgm:cxn modelId="{CAD8C5E9-27C0-4738-B4A6-7DFD86083FD1}" type="presParOf" srcId="{119ABD66-3638-4306-9F60-9A1A61B4EFF0}" destId="{792C6D78-DFDC-4D14-80FB-F3E3A7E96BAF}" srcOrd="0" destOrd="0" presId="urn:microsoft.com/office/officeart/2005/8/layout/process1"/>
    <dgm:cxn modelId="{B4DD4750-7A17-4BC2-A6C2-1A2A01B222F4}" type="presParOf" srcId="{CBD416F2-278C-4DBE-956E-E089DABBE38B}" destId="{426DEF53-F8A6-43CA-9D0C-F8584B82BF0E}" srcOrd="10" destOrd="0" presId="urn:microsoft.com/office/officeart/2005/8/layout/process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DBBAEC-E5DE-4BD1-9FB6-2C58CF3EC9A2}">
      <dsp:nvSpPr>
        <dsp:cNvPr id="0" name=""/>
        <dsp:cNvSpPr/>
      </dsp:nvSpPr>
      <dsp:spPr>
        <a:xfrm>
          <a:off x="0" y="10159"/>
          <a:ext cx="722168" cy="91901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a:t>Decision to replace F&amp;A</a:t>
          </a:r>
        </a:p>
        <a:p>
          <a:pPr lvl="0" algn="ctr" defTabSz="400050">
            <a:lnSpc>
              <a:spcPct val="90000"/>
            </a:lnSpc>
            <a:spcBef>
              <a:spcPct val="0"/>
            </a:spcBef>
            <a:spcAft>
              <a:spcPct val="35000"/>
            </a:spcAft>
          </a:pPr>
          <a:r>
            <a:rPr lang="en-AU" sz="900" kern="1200"/>
            <a:t>September 2013</a:t>
          </a:r>
        </a:p>
      </dsp:txBody>
      <dsp:txXfrm>
        <a:off x="21152" y="31311"/>
        <a:ext cx="679864" cy="876715"/>
      </dsp:txXfrm>
    </dsp:sp>
    <dsp:sp modelId="{E11F1310-A00D-4243-ABAD-C5B36843122C}">
      <dsp:nvSpPr>
        <dsp:cNvPr id="0" name=""/>
        <dsp:cNvSpPr/>
      </dsp:nvSpPr>
      <dsp:spPr>
        <a:xfrm>
          <a:off x="794385" y="380120"/>
          <a:ext cx="153099" cy="17909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AU" sz="700" kern="1200"/>
        </a:p>
      </dsp:txBody>
      <dsp:txXfrm>
        <a:off x="794385" y="415939"/>
        <a:ext cx="107169" cy="107459"/>
      </dsp:txXfrm>
    </dsp:sp>
    <dsp:sp modelId="{94B0A6B7-68C6-4865-BF2D-6FC9D0AD83A5}">
      <dsp:nvSpPr>
        <dsp:cNvPr id="0" name=""/>
        <dsp:cNvSpPr/>
      </dsp:nvSpPr>
      <dsp:spPr>
        <a:xfrm>
          <a:off x="1011035" y="10159"/>
          <a:ext cx="722168" cy="91901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a:t>Preliminary positions F&amp;A</a:t>
          </a:r>
        </a:p>
        <a:p>
          <a:pPr lvl="0" algn="ctr" defTabSz="400050">
            <a:lnSpc>
              <a:spcPct val="90000"/>
            </a:lnSpc>
            <a:spcBef>
              <a:spcPct val="0"/>
            </a:spcBef>
            <a:spcAft>
              <a:spcPct val="35000"/>
            </a:spcAft>
          </a:pPr>
          <a:r>
            <a:rPr lang="en-AU" sz="900" kern="1200"/>
            <a:t>December 2013</a:t>
          </a:r>
        </a:p>
      </dsp:txBody>
      <dsp:txXfrm>
        <a:off x="1032187" y="31311"/>
        <a:ext cx="679864" cy="876715"/>
      </dsp:txXfrm>
    </dsp:sp>
    <dsp:sp modelId="{2354249F-FEF2-44FA-ABB9-696C92010595}">
      <dsp:nvSpPr>
        <dsp:cNvPr id="0" name=""/>
        <dsp:cNvSpPr/>
      </dsp:nvSpPr>
      <dsp:spPr>
        <a:xfrm>
          <a:off x="1805420" y="380120"/>
          <a:ext cx="153099" cy="17909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AU" sz="700" kern="1200"/>
        </a:p>
      </dsp:txBody>
      <dsp:txXfrm>
        <a:off x="1805420" y="415939"/>
        <a:ext cx="107169" cy="107459"/>
      </dsp:txXfrm>
    </dsp:sp>
    <dsp:sp modelId="{A56A1FBB-831E-4113-8D3F-36FBCE0F58EC}">
      <dsp:nvSpPr>
        <dsp:cNvPr id="0" name=""/>
        <dsp:cNvSpPr/>
      </dsp:nvSpPr>
      <dsp:spPr>
        <a:xfrm>
          <a:off x="2022071" y="10159"/>
          <a:ext cx="722168" cy="91901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a:t>F&amp;A published</a:t>
          </a:r>
        </a:p>
        <a:p>
          <a:pPr lvl="0" algn="ctr" defTabSz="400050">
            <a:lnSpc>
              <a:spcPct val="90000"/>
            </a:lnSpc>
            <a:spcBef>
              <a:spcPct val="0"/>
            </a:spcBef>
            <a:spcAft>
              <a:spcPct val="35000"/>
            </a:spcAft>
          </a:pPr>
          <a:r>
            <a:rPr lang="en-AU" sz="900" kern="1200"/>
            <a:t>April 2014</a:t>
          </a:r>
        </a:p>
      </dsp:txBody>
      <dsp:txXfrm>
        <a:off x="2043223" y="31311"/>
        <a:ext cx="679864" cy="876715"/>
      </dsp:txXfrm>
    </dsp:sp>
    <dsp:sp modelId="{D0B016B8-2C7C-43B7-9E86-2D8352C1B53C}">
      <dsp:nvSpPr>
        <dsp:cNvPr id="0" name=""/>
        <dsp:cNvSpPr/>
      </dsp:nvSpPr>
      <dsp:spPr>
        <a:xfrm>
          <a:off x="2816456" y="380120"/>
          <a:ext cx="153099" cy="17909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AU" sz="700" kern="1200"/>
        </a:p>
      </dsp:txBody>
      <dsp:txXfrm>
        <a:off x="2816456" y="415939"/>
        <a:ext cx="107169" cy="107459"/>
      </dsp:txXfrm>
    </dsp:sp>
    <dsp:sp modelId="{2BA99A85-8184-432C-B56A-B36AE9CEEF0E}">
      <dsp:nvSpPr>
        <dsp:cNvPr id="0" name=""/>
        <dsp:cNvSpPr/>
      </dsp:nvSpPr>
      <dsp:spPr>
        <a:xfrm>
          <a:off x="3033106" y="10159"/>
          <a:ext cx="722168" cy="91901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a:t>Businesses submit regulatory proposals</a:t>
          </a:r>
        </a:p>
        <a:p>
          <a:pPr lvl="0" algn="ctr" defTabSz="400050">
            <a:lnSpc>
              <a:spcPct val="90000"/>
            </a:lnSpc>
            <a:spcBef>
              <a:spcPct val="0"/>
            </a:spcBef>
            <a:spcAft>
              <a:spcPct val="35000"/>
            </a:spcAft>
          </a:pPr>
          <a:r>
            <a:rPr lang="en-AU" sz="900" kern="1200"/>
            <a:t>October 2014</a:t>
          </a:r>
        </a:p>
      </dsp:txBody>
      <dsp:txXfrm>
        <a:off x="3054258" y="31311"/>
        <a:ext cx="679864" cy="876715"/>
      </dsp:txXfrm>
    </dsp:sp>
    <dsp:sp modelId="{C29E94B8-1BA5-4AFD-882F-496E1B151678}">
      <dsp:nvSpPr>
        <dsp:cNvPr id="0" name=""/>
        <dsp:cNvSpPr/>
      </dsp:nvSpPr>
      <dsp:spPr>
        <a:xfrm>
          <a:off x="3827491" y="380120"/>
          <a:ext cx="153099" cy="17909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AU" sz="700" kern="1200"/>
        </a:p>
      </dsp:txBody>
      <dsp:txXfrm>
        <a:off x="3827491" y="415939"/>
        <a:ext cx="107169" cy="107459"/>
      </dsp:txXfrm>
    </dsp:sp>
    <dsp:sp modelId="{22B67C8F-0775-4628-BF03-724693E8BC4F}">
      <dsp:nvSpPr>
        <dsp:cNvPr id="0" name=""/>
        <dsp:cNvSpPr/>
      </dsp:nvSpPr>
      <dsp:spPr>
        <a:xfrm>
          <a:off x="4044142" y="10159"/>
          <a:ext cx="722168" cy="91901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a:t>AER review process  continues</a:t>
          </a:r>
        </a:p>
        <a:p>
          <a:pPr lvl="0" algn="ctr" defTabSz="400050">
            <a:lnSpc>
              <a:spcPct val="90000"/>
            </a:lnSpc>
            <a:spcBef>
              <a:spcPct val="0"/>
            </a:spcBef>
            <a:spcAft>
              <a:spcPct val="35000"/>
            </a:spcAft>
          </a:pPr>
          <a:r>
            <a:rPr lang="en-AU" sz="900" kern="1200"/>
            <a:t>through 2015</a:t>
          </a:r>
        </a:p>
      </dsp:txBody>
      <dsp:txXfrm>
        <a:off x="4065294" y="31311"/>
        <a:ext cx="679864" cy="876715"/>
      </dsp:txXfrm>
    </dsp:sp>
    <dsp:sp modelId="{119ABD66-3638-4306-9F60-9A1A61B4EFF0}">
      <dsp:nvSpPr>
        <dsp:cNvPr id="0" name=""/>
        <dsp:cNvSpPr/>
      </dsp:nvSpPr>
      <dsp:spPr>
        <a:xfrm>
          <a:off x="4838527" y="380120"/>
          <a:ext cx="153099" cy="17909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AU" sz="700" kern="1200"/>
        </a:p>
      </dsp:txBody>
      <dsp:txXfrm>
        <a:off x="4838527" y="415939"/>
        <a:ext cx="107169" cy="107459"/>
      </dsp:txXfrm>
    </dsp:sp>
    <dsp:sp modelId="{426DEF53-F8A6-43CA-9D0C-F8584B82BF0E}">
      <dsp:nvSpPr>
        <dsp:cNvPr id="0" name=""/>
        <dsp:cNvSpPr/>
      </dsp:nvSpPr>
      <dsp:spPr>
        <a:xfrm>
          <a:off x="5055177" y="10159"/>
          <a:ext cx="722168" cy="91901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a:t>New prices apply </a:t>
          </a:r>
        </a:p>
        <a:p>
          <a:pPr lvl="0" algn="ctr" defTabSz="400050">
            <a:lnSpc>
              <a:spcPct val="90000"/>
            </a:lnSpc>
            <a:spcBef>
              <a:spcPct val="0"/>
            </a:spcBef>
            <a:spcAft>
              <a:spcPct val="35000"/>
            </a:spcAft>
          </a:pPr>
          <a:r>
            <a:rPr lang="en-AU" sz="900" kern="1200"/>
            <a:t>1 July 2015</a:t>
          </a:r>
        </a:p>
      </dsp:txBody>
      <dsp:txXfrm>
        <a:off x="5076329" y="31311"/>
        <a:ext cx="679864" cy="87671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620018-3CC2-49E6-B567-E73533F97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3460</Words>
  <Characters>19724</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ACCC</Company>
  <LinksUpToDate>false</LinksUpToDate>
  <CharactersWithSpaces>23138</CharactersWithSpaces>
  <SharedDoc>false</SharedDoc>
  <HLinks>
    <vt:vector size="108" baseType="variant">
      <vt:variant>
        <vt:i4>1048636</vt:i4>
      </vt:variant>
      <vt:variant>
        <vt:i4>104</vt:i4>
      </vt:variant>
      <vt:variant>
        <vt:i4>0</vt:i4>
      </vt:variant>
      <vt:variant>
        <vt:i4>5</vt:i4>
      </vt:variant>
      <vt:variant>
        <vt:lpwstr/>
      </vt:variant>
      <vt:variant>
        <vt:lpwstr>_Toc322596469</vt:lpwstr>
      </vt:variant>
      <vt:variant>
        <vt:i4>1048636</vt:i4>
      </vt:variant>
      <vt:variant>
        <vt:i4>98</vt:i4>
      </vt:variant>
      <vt:variant>
        <vt:i4>0</vt:i4>
      </vt:variant>
      <vt:variant>
        <vt:i4>5</vt:i4>
      </vt:variant>
      <vt:variant>
        <vt:lpwstr/>
      </vt:variant>
      <vt:variant>
        <vt:lpwstr>_Toc322596468</vt:lpwstr>
      </vt:variant>
      <vt:variant>
        <vt:i4>1048636</vt:i4>
      </vt:variant>
      <vt:variant>
        <vt:i4>92</vt:i4>
      </vt:variant>
      <vt:variant>
        <vt:i4>0</vt:i4>
      </vt:variant>
      <vt:variant>
        <vt:i4>5</vt:i4>
      </vt:variant>
      <vt:variant>
        <vt:lpwstr/>
      </vt:variant>
      <vt:variant>
        <vt:lpwstr>_Toc322596467</vt:lpwstr>
      </vt:variant>
      <vt:variant>
        <vt:i4>1048636</vt:i4>
      </vt:variant>
      <vt:variant>
        <vt:i4>86</vt:i4>
      </vt:variant>
      <vt:variant>
        <vt:i4>0</vt:i4>
      </vt:variant>
      <vt:variant>
        <vt:i4>5</vt:i4>
      </vt:variant>
      <vt:variant>
        <vt:lpwstr/>
      </vt:variant>
      <vt:variant>
        <vt:lpwstr>_Toc322596466</vt:lpwstr>
      </vt:variant>
      <vt:variant>
        <vt:i4>1048636</vt:i4>
      </vt:variant>
      <vt:variant>
        <vt:i4>80</vt:i4>
      </vt:variant>
      <vt:variant>
        <vt:i4>0</vt:i4>
      </vt:variant>
      <vt:variant>
        <vt:i4>5</vt:i4>
      </vt:variant>
      <vt:variant>
        <vt:lpwstr/>
      </vt:variant>
      <vt:variant>
        <vt:lpwstr>_Toc322596465</vt:lpwstr>
      </vt:variant>
      <vt:variant>
        <vt:i4>1048636</vt:i4>
      </vt:variant>
      <vt:variant>
        <vt:i4>74</vt:i4>
      </vt:variant>
      <vt:variant>
        <vt:i4>0</vt:i4>
      </vt:variant>
      <vt:variant>
        <vt:i4>5</vt:i4>
      </vt:variant>
      <vt:variant>
        <vt:lpwstr/>
      </vt:variant>
      <vt:variant>
        <vt:lpwstr>_Toc322596464</vt:lpwstr>
      </vt:variant>
      <vt:variant>
        <vt:i4>1048636</vt:i4>
      </vt:variant>
      <vt:variant>
        <vt:i4>68</vt:i4>
      </vt:variant>
      <vt:variant>
        <vt:i4>0</vt:i4>
      </vt:variant>
      <vt:variant>
        <vt:i4>5</vt:i4>
      </vt:variant>
      <vt:variant>
        <vt:lpwstr/>
      </vt:variant>
      <vt:variant>
        <vt:lpwstr>_Toc322596463</vt:lpwstr>
      </vt:variant>
      <vt:variant>
        <vt:i4>1048636</vt:i4>
      </vt:variant>
      <vt:variant>
        <vt:i4>62</vt:i4>
      </vt:variant>
      <vt:variant>
        <vt:i4>0</vt:i4>
      </vt:variant>
      <vt:variant>
        <vt:i4>5</vt:i4>
      </vt:variant>
      <vt:variant>
        <vt:lpwstr/>
      </vt:variant>
      <vt:variant>
        <vt:lpwstr>_Toc322596462</vt:lpwstr>
      </vt:variant>
      <vt:variant>
        <vt:i4>1048636</vt:i4>
      </vt:variant>
      <vt:variant>
        <vt:i4>56</vt:i4>
      </vt:variant>
      <vt:variant>
        <vt:i4>0</vt:i4>
      </vt:variant>
      <vt:variant>
        <vt:i4>5</vt:i4>
      </vt:variant>
      <vt:variant>
        <vt:lpwstr/>
      </vt:variant>
      <vt:variant>
        <vt:lpwstr>_Toc322596461</vt:lpwstr>
      </vt:variant>
      <vt:variant>
        <vt:i4>1048636</vt:i4>
      </vt:variant>
      <vt:variant>
        <vt:i4>50</vt:i4>
      </vt:variant>
      <vt:variant>
        <vt:i4>0</vt:i4>
      </vt:variant>
      <vt:variant>
        <vt:i4>5</vt:i4>
      </vt:variant>
      <vt:variant>
        <vt:lpwstr/>
      </vt:variant>
      <vt:variant>
        <vt:lpwstr>_Toc322596460</vt:lpwstr>
      </vt:variant>
      <vt:variant>
        <vt:i4>1245244</vt:i4>
      </vt:variant>
      <vt:variant>
        <vt:i4>44</vt:i4>
      </vt:variant>
      <vt:variant>
        <vt:i4>0</vt:i4>
      </vt:variant>
      <vt:variant>
        <vt:i4>5</vt:i4>
      </vt:variant>
      <vt:variant>
        <vt:lpwstr/>
      </vt:variant>
      <vt:variant>
        <vt:lpwstr>_Toc322596459</vt:lpwstr>
      </vt:variant>
      <vt:variant>
        <vt:i4>1245244</vt:i4>
      </vt:variant>
      <vt:variant>
        <vt:i4>38</vt:i4>
      </vt:variant>
      <vt:variant>
        <vt:i4>0</vt:i4>
      </vt:variant>
      <vt:variant>
        <vt:i4>5</vt:i4>
      </vt:variant>
      <vt:variant>
        <vt:lpwstr/>
      </vt:variant>
      <vt:variant>
        <vt:lpwstr>_Toc322596458</vt:lpwstr>
      </vt:variant>
      <vt:variant>
        <vt:i4>1245244</vt:i4>
      </vt:variant>
      <vt:variant>
        <vt:i4>32</vt:i4>
      </vt:variant>
      <vt:variant>
        <vt:i4>0</vt:i4>
      </vt:variant>
      <vt:variant>
        <vt:i4>5</vt:i4>
      </vt:variant>
      <vt:variant>
        <vt:lpwstr/>
      </vt:variant>
      <vt:variant>
        <vt:lpwstr>_Toc322596457</vt:lpwstr>
      </vt:variant>
      <vt:variant>
        <vt:i4>1245244</vt:i4>
      </vt:variant>
      <vt:variant>
        <vt:i4>26</vt:i4>
      </vt:variant>
      <vt:variant>
        <vt:i4>0</vt:i4>
      </vt:variant>
      <vt:variant>
        <vt:i4>5</vt:i4>
      </vt:variant>
      <vt:variant>
        <vt:lpwstr/>
      </vt:variant>
      <vt:variant>
        <vt:lpwstr>_Toc322596456</vt:lpwstr>
      </vt:variant>
      <vt:variant>
        <vt:i4>1245244</vt:i4>
      </vt:variant>
      <vt:variant>
        <vt:i4>20</vt:i4>
      </vt:variant>
      <vt:variant>
        <vt:i4>0</vt:i4>
      </vt:variant>
      <vt:variant>
        <vt:i4>5</vt:i4>
      </vt:variant>
      <vt:variant>
        <vt:lpwstr/>
      </vt:variant>
      <vt:variant>
        <vt:lpwstr>_Toc322596455</vt:lpwstr>
      </vt:variant>
      <vt:variant>
        <vt:i4>1245244</vt:i4>
      </vt:variant>
      <vt:variant>
        <vt:i4>14</vt:i4>
      </vt:variant>
      <vt:variant>
        <vt:i4>0</vt:i4>
      </vt:variant>
      <vt:variant>
        <vt:i4>5</vt:i4>
      </vt:variant>
      <vt:variant>
        <vt:lpwstr/>
      </vt:variant>
      <vt:variant>
        <vt:lpwstr>_Toc322596454</vt:lpwstr>
      </vt:variant>
      <vt:variant>
        <vt:i4>1245244</vt:i4>
      </vt:variant>
      <vt:variant>
        <vt:i4>8</vt:i4>
      </vt:variant>
      <vt:variant>
        <vt:i4>0</vt:i4>
      </vt:variant>
      <vt:variant>
        <vt:i4>5</vt:i4>
      </vt:variant>
      <vt:variant>
        <vt:lpwstr/>
      </vt:variant>
      <vt:variant>
        <vt:lpwstr>_Toc322596453</vt:lpwstr>
      </vt:variant>
      <vt:variant>
        <vt:i4>1245244</vt:i4>
      </vt:variant>
      <vt:variant>
        <vt:i4>2</vt:i4>
      </vt:variant>
      <vt:variant>
        <vt:i4>0</vt:i4>
      </vt:variant>
      <vt:variant>
        <vt:i4>5</vt:i4>
      </vt:variant>
      <vt:variant>
        <vt:lpwstr/>
      </vt:variant>
      <vt:variant>
        <vt:lpwstr>_Toc322596452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AER</dc:creator>
  <cp:keywords/>
  <cp:lastModifiedBy>rlowi</cp:lastModifiedBy>
  <cp:revision>2</cp:revision>
  <cp:lastPrinted>2013-08-28T04:28:00Z</cp:lastPrinted>
  <dcterms:created xsi:type="dcterms:W3CDTF">2013-09-20T06:59:00Z</dcterms:created>
  <dcterms:modified xsi:type="dcterms:W3CDTF">2013-09-20T06:59:00Z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rrfile">
    <vt:lpwstr>\\cbrvpwxfs01\home$\rlowi\qld and sa notice 2 - decision (D2013-00119178).docx</vt:lpwstr>
  </property>
</Properties>
</file>