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A7" w:rsidRPr="00221EBD" w:rsidRDefault="00C425A7" w:rsidP="00C425A7">
      <w:pPr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bookmarkStart w:id="0" w:name="_GoBack"/>
      <w:bookmarkEnd w:id="0"/>
      <w:r w:rsidRPr="001E7A40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08F8AB8" wp14:editId="1DC9743C">
            <wp:extent cx="5734050" cy="1419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A7" w:rsidRPr="00221EBD" w:rsidRDefault="00C425A7" w:rsidP="00C425A7">
      <w:pPr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</w:p>
    <w:p w:rsidR="00C425A7" w:rsidRPr="00221EBD" w:rsidRDefault="00C425A7" w:rsidP="00C425A7">
      <w:pPr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</w:p>
    <w:p w:rsidR="00C425A7" w:rsidRPr="00221EBD" w:rsidRDefault="00C425A7" w:rsidP="00C425A7">
      <w:pPr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  <w:r w:rsidRPr="00221EBD"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t>STATEMENT OF REASONS</w:t>
      </w:r>
    </w:p>
    <w:p w:rsidR="00C425A7" w:rsidRPr="00221EBD" w:rsidRDefault="00C425A7" w:rsidP="00C425A7">
      <w:pPr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</w:p>
    <w:p w:rsidR="00C425A7" w:rsidRDefault="00C425A7" w:rsidP="00C425A7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Amadeus</w:t>
      </w:r>
      <w:r w:rsidRPr="008A36ED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Gas Pipeline</w:t>
      </w:r>
    </w:p>
    <w:p w:rsidR="00C425A7" w:rsidRPr="008A36ED" w:rsidRDefault="00C425A7" w:rsidP="00C425A7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8A36ED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Annual Tariff Variation 2014</w:t>
      </w:r>
      <w:r w:rsidRPr="008A36ED">
        <w:rPr>
          <w:rFonts w:ascii="Times New Roman" w:eastAsia="Times New Roman" w:hAnsi="Times New Roman" w:cs="Times New Roman"/>
          <w:sz w:val="28"/>
          <w:szCs w:val="28"/>
          <w:lang w:eastAsia="en-AU"/>
        </w:rPr>
        <w:t>–</w:t>
      </w:r>
      <w:r w:rsidRPr="008A36ED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15</w:t>
      </w:r>
    </w:p>
    <w:p w:rsidR="00C425A7" w:rsidRPr="008A36ED" w:rsidRDefault="00C425A7" w:rsidP="00C425A7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</w:p>
    <w:p w:rsidR="00A72A71" w:rsidRDefault="00C425A7" w:rsidP="00A72A7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3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Australian Energy Regulator </w:t>
      </w:r>
      <w:r w:rsidRPr="005B129A">
        <w:rPr>
          <w:rFonts w:ascii="Times New Roman" w:hAnsi="Times New Roman" w:cs="Times New Roman"/>
          <w:color w:val="000000"/>
        </w:rPr>
        <w:t xml:space="preserve">has approved </w:t>
      </w:r>
      <w:r>
        <w:rPr>
          <w:rFonts w:ascii="Times New Roman" w:hAnsi="Times New Roman" w:cs="Times New Roman"/>
          <w:color w:val="000000"/>
        </w:rPr>
        <w:t xml:space="preserve">the </w:t>
      </w:r>
      <w:r w:rsidRPr="005B129A">
        <w:rPr>
          <w:rFonts w:ascii="Times New Roman" w:hAnsi="Times New Roman" w:cs="Times New Roman"/>
          <w:color w:val="000000"/>
        </w:rPr>
        <w:t>APA Group’s p</w:t>
      </w:r>
      <w:r>
        <w:rPr>
          <w:rFonts w:ascii="Times New Roman" w:hAnsi="Times New Roman" w:cs="Times New Roman"/>
          <w:color w:val="000000"/>
        </w:rPr>
        <w:t>roposed annual tariff variation</w:t>
      </w:r>
      <w:r w:rsidRPr="005B129A">
        <w:rPr>
          <w:rFonts w:ascii="Times New Roman" w:hAnsi="Times New Roman" w:cs="Times New Roman"/>
          <w:color w:val="000000"/>
        </w:rPr>
        <w:t xml:space="preserve"> for the Amadeus Gas Pipeline in accordance with clause 4.7.2 of the 2011–16 access arrangement for the </w:t>
      </w:r>
      <w:r>
        <w:rPr>
          <w:rFonts w:ascii="Times New Roman" w:hAnsi="Times New Roman" w:cs="Times New Roman"/>
          <w:color w:val="000000"/>
        </w:rPr>
        <w:t>p</w:t>
      </w:r>
      <w:r w:rsidRPr="005B129A">
        <w:rPr>
          <w:rFonts w:ascii="Times New Roman" w:hAnsi="Times New Roman" w:cs="Times New Roman"/>
          <w:color w:val="000000"/>
        </w:rPr>
        <w:t xml:space="preserve">ipeline (the access arrangement). </w:t>
      </w:r>
      <w:r w:rsidR="00A72A71">
        <w:rPr>
          <w:rFonts w:ascii="Times New Roman" w:eastAsia="Calibri" w:hAnsi="Times New Roman" w:cs="Times New Roman"/>
          <w:color w:val="000000"/>
          <w:sz w:val="24"/>
          <w:szCs w:val="24"/>
        </w:rPr>
        <w:t>The access arrangement sets out a price path over a five year period</w:t>
      </w:r>
      <w:r w:rsidR="00A72A71" w:rsidRPr="009468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72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approved tariffs are consistent with the price path established by the access arrangement and approved by the AER at the time of the last gas price review.</w:t>
      </w:r>
    </w:p>
    <w:p w:rsidR="00C425A7" w:rsidRPr="008A36ED" w:rsidRDefault="00C425A7" w:rsidP="00A72A7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25A7" w:rsidRDefault="00C425A7" w:rsidP="00C425A7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3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reasons for allowing the tariff variations are that: </w:t>
      </w:r>
    </w:p>
    <w:p w:rsidR="00C425A7" w:rsidRPr="008A36ED" w:rsidRDefault="00C425A7" w:rsidP="00C425A7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25A7" w:rsidRPr="008A36ED" w:rsidRDefault="00C425A7" w:rsidP="00C425A7">
      <w:pPr>
        <w:numPr>
          <w:ilvl w:val="0"/>
          <w:numId w:val="2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NT Gas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Pty Limited as the service provider correctly applied the CPI-X price control formula applicable to the pipeline.</w:t>
      </w:r>
    </w:p>
    <w:p w:rsidR="00C425A7" w:rsidRDefault="00C425A7" w:rsidP="00C425A7">
      <w:pPr>
        <w:spacing w:before="0" w:after="2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C425A7" w:rsidRPr="008D16E6" w:rsidRDefault="00C425A7" w:rsidP="00C425A7">
      <w:pPr>
        <w:spacing w:before="0"/>
        <w:rPr>
          <w:rFonts w:ascii="Times New Roman" w:eastAsia="Times New Roman" w:hAnsi="Times New Roman" w:cs="Times New Roman"/>
          <w:b/>
          <w:sz w:val="24"/>
          <w:szCs w:val="20"/>
          <w:lang w:val="en-GB" w:eastAsia="en-AU"/>
        </w:rPr>
      </w:pPr>
      <w:r w:rsidRPr="008D16E6">
        <w:rPr>
          <w:rFonts w:ascii="Times New Roman" w:eastAsia="Times New Roman" w:hAnsi="Times New Roman" w:cs="Times New Roman"/>
          <w:b/>
          <w:sz w:val="24"/>
          <w:szCs w:val="20"/>
          <w:lang w:val="en-GB" w:eastAsia="en-A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en-AU"/>
        </w:rPr>
        <w:t>pproved reference t</w:t>
      </w:r>
      <w:r w:rsidRPr="008D16E6">
        <w:rPr>
          <w:rFonts w:ascii="Times New Roman" w:eastAsia="Times New Roman" w:hAnsi="Times New Roman" w:cs="Times New Roman"/>
          <w:b/>
          <w:sz w:val="24"/>
          <w:szCs w:val="20"/>
          <w:lang w:val="en-GB" w:eastAsia="en-AU"/>
        </w:rPr>
        <w:t xml:space="preserve">ariff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en-AU"/>
        </w:rPr>
        <w:t xml:space="preserve">for </w:t>
      </w:r>
      <w:r w:rsidRPr="008D16E6">
        <w:rPr>
          <w:rFonts w:ascii="Times New Roman" w:eastAsia="Times New Roman" w:hAnsi="Times New Roman" w:cs="Times New Roman"/>
          <w:b/>
          <w:sz w:val="24"/>
          <w:szCs w:val="20"/>
          <w:lang w:val="en-GB" w:eastAsia="en-AU"/>
        </w:rPr>
        <w:t>2014–15</w:t>
      </w:r>
    </w:p>
    <w:p w:rsidR="00C425A7" w:rsidRDefault="00C425A7" w:rsidP="00C425A7">
      <w:pPr>
        <w:spacing w:before="0" w:after="2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5675"/>
      </w:tblGrid>
      <w:tr w:rsidR="00C425A7" w:rsidRPr="005B129A" w:rsidTr="00504EDE">
        <w:tc>
          <w:tcPr>
            <w:tcW w:w="3080" w:type="dxa"/>
            <w:vAlign w:val="center"/>
          </w:tcPr>
          <w:p w:rsidR="00C425A7" w:rsidRPr="005B129A" w:rsidRDefault="00C425A7" w:rsidP="00504EDE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:rsidR="00C425A7" w:rsidRPr="005B129A" w:rsidRDefault="00C425A7" w:rsidP="00504EDE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29A">
              <w:rPr>
                <w:rFonts w:ascii="Times New Roman" w:eastAsiaTheme="minorHAnsi" w:hAnsi="Times New Roman"/>
                <w:b/>
                <w:bCs/>
                <w:color w:val="000000"/>
              </w:rPr>
              <w:t>Tariff $/GJ of delivery point MDQ (GST exclusive)</w:t>
            </w:r>
          </w:p>
        </w:tc>
      </w:tr>
      <w:tr w:rsidR="00C425A7" w:rsidRPr="005B129A" w:rsidTr="00504EDE">
        <w:tc>
          <w:tcPr>
            <w:tcW w:w="3080" w:type="dxa"/>
            <w:vAlign w:val="center"/>
          </w:tcPr>
          <w:p w:rsidR="00C425A7" w:rsidRPr="005B129A" w:rsidRDefault="00C425A7" w:rsidP="00504ED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B129A">
              <w:rPr>
                <w:rFonts w:ascii="Times New Roman" w:hAnsi="Times New Roman"/>
                <w:sz w:val="24"/>
                <w:szCs w:val="24"/>
              </w:rPr>
              <w:t>Reference service</w:t>
            </w:r>
          </w:p>
        </w:tc>
        <w:tc>
          <w:tcPr>
            <w:tcW w:w="5675" w:type="dxa"/>
            <w:vAlign w:val="center"/>
          </w:tcPr>
          <w:p w:rsidR="00C425A7" w:rsidRPr="005B129A" w:rsidRDefault="00C425A7" w:rsidP="00504ED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9A">
              <w:rPr>
                <w:rFonts w:ascii="Times New Roman" w:hAnsi="Times New Roman"/>
                <w:sz w:val="24"/>
                <w:szCs w:val="24"/>
              </w:rPr>
              <w:t>0.6983</w:t>
            </w:r>
          </w:p>
        </w:tc>
      </w:tr>
    </w:tbl>
    <w:p w:rsidR="00C425A7" w:rsidRDefault="00C425A7" w:rsidP="00C425A7">
      <w:pPr>
        <w:spacing w:before="0" w:after="2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C425A7" w:rsidRDefault="00C425A7" w:rsidP="00C425A7">
      <w:pPr>
        <w:spacing w:before="0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</w:p>
    <w:p w:rsidR="00BE1F1B" w:rsidRPr="00BE1F1B" w:rsidRDefault="00BE1F1B" w:rsidP="00BE1F1B"/>
    <w:sectPr w:rsidR="00BE1F1B" w:rsidRPr="00BE1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34B05"/>
    <w:multiLevelType w:val="hybridMultilevel"/>
    <w:tmpl w:val="EB14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5"/>
  </w:num>
  <w:num w:numId="19">
    <w:abstractNumId w:val="13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3920\D14 65525  2014-15 Annual Tariff Variation - Statement of Reasons - Amadeus Gas Pipeline.DOCX"/>
  </w:docVars>
  <w:rsids>
    <w:rsidRoot w:val="00C425A7"/>
    <w:rsid w:val="00021202"/>
    <w:rsid w:val="000E1819"/>
    <w:rsid w:val="000E6C72"/>
    <w:rsid w:val="001002C3"/>
    <w:rsid w:val="00124609"/>
    <w:rsid w:val="001573E4"/>
    <w:rsid w:val="00251745"/>
    <w:rsid w:val="00286874"/>
    <w:rsid w:val="002A7DEF"/>
    <w:rsid w:val="00307F6D"/>
    <w:rsid w:val="003518B3"/>
    <w:rsid w:val="00532467"/>
    <w:rsid w:val="00564A4D"/>
    <w:rsid w:val="00632D6D"/>
    <w:rsid w:val="007303C3"/>
    <w:rsid w:val="00763E5D"/>
    <w:rsid w:val="00777EE6"/>
    <w:rsid w:val="007C1C53"/>
    <w:rsid w:val="00851209"/>
    <w:rsid w:val="008E7031"/>
    <w:rsid w:val="00A60A26"/>
    <w:rsid w:val="00A72A71"/>
    <w:rsid w:val="00BD3446"/>
    <w:rsid w:val="00BE1F1B"/>
    <w:rsid w:val="00C425A7"/>
    <w:rsid w:val="00C538A9"/>
    <w:rsid w:val="00C86679"/>
    <w:rsid w:val="00D61A54"/>
    <w:rsid w:val="00DB0F93"/>
    <w:rsid w:val="00E25B8C"/>
    <w:rsid w:val="00E7624D"/>
    <w:rsid w:val="00EA3D42"/>
    <w:rsid w:val="00EA6B1B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A7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C42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A7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C42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6A05-81DD-4361-96BD-B80EEF87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95D2905F.dotm</Template>
  <TotalTime>1</TotalTime>
  <Pages>1</Pages>
  <Words>134</Words>
  <Characters>710</Characters>
  <Application>Microsoft Office Word</Application>
  <DocSecurity>4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Makani, Jeevika</dc:creator>
  <cp:keywords/>
  <dc:description/>
  <cp:lastModifiedBy>Moffitt, Shannon</cp:lastModifiedBy>
  <cp:revision>2</cp:revision>
  <dcterms:created xsi:type="dcterms:W3CDTF">2014-05-26T07:06:00Z</dcterms:created>
  <dcterms:modified xsi:type="dcterms:W3CDTF">2014-05-26T07:06:00Z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H:\TRIMDATA\TRIM\TEMP\HPTRIM.3920\D14 65525  2014-15 Annual Tariff Variation - Statement of Reasons - Amadeus Gas Pipeline.DOCX</vt:lpwstr>
  </property>
</Properties>
</file>