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F5" w:rsidRPr="001E7A40" w:rsidRDefault="00CA6AF5" w:rsidP="00CA6AF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45981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11F5C6ED" wp14:editId="1CDD2EB8">
            <wp:extent cx="5734050" cy="1419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AF5" w:rsidRPr="001E7A40" w:rsidRDefault="00CA6AF5" w:rsidP="00CA6AF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A6AF5" w:rsidRPr="001E7A40" w:rsidRDefault="00CA6AF5" w:rsidP="00CA6AF5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6AF5" w:rsidRPr="001E7A40" w:rsidRDefault="00CA6AF5" w:rsidP="00CA6AF5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1E7A40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STATEMENT OF REASONS</w:t>
      </w:r>
    </w:p>
    <w:p w:rsidR="00CA6AF5" w:rsidRPr="001E7A40" w:rsidRDefault="00CA6AF5" w:rsidP="00CA6AF5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A6AF5" w:rsidRDefault="00CA6AF5" w:rsidP="00CA6AF5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1E7A40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Central Ranges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Gas Transmission Pipeline</w:t>
      </w:r>
    </w:p>
    <w:p w:rsidR="00CA6AF5" w:rsidRPr="001E7A40" w:rsidRDefault="00CA6AF5" w:rsidP="00CA6AF5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1E7A40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Annual Tariff Variation 2014</w:t>
      </w:r>
      <w:r w:rsidRPr="001E7A40">
        <w:rPr>
          <w:rFonts w:ascii="Times New Roman" w:eastAsia="Times New Roman" w:hAnsi="Times New Roman" w:cs="Times New Roman"/>
          <w:sz w:val="28"/>
          <w:szCs w:val="28"/>
          <w:lang w:eastAsia="en-AU"/>
        </w:rPr>
        <w:t>–</w:t>
      </w:r>
      <w:r w:rsidRPr="001E7A40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15</w:t>
      </w:r>
    </w:p>
    <w:p w:rsidR="00CA6AF5" w:rsidRPr="001E7A40" w:rsidRDefault="00CA6AF5" w:rsidP="00CA6AF5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</w:p>
    <w:p w:rsidR="00CA6AF5" w:rsidRPr="001E7A40" w:rsidRDefault="00CA6AF5" w:rsidP="00BE55B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7A40">
        <w:rPr>
          <w:rFonts w:ascii="Times New Roman" w:eastAsia="Calibri" w:hAnsi="Times New Roman" w:cs="Times New Roman"/>
          <w:color w:val="000000"/>
          <w:sz w:val="24"/>
          <w:szCs w:val="24"/>
        </w:rPr>
        <w:t>The Australian Energy Regulator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has approved</w:t>
      </w:r>
      <w:r w:rsidRPr="001E7A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annual tariff variations for the Central Ranges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Gas Transmission Pipeline </w:t>
      </w:r>
      <w:r w:rsidRPr="001E7A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 accordance with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section</w:t>
      </w:r>
      <w:r w:rsidRPr="001E7A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3B</w:t>
      </w:r>
      <w:bookmarkStart w:id="0" w:name="_GoBack"/>
      <w:bookmarkEnd w:id="0"/>
      <w:r w:rsidRPr="001E7A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the 2005 access arrangement (the access arrangement</w:t>
      </w:r>
      <w:r w:rsidRPr="001E7A4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1E7A40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r w:rsidR="00BE5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access arrangement sets out a price path over a five year period</w:t>
      </w:r>
      <w:r w:rsidR="00BE55B5" w:rsidRPr="009468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E5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approved tariffs are consistent with the price path established by the access arrangement and approved by the AER at the time of the last gas price review.</w:t>
      </w:r>
    </w:p>
    <w:p w:rsidR="00CA6AF5" w:rsidRPr="001E7A40" w:rsidRDefault="00CA6AF5" w:rsidP="00CA6AF5">
      <w:p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6AF5" w:rsidRDefault="00CA6AF5" w:rsidP="00CA6AF5">
      <w:p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7A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reasons for allowing the tariff variations are that: </w:t>
      </w:r>
    </w:p>
    <w:p w:rsidR="00BE55B5" w:rsidRPr="001E7A40" w:rsidRDefault="00BE55B5" w:rsidP="00CA6AF5">
      <w:p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6AF5" w:rsidRPr="001E7A40" w:rsidRDefault="00CA6AF5" w:rsidP="00CA6AF5">
      <w:pPr>
        <w:numPr>
          <w:ilvl w:val="0"/>
          <w:numId w:val="20"/>
        </w:num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7A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We are satisfied that Central Ranges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Gas Transmission Pipeline </w:t>
      </w:r>
      <w:r w:rsidRPr="001E7A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has correctly applied the approved variation method to calculate the reference tariffs in accordance with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section</w:t>
      </w:r>
      <w:r w:rsidRPr="001E7A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3B of the access arrangement. The approved tariff variation method consists of an escalation formula whereby the reference tariffs are escalated by the change in the CPI for the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March quarter</w:t>
      </w:r>
      <w:r w:rsidRPr="001E7A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 a year on year basis multiplied by the previous year’s approved reference tariff.</w:t>
      </w:r>
    </w:p>
    <w:p w:rsidR="00CA6AF5" w:rsidRPr="001E7A40" w:rsidRDefault="00CA6AF5" w:rsidP="00CA6AF5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6AF5" w:rsidRPr="001E7A40" w:rsidRDefault="00CA6AF5" w:rsidP="00CA6AF5">
      <w:pPr>
        <w:spacing w:before="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1E7A40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Approved reference tariffs for 2014–15</w:t>
      </w:r>
    </w:p>
    <w:p w:rsidR="00CA6AF5" w:rsidRPr="001E7A40" w:rsidRDefault="00CA6AF5" w:rsidP="00CA6AF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6AF5" w:rsidRPr="001E7A40" w:rsidTr="00504EDE">
        <w:tc>
          <w:tcPr>
            <w:tcW w:w="3080" w:type="dxa"/>
            <w:vAlign w:val="center"/>
          </w:tcPr>
          <w:p w:rsidR="00CA6AF5" w:rsidRPr="001E7A40" w:rsidRDefault="00CA6AF5" w:rsidP="00504EDE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CA6AF5" w:rsidRPr="001E7A40" w:rsidRDefault="00CA6AF5" w:rsidP="00504EDE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A40">
              <w:rPr>
                <w:rFonts w:ascii="Times New Roman" w:hAnsi="Times New Roman"/>
                <w:b/>
                <w:sz w:val="24"/>
                <w:szCs w:val="24"/>
              </w:rPr>
              <w:t>Charge in $/GJ (excl. GST)</w:t>
            </w:r>
          </w:p>
        </w:tc>
        <w:tc>
          <w:tcPr>
            <w:tcW w:w="3081" w:type="dxa"/>
            <w:vAlign w:val="center"/>
          </w:tcPr>
          <w:p w:rsidR="00CA6AF5" w:rsidRPr="001E7A40" w:rsidRDefault="00CA6AF5" w:rsidP="00504EDE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A40">
              <w:rPr>
                <w:rFonts w:ascii="Times New Roman" w:hAnsi="Times New Roman"/>
                <w:b/>
                <w:sz w:val="24"/>
                <w:szCs w:val="24"/>
              </w:rPr>
              <w:t>Charge in $/GJ (incl. GST)</w:t>
            </w:r>
          </w:p>
        </w:tc>
      </w:tr>
      <w:tr w:rsidR="00CA6AF5" w:rsidRPr="001E7A40" w:rsidTr="00504EDE">
        <w:tc>
          <w:tcPr>
            <w:tcW w:w="3080" w:type="dxa"/>
            <w:vAlign w:val="center"/>
          </w:tcPr>
          <w:p w:rsidR="00CA6AF5" w:rsidRPr="001E7A40" w:rsidRDefault="00CA6AF5" w:rsidP="00504ED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A40">
              <w:rPr>
                <w:rFonts w:ascii="Times New Roman" w:hAnsi="Times New Roman"/>
                <w:sz w:val="24"/>
                <w:szCs w:val="24"/>
              </w:rPr>
              <w:t>Special contract transportation service</w:t>
            </w:r>
          </w:p>
        </w:tc>
        <w:tc>
          <w:tcPr>
            <w:tcW w:w="3081" w:type="dxa"/>
            <w:vAlign w:val="center"/>
          </w:tcPr>
          <w:p w:rsidR="00CA6AF5" w:rsidRPr="001E7A40" w:rsidRDefault="00CA6AF5" w:rsidP="00504ED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3081" w:type="dxa"/>
            <w:vAlign w:val="center"/>
          </w:tcPr>
          <w:p w:rsidR="00CA6AF5" w:rsidRPr="001E7A40" w:rsidRDefault="00CA6AF5" w:rsidP="00504ED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2.57</w:t>
            </w:r>
          </w:p>
        </w:tc>
      </w:tr>
      <w:tr w:rsidR="00CA6AF5" w:rsidRPr="001E7A40" w:rsidTr="00504EDE">
        <w:trPr>
          <w:trHeight w:val="633"/>
        </w:trPr>
        <w:tc>
          <w:tcPr>
            <w:tcW w:w="3080" w:type="dxa"/>
            <w:vAlign w:val="center"/>
          </w:tcPr>
          <w:p w:rsidR="00CA6AF5" w:rsidRPr="001E7A40" w:rsidRDefault="00CA6AF5" w:rsidP="00504ED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A40">
              <w:rPr>
                <w:rFonts w:ascii="Times New Roman" w:hAnsi="Times New Roman"/>
                <w:sz w:val="24"/>
                <w:szCs w:val="24"/>
              </w:rPr>
              <w:t>Contract transportation service</w:t>
            </w:r>
          </w:p>
        </w:tc>
        <w:tc>
          <w:tcPr>
            <w:tcW w:w="3081" w:type="dxa"/>
            <w:vAlign w:val="center"/>
          </w:tcPr>
          <w:p w:rsidR="00CA6AF5" w:rsidRPr="001E7A40" w:rsidRDefault="00CA6AF5" w:rsidP="00504ED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  <w:tc>
          <w:tcPr>
            <w:tcW w:w="3081" w:type="dxa"/>
            <w:vAlign w:val="center"/>
          </w:tcPr>
          <w:p w:rsidR="00CA6AF5" w:rsidRPr="001E7A40" w:rsidRDefault="00CA6AF5" w:rsidP="00504ED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</w:tr>
      <w:tr w:rsidR="00CA6AF5" w:rsidRPr="001E7A40" w:rsidTr="00504EDE">
        <w:tc>
          <w:tcPr>
            <w:tcW w:w="3080" w:type="dxa"/>
            <w:vAlign w:val="center"/>
          </w:tcPr>
          <w:p w:rsidR="00CA6AF5" w:rsidRPr="001E7A40" w:rsidRDefault="00CA6AF5" w:rsidP="00504ED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A40">
              <w:rPr>
                <w:rFonts w:ascii="Times New Roman" w:hAnsi="Times New Roman"/>
                <w:sz w:val="24"/>
                <w:szCs w:val="24"/>
              </w:rPr>
              <w:t>I &amp; C transportation service</w:t>
            </w:r>
          </w:p>
        </w:tc>
        <w:tc>
          <w:tcPr>
            <w:tcW w:w="3081" w:type="dxa"/>
            <w:vAlign w:val="center"/>
          </w:tcPr>
          <w:p w:rsidR="00CA6AF5" w:rsidRPr="001E7A40" w:rsidRDefault="00CA6AF5" w:rsidP="00504ED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6.70</w:t>
            </w:r>
          </w:p>
        </w:tc>
        <w:tc>
          <w:tcPr>
            <w:tcW w:w="3081" w:type="dxa"/>
            <w:vAlign w:val="center"/>
          </w:tcPr>
          <w:p w:rsidR="00CA6AF5" w:rsidRPr="001E7A40" w:rsidRDefault="00CA6AF5" w:rsidP="00504ED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7.37</w:t>
            </w:r>
          </w:p>
        </w:tc>
      </w:tr>
      <w:tr w:rsidR="00CA6AF5" w:rsidRPr="001E7A40" w:rsidTr="00504EDE">
        <w:tc>
          <w:tcPr>
            <w:tcW w:w="3080" w:type="dxa"/>
            <w:vAlign w:val="center"/>
          </w:tcPr>
          <w:p w:rsidR="00CA6AF5" w:rsidRPr="001E7A40" w:rsidRDefault="00CA6AF5" w:rsidP="00504ED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A40">
              <w:rPr>
                <w:rFonts w:ascii="Times New Roman" w:hAnsi="Times New Roman"/>
                <w:sz w:val="24"/>
                <w:szCs w:val="24"/>
              </w:rPr>
              <w:t>Domestic transportation service</w:t>
            </w:r>
          </w:p>
        </w:tc>
        <w:tc>
          <w:tcPr>
            <w:tcW w:w="3081" w:type="dxa"/>
            <w:vAlign w:val="center"/>
          </w:tcPr>
          <w:p w:rsidR="00CA6AF5" w:rsidRPr="001E7A40" w:rsidRDefault="00CA6AF5" w:rsidP="00504ED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8.71</w:t>
            </w:r>
          </w:p>
        </w:tc>
        <w:tc>
          <w:tcPr>
            <w:tcW w:w="3081" w:type="dxa"/>
            <w:vAlign w:val="center"/>
          </w:tcPr>
          <w:p w:rsidR="00CA6AF5" w:rsidRPr="001E7A40" w:rsidRDefault="00CA6AF5" w:rsidP="00504ED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9.58</w:t>
            </w:r>
          </w:p>
        </w:tc>
      </w:tr>
    </w:tbl>
    <w:p w:rsidR="00CA6AF5" w:rsidRPr="001E7A40" w:rsidRDefault="00CA6AF5" w:rsidP="00CA6AF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E1F1B" w:rsidRPr="00BE1F1B" w:rsidRDefault="00BE1F1B" w:rsidP="00BE1F1B"/>
    <w:sectPr w:rsidR="00BE1F1B" w:rsidRPr="00BE1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F5" w:rsidRDefault="00CA6AF5" w:rsidP="00CA6AF5">
      <w:pPr>
        <w:spacing w:before="0"/>
      </w:pPr>
      <w:r>
        <w:separator/>
      </w:r>
    </w:p>
  </w:endnote>
  <w:endnote w:type="continuationSeparator" w:id="0">
    <w:p w:rsidR="00CA6AF5" w:rsidRDefault="00CA6AF5" w:rsidP="00CA6A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F5" w:rsidRDefault="00CA6AF5" w:rsidP="00CA6AF5">
      <w:pPr>
        <w:spacing w:before="0"/>
      </w:pPr>
      <w:r>
        <w:separator/>
      </w:r>
    </w:p>
  </w:footnote>
  <w:footnote w:type="continuationSeparator" w:id="0">
    <w:p w:rsidR="00CA6AF5" w:rsidRDefault="00CA6AF5" w:rsidP="00CA6AF5">
      <w:pPr>
        <w:spacing w:before="0"/>
      </w:pPr>
      <w:r>
        <w:continuationSeparator/>
      </w:r>
    </w:p>
  </w:footnote>
  <w:footnote w:id="1">
    <w:p w:rsidR="00CA6AF5" w:rsidRDefault="00CA6AF5" w:rsidP="00CA6AF5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Pr="0001628B">
          <w:rPr>
            <w:rStyle w:val="Hyperlink"/>
            <w:rFonts w:ascii="Times New Roman" w:hAnsi="Times New Roman"/>
            <w:sz w:val="20"/>
          </w:rPr>
          <w:t>http://www.apa.com.au/media/140844/access%20arrangement%20cenrral%20ranges%20network%20amended%20august%20and%20october%202008.pdf</w:t>
        </w:r>
      </w:hyperlink>
    </w:p>
    <w:p w:rsidR="00CA6AF5" w:rsidRDefault="00CA6AF5" w:rsidP="00CA6AF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34B05"/>
    <w:multiLevelType w:val="hybridMultilevel"/>
    <w:tmpl w:val="EB14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8"/>
  </w:num>
  <w:num w:numId="5">
    <w:abstractNumId w:val="11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5"/>
  </w:num>
  <w:num w:numId="19">
    <w:abstractNumId w:val="13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3980\D14 65520  2014-15 Annual Tariff Variation - Statement of Reasons - Central Ranges Gas Transmission Pipeline.DOCX"/>
  </w:docVars>
  <w:rsids>
    <w:rsidRoot w:val="00CA6AF5"/>
    <w:rsid w:val="00021202"/>
    <w:rsid w:val="000E1819"/>
    <w:rsid w:val="000E6C72"/>
    <w:rsid w:val="00124609"/>
    <w:rsid w:val="001573E4"/>
    <w:rsid w:val="00251745"/>
    <w:rsid w:val="00286874"/>
    <w:rsid w:val="002A7DEF"/>
    <w:rsid w:val="00307F6D"/>
    <w:rsid w:val="003518B3"/>
    <w:rsid w:val="00532467"/>
    <w:rsid w:val="00564A4D"/>
    <w:rsid w:val="00632D6D"/>
    <w:rsid w:val="007303C3"/>
    <w:rsid w:val="00763E5D"/>
    <w:rsid w:val="00777EE6"/>
    <w:rsid w:val="007C1C53"/>
    <w:rsid w:val="00851209"/>
    <w:rsid w:val="008E7031"/>
    <w:rsid w:val="0096257B"/>
    <w:rsid w:val="00A60A26"/>
    <w:rsid w:val="00BD3446"/>
    <w:rsid w:val="00BE1F1B"/>
    <w:rsid w:val="00BE55B5"/>
    <w:rsid w:val="00C538A9"/>
    <w:rsid w:val="00C86679"/>
    <w:rsid w:val="00CA6AF5"/>
    <w:rsid w:val="00D61A54"/>
    <w:rsid w:val="00DB0F93"/>
    <w:rsid w:val="00E25B8C"/>
    <w:rsid w:val="00E7624D"/>
    <w:rsid w:val="00EA3D42"/>
    <w:rsid w:val="00EA6B1B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F5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paragraph" w:styleId="FootnoteText">
    <w:name w:val="footnote text"/>
    <w:basedOn w:val="Normal"/>
    <w:link w:val="FootnoteTextChar"/>
    <w:semiHidden/>
    <w:rsid w:val="00CA6AF5"/>
    <w:pPr>
      <w:spacing w:before="0"/>
    </w:pPr>
    <w:rPr>
      <w:rFonts w:eastAsia="Times New Roman" w:cs="Times New Roman"/>
      <w:sz w:val="20"/>
      <w:szCs w:val="20"/>
      <w:lang w:val="en-GB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CA6AF5"/>
    <w:rPr>
      <w:rFonts w:ascii="Arial" w:eastAsia="Times New Roman" w:hAnsi="Arial" w:cs="Times New Roman"/>
      <w:sz w:val="20"/>
      <w:szCs w:val="20"/>
      <w:lang w:val="en-GB" w:eastAsia="en-AU"/>
    </w:rPr>
  </w:style>
  <w:style w:type="character" w:styleId="FootnoteReference">
    <w:name w:val="footnote reference"/>
    <w:uiPriority w:val="99"/>
    <w:semiHidden/>
    <w:rsid w:val="00CA6A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A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A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F5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paragraph" w:styleId="FootnoteText">
    <w:name w:val="footnote text"/>
    <w:basedOn w:val="Normal"/>
    <w:link w:val="FootnoteTextChar"/>
    <w:semiHidden/>
    <w:rsid w:val="00CA6AF5"/>
    <w:pPr>
      <w:spacing w:before="0"/>
    </w:pPr>
    <w:rPr>
      <w:rFonts w:eastAsia="Times New Roman" w:cs="Times New Roman"/>
      <w:sz w:val="20"/>
      <w:szCs w:val="20"/>
      <w:lang w:val="en-GB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CA6AF5"/>
    <w:rPr>
      <w:rFonts w:ascii="Arial" w:eastAsia="Times New Roman" w:hAnsi="Arial" w:cs="Times New Roman"/>
      <w:sz w:val="20"/>
      <w:szCs w:val="20"/>
      <w:lang w:val="en-GB" w:eastAsia="en-AU"/>
    </w:rPr>
  </w:style>
  <w:style w:type="character" w:styleId="FootnoteReference">
    <w:name w:val="footnote reference"/>
    <w:uiPriority w:val="99"/>
    <w:semiHidden/>
    <w:rsid w:val="00CA6A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A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A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a.com.au/media/140844/access%20arrangement%20cenrral%20ranges%20network%20amended%20august%20and%20october%2020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E034-99A5-4A24-A93B-0338510A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95D2905F.dotm</Template>
  <TotalTime>1</TotalTime>
  <Pages>1</Pages>
  <Words>211</Words>
  <Characters>1116</Characters>
  <Application>Microsoft Office Word</Application>
  <DocSecurity>4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Makani, Jeevika</dc:creator>
  <cp:keywords/>
  <dc:description/>
  <cp:lastModifiedBy>Moffitt, Shannon</cp:lastModifiedBy>
  <cp:revision>2</cp:revision>
  <dcterms:created xsi:type="dcterms:W3CDTF">2014-05-26T07:02:00Z</dcterms:created>
  <dcterms:modified xsi:type="dcterms:W3CDTF">2014-05-26T07:02:00Z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file">
    <vt:lpwstr>H:\TRIMDATA\TRIM\TEMP\HPTRIM.3980\D14 65520  2014-15 Annual Tariff Variation - Statement of Reasons - Central Ranges Gas Transmission Pipeline.DOCX</vt:lpwstr>
  </property>
</Properties>
</file>