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76" w:rsidRPr="001E7A40" w:rsidRDefault="00581076" w:rsidP="00581076">
      <w:pPr>
        <w:spacing w:before="0"/>
        <w:rPr>
          <w:rFonts w:ascii="Times New Roman" w:eastAsia="Times New Roman" w:hAnsi="Times New Roman" w:cs="Times New Roman"/>
          <w:sz w:val="24"/>
          <w:szCs w:val="24"/>
          <w:lang w:eastAsia="en-AU"/>
        </w:rPr>
      </w:pPr>
      <w:bookmarkStart w:id="0" w:name="_GoBack"/>
      <w:bookmarkEnd w:id="0"/>
      <w:r w:rsidRPr="001E7A40">
        <w:rPr>
          <w:rFonts w:ascii="Times New Roman" w:eastAsia="Times New Roman" w:hAnsi="Times New Roman" w:cs="Times New Roman"/>
          <w:noProof/>
          <w:sz w:val="24"/>
          <w:szCs w:val="24"/>
          <w:lang w:eastAsia="en-AU"/>
        </w:rPr>
        <w:drawing>
          <wp:inline distT="0" distB="0" distL="0" distR="0" wp14:anchorId="40E7586E" wp14:editId="06385A18">
            <wp:extent cx="5734050" cy="1419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1419225"/>
                    </a:xfrm>
                    <a:prstGeom prst="rect">
                      <a:avLst/>
                    </a:prstGeom>
                    <a:noFill/>
                    <a:ln>
                      <a:noFill/>
                    </a:ln>
                  </pic:spPr>
                </pic:pic>
              </a:graphicData>
            </a:graphic>
          </wp:inline>
        </w:drawing>
      </w:r>
    </w:p>
    <w:p w:rsidR="00581076" w:rsidRPr="001E7A40" w:rsidRDefault="00581076" w:rsidP="00581076">
      <w:pPr>
        <w:spacing w:before="0"/>
        <w:rPr>
          <w:rFonts w:ascii="Times New Roman" w:eastAsia="Times New Roman" w:hAnsi="Times New Roman" w:cs="Times New Roman"/>
          <w:sz w:val="24"/>
          <w:szCs w:val="24"/>
          <w:lang w:eastAsia="en-AU"/>
        </w:rPr>
      </w:pPr>
    </w:p>
    <w:p w:rsidR="00581076" w:rsidRPr="001E7A40" w:rsidRDefault="00581076" w:rsidP="00581076">
      <w:pPr>
        <w:autoSpaceDE w:val="0"/>
        <w:autoSpaceDN w:val="0"/>
        <w:adjustRightInd w:val="0"/>
        <w:spacing w:before="0"/>
        <w:rPr>
          <w:rFonts w:ascii="Times New Roman" w:eastAsia="Calibri" w:hAnsi="Times New Roman" w:cs="Times New Roman"/>
          <w:color w:val="000000"/>
          <w:sz w:val="24"/>
          <w:szCs w:val="24"/>
        </w:rPr>
      </w:pPr>
    </w:p>
    <w:p w:rsidR="00581076" w:rsidRPr="001E7A40" w:rsidRDefault="00581076" w:rsidP="00581076">
      <w:pPr>
        <w:spacing w:before="0"/>
        <w:jc w:val="center"/>
        <w:rPr>
          <w:rFonts w:ascii="Times New Roman" w:eastAsia="Times New Roman" w:hAnsi="Times New Roman" w:cs="Times New Roman"/>
          <w:b/>
          <w:bCs/>
          <w:sz w:val="28"/>
          <w:szCs w:val="28"/>
          <w:lang w:eastAsia="en-AU"/>
        </w:rPr>
      </w:pPr>
      <w:r w:rsidRPr="001E7A40">
        <w:rPr>
          <w:rFonts w:ascii="Times New Roman" w:eastAsia="Times New Roman" w:hAnsi="Times New Roman" w:cs="Times New Roman"/>
          <w:b/>
          <w:bCs/>
          <w:sz w:val="28"/>
          <w:szCs w:val="28"/>
          <w:lang w:eastAsia="en-AU"/>
        </w:rPr>
        <w:t>STATEMENT OF REASONS</w:t>
      </w:r>
    </w:p>
    <w:p w:rsidR="00581076" w:rsidRPr="001E7A40" w:rsidRDefault="00581076" w:rsidP="00581076">
      <w:pPr>
        <w:spacing w:before="0"/>
        <w:jc w:val="center"/>
        <w:rPr>
          <w:rFonts w:ascii="Times New Roman" w:eastAsia="Times New Roman" w:hAnsi="Times New Roman" w:cs="Times New Roman"/>
          <w:sz w:val="24"/>
          <w:szCs w:val="24"/>
          <w:lang w:eastAsia="en-AU"/>
        </w:rPr>
      </w:pPr>
    </w:p>
    <w:p w:rsidR="00581076" w:rsidRDefault="00581076" w:rsidP="00581076">
      <w:pPr>
        <w:spacing w:before="0"/>
        <w:jc w:val="center"/>
        <w:rPr>
          <w:rFonts w:ascii="Times New Roman" w:eastAsia="Times New Roman" w:hAnsi="Times New Roman" w:cs="Times New Roman"/>
          <w:b/>
          <w:bCs/>
          <w:sz w:val="28"/>
          <w:szCs w:val="28"/>
          <w:lang w:eastAsia="en-AU"/>
        </w:rPr>
      </w:pPr>
      <w:r w:rsidRPr="001E7A40">
        <w:rPr>
          <w:rFonts w:ascii="Times New Roman" w:eastAsia="Times New Roman" w:hAnsi="Times New Roman" w:cs="Times New Roman"/>
          <w:b/>
          <w:bCs/>
          <w:sz w:val="28"/>
          <w:szCs w:val="28"/>
          <w:lang w:eastAsia="en-AU"/>
        </w:rPr>
        <w:t xml:space="preserve">Central Ranges Pipeline </w:t>
      </w:r>
      <w:r>
        <w:rPr>
          <w:rFonts w:ascii="Times New Roman" w:eastAsia="Times New Roman" w:hAnsi="Times New Roman" w:cs="Times New Roman"/>
          <w:b/>
          <w:bCs/>
          <w:sz w:val="28"/>
          <w:szCs w:val="28"/>
          <w:lang w:eastAsia="en-AU"/>
        </w:rPr>
        <w:t>Gas Network</w:t>
      </w:r>
    </w:p>
    <w:p w:rsidR="00581076" w:rsidRPr="001E7A40" w:rsidRDefault="00581076" w:rsidP="00581076">
      <w:pPr>
        <w:spacing w:before="0"/>
        <w:jc w:val="center"/>
        <w:rPr>
          <w:rFonts w:ascii="Times New Roman" w:eastAsia="Times New Roman" w:hAnsi="Times New Roman" w:cs="Times New Roman"/>
          <w:b/>
          <w:bCs/>
          <w:sz w:val="28"/>
          <w:szCs w:val="28"/>
          <w:lang w:eastAsia="en-AU"/>
        </w:rPr>
      </w:pPr>
      <w:r w:rsidRPr="001E7A40">
        <w:rPr>
          <w:rFonts w:ascii="Times New Roman" w:eastAsia="Times New Roman" w:hAnsi="Times New Roman" w:cs="Times New Roman"/>
          <w:b/>
          <w:bCs/>
          <w:sz w:val="28"/>
          <w:szCs w:val="28"/>
          <w:lang w:eastAsia="en-AU"/>
        </w:rPr>
        <w:t>Annual Tariff Variation 2014</w:t>
      </w:r>
      <w:r w:rsidRPr="001E7A40">
        <w:rPr>
          <w:rFonts w:ascii="Times New Roman" w:eastAsia="Times New Roman" w:hAnsi="Times New Roman" w:cs="Times New Roman"/>
          <w:sz w:val="28"/>
          <w:szCs w:val="28"/>
          <w:lang w:eastAsia="en-AU"/>
        </w:rPr>
        <w:t>–</w:t>
      </w:r>
      <w:r w:rsidRPr="001E7A40">
        <w:rPr>
          <w:rFonts w:ascii="Times New Roman" w:eastAsia="Times New Roman" w:hAnsi="Times New Roman" w:cs="Times New Roman"/>
          <w:b/>
          <w:bCs/>
          <w:sz w:val="28"/>
          <w:szCs w:val="28"/>
          <w:lang w:eastAsia="en-AU"/>
        </w:rPr>
        <w:t>15</w:t>
      </w:r>
    </w:p>
    <w:p w:rsidR="00581076" w:rsidRPr="001E7A40" w:rsidRDefault="00581076" w:rsidP="00581076">
      <w:pPr>
        <w:spacing w:before="0"/>
        <w:jc w:val="center"/>
        <w:rPr>
          <w:rFonts w:ascii="Times New Roman" w:eastAsia="Times New Roman" w:hAnsi="Times New Roman" w:cs="Times New Roman"/>
          <w:b/>
          <w:bCs/>
          <w:sz w:val="28"/>
          <w:szCs w:val="28"/>
          <w:lang w:eastAsia="en-AU"/>
        </w:rPr>
      </w:pPr>
    </w:p>
    <w:p w:rsidR="00BF0B8E" w:rsidRDefault="00581076" w:rsidP="00BF0B8E">
      <w:pPr>
        <w:autoSpaceDE w:val="0"/>
        <w:autoSpaceDN w:val="0"/>
        <w:adjustRightInd w:val="0"/>
        <w:jc w:val="both"/>
        <w:rPr>
          <w:rFonts w:ascii="Times New Roman" w:eastAsia="Calibri" w:hAnsi="Times New Roman" w:cs="Times New Roman"/>
          <w:color w:val="000000"/>
          <w:sz w:val="24"/>
          <w:szCs w:val="24"/>
        </w:rPr>
      </w:pPr>
      <w:r w:rsidRPr="001E7A40">
        <w:rPr>
          <w:rFonts w:ascii="Times New Roman" w:eastAsia="Calibri" w:hAnsi="Times New Roman" w:cs="Times New Roman"/>
          <w:color w:val="000000"/>
          <w:sz w:val="24"/>
          <w:szCs w:val="24"/>
        </w:rPr>
        <w:t>The Australian Energy Regulator</w:t>
      </w:r>
      <w:r>
        <w:rPr>
          <w:rFonts w:ascii="Times New Roman" w:eastAsia="Calibri" w:hAnsi="Times New Roman" w:cs="Times New Roman"/>
          <w:color w:val="000000"/>
          <w:sz w:val="24"/>
          <w:szCs w:val="24"/>
        </w:rPr>
        <w:t xml:space="preserve"> has approved</w:t>
      </w:r>
      <w:r w:rsidRPr="001E7A40">
        <w:rPr>
          <w:rFonts w:ascii="Times New Roman" w:eastAsia="Calibri" w:hAnsi="Times New Roman" w:cs="Times New Roman"/>
          <w:color w:val="000000"/>
          <w:sz w:val="24"/>
          <w:szCs w:val="24"/>
        </w:rPr>
        <w:t xml:space="preserve"> annual tariff variations for the Central Ranges Pipeline Gas Network in accordance with Part 3B sections 3.2, 3.3, 3.4, 3.4A and Part 3C clause 3.5A of the 2005 access arrangement (the access arrangement</w:t>
      </w:r>
      <w:r w:rsidRPr="001E7A40">
        <w:rPr>
          <w:rFonts w:ascii="Times New Roman" w:eastAsia="Calibri" w:hAnsi="Times New Roman" w:cs="Times New Roman"/>
          <w:color w:val="000000"/>
          <w:sz w:val="24"/>
          <w:szCs w:val="24"/>
          <w:vertAlign w:val="superscript"/>
        </w:rPr>
        <w:footnoteReference w:id="1"/>
      </w:r>
      <w:r w:rsidRPr="001E7A40">
        <w:rPr>
          <w:rFonts w:ascii="Times New Roman" w:eastAsia="Calibri" w:hAnsi="Times New Roman" w:cs="Times New Roman"/>
          <w:color w:val="000000"/>
          <w:sz w:val="24"/>
          <w:szCs w:val="24"/>
        </w:rPr>
        <w:t xml:space="preserve">). </w:t>
      </w:r>
      <w:r w:rsidR="00BF0B8E">
        <w:rPr>
          <w:rFonts w:ascii="Times New Roman" w:eastAsia="Calibri" w:hAnsi="Times New Roman" w:cs="Times New Roman"/>
          <w:color w:val="000000"/>
          <w:sz w:val="24"/>
          <w:szCs w:val="24"/>
        </w:rPr>
        <w:t>The access arrangement sets out a price path over a five year period</w:t>
      </w:r>
      <w:r w:rsidR="00BF0B8E" w:rsidRPr="00946894">
        <w:rPr>
          <w:rFonts w:ascii="Times New Roman" w:eastAsia="Calibri" w:hAnsi="Times New Roman" w:cs="Times New Roman"/>
          <w:color w:val="000000"/>
          <w:sz w:val="24"/>
          <w:szCs w:val="24"/>
        </w:rPr>
        <w:t>.</w:t>
      </w:r>
      <w:r w:rsidR="00BF0B8E">
        <w:rPr>
          <w:rFonts w:ascii="Times New Roman" w:eastAsia="Calibri" w:hAnsi="Times New Roman" w:cs="Times New Roman"/>
          <w:color w:val="000000"/>
          <w:sz w:val="24"/>
          <w:szCs w:val="24"/>
        </w:rPr>
        <w:t xml:space="preserve"> The approved tariffs are consistent with the price path established by the access arrangement and approved by the AER at the time of the last gas price review.</w:t>
      </w:r>
    </w:p>
    <w:p w:rsidR="00581076" w:rsidRPr="001E7A40" w:rsidRDefault="00581076" w:rsidP="00581076">
      <w:pPr>
        <w:autoSpaceDE w:val="0"/>
        <w:autoSpaceDN w:val="0"/>
        <w:adjustRightInd w:val="0"/>
        <w:spacing w:before="0"/>
        <w:jc w:val="both"/>
        <w:rPr>
          <w:rFonts w:ascii="Times New Roman" w:eastAsia="Calibri" w:hAnsi="Times New Roman" w:cs="Times New Roman"/>
          <w:color w:val="000000"/>
          <w:sz w:val="24"/>
          <w:szCs w:val="24"/>
        </w:rPr>
      </w:pPr>
    </w:p>
    <w:p w:rsidR="00581076" w:rsidRDefault="00581076" w:rsidP="00581076">
      <w:pPr>
        <w:autoSpaceDE w:val="0"/>
        <w:autoSpaceDN w:val="0"/>
        <w:adjustRightInd w:val="0"/>
        <w:spacing w:before="0"/>
        <w:jc w:val="both"/>
        <w:rPr>
          <w:rFonts w:ascii="Times New Roman" w:eastAsia="Calibri" w:hAnsi="Times New Roman" w:cs="Times New Roman"/>
          <w:color w:val="000000"/>
          <w:sz w:val="24"/>
          <w:szCs w:val="24"/>
        </w:rPr>
      </w:pPr>
      <w:r w:rsidRPr="001E7A40">
        <w:rPr>
          <w:rFonts w:ascii="Times New Roman" w:eastAsia="Calibri" w:hAnsi="Times New Roman" w:cs="Times New Roman"/>
          <w:color w:val="000000"/>
          <w:sz w:val="24"/>
          <w:szCs w:val="24"/>
        </w:rPr>
        <w:t xml:space="preserve">The reasons for allowing the tariff variations are that: </w:t>
      </w:r>
    </w:p>
    <w:p w:rsidR="00BF0B8E" w:rsidRPr="001E7A40" w:rsidRDefault="00BF0B8E" w:rsidP="00581076">
      <w:pPr>
        <w:autoSpaceDE w:val="0"/>
        <w:autoSpaceDN w:val="0"/>
        <w:adjustRightInd w:val="0"/>
        <w:spacing w:before="0"/>
        <w:jc w:val="both"/>
        <w:rPr>
          <w:rFonts w:ascii="Times New Roman" w:eastAsia="Calibri" w:hAnsi="Times New Roman" w:cs="Times New Roman"/>
          <w:color w:val="000000"/>
          <w:sz w:val="24"/>
          <w:szCs w:val="24"/>
        </w:rPr>
      </w:pPr>
    </w:p>
    <w:p w:rsidR="00581076" w:rsidRPr="001E7A40" w:rsidRDefault="00581076" w:rsidP="00581076">
      <w:pPr>
        <w:numPr>
          <w:ilvl w:val="0"/>
          <w:numId w:val="20"/>
        </w:numPr>
        <w:autoSpaceDE w:val="0"/>
        <w:autoSpaceDN w:val="0"/>
        <w:adjustRightInd w:val="0"/>
        <w:spacing w:before="0"/>
        <w:jc w:val="both"/>
        <w:rPr>
          <w:rFonts w:ascii="Times New Roman" w:eastAsia="Calibri" w:hAnsi="Times New Roman" w:cs="Times New Roman"/>
          <w:color w:val="000000"/>
          <w:sz w:val="24"/>
          <w:szCs w:val="24"/>
        </w:rPr>
      </w:pPr>
      <w:r w:rsidRPr="001E7A40">
        <w:rPr>
          <w:rFonts w:ascii="Times New Roman" w:eastAsia="Calibri" w:hAnsi="Times New Roman" w:cs="Times New Roman"/>
          <w:color w:val="000000"/>
          <w:sz w:val="24"/>
          <w:szCs w:val="24"/>
        </w:rPr>
        <w:t>We are satisfied that Central Ranges Pipeline Gas Network has correctly applied the approved variation method to calculate the reference tariffs in accordance with Part 3B of the access arrangement. The approved tariff variation method consists of an escalation formula whereby the reference tariffs are escalated by the change in the average of the CPI for the four quarters to December on a year on year basis multiplied by the previous year’s approved reference tariff.</w:t>
      </w:r>
    </w:p>
    <w:p w:rsidR="00581076" w:rsidRDefault="00581076" w:rsidP="00581076">
      <w:pPr>
        <w:spacing w:before="0"/>
        <w:rPr>
          <w:rFonts w:ascii="Times New Roman" w:eastAsia="Times New Roman" w:hAnsi="Times New Roman" w:cs="Times New Roman"/>
          <w:b/>
          <w:sz w:val="24"/>
          <w:szCs w:val="24"/>
          <w:lang w:eastAsia="en-AU"/>
        </w:rPr>
      </w:pPr>
    </w:p>
    <w:p w:rsidR="00581076" w:rsidRDefault="00581076" w:rsidP="00581076">
      <w:pPr>
        <w:spacing w:before="0"/>
        <w:rPr>
          <w:rFonts w:ascii="Times New Roman" w:eastAsia="Times New Roman" w:hAnsi="Times New Roman" w:cs="Times New Roman"/>
          <w:b/>
          <w:sz w:val="24"/>
          <w:szCs w:val="24"/>
          <w:lang w:eastAsia="en-AU"/>
        </w:rPr>
      </w:pPr>
    </w:p>
    <w:p w:rsidR="00581076" w:rsidRPr="001E7A40" w:rsidRDefault="00581076" w:rsidP="00581076">
      <w:pPr>
        <w:spacing w:before="0"/>
        <w:rPr>
          <w:rFonts w:ascii="Times New Roman" w:eastAsia="Times New Roman" w:hAnsi="Times New Roman" w:cs="Times New Roman"/>
          <w:b/>
          <w:sz w:val="24"/>
          <w:szCs w:val="24"/>
          <w:lang w:eastAsia="en-AU"/>
        </w:rPr>
      </w:pPr>
      <w:r w:rsidRPr="001E7A40">
        <w:rPr>
          <w:rFonts w:ascii="Times New Roman" w:eastAsia="Times New Roman" w:hAnsi="Times New Roman" w:cs="Times New Roman"/>
          <w:b/>
          <w:sz w:val="24"/>
          <w:szCs w:val="24"/>
          <w:lang w:eastAsia="en-AU"/>
        </w:rPr>
        <w:t>Approved reference tariffs for 2014–15</w:t>
      </w:r>
    </w:p>
    <w:p w:rsidR="00581076" w:rsidRPr="001E7A40" w:rsidRDefault="00581076" w:rsidP="00581076">
      <w:pPr>
        <w:spacing w:before="0"/>
        <w:rPr>
          <w:rFonts w:ascii="Times New Roman" w:eastAsia="Times New Roman" w:hAnsi="Times New Roman" w:cs="Times New Roman"/>
          <w:sz w:val="24"/>
          <w:szCs w:val="24"/>
          <w:lang w:eastAsia="en-AU"/>
        </w:rPr>
      </w:pPr>
    </w:p>
    <w:tbl>
      <w:tblPr>
        <w:tblStyle w:val="TableGrid1"/>
        <w:tblW w:w="0" w:type="auto"/>
        <w:tblLook w:val="04A0" w:firstRow="1" w:lastRow="0" w:firstColumn="1" w:lastColumn="0" w:noHBand="0" w:noVBand="1"/>
      </w:tblPr>
      <w:tblGrid>
        <w:gridCol w:w="3080"/>
        <w:gridCol w:w="3081"/>
        <w:gridCol w:w="3081"/>
      </w:tblGrid>
      <w:tr w:rsidR="00581076" w:rsidRPr="001E7A40" w:rsidTr="00504EDE">
        <w:tc>
          <w:tcPr>
            <w:tcW w:w="3080" w:type="dxa"/>
            <w:vAlign w:val="center"/>
          </w:tcPr>
          <w:p w:rsidR="00581076" w:rsidRPr="001E7A40" w:rsidRDefault="00581076" w:rsidP="00504EDE">
            <w:pPr>
              <w:spacing w:before="0"/>
              <w:rPr>
                <w:rFonts w:ascii="Times New Roman" w:hAnsi="Times New Roman"/>
                <w:b/>
                <w:sz w:val="24"/>
                <w:szCs w:val="24"/>
              </w:rPr>
            </w:pPr>
          </w:p>
        </w:tc>
        <w:tc>
          <w:tcPr>
            <w:tcW w:w="3081" w:type="dxa"/>
            <w:vAlign w:val="center"/>
          </w:tcPr>
          <w:p w:rsidR="00581076" w:rsidRPr="001E7A40" w:rsidRDefault="00581076" w:rsidP="00504EDE">
            <w:pPr>
              <w:spacing w:before="0"/>
              <w:jc w:val="center"/>
              <w:rPr>
                <w:rFonts w:ascii="Times New Roman" w:hAnsi="Times New Roman"/>
                <w:b/>
                <w:sz w:val="24"/>
                <w:szCs w:val="24"/>
              </w:rPr>
            </w:pPr>
            <w:r w:rsidRPr="001E7A40">
              <w:rPr>
                <w:rFonts w:ascii="Times New Roman" w:hAnsi="Times New Roman"/>
                <w:b/>
                <w:sz w:val="24"/>
                <w:szCs w:val="24"/>
              </w:rPr>
              <w:t>Charge in $/GJ (excl. GST)</w:t>
            </w:r>
          </w:p>
        </w:tc>
        <w:tc>
          <w:tcPr>
            <w:tcW w:w="3081" w:type="dxa"/>
            <w:vAlign w:val="center"/>
          </w:tcPr>
          <w:p w:rsidR="00581076" w:rsidRPr="001E7A40" w:rsidRDefault="00581076" w:rsidP="00504EDE">
            <w:pPr>
              <w:spacing w:before="0"/>
              <w:jc w:val="center"/>
              <w:rPr>
                <w:rFonts w:ascii="Times New Roman" w:hAnsi="Times New Roman"/>
                <w:b/>
                <w:sz w:val="24"/>
                <w:szCs w:val="24"/>
              </w:rPr>
            </w:pPr>
            <w:r w:rsidRPr="001E7A40">
              <w:rPr>
                <w:rFonts w:ascii="Times New Roman" w:hAnsi="Times New Roman"/>
                <w:b/>
                <w:sz w:val="24"/>
                <w:szCs w:val="24"/>
              </w:rPr>
              <w:t>Charge in $/GJ (incl. GST)</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Special contract transportation service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0.06</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0.07</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Contract transportation service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1.62</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1.78</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I &amp; C transportation service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2.01</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2.21</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Domestic transportation service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4.71</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5.18</w:t>
            </w:r>
          </w:p>
        </w:tc>
      </w:tr>
    </w:tbl>
    <w:p w:rsidR="00581076" w:rsidRDefault="00581076">
      <w:pPr>
        <w:spacing w:before="0" w:after="200" w:line="276"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581076" w:rsidRPr="001E7A40" w:rsidRDefault="00581076" w:rsidP="00581076">
      <w:pPr>
        <w:spacing w:before="0"/>
        <w:rPr>
          <w:rFonts w:ascii="Times New Roman" w:eastAsia="Times New Roman" w:hAnsi="Times New Roman" w:cs="Times New Roman"/>
          <w:sz w:val="24"/>
          <w:szCs w:val="24"/>
          <w:lang w:eastAsia="en-AU"/>
        </w:rPr>
      </w:pPr>
    </w:p>
    <w:p w:rsidR="00581076" w:rsidRPr="001E7A40" w:rsidRDefault="00581076" w:rsidP="00581076">
      <w:pPr>
        <w:numPr>
          <w:ilvl w:val="0"/>
          <w:numId w:val="20"/>
        </w:numPr>
        <w:autoSpaceDE w:val="0"/>
        <w:autoSpaceDN w:val="0"/>
        <w:adjustRightInd w:val="0"/>
        <w:spacing w:before="0"/>
        <w:jc w:val="both"/>
        <w:rPr>
          <w:rFonts w:ascii="Times New Roman" w:eastAsia="Calibri" w:hAnsi="Times New Roman" w:cs="Times New Roman"/>
          <w:color w:val="000000"/>
          <w:sz w:val="24"/>
          <w:szCs w:val="24"/>
        </w:rPr>
      </w:pPr>
      <w:r w:rsidRPr="001E7A40">
        <w:rPr>
          <w:rFonts w:ascii="Times New Roman" w:eastAsia="Calibri" w:hAnsi="Times New Roman" w:cs="Times New Roman"/>
          <w:color w:val="000000"/>
          <w:sz w:val="24"/>
          <w:szCs w:val="24"/>
        </w:rPr>
        <w:t>We are satisfied that Central Ranges Pipeline Gas Network has correctly applied the approved variation method to calculate charges for ancillary services in accordance with Part 3C clause 3.5A of the access arrangement. The approved tariff variation method consists of an escalation formula whereby the reference tariffs are escalated by the change in the average of the CPI for the four quarters to December on a year on year basis multiplied by the previous year’s approved reference tariff.</w:t>
      </w:r>
    </w:p>
    <w:p w:rsidR="00581076" w:rsidRPr="001E7A40" w:rsidRDefault="00581076" w:rsidP="00581076">
      <w:pPr>
        <w:spacing w:before="0"/>
        <w:rPr>
          <w:rFonts w:ascii="Times New Roman" w:eastAsia="Times New Roman" w:hAnsi="Times New Roman" w:cs="Times New Roman"/>
          <w:sz w:val="24"/>
          <w:szCs w:val="24"/>
          <w:lang w:eastAsia="en-AU"/>
        </w:rPr>
      </w:pPr>
    </w:p>
    <w:p w:rsidR="00581076" w:rsidRDefault="00581076" w:rsidP="00581076">
      <w:pPr>
        <w:spacing w:before="0"/>
        <w:rPr>
          <w:rFonts w:ascii="Times New Roman" w:eastAsia="Times New Roman" w:hAnsi="Times New Roman" w:cs="Times New Roman"/>
          <w:b/>
          <w:sz w:val="24"/>
          <w:szCs w:val="24"/>
          <w:lang w:eastAsia="en-AU"/>
        </w:rPr>
      </w:pPr>
    </w:p>
    <w:p w:rsidR="00581076" w:rsidRPr="001E7A40" w:rsidRDefault="00581076" w:rsidP="00581076">
      <w:pPr>
        <w:spacing w:before="0"/>
        <w:rPr>
          <w:rFonts w:ascii="Times New Roman" w:eastAsia="Times New Roman" w:hAnsi="Times New Roman" w:cs="Times New Roman"/>
          <w:b/>
          <w:sz w:val="24"/>
          <w:szCs w:val="24"/>
          <w:lang w:eastAsia="en-AU"/>
        </w:rPr>
      </w:pPr>
      <w:r w:rsidRPr="001E7A40">
        <w:rPr>
          <w:rFonts w:ascii="Times New Roman" w:eastAsia="Times New Roman" w:hAnsi="Times New Roman" w:cs="Times New Roman"/>
          <w:b/>
          <w:sz w:val="24"/>
          <w:szCs w:val="24"/>
          <w:lang w:eastAsia="en-AU"/>
        </w:rPr>
        <w:t>Approved ancillary service charges for 2014–15</w:t>
      </w:r>
    </w:p>
    <w:p w:rsidR="00581076" w:rsidRPr="001E7A40" w:rsidRDefault="00581076" w:rsidP="00581076">
      <w:pPr>
        <w:spacing w:before="0"/>
        <w:rPr>
          <w:rFonts w:ascii="Times New Roman" w:eastAsia="Times New Roman" w:hAnsi="Times New Roman" w:cs="Times New Roman"/>
          <w:sz w:val="24"/>
          <w:szCs w:val="24"/>
          <w:lang w:eastAsia="en-AU"/>
        </w:rPr>
      </w:pPr>
    </w:p>
    <w:tbl>
      <w:tblPr>
        <w:tblStyle w:val="TableGrid1"/>
        <w:tblW w:w="0" w:type="auto"/>
        <w:tblLook w:val="04A0" w:firstRow="1" w:lastRow="0" w:firstColumn="1" w:lastColumn="0" w:noHBand="0" w:noVBand="1"/>
      </w:tblPr>
      <w:tblGrid>
        <w:gridCol w:w="3080"/>
        <w:gridCol w:w="3081"/>
        <w:gridCol w:w="3081"/>
      </w:tblGrid>
      <w:tr w:rsidR="00581076" w:rsidRPr="001E7A40" w:rsidTr="00504EDE">
        <w:tc>
          <w:tcPr>
            <w:tcW w:w="3080" w:type="dxa"/>
            <w:vAlign w:val="center"/>
          </w:tcPr>
          <w:p w:rsidR="00581076" w:rsidRPr="001E7A40" w:rsidRDefault="00581076" w:rsidP="00504EDE">
            <w:pPr>
              <w:spacing w:before="0"/>
              <w:rPr>
                <w:rFonts w:ascii="Times New Roman" w:hAnsi="Times New Roman"/>
                <w:b/>
                <w:sz w:val="24"/>
                <w:szCs w:val="24"/>
              </w:rPr>
            </w:pPr>
          </w:p>
        </w:tc>
        <w:tc>
          <w:tcPr>
            <w:tcW w:w="3081" w:type="dxa"/>
            <w:vAlign w:val="center"/>
          </w:tcPr>
          <w:p w:rsidR="00581076" w:rsidRPr="001E7A40" w:rsidRDefault="00581076" w:rsidP="00504EDE">
            <w:pPr>
              <w:spacing w:before="0"/>
              <w:jc w:val="center"/>
              <w:rPr>
                <w:rFonts w:ascii="Times New Roman" w:hAnsi="Times New Roman"/>
                <w:b/>
                <w:sz w:val="24"/>
                <w:szCs w:val="24"/>
              </w:rPr>
            </w:pPr>
            <w:r w:rsidRPr="001E7A40">
              <w:rPr>
                <w:rFonts w:ascii="Times New Roman" w:hAnsi="Times New Roman"/>
                <w:b/>
                <w:sz w:val="24"/>
                <w:szCs w:val="24"/>
              </w:rPr>
              <w:t>Charge in $ (excl. GST)</w:t>
            </w:r>
          </w:p>
        </w:tc>
        <w:tc>
          <w:tcPr>
            <w:tcW w:w="3081" w:type="dxa"/>
            <w:vAlign w:val="center"/>
          </w:tcPr>
          <w:p w:rsidR="00581076" w:rsidRPr="001E7A40" w:rsidRDefault="00581076" w:rsidP="00504EDE">
            <w:pPr>
              <w:spacing w:before="0"/>
              <w:jc w:val="center"/>
              <w:rPr>
                <w:rFonts w:ascii="Times New Roman" w:hAnsi="Times New Roman"/>
                <w:b/>
                <w:sz w:val="24"/>
                <w:szCs w:val="24"/>
              </w:rPr>
            </w:pPr>
            <w:r w:rsidRPr="001E7A40">
              <w:rPr>
                <w:rFonts w:ascii="Times New Roman" w:hAnsi="Times New Roman"/>
                <w:b/>
                <w:sz w:val="24"/>
                <w:szCs w:val="24"/>
              </w:rPr>
              <w:t>Charge in $ (incl. GST)</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Request for service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71.52</w:t>
            </w:r>
            <w:r>
              <w:rPr>
                <w:rFonts w:ascii="Times New Roman" w:hAnsi="Times New Roman"/>
                <w:sz w:val="24"/>
                <w:szCs w:val="24"/>
              </w:rPr>
              <w:t xml:space="preserve"> </w:t>
            </w:r>
            <w:r w:rsidRPr="007501B2">
              <w:rPr>
                <w:rFonts w:ascii="Times New Roman" w:hAnsi="Times New Roman"/>
                <w:sz w:val="24"/>
                <w:szCs w:val="24"/>
              </w:rPr>
              <w:t>plus 71.52 per hour after the first hour</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78.67</w:t>
            </w:r>
            <w:r>
              <w:rPr>
                <w:rFonts w:ascii="Times New Roman" w:hAnsi="Times New Roman"/>
                <w:sz w:val="24"/>
                <w:szCs w:val="24"/>
              </w:rPr>
              <w:t xml:space="preserve"> plus </w:t>
            </w:r>
            <w:r w:rsidRPr="007501B2">
              <w:rPr>
                <w:rFonts w:ascii="Times New Roman" w:hAnsi="Times New Roman"/>
                <w:sz w:val="24"/>
                <w:szCs w:val="24"/>
              </w:rPr>
              <w:t>78.67 per hour after the first hour</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Special meter read</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42.90</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47.19</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Meter testing service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247.93</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272.72</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Domestic customer disconnection fee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89.39</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98.33</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I &amp; C contract and special contract customer disconnection fee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357.57</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393.33</w:t>
            </w:r>
          </w:p>
        </w:tc>
      </w:tr>
      <w:tr w:rsidR="00581076" w:rsidRPr="001E7A40" w:rsidTr="00504EDE">
        <w:tc>
          <w:tcPr>
            <w:tcW w:w="3080" w:type="dxa"/>
            <w:vAlign w:val="center"/>
          </w:tcPr>
          <w:p w:rsidR="00581076" w:rsidRPr="001E7A40" w:rsidRDefault="00581076" w:rsidP="00504EDE">
            <w:pPr>
              <w:spacing w:before="0"/>
              <w:rPr>
                <w:rFonts w:ascii="Times New Roman" w:hAnsi="Times New Roman"/>
                <w:sz w:val="24"/>
                <w:szCs w:val="24"/>
              </w:rPr>
            </w:pPr>
            <w:r w:rsidRPr="001E7A40">
              <w:rPr>
                <w:rFonts w:ascii="Times New Roman" w:hAnsi="Times New Roman"/>
                <w:sz w:val="24"/>
                <w:szCs w:val="24"/>
              </w:rPr>
              <w:t>After hours reconnection service</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119.20</w:t>
            </w:r>
          </w:p>
        </w:tc>
        <w:tc>
          <w:tcPr>
            <w:tcW w:w="3081" w:type="dxa"/>
            <w:vAlign w:val="center"/>
          </w:tcPr>
          <w:p w:rsidR="00581076" w:rsidRPr="001E7A40" w:rsidRDefault="00581076" w:rsidP="00504EDE">
            <w:pPr>
              <w:spacing w:before="0"/>
              <w:jc w:val="center"/>
              <w:rPr>
                <w:rFonts w:ascii="Times New Roman" w:hAnsi="Times New Roman"/>
                <w:sz w:val="24"/>
                <w:szCs w:val="24"/>
              </w:rPr>
            </w:pPr>
            <w:r w:rsidRPr="001E7A40">
              <w:rPr>
                <w:rFonts w:ascii="Times New Roman" w:hAnsi="Times New Roman"/>
                <w:sz w:val="24"/>
                <w:szCs w:val="24"/>
              </w:rPr>
              <w:t>131.12</w:t>
            </w:r>
          </w:p>
        </w:tc>
      </w:tr>
    </w:tbl>
    <w:p w:rsidR="00581076" w:rsidRPr="001E7A40" w:rsidRDefault="00581076" w:rsidP="00581076">
      <w:pPr>
        <w:spacing w:before="0"/>
        <w:rPr>
          <w:rFonts w:ascii="Times New Roman" w:eastAsia="Times New Roman" w:hAnsi="Times New Roman" w:cs="Times New Roman"/>
          <w:sz w:val="24"/>
          <w:szCs w:val="24"/>
          <w:lang w:eastAsia="en-AU"/>
        </w:rPr>
      </w:pPr>
    </w:p>
    <w:p w:rsidR="00BE1F1B" w:rsidRPr="00BE1F1B" w:rsidRDefault="00BE1F1B" w:rsidP="00BE1F1B"/>
    <w:sectPr w:rsidR="00BE1F1B" w:rsidRPr="00BE1F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76" w:rsidRDefault="00581076" w:rsidP="00581076">
      <w:pPr>
        <w:spacing w:before="0"/>
      </w:pPr>
      <w:r>
        <w:separator/>
      </w:r>
    </w:p>
  </w:endnote>
  <w:endnote w:type="continuationSeparator" w:id="0">
    <w:p w:rsidR="00581076" w:rsidRDefault="00581076" w:rsidP="005810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76" w:rsidRDefault="00581076" w:rsidP="00581076">
      <w:pPr>
        <w:spacing w:before="0"/>
      </w:pPr>
      <w:r>
        <w:separator/>
      </w:r>
    </w:p>
  </w:footnote>
  <w:footnote w:type="continuationSeparator" w:id="0">
    <w:p w:rsidR="00581076" w:rsidRDefault="00581076" w:rsidP="00581076">
      <w:pPr>
        <w:spacing w:before="0"/>
      </w:pPr>
      <w:r>
        <w:continuationSeparator/>
      </w:r>
    </w:p>
  </w:footnote>
  <w:footnote w:id="1">
    <w:p w:rsidR="00581076" w:rsidRDefault="00581076" w:rsidP="00581076">
      <w:pPr>
        <w:pStyle w:val="FootnoteText"/>
      </w:pPr>
      <w:r>
        <w:rPr>
          <w:rStyle w:val="FootnoteReference"/>
        </w:rPr>
        <w:footnoteRef/>
      </w:r>
      <w:r>
        <w:t xml:space="preserve"> See </w:t>
      </w:r>
      <w:hyperlink r:id="rId1" w:history="1">
        <w:r w:rsidRPr="0001628B">
          <w:rPr>
            <w:rStyle w:val="Hyperlink"/>
            <w:rFonts w:ascii="Times New Roman" w:hAnsi="Times New Roman"/>
            <w:sz w:val="20"/>
          </w:rPr>
          <w:t>http://www.apa.com.au/media/140844/access%20arrangement%20cenrral%20ranges%20network%20amended%20august%20and%20october%202008.pdf</w:t>
        </w:r>
      </w:hyperlink>
    </w:p>
    <w:p w:rsidR="00581076" w:rsidRDefault="00581076" w:rsidP="0058107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34B05"/>
    <w:multiLevelType w:val="hybridMultilevel"/>
    <w:tmpl w:val="EB14D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2"/>
  </w:num>
  <w:num w:numId="4">
    <w:abstractNumId w:val="18"/>
  </w:num>
  <w:num w:numId="5">
    <w:abstractNumId w:val="11"/>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3"/>
    <w:lvlOverride w:ilvl="0">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920\D14 65518  2014-15 Annual Tariff Variation - Statement of Reasons - Central Ranges Pipeline Gas Network.DOCX"/>
  </w:docVars>
  <w:rsids>
    <w:rsidRoot w:val="00581076"/>
    <w:rsid w:val="00021202"/>
    <w:rsid w:val="000E1819"/>
    <w:rsid w:val="000E6C72"/>
    <w:rsid w:val="00124609"/>
    <w:rsid w:val="001573E4"/>
    <w:rsid w:val="00251745"/>
    <w:rsid w:val="00286874"/>
    <w:rsid w:val="002A7DEF"/>
    <w:rsid w:val="00307F6D"/>
    <w:rsid w:val="003518B3"/>
    <w:rsid w:val="00532467"/>
    <w:rsid w:val="00564A4D"/>
    <w:rsid w:val="00581076"/>
    <w:rsid w:val="00632D6D"/>
    <w:rsid w:val="007303C3"/>
    <w:rsid w:val="00763E5D"/>
    <w:rsid w:val="00777EE6"/>
    <w:rsid w:val="007C1C53"/>
    <w:rsid w:val="00831207"/>
    <w:rsid w:val="00851209"/>
    <w:rsid w:val="008E7031"/>
    <w:rsid w:val="00A60A26"/>
    <w:rsid w:val="00BD3446"/>
    <w:rsid w:val="00BE1F1B"/>
    <w:rsid w:val="00BF0B8E"/>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1076"/>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styleId="FootnoteText">
    <w:name w:val="footnote text"/>
    <w:basedOn w:val="Normal"/>
    <w:link w:val="FootnoteTextChar"/>
    <w:semiHidden/>
    <w:rsid w:val="00581076"/>
    <w:pPr>
      <w:spacing w:before="0"/>
    </w:pPr>
    <w:rPr>
      <w:rFonts w:eastAsia="Times New Roman" w:cs="Times New Roman"/>
      <w:sz w:val="20"/>
      <w:szCs w:val="20"/>
      <w:lang w:val="en-GB" w:eastAsia="en-AU"/>
    </w:rPr>
  </w:style>
  <w:style w:type="character" w:customStyle="1" w:styleId="FootnoteTextChar">
    <w:name w:val="Footnote Text Char"/>
    <w:basedOn w:val="DefaultParagraphFont"/>
    <w:link w:val="FootnoteText"/>
    <w:semiHidden/>
    <w:rsid w:val="00581076"/>
    <w:rPr>
      <w:rFonts w:ascii="Arial" w:eastAsia="Times New Roman" w:hAnsi="Arial" w:cs="Times New Roman"/>
      <w:sz w:val="20"/>
      <w:szCs w:val="20"/>
      <w:lang w:val="en-GB" w:eastAsia="en-AU"/>
    </w:rPr>
  </w:style>
  <w:style w:type="character" w:styleId="FootnoteReference">
    <w:name w:val="footnote reference"/>
    <w:uiPriority w:val="99"/>
    <w:semiHidden/>
    <w:rsid w:val="00581076"/>
    <w:rPr>
      <w:vertAlign w:val="superscript"/>
    </w:rPr>
  </w:style>
  <w:style w:type="table" w:customStyle="1" w:styleId="TableGrid1">
    <w:name w:val="Table Grid1"/>
    <w:basedOn w:val="TableNormal"/>
    <w:next w:val="TableGrid"/>
    <w:uiPriority w:val="59"/>
    <w:rsid w:val="00581076"/>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81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1076"/>
    <w:pPr>
      <w:spacing w:before="120" w:after="0" w:line="240" w:lineRule="auto"/>
    </w:pPr>
    <w:rPr>
      <w:rFonts w:ascii="Arial" w:hAnsi="Arial"/>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 w:type="paragraph" w:styleId="FootnoteText">
    <w:name w:val="footnote text"/>
    <w:basedOn w:val="Normal"/>
    <w:link w:val="FootnoteTextChar"/>
    <w:semiHidden/>
    <w:rsid w:val="00581076"/>
    <w:pPr>
      <w:spacing w:before="0"/>
    </w:pPr>
    <w:rPr>
      <w:rFonts w:eastAsia="Times New Roman" w:cs="Times New Roman"/>
      <w:sz w:val="20"/>
      <w:szCs w:val="20"/>
      <w:lang w:val="en-GB" w:eastAsia="en-AU"/>
    </w:rPr>
  </w:style>
  <w:style w:type="character" w:customStyle="1" w:styleId="FootnoteTextChar">
    <w:name w:val="Footnote Text Char"/>
    <w:basedOn w:val="DefaultParagraphFont"/>
    <w:link w:val="FootnoteText"/>
    <w:semiHidden/>
    <w:rsid w:val="00581076"/>
    <w:rPr>
      <w:rFonts w:ascii="Arial" w:eastAsia="Times New Roman" w:hAnsi="Arial" w:cs="Times New Roman"/>
      <w:sz w:val="20"/>
      <w:szCs w:val="20"/>
      <w:lang w:val="en-GB" w:eastAsia="en-AU"/>
    </w:rPr>
  </w:style>
  <w:style w:type="character" w:styleId="FootnoteReference">
    <w:name w:val="footnote reference"/>
    <w:uiPriority w:val="99"/>
    <w:semiHidden/>
    <w:rsid w:val="00581076"/>
    <w:rPr>
      <w:vertAlign w:val="superscript"/>
    </w:rPr>
  </w:style>
  <w:style w:type="table" w:customStyle="1" w:styleId="TableGrid1">
    <w:name w:val="Table Grid1"/>
    <w:basedOn w:val="TableNormal"/>
    <w:next w:val="TableGrid"/>
    <w:uiPriority w:val="59"/>
    <w:rsid w:val="00581076"/>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81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www.apa.com.au/media/140844/access%20arrangement%20cenrral%20ranges%20network%20amended%20august%20and%20october%20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E4809-378E-4322-BED0-7EF3AB22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95D2905F.dotm</Template>
  <TotalTime>1</TotalTime>
  <Pages>2</Pages>
  <Words>373</Words>
  <Characters>1970</Characters>
  <Application>Microsoft Office Word</Application>
  <DocSecurity>4</DocSecurity>
  <Lines>78</Lines>
  <Paragraphs>32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Makani, Jeevika</dc:creator>
  <cp:keywords/>
  <dc:description/>
  <cp:lastModifiedBy>Moffitt, Shannon</cp:lastModifiedBy>
  <cp:revision>2</cp:revision>
  <dcterms:created xsi:type="dcterms:W3CDTF">2014-05-26T07:04:00Z</dcterms:created>
  <dcterms:modified xsi:type="dcterms:W3CDTF">2014-05-26T07:04:00Z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H:\TRIMDATA\TRIM\TEMP\HPTRIM.3920\D14 65518  2014-15 Annual Tariff Variation - Statement of Reasons - Central Ranges Pipeline Gas Network.DOCX</vt:lpwstr>
  </property>
</Properties>
</file>