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EE3" w:rsidRPr="00EA2E01" w:rsidRDefault="007D7EE3" w:rsidP="007D7EE3">
      <w:pPr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7D7EE3" w:rsidRPr="00EA2E01" w:rsidRDefault="007D7EE3" w:rsidP="007D7EE3">
      <w:pPr>
        <w:jc w:val="center"/>
        <w:rPr>
          <w:rFonts w:ascii="Times New Roman" w:hAnsi="Times New Roman"/>
        </w:rPr>
      </w:pPr>
      <w:r w:rsidRPr="00945981">
        <w:rPr>
          <w:rFonts w:ascii="Times New Roman" w:hAnsi="Times New Roman"/>
          <w:noProof/>
          <w:lang w:eastAsia="en-AU"/>
        </w:rPr>
        <w:drawing>
          <wp:inline distT="0" distB="0" distL="0" distR="0" wp14:anchorId="72100235" wp14:editId="6B319906">
            <wp:extent cx="5314950" cy="1257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E3" w:rsidRPr="00EA2E01" w:rsidRDefault="007D7EE3" w:rsidP="007D7EE3">
      <w:pPr>
        <w:jc w:val="center"/>
        <w:rPr>
          <w:rFonts w:ascii="Times New Roman" w:hAnsi="Times New Roman"/>
        </w:rPr>
      </w:pPr>
    </w:p>
    <w:p w:rsidR="007D7EE3" w:rsidRDefault="007D7EE3" w:rsidP="007D7EE3">
      <w:pPr>
        <w:tabs>
          <w:tab w:val="left" w:pos="56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7D7EE3" w:rsidRPr="00EA2E01" w:rsidRDefault="007D7EE3" w:rsidP="007D7EE3">
      <w:pPr>
        <w:jc w:val="center"/>
        <w:rPr>
          <w:rFonts w:ascii="Times New Roman" w:hAnsi="Times New Roman"/>
          <w:b/>
          <w:sz w:val="28"/>
          <w:szCs w:val="28"/>
        </w:rPr>
      </w:pPr>
      <w:r w:rsidRPr="00EA2E01">
        <w:rPr>
          <w:rFonts w:ascii="Times New Roman" w:hAnsi="Times New Roman"/>
          <w:b/>
          <w:sz w:val="28"/>
          <w:szCs w:val="28"/>
        </w:rPr>
        <w:t>STATEMENT OF REASONS</w:t>
      </w:r>
    </w:p>
    <w:p w:rsidR="007D7EE3" w:rsidRPr="00EA2E01" w:rsidRDefault="007D7EE3" w:rsidP="007D7EE3">
      <w:pPr>
        <w:jc w:val="center"/>
        <w:rPr>
          <w:rFonts w:ascii="Times New Roman" w:hAnsi="Times New Roman"/>
          <w:b/>
          <w:sz w:val="28"/>
          <w:szCs w:val="28"/>
        </w:rPr>
      </w:pPr>
      <w:r w:rsidRPr="00EA2E01">
        <w:rPr>
          <w:rFonts w:ascii="Times New Roman" w:hAnsi="Times New Roman"/>
          <w:b/>
          <w:sz w:val="28"/>
          <w:szCs w:val="28"/>
        </w:rPr>
        <w:t xml:space="preserve"> </w:t>
      </w:r>
    </w:p>
    <w:p w:rsidR="007D7EE3" w:rsidRPr="00EA2E01" w:rsidRDefault="007D7EE3" w:rsidP="007D7EE3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EA2E01">
        <w:rPr>
          <w:rFonts w:ascii="Times New Roman" w:hAnsi="Times New Roman"/>
          <w:b/>
          <w:bCs/>
          <w:sz w:val="28"/>
          <w:szCs w:val="28"/>
        </w:rPr>
        <w:t>ActewAGL</w:t>
      </w:r>
      <w:proofErr w:type="spellEnd"/>
      <w:r w:rsidRPr="00EA2E01">
        <w:rPr>
          <w:rFonts w:ascii="Times New Roman" w:hAnsi="Times New Roman"/>
          <w:b/>
          <w:bCs/>
          <w:sz w:val="28"/>
          <w:szCs w:val="28"/>
        </w:rPr>
        <w:t xml:space="preserve"> Gas Distribution System in ACT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EA2E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B05DF">
        <w:rPr>
          <w:rFonts w:ascii="Times New Roman" w:hAnsi="Times New Roman"/>
          <w:b/>
          <w:bCs/>
          <w:sz w:val="28"/>
          <w:szCs w:val="28"/>
        </w:rPr>
        <w:t xml:space="preserve">Queanbeyan and </w:t>
      </w:r>
      <w:proofErr w:type="spellStart"/>
      <w:r w:rsidRPr="00DB05DF">
        <w:rPr>
          <w:rFonts w:ascii="Times New Roman" w:hAnsi="Times New Roman"/>
          <w:b/>
          <w:bCs/>
          <w:sz w:val="28"/>
          <w:szCs w:val="28"/>
        </w:rPr>
        <w:t>Palerang</w:t>
      </w:r>
      <w:proofErr w:type="spellEnd"/>
      <w:r w:rsidRPr="00EA2E01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Pr="000A6B5B">
        <w:rPr>
          <w:rFonts w:ascii="Times New Roman" w:hAnsi="Times New Roman"/>
          <w:b/>
          <w:bCs/>
          <w:sz w:val="28"/>
          <w:szCs w:val="28"/>
        </w:rPr>
        <w:t xml:space="preserve">Annual Tariff </w:t>
      </w:r>
      <w:r>
        <w:rPr>
          <w:rFonts w:ascii="Times New Roman" w:hAnsi="Times New Roman"/>
          <w:b/>
          <w:bCs/>
          <w:sz w:val="28"/>
          <w:szCs w:val="28"/>
        </w:rPr>
        <w:t>Variation 2014</w:t>
      </w:r>
      <w:r w:rsidRPr="00554D11"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z w:val="28"/>
          <w:szCs w:val="28"/>
        </w:rPr>
        <w:t>15</w:t>
      </w:r>
    </w:p>
    <w:p w:rsidR="007D7EE3" w:rsidRPr="00EA2E01" w:rsidRDefault="007D7EE3" w:rsidP="007D7EE3">
      <w:pPr>
        <w:jc w:val="center"/>
        <w:rPr>
          <w:rFonts w:ascii="Times New Roman" w:hAnsi="Times New Roman"/>
        </w:rPr>
      </w:pPr>
    </w:p>
    <w:p w:rsidR="00EE2A95" w:rsidRDefault="007D7EE3" w:rsidP="00EE2A9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2E01">
        <w:rPr>
          <w:rFonts w:ascii="Times New Roman" w:hAnsi="Times New Roman"/>
          <w:szCs w:val="24"/>
        </w:rPr>
        <w:t xml:space="preserve">The Australian Energy Regulator has approved </w:t>
      </w:r>
      <w:proofErr w:type="spellStart"/>
      <w:r w:rsidRPr="00EA2E01">
        <w:rPr>
          <w:rFonts w:ascii="Times New Roman" w:hAnsi="Times New Roman"/>
          <w:szCs w:val="24"/>
        </w:rPr>
        <w:t>ActewAGL’s</w:t>
      </w:r>
      <w:proofErr w:type="spellEnd"/>
      <w:r w:rsidRPr="00EA2E01">
        <w:rPr>
          <w:rFonts w:ascii="Times New Roman" w:hAnsi="Times New Roman"/>
        </w:rPr>
        <w:t xml:space="preserve"> </w:t>
      </w:r>
      <w:r w:rsidRPr="00EA2E01">
        <w:rPr>
          <w:rFonts w:ascii="Times New Roman" w:hAnsi="Times New Roman"/>
          <w:szCs w:val="24"/>
        </w:rPr>
        <w:t xml:space="preserve">proposed annual tariff variation for the </w:t>
      </w:r>
      <w:proofErr w:type="spellStart"/>
      <w:r w:rsidRPr="00DA4427">
        <w:rPr>
          <w:rFonts w:ascii="Times New Roman" w:hAnsi="Times New Roman"/>
          <w:szCs w:val="24"/>
        </w:rPr>
        <w:t>ActewAGL</w:t>
      </w:r>
      <w:proofErr w:type="spellEnd"/>
      <w:r w:rsidRPr="00DA4427">
        <w:rPr>
          <w:rFonts w:ascii="Times New Roman" w:hAnsi="Times New Roman"/>
          <w:szCs w:val="24"/>
        </w:rPr>
        <w:t xml:space="preserve"> Gas Distribution System in ACT, Queanbeyan and </w:t>
      </w:r>
      <w:proofErr w:type="spellStart"/>
      <w:r w:rsidRPr="00DA4427">
        <w:rPr>
          <w:rFonts w:ascii="Times New Roman" w:hAnsi="Times New Roman"/>
          <w:szCs w:val="24"/>
        </w:rPr>
        <w:t>Palerang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D27A7B">
        <w:rPr>
          <w:rFonts w:ascii="Times New Roman" w:hAnsi="Times New Roman"/>
          <w:szCs w:val="24"/>
        </w:rPr>
        <w:t xml:space="preserve">in accordance with clause 6.7 of the </w:t>
      </w:r>
      <w:r w:rsidRPr="00D27A7B">
        <w:rPr>
          <w:rFonts w:ascii="Times New Roman" w:hAnsi="Times New Roman"/>
          <w:i/>
        </w:rPr>
        <w:t xml:space="preserve">Access Arrangement for the ACT, Queanbeyan and </w:t>
      </w:r>
      <w:proofErr w:type="spellStart"/>
      <w:r w:rsidRPr="00D27A7B">
        <w:rPr>
          <w:rFonts w:ascii="Times New Roman" w:hAnsi="Times New Roman"/>
          <w:i/>
        </w:rPr>
        <w:t>Palerang</w:t>
      </w:r>
      <w:proofErr w:type="spellEnd"/>
      <w:r w:rsidRPr="00D27A7B">
        <w:rPr>
          <w:rFonts w:ascii="Times New Roman" w:hAnsi="Times New Roman"/>
          <w:i/>
        </w:rPr>
        <w:t xml:space="preserve"> gas distribution network 1 July 2010-30 June 2015 amended by order of the Australian Competition Tribunal made on 23 September 2010</w:t>
      </w:r>
      <w:r w:rsidRPr="00D27A7B">
        <w:rPr>
          <w:rFonts w:ascii="Times New Roman" w:hAnsi="Times New Roman"/>
        </w:rPr>
        <w:t xml:space="preserve"> </w:t>
      </w:r>
      <w:r w:rsidRPr="00D27A7B">
        <w:rPr>
          <w:rFonts w:ascii="Times New Roman" w:hAnsi="Times New Roman"/>
          <w:szCs w:val="24"/>
        </w:rPr>
        <w:t>(the access arrangement).</w:t>
      </w:r>
      <w:r w:rsidR="00873D9F">
        <w:rPr>
          <w:rFonts w:ascii="Times New Roman" w:hAnsi="Times New Roman"/>
          <w:szCs w:val="24"/>
        </w:rPr>
        <w:t xml:space="preserve"> </w:t>
      </w:r>
      <w:r w:rsidR="00EE2A95">
        <w:rPr>
          <w:rFonts w:ascii="Times New Roman" w:eastAsia="Calibri" w:hAnsi="Times New Roman" w:cs="Times New Roman"/>
          <w:color w:val="000000"/>
          <w:sz w:val="24"/>
          <w:szCs w:val="24"/>
        </w:rPr>
        <w:t>The access arrangement sets out a price path over a five year period</w:t>
      </w:r>
      <w:r w:rsidR="00EE2A95" w:rsidRPr="0094689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EE2A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approved tariffs are consistent with the price path established by the access arrangement and approved by the AER at the time of the last gas price review.</w:t>
      </w:r>
    </w:p>
    <w:p w:rsidR="007D7EE3" w:rsidRPr="00EE2A95" w:rsidRDefault="007D7EE3" w:rsidP="00EE2A95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27A7B">
        <w:rPr>
          <w:rFonts w:ascii="Times New Roman" w:hAnsi="Times New Roman"/>
          <w:szCs w:val="24"/>
        </w:rPr>
        <w:t>Included in the annual tariff variation</w:t>
      </w:r>
      <w:r>
        <w:rPr>
          <w:rFonts w:ascii="Times New Roman" w:hAnsi="Times New Roman"/>
          <w:szCs w:val="24"/>
        </w:rPr>
        <w:t xml:space="preserve"> are adjustments to pass through costs associated with </w:t>
      </w:r>
      <w:r w:rsidRPr="0075788D">
        <w:rPr>
          <w:rFonts w:ascii="Times New Roman" w:hAnsi="Times New Roman"/>
          <w:szCs w:val="24"/>
        </w:rPr>
        <w:t>Unaccounted for gas (UAG)</w:t>
      </w:r>
      <w:r>
        <w:rPr>
          <w:rFonts w:ascii="Times New Roman" w:hAnsi="Times New Roman"/>
          <w:szCs w:val="24"/>
        </w:rPr>
        <w:t xml:space="preserve">, </w:t>
      </w:r>
      <w:r w:rsidRPr="0075788D">
        <w:rPr>
          <w:rFonts w:ascii="Times New Roman" w:hAnsi="Times New Roman"/>
          <w:szCs w:val="24"/>
        </w:rPr>
        <w:t>the Utilities (Network Facilities) Tax (UNFT)</w:t>
      </w:r>
      <w:r>
        <w:rPr>
          <w:rFonts w:ascii="Times New Roman" w:hAnsi="Times New Roman"/>
          <w:szCs w:val="24"/>
        </w:rPr>
        <w:t xml:space="preserve">, </w:t>
      </w:r>
      <w:r w:rsidRPr="0075788D">
        <w:rPr>
          <w:rFonts w:ascii="Times New Roman" w:hAnsi="Times New Roman"/>
          <w:szCs w:val="24"/>
        </w:rPr>
        <w:t>the Energy Industry Levy in 2013</w:t>
      </w:r>
      <w:r>
        <w:rPr>
          <w:rFonts w:ascii="Times New Roman" w:hAnsi="Times New Roman"/>
          <w:szCs w:val="24"/>
        </w:rPr>
        <w:t>–</w:t>
      </w:r>
      <w:r w:rsidRPr="0075788D">
        <w:rPr>
          <w:rFonts w:ascii="Times New Roman" w:hAnsi="Times New Roman"/>
          <w:szCs w:val="24"/>
        </w:rPr>
        <w:t>14</w:t>
      </w:r>
      <w:r>
        <w:rPr>
          <w:rFonts w:ascii="Times New Roman" w:hAnsi="Times New Roman"/>
          <w:szCs w:val="24"/>
        </w:rPr>
        <w:t xml:space="preserve">, a General Pass </w:t>
      </w:r>
      <w:proofErr w:type="gramStart"/>
      <w:r>
        <w:rPr>
          <w:rFonts w:ascii="Times New Roman" w:hAnsi="Times New Roman"/>
          <w:szCs w:val="24"/>
        </w:rPr>
        <w:t>Through</w:t>
      </w:r>
      <w:proofErr w:type="gramEnd"/>
      <w:r>
        <w:rPr>
          <w:rFonts w:ascii="Times New Roman" w:hAnsi="Times New Roman"/>
          <w:szCs w:val="24"/>
        </w:rPr>
        <w:t xml:space="preserve"> Event and a Carbon Pollution Scheme Event which the AER has approved </w:t>
      </w:r>
      <w:r w:rsidRPr="00EA2E01">
        <w:rPr>
          <w:rFonts w:ascii="Times New Roman" w:hAnsi="Times New Roman"/>
          <w:szCs w:val="24"/>
        </w:rPr>
        <w:t xml:space="preserve">in accordance with </w:t>
      </w:r>
      <w:r>
        <w:rPr>
          <w:rFonts w:ascii="Times New Roman" w:hAnsi="Times New Roman"/>
          <w:szCs w:val="24"/>
        </w:rPr>
        <w:t xml:space="preserve">clause 6.16 of the access arrangement.  </w:t>
      </w:r>
    </w:p>
    <w:p w:rsidR="007D7EE3" w:rsidRPr="00EA2E01" w:rsidRDefault="007D7EE3" w:rsidP="007D7EE3">
      <w:pPr>
        <w:jc w:val="both"/>
        <w:rPr>
          <w:rFonts w:ascii="Times New Roman" w:hAnsi="Times New Roman"/>
          <w:szCs w:val="24"/>
        </w:rPr>
      </w:pPr>
      <w:r w:rsidRPr="00EA2E01">
        <w:rPr>
          <w:rFonts w:ascii="Times New Roman" w:hAnsi="Times New Roman"/>
          <w:szCs w:val="24"/>
        </w:rPr>
        <w:t>The reason</w:t>
      </w:r>
      <w:r>
        <w:rPr>
          <w:rFonts w:ascii="Times New Roman" w:hAnsi="Times New Roman"/>
          <w:szCs w:val="24"/>
        </w:rPr>
        <w:t>s</w:t>
      </w:r>
      <w:r w:rsidRPr="00EA2E01">
        <w:rPr>
          <w:rFonts w:ascii="Times New Roman" w:hAnsi="Times New Roman"/>
          <w:szCs w:val="24"/>
        </w:rPr>
        <w:t xml:space="preserve"> for </w:t>
      </w:r>
      <w:r>
        <w:rPr>
          <w:rFonts w:ascii="Times New Roman" w:hAnsi="Times New Roman"/>
          <w:szCs w:val="24"/>
        </w:rPr>
        <w:t>approving</w:t>
      </w:r>
      <w:r w:rsidRPr="00EA2E01">
        <w:rPr>
          <w:rFonts w:ascii="Times New Roman" w:hAnsi="Times New Roman"/>
          <w:szCs w:val="24"/>
        </w:rPr>
        <w:t xml:space="preserve"> the proposed tariff variation </w:t>
      </w:r>
      <w:r>
        <w:rPr>
          <w:rFonts w:ascii="Times New Roman" w:hAnsi="Times New Roman"/>
          <w:szCs w:val="24"/>
        </w:rPr>
        <w:t>are</w:t>
      </w:r>
      <w:r w:rsidRPr="00EA2E01">
        <w:rPr>
          <w:rFonts w:ascii="Times New Roman" w:hAnsi="Times New Roman"/>
          <w:szCs w:val="24"/>
        </w:rPr>
        <w:t xml:space="preserve"> that:</w:t>
      </w:r>
    </w:p>
    <w:p w:rsidR="007D7EE3" w:rsidRPr="00EA2E01" w:rsidRDefault="007D7EE3" w:rsidP="007D7EE3">
      <w:pPr>
        <w:jc w:val="both"/>
        <w:rPr>
          <w:rFonts w:ascii="Times New Roman" w:hAnsi="Times New Roman"/>
          <w:szCs w:val="24"/>
        </w:rPr>
      </w:pPr>
    </w:p>
    <w:p w:rsidR="007D7EE3" w:rsidRDefault="007D7EE3" w:rsidP="007D7EE3">
      <w:pPr>
        <w:numPr>
          <w:ilvl w:val="0"/>
          <w:numId w:val="20"/>
        </w:numPr>
        <w:spacing w:before="0"/>
        <w:jc w:val="both"/>
        <w:rPr>
          <w:rFonts w:ascii="Times New Roman" w:hAnsi="Times New Roman"/>
          <w:szCs w:val="24"/>
        </w:rPr>
      </w:pPr>
      <w:proofErr w:type="gramStart"/>
      <w:r w:rsidRPr="00EA2E01">
        <w:rPr>
          <w:rFonts w:ascii="Times New Roman" w:hAnsi="Times New Roman"/>
          <w:szCs w:val="24"/>
        </w:rPr>
        <w:t>the</w:t>
      </w:r>
      <w:proofErr w:type="gramEnd"/>
      <w:r w:rsidRPr="00EA2E01">
        <w:rPr>
          <w:rFonts w:ascii="Times New Roman" w:hAnsi="Times New Roman"/>
          <w:szCs w:val="24"/>
        </w:rPr>
        <w:t xml:space="preserve"> AER is satisfied that </w:t>
      </w:r>
      <w:proofErr w:type="spellStart"/>
      <w:r w:rsidRPr="00EA2E01">
        <w:rPr>
          <w:rFonts w:ascii="Times New Roman" w:hAnsi="Times New Roman"/>
          <w:szCs w:val="24"/>
        </w:rPr>
        <w:t>ActewAGL</w:t>
      </w:r>
      <w:proofErr w:type="spellEnd"/>
      <w:r w:rsidRPr="00EA2E01">
        <w:rPr>
          <w:rFonts w:ascii="Times New Roman" w:hAnsi="Times New Roman"/>
          <w:szCs w:val="24"/>
        </w:rPr>
        <w:t xml:space="preserve"> has correctly applied the approved </w:t>
      </w:r>
      <w:r>
        <w:rPr>
          <w:rFonts w:ascii="Times New Roman" w:hAnsi="Times New Roman"/>
          <w:szCs w:val="24"/>
        </w:rPr>
        <w:t>annual tariff adjustment mechanism</w:t>
      </w:r>
      <w:r w:rsidRPr="00EA2E01">
        <w:rPr>
          <w:rFonts w:ascii="Times New Roman" w:hAnsi="Times New Roman"/>
          <w:szCs w:val="24"/>
        </w:rPr>
        <w:t xml:space="preserve"> to calculate the reference tariffs in accordance with </w:t>
      </w:r>
      <w:r>
        <w:rPr>
          <w:rFonts w:ascii="Times New Roman" w:hAnsi="Times New Roman"/>
          <w:szCs w:val="24"/>
        </w:rPr>
        <w:t>clause</w:t>
      </w:r>
      <w:r w:rsidRPr="00EA2E01">
        <w:rPr>
          <w:rFonts w:ascii="Times New Roman" w:hAnsi="Times New Roman"/>
          <w:szCs w:val="24"/>
        </w:rPr>
        <w:t xml:space="preserve"> 6.</w:t>
      </w:r>
      <w:r>
        <w:rPr>
          <w:rFonts w:ascii="Times New Roman" w:hAnsi="Times New Roman"/>
          <w:szCs w:val="24"/>
        </w:rPr>
        <w:t>3</w:t>
      </w:r>
      <w:r w:rsidRPr="00EA2E01">
        <w:rPr>
          <w:rFonts w:ascii="Times New Roman" w:hAnsi="Times New Roman"/>
          <w:szCs w:val="24"/>
        </w:rPr>
        <w:t xml:space="preserve"> of the access arrangement. The approved </w:t>
      </w:r>
      <w:r>
        <w:rPr>
          <w:rFonts w:ascii="Times New Roman" w:hAnsi="Times New Roman"/>
          <w:szCs w:val="24"/>
        </w:rPr>
        <w:t>annual tariff adjustment mechanism</w:t>
      </w:r>
      <w:r w:rsidRPr="00EA2E01">
        <w:rPr>
          <w:rFonts w:ascii="Times New Roman" w:hAnsi="Times New Roman"/>
          <w:szCs w:val="24"/>
        </w:rPr>
        <w:t xml:space="preserve"> consists of an escalation formula whereby the reference tariffs are escalated by the change in the average quarterly CPI to December on a year on year basis.</w:t>
      </w:r>
      <w:r w:rsidR="00D27A7B">
        <w:rPr>
          <w:rFonts w:ascii="Times New Roman" w:hAnsi="Times New Roman"/>
          <w:szCs w:val="24"/>
        </w:rPr>
        <w:t xml:space="preserve"> </w:t>
      </w:r>
    </w:p>
    <w:p w:rsidR="007D7EE3" w:rsidRDefault="007D7EE3" w:rsidP="007D7EE3">
      <w:pPr>
        <w:ind w:left="360"/>
        <w:jc w:val="both"/>
        <w:rPr>
          <w:rFonts w:ascii="Times New Roman" w:hAnsi="Times New Roman"/>
          <w:szCs w:val="24"/>
        </w:rPr>
      </w:pPr>
    </w:p>
    <w:p w:rsidR="007D7EE3" w:rsidRDefault="007D7EE3" w:rsidP="007D7EE3">
      <w:pPr>
        <w:numPr>
          <w:ilvl w:val="0"/>
          <w:numId w:val="20"/>
        </w:numPr>
        <w:spacing w:before="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the</w:t>
      </w:r>
      <w:proofErr w:type="gramEnd"/>
      <w:r>
        <w:rPr>
          <w:rFonts w:ascii="Times New Roman" w:hAnsi="Times New Roman"/>
          <w:szCs w:val="24"/>
        </w:rPr>
        <w:t xml:space="preserve"> AER is satisfied that a cost pass-through event as defined in clauses 6.23 and 6.24 of the access arrangement has occurred and the AER considers that </w:t>
      </w:r>
      <w:proofErr w:type="spellStart"/>
      <w:r>
        <w:rPr>
          <w:rFonts w:ascii="Times New Roman" w:hAnsi="Times New Roman"/>
          <w:szCs w:val="24"/>
        </w:rPr>
        <w:t>ActewAGL</w:t>
      </w:r>
      <w:proofErr w:type="spellEnd"/>
      <w:r>
        <w:rPr>
          <w:rFonts w:ascii="Times New Roman" w:hAnsi="Times New Roman"/>
          <w:szCs w:val="24"/>
        </w:rPr>
        <w:t xml:space="preserve"> has adjusted the 2013</w:t>
      </w:r>
      <w:r w:rsidRPr="00554D11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14 tariffs in accordance with the approved cost pass-through mechanism. In making this decision the AER has considered the factors in clauses 6.15 and 6.19 of the access arrangement.   </w:t>
      </w:r>
    </w:p>
    <w:p w:rsidR="007D7EE3" w:rsidRPr="00D27A7B" w:rsidRDefault="007D7EE3" w:rsidP="00D27A7B">
      <w:pPr>
        <w:rPr>
          <w:rFonts w:ascii="Times New Roman" w:hAnsi="Times New Roman"/>
          <w:szCs w:val="24"/>
        </w:rPr>
      </w:pPr>
    </w:p>
    <w:p w:rsidR="007D7EE3" w:rsidRDefault="007D7EE3" w:rsidP="007D7EE3">
      <w:pPr>
        <w:spacing w:before="0"/>
        <w:jc w:val="both"/>
        <w:rPr>
          <w:rFonts w:ascii="Times New Roman" w:hAnsi="Times New Roman"/>
          <w:szCs w:val="24"/>
        </w:rPr>
      </w:pPr>
    </w:p>
    <w:p w:rsidR="007D7EE3" w:rsidRDefault="007D7EE3" w:rsidP="007D7EE3">
      <w:pPr>
        <w:pStyle w:val="ListParagraph"/>
        <w:rPr>
          <w:rFonts w:ascii="Times New Roman" w:hAnsi="Times New Roman"/>
          <w:szCs w:val="24"/>
        </w:rPr>
      </w:pPr>
    </w:p>
    <w:p w:rsidR="007D7EE3" w:rsidRDefault="007D7EE3" w:rsidP="007D7EE3">
      <w:pPr>
        <w:spacing w:before="0"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D7EE3" w:rsidRDefault="007D7EE3" w:rsidP="007D7EE3">
      <w:pPr>
        <w:spacing w:before="0"/>
        <w:jc w:val="both"/>
        <w:rPr>
          <w:rFonts w:ascii="Times New Roman" w:hAnsi="Times New Roman"/>
          <w:szCs w:val="24"/>
        </w:rPr>
      </w:pPr>
    </w:p>
    <w:p w:rsidR="007D7EE3" w:rsidRPr="00945981" w:rsidRDefault="007D7EE3" w:rsidP="007D7EE3">
      <w:pPr>
        <w:jc w:val="both"/>
        <w:rPr>
          <w:rFonts w:ascii="Times New Roman" w:hAnsi="Times New Roman"/>
          <w:b/>
          <w:szCs w:val="24"/>
        </w:rPr>
      </w:pPr>
      <w:r w:rsidRPr="00945981">
        <w:rPr>
          <w:rFonts w:ascii="Times New Roman" w:hAnsi="Times New Roman"/>
          <w:b/>
          <w:szCs w:val="24"/>
        </w:rPr>
        <w:t>The tariffs that are approved for 2014–15 are:</w:t>
      </w:r>
    </w:p>
    <w:p w:rsidR="007D7EE3" w:rsidRDefault="007D7EE3" w:rsidP="007D7EE3">
      <w:pPr>
        <w:jc w:val="both"/>
        <w:rPr>
          <w:rFonts w:ascii="Times New Roman" w:hAnsi="Times New Roman"/>
          <w:szCs w:val="24"/>
        </w:rPr>
      </w:pPr>
    </w:p>
    <w:tbl>
      <w:tblPr>
        <w:tblW w:w="96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08"/>
        <w:gridCol w:w="3563"/>
        <w:gridCol w:w="3563"/>
        <w:gridCol w:w="1750"/>
      </w:tblGrid>
      <w:tr w:rsidR="007D7EE3" w:rsidRPr="00EA2E01" w:rsidTr="00395DA9">
        <w:trPr>
          <w:trHeight w:val="704"/>
        </w:trPr>
        <w:tc>
          <w:tcPr>
            <w:tcW w:w="7934" w:type="dxa"/>
            <w:gridSpan w:val="3"/>
            <w:tcBorders>
              <w:bottom w:val="single" w:sz="8" w:space="0" w:color="auto"/>
            </w:tcBorders>
            <w:shd w:val="clear" w:color="auto" w:fill="C0C0C0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0" w:type="dxa"/>
            <w:shd w:val="clear" w:color="auto" w:fill="C0C0C0"/>
            <w:vAlign w:val="bottom"/>
          </w:tcPr>
          <w:p w:rsidR="007D7EE3" w:rsidRPr="00EA2E01" w:rsidRDefault="007D7EE3" w:rsidP="00395DA9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EA2E01">
              <w:rPr>
                <w:rFonts w:ascii="Times New Roman" w:hAnsi="Times New Roman"/>
                <w:b/>
                <w:bCs/>
                <w:sz w:val="20"/>
              </w:rPr>
              <w:t xml:space="preserve">Tariffs </w:t>
            </w:r>
            <w:r>
              <w:rPr>
                <w:rFonts w:ascii="Times New Roman" w:hAnsi="Times New Roman"/>
                <w:b/>
                <w:bCs/>
                <w:sz w:val="20"/>
              </w:rPr>
              <w:t>$</w:t>
            </w:r>
            <w:r w:rsidRPr="00EA2E01">
              <w:rPr>
                <w:rFonts w:ascii="Times New Roman" w:hAnsi="Times New Roman"/>
                <w:b/>
                <w:bCs/>
                <w:sz w:val="20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</w:rPr>
              <w:t>14</w:t>
            </w:r>
            <w:r w:rsidRPr="00986F94">
              <w:rPr>
                <w:color w:val="000000"/>
              </w:rPr>
              <w:t>–</w:t>
            </w:r>
            <w:r w:rsidRPr="00EA2E01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5</w:t>
            </w:r>
            <w:r w:rsidRPr="00EA2E01">
              <w:rPr>
                <w:rFonts w:ascii="Times New Roman" w:hAnsi="Times New Roman"/>
                <w:b/>
                <w:bCs/>
                <w:sz w:val="20"/>
              </w:rPr>
              <w:t xml:space="preserve"> (GST exclusive)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Network Unit Charge for Capacity ($/GJ/MDQ per annum)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310.38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Throughput Charge ($/GJ)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4.549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b/>
                <w:sz w:val="20"/>
              </w:rPr>
              <w:t>Metering Equipment Charges ($</w:t>
            </w:r>
            <w:r>
              <w:rPr>
                <w:rFonts w:ascii="Times New Roman" w:hAnsi="Times New Roman"/>
                <w:b/>
                <w:sz w:val="20"/>
              </w:rPr>
              <w:t xml:space="preserve"> per annum</w:t>
            </w:r>
            <w:r w:rsidRPr="00EA2E01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FC7F29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FC7F29">
              <w:rPr>
                <w:rFonts w:ascii="Times New Roman" w:hAnsi="Times New Roman"/>
                <w:sz w:val="20"/>
                <w:u w:val="single"/>
              </w:rPr>
              <w:t>Single Run &amp; Bypass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Toyo MT5, Email 602, Email 610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Toyo MT10, Email </w:t>
            </w:r>
            <w:r>
              <w:rPr>
                <w:rFonts w:ascii="Times New Roman" w:hAnsi="Times New Roman"/>
                <w:sz w:val="20"/>
              </w:rPr>
              <w:t>1010</w:t>
            </w:r>
            <w:r w:rsidRPr="00EA2E01">
              <w:rPr>
                <w:rFonts w:ascii="Times New Roman" w:hAnsi="Times New Roman"/>
                <w:sz w:val="20"/>
              </w:rPr>
              <w:t xml:space="preserve">, Email </w:t>
            </w:r>
            <w:r>
              <w:rPr>
                <w:rFonts w:ascii="Times New Roman" w:hAnsi="Times New Roman"/>
                <w:sz w:val="20"/>
              </w:rPr>
              <w:t>750</w:t>
            </w:r>
            <w:r w:rsidRPr="00EA2E01"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143.00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AL-425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1 074.00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AL-1000, AL-1400, </w:t>
            </w:r>
            <w:proofErr w:type="spellStart"/>
            <w:r w:rsidRPr="00EA2E01">
              <w:rPr>
                <w:rFonts w:ascii="Times New Roman" w:hAnsi="Times New Roman"/>
                <w:sz w:val="20"/>
              </w:rPr>
              <w:t>Romet</w:t>
            </w:r>
            <w:proofErr w:type="spellEnd"/>
            <w:r w:rsidRPr="00EA2E01">
              <w:rPr>
                <w:rFonts w:ascii="Times New Roman" w:hAnsi="Times New Roman"/>
                <w:sz w:val="20"/>
              </w:rPr>
              <w:t xml:space="preserve"> RM30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2 246.00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AL-2300, </w:t>
            </w:r>
            <w:proofErr w:type="spellStart"/>
            <w:r w:rsidRPr="00EA2E01">
              <w:rPr>
                <w:rFonts w:ascii="Times New Roman" w:hAnsi="Times New Roman"/>
                <w:sz w:val="20"/>
              </w:rPr>
              <w:t>Romet</w:t>
            </w:r>
            <w:proofErr w:type="spellEnd"/>
            <w:r w:rsidRPr="00EA2E01">
              <w:rPr>
                <w:rFonts w:ascii="Times New Roman" w:hAnsi="Times New Roman"/>
                <w:sz w:val="20"/>
              </w:rPr>
              <w:t xml:space="preserve"> Rm55, </w:t>
            </w:r>
            <w:proofErr w:type="spellStart"/>
            <w:r w:rsidRPr="00EA2E01">
              <w:rPr>
                <w:rFonts w:ascii="Times New Roman" w:hAnsi="Times New Roman"/>
                <w:sz w:val="20"/>
              </w:rPr>
              <w:t>Romet</w:t>
            </w:r>
            <w:proofErr w:type="spellEnd"/>
            <w:r w:rsidRPr="00EA2E01">
              <w:rPr>
                <w:rFonts w:ascii="Times New Roman" w:hAnsi="Times New Roman"/>
                <w:sz w:val="20"/>
              </w:rPr>
              <w:t xml:space="preserve"> RM85, Roots3M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Instomet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G65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3 117.00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EA2E01">
              <w:rPr>
                <w:rFonts w:ascii="Times New Roman" w:hAnsi="Times New Roman"/>
                <w:sz w:val="20"/>
              </w:rPr>
              <w:t>Romet</w:t>
            </w:r>
            <w:proofErr w:type="spellEnd"/>
            <w:r w:rsidRPr="00EA2E01">
              <w:rPr>
                <w:rFonts w:ascii="Times New Roman" w:hAnsi="Times New Roman"/>
                <w:sz w:val="20"/>
              </w:rPr>
              <w:t xml:space="preserve"> RM140, AL-5000, Roots 5m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Instomet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G100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3 745.00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Roots 7M, Rockwell TPL9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Instomet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G160</w:t>
            </w:r>
            <w:r w:rsidRPr="00EA2E0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5 752.00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Roots 16M, Roots 11M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Instomet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G250</w:t>
            </w:r>
            <w:r w:rsidRPr="00EA2E0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6 874.00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Singer 4GT, Rockwell AT-18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Instomet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G400</w:t>
            </w:r>
            <w:r w:rsidRPr="00EA2E0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8 168.00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Singer 6GT, Rockwell AT-30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11 759.00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Rockwell AT-60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13 861.00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FC7F29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FC7F29">
              <w:rPr>
                <w:rFonts w:ascii="Times New Roman" w:hAnsi="Times New Roman"/>
                <w:sz w:val="20"/>
                <w:u w:val="single"/>
              </w:rPr>
              <w:t>Single Run &amp; Shunt or Double Run (different Meters) – requiring special charges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Rockwell AT-30 + AL 1400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13 421.00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  <w:r w:rsidRPr="00EA2E01">
              <w:rPr>
                <w:rFonts w:ascii="Times New Roman" w:hAnsi="Times New Roman"/>
                <w:b/>
                <w:sz w:val="20"/>
              </w:rPr>
              <w:t>Meter</w:t>
            </w:r>
            <w:r>
              <w:rPr>
                <w:rFonts w:ascii="Times New Roman" w:hAnsi="Times New Roman"/>
                <w:b/>
                <w:sz w:val="20"/>
              </w:rPr>
              <w:t xml:space="preserve"> Data Service </w:t>
            </w:r>
            <w:r w:rsidRPr="00EA2E01">
              <w:rPr>
                <w:rFonts w:ascii="Times New Roman" w:hAnsi="Times New Roman"/>
                <w:b/>
                <w:sz w:val="20"/>
              </w:rPr>
              <w:t>Charges ($</w:t>
            </w:r>
            <w:r>
              <w:rPr>
                <w:rFonts w:ascii="Times New Roman" w:hAnsi="Times New Roman"/>
                <w:b/>
                <w:sz w:val="20"/>
              </w:rPr>
              <w:t xml:space="preserve"> per annum</w:t>
            </w:r>
            <w:r w:rsidRPr="00EA2E01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FC7F29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FC7F29">
              <w:rPr>
                <w:rFonts w:ascii="Times New Roman" w:hAnsi="Times New Roman"/>
                <w:sz w:val="20"/>
                <w:u w:val="single"/>
              </w:rPr>
              <w:t xml:space="preserve">Provision of </w:t>
            </w:r>
            <w:r>
              <w:rPr>
                <w:rFonts w:ascii="Times New Roman" w:hAnsi="Times New Roman"/>
                <w:sz w:val="20"/>
                <w:u w:val="single"/>
              </w:rPr>
              <w:t>On-Site D</w:t>
            </w:r>
            <w:r w:rsidRPr="00FC7F29">
              <w:rPr>
                <w:rFonts w:ascii="Times New Roman" w:hAnsi="Times New Roman"/>
                <w:sz w:val="20"/>
                <w:u w:val="single"/>
              </w:rPr>
              <w:t xml:space="preserve">ata and </w:t>
            </w:r>
            <w:r>
              <w:rPr>
                <w:rFonts w:ascii="Times New Roman" w:hAnsi="Times New Roman"/>
                <w:sz w:val="20"/>
                <w:u w:val="single"/>
              </w:rPr>
              <w:t>C</w:t>
            </w:r>
            <w:r w:rsidRPr="00FC7F29">
              <w:rPr>
                <w:rFonts w:ascii="Times New Roman" w:hAnsi="Times New Roman"/>
                <w:sz w:val="20"/>
                <w:u w:val="single"/>
              </w:rPr>
              <w:t xml:space="preserve">ommunication </w:t>
            </w:r>
            <w:r>
              <w:rPr>
                <w:rFonts w:ascii="Times New Roman" w:hAnsi="Times New Roman"/>
                <w:sz w:val="20"/>
                <w:u w:val="single"/>
              </w:rPr>
              <w:t>E</w:t>
            </w:r>
            <w:r w:rsidRPr="00FC7F29">
              <w:rPr>
                <w:rFonts w:ascii="Times New Roman" w:hAnsi="Times New Roman"/>
                <w:sz w:val="20"/>
                <w:u w:val="single"/>
              </w:rPr>
              <w:t xml:space="preserve">quipment </w:t>
            </w:r>
            <w:r>
              <w:rPr>
                <w:rFonts w:ascii="Times New Roman" w:hAnsi="Times New Roman"/>
                <w:sz w:val="20"/>
                <w:u w:val="single"/>
              </w:rPr>
              <w:t>C</w:t>
            </w:r>
            <w:r w:rsidRPr="00FC7F29">
              <w:rPr>
                <w:rFonts w:ascii="Times New Roman" w:hAnsi="Times New Roman"/>
                <w:sz w:val="20"/>
                <w:u w:val="single"/>
              </w:rPr>
              <w:t>harge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Charge per delivery s</w:t>
            </w:r>
            <w:r w:rsidRPr="00EA2E01">
              <w:rPr>
                <w:rFonts w:ascii="Times New Roman" w:hAnsi="Times New Roman"/>
                <w:sz w:val="20"/>
              </w:rPr>
              <w:t>tation</w:t>
            </w:r>
            <w:r>
              <w:rPr>
                <w:rFonts w:ascii="Times New Roman" w:hAnsi="Times New Roman"/>
                <w:sz w:val="20"/>
              </w:rPr>
              <w:t xml:space="preserve"> (includes first 2 meters at a delivery s</w:t>
            </w:r>
            <w:r w:rsidRPr="00EA2E01">
              <w:rPr>
                <w:rFonts w:ascii="Times New Roman" w:hAnsi="Times New Roman"/>
                <w:sz w:val="20"/>
              </w:rPr>
              <w:t>tation)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1 755.00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Charge for each additional 1 or 2 meters</w:t>
            </w:r>
            <w:r>
              <w:rPr>
                <w:rFonts w:ascii="Times New Roman" w:hAnsi="Times New Roman"/>
                <w:sz w:val="20"/>
              </w:rPr>
              <w:t xml:space="preserve"> at a delivery station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417.00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1E667D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1E667D">
              <w:rPr>
                <w:rFonts w:ascii="Times New Roman" w:hAnsi="Times New Roman"/>
                <w:sz w:val="20"/>
                <w:u w:val="single"/>
              </w:rPr>
              <w:t>Provision of Meter Reading Charge for Non-Tariff Delivery Points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Charge </w:t>
            </w:r>
            <w:r>
              <w:rPr>
                <w:rFonts w:ascii="Times New Roman" w:hAnsi="Times New Roman"/>
                <w:sz w:val="20"/>
              </w:rPr>
              <w:t>per delivery s</w:t>
            </w:r>
            <w:r w:rsidRPr="00EA2E01">
              <w:rPr>
                <w:rFonts w:ascii="Times New Roman" w:hAnsi="Times New Roman"/>
                <w:sz w:val="20"/>
              </w:rPr>
              <w:t>tation</w:t>
            </w:r>
            <w:r>
              <w:rPr>
                <w:rFonts w:ascii="Times New Roman" w:hAnsi="Times New Roman"/>
                <w:sz w:val="20"/>
              </w:rPr>
              <w:t xml:space="preserve"> (includes first 2 meters at a delivery s</w:t>
            </w:r>
            <w:r w:rsidRPr="00EA2E01">
              <w:rPr>
                <w:rFonts w:ascii="Times New Roman" w:hAnsi="Times New Roman"/>
                <w:sz w:val="20"/>
              </w:rPr>
              <w:t>tation)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751.00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Charge for each additional 1 or 2 meters</w:t>
            </w:r>
            <w:r>
              <w:rPr>
                <w:rFonts w:ascii="Times New Roman" w:hAnsi="Times New Roman"/>
                <w:sz w:val="20"/>
              </w:rPr>
              <w:t xml:space="preserve"> at a delivery station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178.00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  <w:r w:rsidRPr="00EA2E01">
              <w:rPr>
                <w:rFonts w:ascii="Times New Roman" w:hAnsi="Times New Roman"/>
                <w:b/>
                <w:sz w:val="20"/>
              </w:rPr>
              <w:t xml:space="preserve">Capped </w:t>
            </w:r>
            <w:r>
              <w:rPr>
                <w:rFonts w:ascii="Times New Roman" w:hAnsi="Times New Roman"/>
                <w:b/>
                <w:sz w:val="20"/>
              </w:rPr>
              <w:t>Charge for MDQ</w:t>
            </w:r>
            <w:r w:rsidRPr="00EA2E01">
              <w:rPr>
                <w:rFonts w:ascii="Times New Roman" w:hAnsi="Times New Roman"/>
                <w:b/>
                <w:sz w:val="20"/>
              </w:rPr>
              <w:t xml:space="preserve"> ($ /GJ)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First 20 TJ p</w:t>
            </w:r>
            <w:r>
              <w:rPr>
                <w:rFonts w:ascii="Times New Roman" w:hAnsi="Times New Roman"/>
                <w:sz w:val="20"/>
              </w:rPr>
              <w:t>er annum</w:t>
            </w:r>
            <w:r w:rsidRPr="00EA2E0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3.55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Next 30 TJ p</w:t>
            </w:r>
            <w:r>
              <w:rPr>
                <w:rFonts w:ascii="Times New Roman" w:hAnsi="Times New Roman"/>
                <w:sz w:val="20"/>
              </w:rPr>
              <w:t>er annum</w:t>
            </w:r>
            <w:r w:rsidRPr="00EA2E0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3.10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All additional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2.55</w:t>
            </w: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Tariff Services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63" w:type="dxa"/>
            <w:shd w:val="clear" w:color="auto" w:fill="auto"/>
            <w:noWrap/>
            <w:vAlign w:val="bottom"/>
          </w:tcPr>
          <w:p w:rsidR="007D7EE3" w:rsidRPr="00A90133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A90133">
              <w:rPr>
                <w:rFonts w:ascii="Times New Roman" w:hAnsi="Times New Roman"/>
                <w:sz w:val="20"/>
                <w:u w:val="single"/>
              </w:rPr>
              <w:t>Throughput charges (/GJ per month)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7D7EE3" w:rsidRPr="00A90133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A90133">
              <w:rPr>
                <w:rFonts w:ascii="Times New Roman" w:hAnsi="Times New Roman"/>
                <w:sz w:val="20"/>
                <w:u w:val="single"/>
              </w:rPr>
              <w:t>(GJ per quarter)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63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First 1.25 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First </w:t>
            </w:r>
            <w:r>
              <w:rPr>
                <w:rFonts w:ascii="Times New Roman" w:hAnsi="Times New Roman"/>
                <w:sz w:val="20"/>
              </w:rPr>
              <w:t>3.7</w:t>
            </w:r>
            <w:r w:rsidRPr="00EA2E01">
              <w:rPr>
                <w:rFonts w:ascii="Times New Roman" w:hAnsi="Times New Roman"/>
                <w:sz w:val="20"/>
              </w:rPr>
              <w:t xml:space="preserve">5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10.17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63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Next </w:t>
            </w:r>
            <w:r>
              <w:rPr>
                <w:rFonts w:ascii="Times New Roman" w:hAnsi="Times New Roman"/>
                <w:sz w:val="20"/>
              </w:rPr>
              <w:t>82.25</w:t>
            </w:r>
            <w:r w:rsidRPr="00EA2E0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 xml:space="preserve">Next </w:t>
            </w:r>
            <w:r>
              <w:rPr>
                <w:rFonts w:ascii="Times New Roman" w:hAnsi="Times New Roman"/>
                <w:sz w:val="20"/>
              </w:rPr>
              <w:t>246.75</w:t>
            </w:r>
            <w:r w:rsidRPr="00EA2E01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8.16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63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EA2E01">
              <w:rPr>
                <w:rFonts w:ascii="Times New Roman" w:hAnsi="Times New Roman"/>
                <w:sz w:val="20"/>
              </w:rPr>
              <w:t xml:space="preserve">ext </w:t>
            </w:r>
            <w:r>
              <w:rPr>
                <w:rFonts w:ascii="Times New Roman" w:hAnsi="Times New Roman"/>
                <w:sz w:val="20"/>
              </w:rPr>
              <w:t>333.5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  <w:r w:rsidRPr="00EA2E01">
              <w:rPr>
                <w:rFonts w:ascii="Times New Roman" w:hAnsi="Times New Roman"/>
                <w:sz w:val="20"/>
              </w:rPr>
              <w:t xml:space="preserve">ext </w:t>
            </w:r>
            <w:r>
              <w:rPr>
                <w:rFonts w:ascii="Times New Roman" w:hAnsi="Times New Roman"/>
                <w:sz w:val="20"/>
              </w:rPr>
              <w:t>1000.5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7.51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63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All Additional</w:t>
            </w:r>
          </w:p>
        </w:tc>
        <w:tc>
          <w:tcPr>
            <w:tcW w:w="3563" w:type="dxa"/>
            <w:shd w:val="clear" w:color="auto" w:fill="auto"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All Additional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5.47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A90133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A90133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A90133">
              <w:rPr>
                <w:rFonts w:ascii="Times New Roman" w:hAnsi="Times New Roman"/>
                <w:sz w:val="20"/>
                <w:u w:val="single"/>
              </w:rPr>
              <w:t>Fixed Charge (</w:t>
            </w:r>
            <w:r w:rsidRPr="00EA2E01">
              <w:rPr>
                <w:rFonts w:ascii="Times New Roman" w:hAnsi="Times New Roman"/>
                <w:sz w:val="20"/>
              </w:rPr>
              <w:t>p</w:t>
            </w:r>
            <w:r>
              <w:rPr>
                <w:rFonts w:ascii="Times New Roman" w:hAnsi="Times New Roman"/>
                <w:sz w:val="20"/>
              </w:rPr>
              <w:t>er annum</w:t>
            </w:r>
            <w:r w:rsidRPr="00A90133">
              <w:rPr>
                <w:rFonts w:ascii="Times New Roman" w:hAnsi="Times New Roman"/>
                <w:sz w:val="20"/>
                <w:u w:val="single"/>
              </w:rPr>
              <w:t>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52.58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A90133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A90133">
              <w:rPr>
                <w:rFonts w:ascii="Times New Roman" w:hAnsi="Times New Roman"/>
                <w:sz w:val="20"/>
                <w:u w:val="single"/>
              </w:rPr>
              <w:t>Meter Provision Charges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 meters with capacity less than or equal to 6m3/</w:t>
            </w:r>
            <w:proofErr w:type="spellStart"/>
            <w:r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EA2E01">
              <w:rPr>
                <w:rFonts w:ascii="Times New Roman" w:hAnsi="Times New Roman"/>
                <w:sz w:val="20"/>
              </w:rPr>
              <w:t xml:space="preserve"> (p</w:t>
            </w:r>
            <w:r>
              <w:rPr>
                <w:rFonts w:ascii="Times New Roman" w:hAnsi="Times New Roman"/>
                <w:sz w:val="20"/>
              </w:rPr>
              <w:t>er annum</w:t>
            </w:r>
            <w:r w:rsidRPr="00EA2E0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31.58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For meters with capacity greater than 6m3/</w:t>
            </w:r>
            <w:proofErr w:type="spellStart"/>
            <w:r>
              <w:rPr>
                <w:rFonts w:ascii="Times New Roman" w:hAnsi="Times New Roman"/>
                <w:sz w:val="20"/>
              </w:rPr>
              <w:t>hr</w:t>
            </w:r>
            <w:proofErr w:type="spellEnd"/>
            <w:r w:rsidRPr="00EA2E01">
              <w:rPr>
                <w:rFonts w:ascii="Times New Roman" w:hAnsi="Times New Roman"/>
                <w:sz w:val="20"/>
              </w:rPr>
              <w:t xml:space="preserve"> (/GJ)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0.2606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630D5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E630D5">
              <w:rPr>
                <w:rFonts w:ascii="Times New Roman" w:hAnsi="Times New Roman"/>
                <w:sz w:val="20"/>
                <w:u w:val="single"/>
              </w:rPr>
              <w:t xml:space="preserve">Provision of Meter Reading </w:t>
            </w:r>
            <w:r w:rsidRPr="004D0C6A">
              <w:rPr>
                <w:rFonts w:ascii="Times New Roman" w:hAnsi="Times New Roman"/>
                <w:sz w:val="20"/>
                <w:u w:val="single"/>
              </w:rPr>
              <w:t>Charge (per annum)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Meter </w:t>
            </w:r>
            <w:r w:rsidRPr="00EA2E01">
              <w:rPr>
                <w:rFonts w:ascii="Times New Roman" w:hAnsi="Times New Roman"/>
                <w:sz w:val="20"/>
              </w:rPr>
              <w:t>Read</w:t>
            </w:r>
            <w:r>
              <w:rPr>
                <w:rFonts w:ascii="Times New Roman" w:hAnsi="Times New Roman"/>
                <w:sz w:val="20"/>
              </w:rPr>
              <w:t>ing (</w:t>
            </w:r>
            <w:r w:rsidRPr="00EA2E01">
              <w:rPr>
                <w:rFonts w:ascii="Times New Roman" w:hAnsi="Times New Roman"/>
                <w:sz w:val="20"/>
              </w:rPr>
              <w:t>Quarterly</w:t>
            </w:r>
            <w:r>
              <w:rPr>
                <w:rFonts w:ascii="Times New Roman" w:hAnsi="Times New Roman"/>
                <w:sz w:val="20"/>
              </w:rPr>
              <w:t xml:space="preserve"> read)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5.39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Meter </w:t>
            </w:r>
            <w:r w:rsidRPr="00EA2E01">
              <w:rPr>
                <w:rFonts w:ascii="Times New Roman" w:hAnsi="Times New Roman"/>
                <w:sz w:val="20"/>
              </w:rPr>
              <w:t>Read</w:t>
            </w:r>
            <w:r>
              <w:rPr>
                <w:rFonts w:ascii="Times New Roman" w:hAnsi="Times New Roman"/>
                <w:sz w:val="20"/>
              </w:rPr>
              <w:t>ing (Monthly read)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51.19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81619" w:rsidRDefault="007D7EE3" w:rsidP="00395DA9">
            <w:pPr>
              <w:rPr>
                <w:rFonts w:ascii="Times New Roman" w:hAnsi="Times New Roman"/>
                <w:sz w:val="20"/>
                <w:u w:val="single"/>
              </w:rPr>
            </w:pPr>
            <w:r w:rsidRPr="00E81619">
              <w:rPr>
                <w:rFonts w:ascii="Times New Roman" w:hAnsi="Times New Roman"/>
                <w:sz w:val="20"/>
                <w:u w:val="single"/>
              </w:rPr>
              <w:t>Minimum charge payable for meters with a capacity greater than 6m3/</w:t>
            </w:r>
            <w:proofErr w:type="spellStart"/>
            <w:r w:rsidRPr="00E81619">
              <w:rPr>
                <w:rFonts w:ascii="Times New Roman" w:hAnsi="Times New Roman"/>
                <w:sz w:val="20"/>
                <w:u w:val="single"/>
              </w:rPr>
              <w:t>hr</w:t>
            </w:r>
            <w:proofErr w:type="spellEnd"/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E81619">
              <w:rPr>
                <w:rFonts w:ascii="Times New Roman" w:hAnsi="Times New Roman"/>
                <w:sz w:val="20"/>
                <w:u w:val="single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6E74A5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 monthly bill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3.77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6E74A5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 quarterly bill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11.19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7934" w:type="dxa"/>
            <w:gridSpan w:val="3"/>
          </w:tcPr>
          <w:p w:rsidR="007D7EE3" w:rsidRPr="00EA2E01" w:rsidRDefault="007D7EE3" w:rsidP="00395DA9">
            <w:pPr>
              <w:rPr>
                <w:rFonts w:ascii="Times New Roman" w:hAnsi="Times New Roman"/>
                <w:b/>
                <w:sz w:val="20"/>
              </w:rPr>
            </w:pPr>
            <w:r w:rsidRPr="00EA2E01">
              <w:rPr>
                <w:rFonts w:ascii="Times New Roman" w:hAnsi="Times New Roman"/>
                <w:b/>
                <w:sz w:val="20"/>
              </w:rPr>
              <w:t xml:space="preserve">Charges for Ancillary Services 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</w:t>
            </w:r>
            <w:r w:rsidRPr="00EA2E01">
              <w:rPr>
                <w:rFonts w:ascii="Times New Roman" w:hAnsi="Times New Roman"/>
                <w:b/>
                <w:sz w:val="20"/>
              </w:rPr>
              <w:t>pplicable to all delivery points ()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rPr>
                <w:rFonts w:ascii="Times New Roman" w:hAnsi="Times New Roman"/>
                <w:sz w:val="20"/>
              </w:rPr>
            </w:pP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Request for Service</w:t>
            </w:r>
            <w:r>
              <w:rPr>
                <w:rFonts w:ascii="Times New Roman" w:hAnsi="Times New Roman"/>
                <w:sz w:val="20"/>
              </w:rPr>
              <w:t xml:space="preserve"> (per hour)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71.47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Special meter read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53.63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Reconnection fee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101.28</w:t>
            </w:r>
          </w:p>
        </w:tc>
      </w:tr>
      <w:tr w:rsidR="007D7EE3" w:rsidRPr="00EA2E01" w:rsidTr="00395DA9">
        <w:trPr>
          <w:trHeight w:val="255"/>
        </w:trPr>
        <w:tc>
          <w:tcPr>
            <w:tcW w:w="808" w:type="dxa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126" w:type="dxa"/>
            <w:gridSpan w:val="2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rPr>
                <w:rFonts w:ascii="Times New Roman" w:hAnsi="Times New Roman"/>
                <w:sz w:val="20"/>
              </w:rPr>
            </w:pPr>
            <w:r w:rsidRPr="00EA2E01">
              <w:rPr>
                <w:rFonts w:ascii="Times New Roman" w:hAnsi="Times New Roman"/>
                <w:sz w:val="20"/>
              </w:rPr>
              <w:t>Disconnection fee</w:t>
            </w:r>
          </w:p>
        </w:tc>
        <w:tc>
          <w:tcPr>
            <w:tcW w:w="1750" w:type="dxa"/>
            <w:shd w:val="clear" w:color="auto" w:fill="auto"/>
            <w:noWrap/>
            <w:vAlign w:val="bottom"/>
          </w:tcPr>
          <w:p w:rsidR="007D7EE3" w:rsidRPr="00EA2E01" w:rsidRDefault="007D7EE3" w:rsidP="00395DA9">
            <w:pPr>
              <w:ind w:left="454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137.07</w:t>
            </w:r>
          </w:p>
        </w:tc>
      </w:tr>
    </w:tbl>
    <w:p w:rsidR="007D7EE3" w:rsidRPr="00EA2E01" w:rsidRDefault="007D7EE3" w:rsidP="007D7EE3">
      <w:pPr>
        <w:jc w:val="both"/>
        <w:rPr>
          <w:rFonts w:ascii="Times New Roman" w:hAnsi="Times New Roman"/>
          <w:szCs w:val="24"/>
        </w:rPr>
      </w:pPr>
    </w:p>
    <w:p w:rsidR="007D7EE3" w:rsidRDefault="007D7EE3" w:rsidP="007D7EE3">
      <w:pPr>
        <w:spacing w:before="0"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BE1F1B" w:rsidRPr="00BE1F1B" w:rsidRDefault="00BE1F1B" w:rsidP="00BE1F1B"/>
    <w:sectPr w:rsidR="00BE1F1B" w:rsidRPr="00BE1F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9281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864E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1FEB3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88B2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8A6E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C6841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18C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D0FE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62F2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FC3577"/>
    <w:multiLevelType w:val="multilevel"/>
    <w:tmpl w:val="8AE4E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numbered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33E73B6"/>
    <w:multiLevelType w:val="hybridMultilevel"/>
    <w:tmpl w:val="BEE61D6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9B737F8"/>
    <w:multiLevelType w:val="hybridMultilevel"/>
    <w:tmpl w:val="F3745BA8"/>
    <w:lvl w:ilvl="0" w:tplc="AC54BDC0">
      <w:start w:val="1"/>
      <w:numFmt w:val="decimal"/>
      <w:pStyle w:val="Headingnumbered1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FA253E5"/>
    <w:multiLevelType w:val="hybridMultilevel"/>
    <w:tmpl w:val="A898713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29046A0"/>
    <w:multiLevelType w:val="multilevel"/>
    <w:tmpl w:val="9A30B4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numbered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4065F76"/>
    <w:multiLevelType w:val="hybridMultilevel"/>
    <w:tmpl w:val="0882B714"/>
    <w:lvl w:ilvl="0" w:tplc="8FF0783E">
      <w:start w:val="1"/>
      <w:numFmt w:val="lowerLetter"/>
      <w:pStyle w:val="Numberedlist2"/>
      <w:lvlText w:val="%1)"/>
      <w:lvlJc w:val="left"/>
      <w:pPr>
        <w:ind w:left="1003" w:hanging="360"/>
      </w:pPr>
    </w:lvl>
    <w:lvl w:ilvl="1" w:tplc="0C090019" w:tentative="1">
      <w:start w:val="1"/>
      <w:numFmt w:val="lowerLetter"/>
      <w:lvlText w:val="%2."/>
      <w:lvlJc w:val="left"/>
      <w:pPr>
        <w:ind w:left="1723" w:hanging="360"/>
      </w:pPr>
    </w:lvl>
    <w:lvl w:ilvl="2" w:tplc="0C09001B" w:tentative="1">
      <w:start w:val="1"/>
      <w:numFmt w:val="lowerRoman"/>
      <w:lvlText w:val="%3."/>
      <w:lvlJc w:val="right"/>
      <w:pPr>
        <w:ind w:left="2443" w:hanging="180"/>
      </w:pPr>
    </w:lvl>
    <w:lvl w:ilvl="3" w:tplc="0C09000F" w:tentative="1">
      <w:start w:val="1"/>
      <w:numFmt w:val="decimal"/>
      <w:lvlText w:val="%4."/>
      <w:lvlJc w:val="left"/>
      <w:pPr>
        <w:ind w:left="3163" w:hanging="360"/>
      </w:pPr>
    </w:lvl>
    <w:lvl w:ilvl="4" w:tplc="0C090019" w:tentative="1">
      <w:start w:val="1"/>
      <w:numFmt w:val="lowerLetter"/>
      <w:lvlText w:val="%5."/>
      <w:lvlJc w:val="left"/>
      <w:pPr>
        <w:ind w:left="3883" w:hanging="360"/>
      </w:pPr>
    </w:lvl>
    <w:lvl w:ilvl="5" w:tplc="0C09001B" w:tentative="1">
      <w:start w:val="1"/>
      <w:numFmt w:val="lowerRoman"/>
      <w:lvlText w:val="%6."/>
      <w:lvlJc w:val="right"/>
      <w:pPr>
        <w:ind w:left="4603" w:hanging="180"/>
      </w:pPr>
    </w:lvl>
    <w:lvl w:ilvl="6" w:tplc="0C09000F" w:tentative="1">
      <w:start w:val="1"/>
      <w:numFmt w:val="decimal"/>
      <w:lvlText w:val="%7."/>
      <w:lvlJc w:val="left"/>
      <w:pPr>
        <w:ind w:left="5323" w:hanging="360"/>
      </w:pPr>
    </w:lvl>
    <w:lvl w:ilvl="7" w:tplc="0C090019" w:tentative="1">
      <w:start w:val="1"/>
      <w:numFmt w:val="lowerLetter"/>
      <w:lvlText w:val="%8."/>
      <w:lvlJc w:val="left"/>
      <w:pPr>
        <w:ind w:left="6043" w:hanging="360"/>
      </w:pPr>
    </w:lvl>
    <w:lvl w:ilvl="8" w:tplc="0C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57384C50"/>
    <w:multiLevelType w:val="hybridMultilevel"/>
    <w:tmpl w:val="45CCF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6588A"/>
    <w:multiLevelType w:val="hybridMultilevel"/>
    <w:tmpl w:val="CC927964"/>
    <w:lvl w:ilvl="0" w:tplc="956E30DC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8D4610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8"/>
  </w:num>
  <w:num w:numId="5">
    <w:abstractNumId w:val="10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15"/>
  </w:num>
  <w:num w:numId="19">
    <w:abstractNumId w:val="12"/>
    <w:lvlOverride w:ilvl="0">
      <w:startOverride w:val="1"/>
    </w:lvlOverride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name" w:val="H:\TRIMDATA\TRIM\TEMP\HPTRIM.2112\D14 65325  ActewAGL (Gas) - 2014-15 tariff variation - statement of reasons.DOCX"/>
  </w:docVars>
  <w:rsids>
    <w:rsidRoot w:val="007D7EE3"/>
    <w:rsid w:val="00021202"/>
    <w:rsid w:val="000E1819"/>
    <w:rsid w:val="000E6C72"/>
    <w:rsid w:val="00124609"/>
    <w:rsid w:val="001573E4"/>
    <w:rsid w:val="00251745"/>
    <w:rsid w:val="00286874"/>
    <w:rsid w:val="002A7DEF"/>
    <w:rsid w:val="00307F6D"/>
    <w:rsid w:val="003518B3"/>
    <w:rsid w:val="00532467"/>
    <w:rsid w:val="00564A4D"/>
    <w:rsid w:val="00632D6D"/>
    <w:rsid w:val="007303C3"/>
    <w:rsid w:val="00763E5D"/>
    <w:rsid w:val="00777EE6"/>
    <w:rsid w:val="007C1C53"/>
    <w:rsid w:val="007D7EE3"/>
    <w:rsid w:val="00851209"/>
    <w:rsid w:val="00873D9F"/>
    <w:rsid w:val="008E412B"/>
    <w:rsid w:val="008E7031"/>
    <w:rsid w:val="00A60A26"/>
    <w:rsid w:val="00BD3446"/>
    <w:rsid w:val="00BE1F1B"/>
    <w:rsid w:val="00C538A9"/>
    <w:rsid w:val="00C86679"/>
    <w:rsid w:val="00D27A7B"/>
    <w:rsid w:val="00D61A54"/>
    <w:rsid w:val="00DB0F93"/>
    <w:rsid w:val="00E25B8C"/>
    <w:rsid w:val="00E7624D"/>
    <w:rsid w:val="00EA3D42"/>
    <w:rsid w:val="00EA6B1B"/>
    <w:rsid w:val="00EE2A95"/>
    <w:rsid w:val="00F64C7B"/>
    <w:rsid w:val="00FE0BE1"/>
    <w:rsid w:val="00FE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E3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EE3"/>
    <w:pPr>
      <w:spacing w:before="120"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C7B"/>
    <w:pPr>
      <w:keepNext/>
      <w:keepLines/>
      <w:spacing w:before="420"/>
      <w:outlineLvl w:val="0"/>
    </w:pPr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C7B"/>
    <w:pPr>
      <w:keepNext/>
      <w:keepLines/>
      <w:spacing w:before="420"/>
      <w:outlineLvl w:val="1"/>
    </w:pPr>
    <w:rPr>
      <w:rFonts w:eastAsiaTheme="majorEastAsia" w:cstheme="majorBidi"/>
      <w:b/>
      <w:bCs/>
      <w:color w:val="51626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4C7B"/>
    <w:pPr>
      <w:keepNext/>
      <w:keepLines/>
      <w:spacing w:before="200"/>
      <w:outlineLvl w:val="2"/>
    </w:pPr>
    <w:rPr>
      <w:rFonts w:eastAsiaTheme="majorEastAsia" w:cstheme="majorBidi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4C7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51626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4A4D"/>
    <w:pPr>
      <w:keepNext/>
      <w:keepLines/>
      <w:spacing w:before="200"/>
      <w:outlineLvl w:val="4"/>
    </w:pPr>
    <w:rPr>
      <w:rFonts w:eastAsiaTheme="majorEastAsia" w:cstheme="majorBidi"/>
      <w:b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64A4D"/>
    <w:pPr>
      <w:keepNext/>
      <w:keepLines/>
      <w:spacing w:before="200"/>
      <w:outlineLvl w:val="5"/>
    </w:pPr>
    <w:rPr>
      <w:rFonts w:eastAsiaTheme="majorEastAsia" w:cstheme="majorBidi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C7B"/>
    <w:rPr>
      <w:rFonts w:ascii="Lucida Fax" w:eastAsiaTheme="majorEastAsia" w:hAnsi="Lucida Fax" w:cstheme="majorBidi"/>
      <w:bCs/>
      <w:color w:val="51626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4C7B"/>
    <w:rPr>
      <w:rFonts w:ascii="Arial" w:eastAsiaTheme="majorEastAsia" w:hAnsi="Arial" w:cstheme="majorBidi"/>
      <w:b/>
      <w:bCs/>
      <w:color w:val="51626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4C7B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64C7B"/>
    <w:rPr>
      <w:rFonts w:ascii="Arial" w:eastAsiaTheme="majorEastAsia" w:hAnsi="Arial" w:cstheme="majorBidi"/>
      <w:b/>
      <w:bCs/>
      <w:i/>
      <w:iCs/>
      <w:color w:val="51626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64A4D"/>
    <w:rPr>
      <w:rFonts w:ascii="Arial" w:eastAsiaTheme="majorEastAsia" w:hAnsi="Arial" w:cstheme="majorBidi"/>
      <w:b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564A4D"/>
    <w:rPr>
      <w:rFonts w:ascii="Arial" w:eastAsiaTheme="majorEastAsia" w:hAnsi="Arial" w:cstheme="majorBidi"/>
      <w:i/>
      <w:iCs/>
      <w:sz w:val="20"/>
    </w:rPr>
  </w:style>
  <w:style w:type="paragraph" w:customStyle="1" w:styleId="Reporttitle">
    <w:name w:val="Report title"/>
    <w:basedOn w:val="Normal"/>
    <w:link w:val="ReporttitleChar"/>
    <w:qFormat/>
    <w:rsid w:val="00532467"/>
    <w:pPr>
      <w:spacing w:before="520"/>
    </w:pPr>
    <w:rPr>
      <w:rFonts w:ascii="Lucida Fax" w:hAnsi="Lucida Fax"/>
      <w:b/>
      <w:color w:val="4F2D7F"/>
      <w:sz w:val="56"/>
      <w:szCs w:val="56"/>
    </w:rPr>
  </w:style>
  <w:style w:type="character" w:customStyle="1" w:styleId="ReporttitleChar">
    <w:name w:val="Report title Char"/>
    <w:basedOn w:val="DefaultParagraphFont"/>
    <w:link w:val="Reporttitle"/>
    <w:rsid w:val="00532467"/>
    <w:rPr>
      <w:rFonts w:ascii="Lucida Fax" w:hAnsi="Lucida Fax"/>
      <w:b/>
      <w:color w:val="4F2D7F"/>
      <w:sz w:val="56"/>
      <w:szCs w:val="56"/>
    </w:rPr>
  </w:style>
  <w:style w:type="paragraph" w:customStyle="1" w:styleId="Chaptertitle">
    <w:name w:val="Chapter title"/>
    <w:basedOn w:val="Reporttitle"/>
    <w:link w:val="ChaptertitleChar"/>
    <w:qFormat/>
    <w:rsid w:val="00532467"/>
    <w:rPr>
      <w:b w:val="0"/>
      <w:sz w:val="52"/>
      <w:szCs w:val="52"/>
    </w:rPr>
  </w:style>
  <w:style w:type="character" w:customStyle="1" w:styleId="ChaptertitleChar">
    <w:name w:val="Chapter title Char"/>
    <w:basedOn w:val="ReporttitleChar"/>
    <w:link w:val="Chaptertitle"/>
    <w:rsid w:val="00532467"/>
    <w:rPr>
      <w:rFonts w:ascii="Lucida Fax" w:hAnsi="Lucida Fax"/>
      <w:b w:val="0"/>
      <w:color w:val="4F2D7F"/>
      <w:sz w:val="52"/>
      <w:szCs w:val="52"/>
    </w:rPr>
  </w:style>
  <w:style w:type="paragraph" w:customStyle="1" w:styleId="Numberedlist">
    <w:name w:val="Numbered list"/>
    <w:basedOn w:val="ListNumber"/>
    <w:qFormat/>
    <w:rsid w:val="00EA3D42"/>
    <w:pPr>
      <w:ind w:left="357" w:hanging="357"/>
    </w:pPr>
  </w:style>
  <w:style w:type="paragraph" w:customStyle="1" w:styleId="Numberedlist2">
    <w:name w:val="Numbered list 2"/>
    <w:basedOn w:val="ListNumber2"/>
    <w:qFormat/>
    <w:rsid w:val="00EA3D42"/>
    <w:pPr>
      <w:numPr>
        <w:numId w:val="18"/>
      </w:numPr>
    </w:pPr>
  </w:style>
  <w:style w:type="paragraph" w:customStyle="1" w:styleId="Copyrighttext">
    <w:name w:val="Copyright text"/>
    <w:basedOn w:val="Normal"/>
    <w:link w:val="CopyrighttextChar"/>
    <w:qFormat/>
    <w:rsid w:val="00EA3D42"/>
    <w:pPr>
      <w:ind w:left="1225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rsid w:val="00EA3D42"/>
    <w:rPr>
      <w:rFonts w:ascii="Arial" w:hAnsi="Arial"/>
      <w:sz w:val="16"/>
      <w:szCs w:val="16"/>
    </w:rPr>
  </w:style>
  <w:style w:type="paragraph" w:customStyle="1" w:styleId="TableofcontentsTOCheading">
    <w:name w:val="Table of contents (TOC) heading"/>
    <w:basedOn w:val="Normal"/>
    <w:link w:val="TableofcontentsTOCheadingChar"/>
    <w:qFormat/>
    <w:rsid w:val="00EA3D42"/>
    <w:pPr>
      <w:spacing w:before="240" w:after="120"/>
      <w:ind w:left="1225"/>
      <w:contextualSpacing/>
    </w:pPr>
    <w:rPr>
      <w:b/>
      <w:sz w:val="20"/>
      <w:szCs w:val="20"/>
    </w:rPr>
  </w:style>
  <w:style w:type="character" w:customStyle="1" w:styleId="TableofcontentsTOCheadingChar">
    <w:name w:val="Table of contents (TOC) heading Char"/>
    <w:basedOn w:val="DefaultParagraphFont"/>
    <w:link w:val="TableofcontentsTOCheading"/>
    <w:rsid w:val="00EA3D42"/>
    <w:rPr>
      <w:rFonts w:ascii="Arial" w:hAnsi="Arial"/>
      <w:b/>
      <w:sz w:val="20"/>
      <w:szCs w:val="20"/>
    </w:rPr>
  </w:style>
  <w:style w:type="paragraph" w:customStyle="1" w:styleId="Tableofcontentstext">
    <w:name w:val="Table of contents text"/>
    <w:basedOn w:val="Normal"/>
    <w:link w:val="TableofcontentstextChar"/>
    <w:qFormat/>
    <w:rsid w:val="00EA3D42"/>
    <w:pPr>
      <w:ind w:left="1225"/>
      <w:contextualSpacing/>
    </w:pPr>
    <w:rPr>
      <w:sz w:val="20"/>
      <w:szCs w:val="20"/>
    </w:rPr>
  </w:style>
  <w:style w:type="character" w:customStyle="1" w:styleId="TableofcontentstextChar">
    <w:name w:val="Table of contents text Char"/>
    <w:basedOn w:val="DefaultParagraphFont"/>
    <w:link w:val="Tableofcontentstext"/>
    <w:rsid w:val="00EA3D42"/>
    <w:rPr>
      <w:rFonts w:ascii="Arial" w:hAnsi="Arial"/>
      <w:sz w:val="20"/>
      <w:szCs w:val="20"/>
    </w:rPr>
  </w:style>
  <w:style w:type="paragraph" w:customStyle="1" w:styleId="Headingnumbered1">
    <w:name w:val="Heading numbered 1."/>
    <w:basedOn w:val="Normal"/>
    <w:link w:val="Headingnumbered1Char"/>
    <w:qFormat/>
    <w:rsid w:val="00021202"/>
    <w:pPr>
      <w:numPr>
        <w:numId w:val="2"/>
      </w:numPr>
      <w:spacing w:before="520"/>
      <w:contextualSpacing/>
      <w:outlineLvl w:val="1"/>
    </w:pPr>
    <w:rPr>
      <w:rFonts w:ascii="Lucida Fax" w:hAnsi="Lucida Fax"/>
      <w:color w:val="51626F"/>
      <w:sz w:val="32"/>
      <w:szCs w:val="32"/>
    </w:rPr>
  </w:style>
  <w:style w:type="character" w:customStyle="1" w:styleId="Headingnumbered1Char">
    <w:name w:val="Heading numbered 1. Char"/>
    <w:basedOn w:val="DefaultParagraphFont"/>
    <w:link w:val="Headingnumbered1"/>
    <w:rsid w:val="00021202"/>
    <w:rPr>
      <w:rFonts w:ascii="Lucida Fax" w:hAnsi="Lucida Fax"/>
      <w:color w:val="51626F"/>
      <w:sz w:val="32"/>
      <w:szCs w:val="32"/>
    </w:rPr>
  </w:style>
  <w:style w:type="paragraph" w:customStyle="1" w:styleId="Headingnumbered11">
    <w:name w:val="Heading numbered 1.1"/>
    <w:basedOn w:val="Normal"/>
    <w:link w:val="Headingnumbered11Char"/>
    <w:qFormat/>
    <w:rsid w:val="00021202"/>
    <w:pPr>
      <w:numPr>
        <w:ilvl w:val="1"/>
        <w:numId w:val="5"/>
      </w:numPr>
      <w:spacing w:before="520"/>
      <w:ind w:left="958" w:hanging="958"/>
      <w:contextualSpacing/>
      <w:outlineLvl w:val="2"/>
    </w:pPr>
    <w:rPr>
      <w:b/>
      <w:color w:val="51626F"/>
      <w:sz w:val="28"/>
      <w:szCs w:val="24"/>
    </w:rPr>
  </w:style>
  <w:style w:type="character" w:customStyle="1" w:styleId="Headingnumbered11Char">
    <w:name w:val="Heading numbered 1.1 Char"/>
    <w:basedOn w:val="DefaultParagraphFont"/>
    <w:link w:val="Headingnumbered11"/>
    <w:rsid w:val="00021202"/>
    <w:rPr>
      <w:rFonts w:ascii="Arial" w:hAnsi="Arial"/>
      <w:b/>
      <w:color w:val="51626F"/>
      <w:sz w:val="28"/>
      <w:szCs w:val="24"/>
    </w:rPr>
  </w:style>
  <w:style w:type="paragraph" w:customStyle="1" w:styleId="Headingnumbered111">
    <w:name w:val="Heading numbered 1.1.1"/>
    <w:basedOn w:val="Normal"/>
    <w:link w:val="Headingnumbered111Char"/>
    <w:qFormat/>
    <w:rsid w:val="00021202"/>
    <w:pPr>
      <w:numPr>
        <w:ilvl w:val="2"/>
        <w:numId w:val="6"/>
      </w:numPr>
      <w:spacing w:before="240" w:after="240"/>
      <w:ind w:left="958" w:hanging="958"/>
      <w:contextualSpacing/>
      <w:outlineLvl w:val="3"/>
    </w:pPr>
    <w:rPr>
      <w:sz w:val="24"/>
      <w:szCs w:val="24"/>
    </w:rPr>
  </w:style>
  <w:style w:type="character" w:customStyle="1" w:styleId="Headingnumbered111Char">
    <w:name w:val="Heading numbered 1.1.1 Char"/>
    <w:basedOn w:val="DefaultParagraphFont"/>
    <w:link w:val="Headingnumbered111"/>
    <w:rsid w:val="00021202"/>
    <w:rPr>
      <w:rFonts w:ascii="Arial" w:hAnsi="Arial"/>
      <w:sz w:val="24"/>
      <w:szCs w:val="24"/>
    </w:rPr>
  </w:style>
  <w:style w:type="paragraph" w:customStyle="1" w:styleId="Tableheadingtext">
    <w:name w:val="Table heading text"/>
    <w:basedOn w:val="Normal"/>
    <w:link w:val="Tableheadingtext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TableheadingtextChar">
    <w:name w:val="Table heading text Char"/>
    <w:basedOn w:val="DefaultParagraphFont"/>
    <w:link w:val="Tableheadingtext"/>
    <w:rsid w:val="00EA3D42"/>
    <w:rPr>
      <w:rFonts w:ascii="Arial" w:hAnsi="Arial"/>
      <w:b/>
      <w:sz w:val="20"/>
      <w:szCs w:val="20"/>
    </w:rPr>
  </w:style>
  <w:style w:type="paragraph" w:customStyle="1" w:styleId="Tablebodytext">
    <w:name w:val="Table body text"/>
    <w:basedOn w:val="Normal"/>
    <w:link w:val="TablebodytextChar"/>
    <w:qFormat/>
    <w:rsid w:val="00EA3D42"/>
    <w:pPr>
      <w:ind w:left="1225"/>
      <w:contextualSpacing/>
    </w:pPr>
    <w:rPr>
      <w:sz w:val="20"/>
    </w:rPr>
  </w:style>
  <w:style w:type="character" w:customStyle="1" w:styleId="TablebodytextChar">
    <w:name w:val="Table body text Char"/>
    <w:basedOn w:val="DefaultParagraphFont"/>
    <w:link w:val="Tablebodytext"/>
    <w:rsid w:val="00EA3D42"/>
    <w:rPr>
      <w:rFonts w:ascii="Arial" w:hAnsi="Arial"/>
      <w:sz w:val="20"/>
    </w:rPr>
  </w:style>
  <w:style w:type="paragraph" w:customStyle="1" w:styleId="Chartheading">
    <w:name w:val="Chart heading"/>
    <w:basedOn w:val="Normal"/>
    <w:link w:val="ChartheadingChar"/>
    <w:qFormat/>
    <w:rsid w:val="00EA3D42"/>
    <w:pPr>
      <w:spacing w:before="240" w:after="240"/>
      <w:contextualSpacing/>
    </w:pPr>
    <w:rPr>
      <w:b/>
      <w:sz w:val="20"/>
      <w:szCs w:val="20"/>
    </w:rPr>
  </w:style>
  <w:style w:type="character" w:customStyle="1" w:styleId="ChartheadingChar">
    <w:name w:val="Chart heading Char"/>
    <w:basedOn w:val="DefaultParagraphFont"/>
    <w:link w:val="Chartheading"/>
    <w:rsid w:val="00EA3D42"/>
    <w:rPr>
      <w:rFonts w:ascii="Arial" w:hAnsi="Arial"/>
      <w:b/>
      <w:sz w:val="20"/>
      <w:szCs w:val="20"/>
    </w:rPr>
  </w:style>
  <w:style w:type="paragraph" w:customStyle="1" w:styleId="Boxedtextheading">
    <w:name w:val="Boxed text heading"/>
    <w:basedOn w:val="Normal"/>
    <w:link w:val="Boxedtextheading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240" w:after="240"/>
      <w:contextualSpacing/>
    </w:pPr>
    <w:rPr>
      <w:b/>
      <w:sz w:val="20"/>
      <w:szCs w:val="20"/>
    </w:rPr>
  </w:style>
  <w:style w:type="character" w:customStyle="1" w:styleId="BoxedtextheadingChar">
    <w:name w:val="Boxed text heading Char"/>
    <w:basedOn w:val="DefaultParagraphFont"/>
    <w:link w:val="Boxedtextheading"/>
    <w:rsid w:val="00BE1F1B"/>
    <w:rPr>
      <w:rFonts w:ascii="Arial" w:hAnsi="Arial"/>
      <w:b/>
      <w:sz w:val="20"/>
      <w:szCs w:val="20"/>
    </w:rPr>
  </w:style>
  <w:style w:type="paragraph" w:customStyle="1" w:styleId="Boxedtext">
    <w:name w:val="Boxed text"/>
    <w:basedOn w:val="Normal"/>
    <w:link w:val="BoxedtextChar"/>
    <w:qFormat/>
    <w:rsid w:val="00BE1F1B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contextualSpacing/>
    </w:pPr>
    <w:rPr>
      <w:sz w:val="20"/>
      <w:szCs w:val="20"/>
    </w:rPr>
  </w:style>
  <w:style w:type="character" w:customStyle="1" w:styleId="BoxedtextChar">
    <w:name w:val="Boxed text Char"/>
    <w:basedOn w:val="DefaultParagraphFont"/>
    <w:link w:val="Boxedtext"/>
    <w:rsid w:val="00BE1F1B"/>
    <w:rPr>
      <w:rFonts w:ascii="Arial" w:hAnsi="Arial"/>
      <w:sz w:val="20"/>
      <w:szCs w:val="20"/>
    </w:rPr>
  </w:style>
  <w:style w:type="paragraph" w:customStyle="1" w:styleId="Pullquoteheading">
    <w:name w:val="Pull quote heading"/>
    <w:basedOn w:val="Normal"/>
    <w:link w:val="PullquoteheadingChar"/>
    <w:qFormat/>
    <w:rsid w:val="00EA3D42"/>
    <w:pPr>
      <w:spacing w:after="120"/>
      <w:contextualSpacing/>
    </w:pPr>
    <w:rPr>
      <w:rFonts w:ascii="Lucida Fax" w:hAnsi="Lucida Fax"/>
      <w:b/>
      <w:color w:val="DC5034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rsid w:val="00EA3D42"/>
    <w:rPr>
      <w:rFonts w:ascii="Lucida Fax" w:hAnsi="Lucida Fax"/>
      <w:b/>
      <w:color w:val="DC5034"/>
      <w:sz w:val="24"/>
      <w:szCs w:val="24"/>
    </w:rPr>
  </w:style>
  <w:style w:type="paragraph" w:customStyle="1" w:styleId="Pullquotetext">
    <w:name w:val="Pull quote text"/>
    <w:basedOn w:val="Pullquoteheading"/>
    <w:link w:val="PullquotetextChar"/>
    <w:qFormat/>
    <w:rsid w:val="007C1C53"/>
    <w:rPr>
      <w:b w:val="0"/>
    </w:rPr>
  </w:style>
  <w:style w:type="character" w:customStyle="1" w:styleId="PullquotetextChar">
    <w:name w:val="Pull quote text Char"/>
    <w:basedOn w:val="PullquoteheadingChar"/>
    <w:link w:val="Pullquotetext"/>
    <w:rsid w:val="007C1C53"/>
    <w:rPr>
      <w:rFonts w:ascii="Lucida Fax" w:hAnsi="Lucida Fax"/>
      <w:b w:val="0"/>
      <w:color w:val="DC5034"/>
      <w:sz w:val="24"/>
      <w:szCs w:val="24"/>
    </w:rPr>
  </w:style>
  <w:style w:type="paragraph" w:customStyle="1" w:styleId="Note">
    <w:name w:val="Note"/>
    <w:basedOn w:val="Normal"/>
    <w:link w:val="NoteChar"/>
    <w:qFormat/>
    <w:rsid w:val="00EA3D42"/>
    <w:pPr>
      <w:spacing w:after="120"/>
      <w:contextualSpacing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EA3D42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EA3D42"/>
    <w:rPr>
      <w:rFonts w:ascii="Arial" w:hAnsi="Arial"/>
      <w:sz w:val="16"/>
      <w:szCs w:val="16"/>
    </w:rPr>
  </w:style>
  <w:style w:type="paragraph" w:customStyle="1" w:styleId="Footnotes">
    <w:name w:val="Footnotes"/>
    <w:basedOn w:val="Normal"/>
    <w:link w:val="FootnotesChar"/>
    <w:qFormat/>
    <w:rsid w:val="00EA3D42"/>
    <w:pPr>
      <w:spacing w:before="60"/>
      <w:contextualSpacing/>
    </w:pPr>
    <w:rPr>
      <w:sz w:val="16"/>
      <w:szCs w:val="16"/>
    </w:rPr>
  </w:style>
  <w:style w:type="character" w:customStyle="1" w:styleId="FootnotesChar">
    <w:name w:val="Footnotes Char"/>
    <w:basedOn w:val="DefaultParagraphFont"/>
    <w:link w:val="Footnotes"/>
    <w:rsid w:val="00EA3D42"/>
    <w:rPr>
      <w:rFonts w:ascii="Arial" w:hAnsi="Arial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D61A54"/>
    <w:pPr>
      <w:ind w:left="34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61A54"/>
    <w:rPr>
      <w:rFonts w:ascii="Arial" w:hAnsi="Arial"/>
      <w:i/>
      <w:iCs/>
      <w:color w:val="000000" w:themeColor="text1"/>
    </w:rPr>
  </w:style>
  <w:style w:type="paragraph" w:customStyle="1" w:styleId="Charttext">
    <w:name w:val="Chart text"/>
    <w:basedOn w:val="Normal"/>
    <w:qFormat/>
    <w:rsid w:val="007C1C53"/>
    <w:pPr>
      <w:spacing w:after="120"/>
    </w:pPr>
    <w:rPr>
      <w:sz w:val="20"/>
    </w:rPr>
  </w:style>
  <w:style w:type="paragraph" w:customStyle="1" w:styleId="Bulletpoint">
    <w:name w:val="Bullet point"/>
    <w:basedOn w:val="ListBullet"/>
    <w:qFormat/>
    <w:rsid w:val="00EA3D42"/>
    <w:rPr>
      <w:rFonts w:cs="Times New Roman"/>
    </w:rPr>
  </w:style>
  <w:style w:type="paragraph" w:styleId="ListBullet">
    <w:name w:val="List Bullet"/>
    <w:basedOn w:val="Normal"/>
    <w:uiPriority w:val="99"/>
    <w:semiHidden/>
    <w:unhideWhenUsed/>
    <w:rsid w:val="00D61A54"/>
    <w:pPr>
      <w:numPr>
        <w:numId w:val="7"/>
      </w:numPr>
      <w:contextualSpacing/>
    </w:pPr>
  </w:style>
  <w:style w:type="paragraph" w:customStyle="1" w:styleId="Bulletpoint2">
    <w:name w:val="Bullet point 2"/>
    <w:basedOn w:val="ListBullet2"/>
    <w:qFormat/>
    <w:rsid w:val="00EA3D42"/>
    <w:pPr>
      <w:numPr>
        <w:numId w:val="17"/>
      </w:numPr>
    </w:pPr>
  </w:style>
  <w:style w:type="paragraph" w:styleId="ListNumber">
    <w:name w:val="List Number"/>
    <w:basedOn w:val="Normal"/>
    <w:uiPriority w:val="99"/>
    <w:semiHidden/>
    <w:unhideWhenUsed/>
    <w:rsid w:val="00EA3D42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A3D42"/>
    <w:pPr>
      <w:numPr>
        <w:numId w:val="8"/>
      </w:numPr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18B3"/>
    <w:pPr>
      <w:spacing w:before="48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lang w:val="en-US" w:eastAsia="ja-JP"/>
    </w:rPr>
  </w:style>
  <w:style w:type="paragraph" w:styleId="ListNumber2">
    <w:name w:val="List Number 2"/>
    <w:basedOn w:val="Normal"/>
    <w:uiPriority w:val="99"/>
    <w:semiHidden/>
    <w:unhideWhenUsed/>
    <w:rsid w:val="00EA3D42"/>
    <w:pPr>
      <w:numPr>
        <w:numId w:val="13"/>
      </w:numPr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573E4"/>
    <w:pPr>
      <w:tabs>
        <w:tab w:val="center" w:pos="4513"/>
        <w:tab w:val="right" w:pos="9026"/>
      </w:tabs>
      <w:spacing w:before="6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573E4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60A26"/>
    <w:pPr>
      <w:ind w:left="357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47EC-52EE-47C4-B39F-DC6B10B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95D2905F.dotm</Template>
  <TotalTime>2</TotalTime>
  <Pages>4</Pages>
  <Words>682</Words>
  <Characters>3607</Characters>
  <Application>Microsoft Office Word</Application>
  <DocSecurity>4</DocSecurity>
  <Lines>144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ACCC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Moffitt, Shannon</dc:creator>
  <cp:keywords/>
  <dc:description/>
  <cp:lastModifiedBy>Moffitt, Shannon</cp:lastModifiedBy>
  <cp:revision>2</cp:revision>
  <dcterms:created xsi:type="dcterms:W3CDTF">2014-05-26T07:09:00Z</dcterms:created>
  <dcterms:modified xsi:type="dcterms:W3CDTF">2014-05-26T07:09:00Z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rrfile">
    <vt:lpwstr>H:\TRIMDATA\TRIM\TEMP\HPTRIM.2112\D14 65325  ActewAGL (Gas) - 2014-15 tariff variation - statement of reasons.DOCX</vt:lpwstr>
  </property>
</Properties>
</file>