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5D" w:rsidRDefault="008A435D" w:rsidP="008A435D">
      <w:pPr>
        <w:spacing w:before="0"/>
        <w:jc w:val="both"/>
        <w:rPr>
          <w:rFonts w:ascii="Times New Roman" w:eastAsia="Calibri" w:hAnsi="Times New Roman" w:cs="Times New Roman"/>
          <w:szCs w:val="24"/>
          <w:lang w:eastAsia="en-AU"/>
        </w:rPr>
      </w:pPr>
    </w:p>
    <w:p w:rsidR="008A435D" w:rsidRDefault="008A435D" w:rsidP="008A435D">
      <w:pPr>
        <w:spacing w:before="0"/>
        <w:jc w:val="center"/>
        <w:rPr>
          <w:rFonts w:ascii="Times New Roman" w:eastAsia="Calibri" w:hAnsi="Times New Roman" w:cs="Times New Roman"/>
          <w:szCs w:val="24"/>
          <w:lang w:eastAsia="en-AU"/>
        </w:rPr>
      </w:pPr>
      <w:r>
        <w:rPr>
          <w:rFonts w:ascii="Times New Roman" w:eastAsia="Calibri" w:hAnsi="Times New Roman" w:cs="Times New Roman"/>
          <w:noProof/>
          <w:szCs w:val="24"/>
          <w:lang w:eastAsia="en-AU"/>
        </w:rPr>
        <w:drawing>
          <wp:inline distT="0" distB="0" distL="0" distR="0" wp14:anchorId="6784F02D" wp14:editId="71FED2AD">
            <wp:extent cx="5316220" cy="1261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6220" cy="1261745"/>
                    </a:xfrm>
                    <a:prstGeom prst="rect">
                      <a:avLst/>
                    </a:prstGeom>
                    <a:noFill/>
                  </pic:spPr>
                </pic:pic>
              </a:graphicData>
            </a:graphic>
          </wp:inline>
        </w:drawing>
      </w:r>
    </w:p>
    <w:p w:rsidR="008A435D" w:rsidRDefault="008A435D" w:rsidP="008A435D">
      <w:pPr>
        <w:spacing w:before="0"/>
        <w:jc w:val="center"/>
        <w:rPr>
          <w:rFonts w:ascii="Times New Roman" w:eastAsia="Calibri" w:hAnsi="Times New Roman" w:cs="Times New Roman"/>
          <w:szCs w:val="24"/>
          <w:lang w:eastAsia="en-AU"/>
        </w:rPr>
      </w:pPr>
    </w:p>
    <w:p w:rsidR="008A435D" w:rsidRDefault="008A435D" w:rsidP="008A435D">
      <w:pPr>
        <w:spacing w:before="0"/>
        <w:jc w:val="center"/>
        <w:rPr>
          <w:rFonts w:ascii="Times New Roman" w:eastAsia="Calibri" w:hAnsi="Times New Roman" w:cs="Times New Roman"/>
          <w:szCs w:val="24"/>
          <w:lang w:eastAsia="en-AU"/>
        </w:rPr>
      </w:pPr>
    </w:p>
    <w:p w:rsidR="008A435D" w:rsidRPr="00BB03B5" w:rsidRDefault="008A435D" w:rsidP="008A435D">
      <w:pPr>
        <w:spacing w:before="0"/>
        <w:jc w:val="center"/>
        <w:rPr>
          <w:rFonts w:ascii="Times New Roman" w:eastAsia="Calibri" w:hAnsi="Times New Roman" w:cs="Times New Roman"/>
          <w:b/>
          <w:sz w:val="28"/>
          <w:szCs w:val="28"/>
          <w:lang w:eastAsia="en-AU"/>
        </w:rPr>
      </w:pPr>
      <w:r w:rsidRPr="00BB03B5">
        <w:rPr>
          <w:rFonts w:ascii="Times New Roman" w:eastAsia="Calibri" w:hAnsi="Times New Roman" w:cs="Times New Roman"/>
          <w:b/>
          <w:sz w:val="28"/>
          <w:szCs w:val="28"/>
          <w:lang w:eastAsia="en-AU"/>
        </w:rPr>
        <w:t>STATEMENT OF REASONS</w:t>
      </w:r>
    </w:p>
    <w:p w:rsidR="008A435D" w:rsidRPr="00BB03B5" w:rsidRDefault="008A435D" w:rsidP="008A435D">
      <w:pPr>
        <w:spacing w:before="0"/>
        <w:jc w:val="center"/>
        <w:rPr>
          <w:rFonts w:ascii="Calibri" w:eastAsia="Calibri" w:hAnsi="Calibri" w:cs="Times New Roman"/>
          <w:b/>
          <w:sz w:val="28"/>
          <w:szCs w:val="28"/>
          <w:lang w:eastAsia="en-AU"/>
        </w:rPr>
      </w:pPr>
      <w:r w:rsidRPr="00BB03B5">
        <w:rPr>
          <w:rFonts w:ascii="Calibri" w:eastAsia="Calibri" w:hAnsi="Calibri" w:cs="Times New Roman"/>
          <w:b/>
          <w:sz w:val="28"/>
          <w:szCs w:val="28"/>
          <w:lang w:eastAsia="en-AU"/>
        </w:rPr>
        <w:t xml:space="preserve"> </w:t>
      </w:r>
    </w:p>
    <w:p w:rsidR="008A435D" w:rsidRPr="00BB03B5" w:rsidRDefault="008A435D" w:rsidP="008A435D">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Energex electricity d</w:t>
      </w:r>
      <w:r w:rsidRPr="00BB03B5">
        <w:rPr>
          <w:rFonts w:ascii="Times New Roman" w:eastAsia="Calibri" w:hAnsi="Times New Roman" w:cs="Times New Roman"/>
          <w:b/>
          <w:bCs/>
          <w:sz w:val="28"/>
          <w:szCs w:val="28"/>
          <w:lang w:eastAsia="en-AU"/>
        </w:rPr>
        <w:t xml:space="preserve">istribution </w:t>
      </w:r>
      <w:r>
        <w:rPr>
          <w:rFonts w:ascii="Times New Roman" w:eastAsia="Calibri" w:hAnsi="Times New Roman" w:cs="Times New Roman"/>
          <w:b/>
          <w:bCs/>
          <w:sz w:val="28"/>
          <w:szCs w:val="28"/>
          <w:lang w:eastAsia="en-AU"/>
        </w:rPr>
        <w:t>network</w:t>
      </w:r>
    </w:p>
    <w:p w:rsidR="008A435D" w:rsidRPr="00BB03B5" w:rsidRDefault="008A435D" w:rsidP="008A435D">
      <w:pPr>
        <w:spacing w:before="0"/>
        <w:jc w:val="center"/>
        <w:rPr>
          <w:rFonts w:ascii="Times New Roman" w:eastAsia="Calibri" w:hAnsi="Times New Roman" w:cs="Times New Roman"/>
          <w:b/>
          <w:bCs/>
          <w:sz w:val="28"/>
          <w:szCs w:val="28"/>
          <w:lang w:eastAsia="en-AU"/>
        </w:rPr>
      </w:pPr>
      <w:r>
        <w:rPr>
          <w:rFonts w:ascii="Times New Roman" w:eastAsia="Calibri" w:hAnsi="Times New Roman" w:cs="Times New Roman"/>
          <w:b/>
          <w:bCs/>
          <w:sz w:val="28"/>
          <w:szCs w:val="28"/>
          <w:lang w:eastAsia="en-AU"/>
        </w:rPr>
        <w:t xml:space="preserve">Approval of 2014–15 pricing proposal </w:t>
      </w:r>
    </w:p>
    <w:p w:rsidR="008A435D" w:rsidRPr="00BB03B5" w:rsidRDefault="008A435D" w:rsidP="008A435D">
      <w:pPr>
        <w:spacing w:before="0"/>
        <w:jc w:val="center"/>
        <w:rPr>
          <w:rFonts w:ascii="Calibri" w:eastAsia="Calibri" w:hAnsi="Calibri" w:cs="Times New Roman"/>
          <w:lang w:eastAsia="en-AU"/>
        </w:rPr>
      </w:pPr>
    </w:p>
    <w:p w:rsidR="008A435D" w:rsidRPr="00BB03B5" w:rsidRDefault="008A435D" w:rsidP="008A435D">
      <w:pPr>
        <w:spacing w:before="0"/>
        <w:jc w:val="both"/>
        <w:rPr>
          <w:rFonts w:ascii="Calibri" w:eastAsia="Calibri" w:hAnsi="Calibri" w:cs="Times New Roman"/>
          <w:lang w:eastAsia="en-AU"/>
        </w:rPr>
      </w:pPr>
    </w:p>
    <w:p w:rsidR="008A435D" w:rsidRDefault="008A435D" w:rsidP="008A435D">
      <w:pPr>
        <w:autoSpaceDE w:val="0"/>
        <w:autoSpaceDN w:val="0"/>
        <w:adjustRightInd w:val="0"/>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Australian Energy Regulator</w:t>
      </w:r>
      <w:r>
        <w:rPr>
          <w:rFonts w:ascii="Times New Roman" w:eastAsia="Calibri" w:hAnsi="Times New Roman" w:cs="Times New Roman"/>
          <w:szCs w:val="24"/>
          <w:lang w:eastAsia="en-AU"/>
        </w:rPr>
        <w:t xml:space="preserve"> </w:t>
      </w:r>
      <w:r w:rsidRPr="00BB03B5">
        <w:rPr>
          <w:rFonts w:ascii="Times New Roman" w:eastAsia="Calibri" w:hAnsi="Times New Roman" w:cs="Times New Roman"/>
          <w:szCs w:val="24"/>
          <w:lang w:eastAsia="en-AU"/>
        </w:rPr>
        <w:t xml:space="preserve">has approved </w:t>
      </w:r>
      <w:proofErr w:type="spellStart"/>
      <w:r>
        <w:rPr>
          <w:rFonts w:ascii="Times New Roman" w:eastAsia="Calibri" w:hAnsi="Times New Roman" w:cs="Times New Roman"/>
          <w:szCs w:val="24"/>
          <w:lang w:eastAsia="en-AU"/>
        </w:rPr>
        <w:t>Energex’s</w:t>
      </w:r>
      <w:proofErr w:type="spellEnd"/>
      <w:r>
        <w:rPr>
          <w:rFonts w:ascii="Times New Roman" w:eastAsia="Calibri" w:hAnsi="Times New Roman" w:cs="Times New Roman"/>
          <w:szCs w:val="24"/>
          <w:lang w:eastAsia="en-AU"/>
        </w:rPr>
        <w:t xml:space="preserve"> annual pricing proposal, which establishes the network tariffs and alternative control service charges applicable from 1 July 2014 to 30 June 2015. </w:t>
      </w:r>
    </w:p>
    <w:p w:rsidR="008A435D" w:rsidRDefault="008A435D" w:rsidP="008A435D">
      <w:pPr>
        <w:autoSpaceDE w:val="0"/>
        <w:autoSpaceDN w:val="0"/>
        <w:adjustRightInd w:val="0"/>
        <w:spacing w:before="0"/>
        <w:jc w:val="both"/>
        <w:rPr>
          <w:rFonts w:ascii="Times New Roman" w:eastAsia="Calibri" w:hAnsi="Times New Roman" w:cs="Times New Roman"/>
          <w:szCs w:val="24"/>
          <w:lang w:eastAsia="en-AU"/>
        </w:rPr>
      </w:pPr>
    </w:p>
    <w:p w:rsidR="008A435D" w:rsidRDefault="008A435D" w:rsidP="008A435D">
      <w:pPr>
        <w:autoSpaceDE w:val="0"/>
        <w:autoSpaceDN w:val="0"/>
        <w:adjustRightInd w:val="0"/>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 xml:space="preserve">We assessed the annual pricing proposal for compliance with the price control mechanisms set out in the Queensland 2010–15 final decision (final decision) and with section 6.18 of the National Electricity Rules (the rules). A typical residential customer’s </w:t>
      </w:r>
      <w:r w:rsidRPr="002F7A0C">
        <w:rPr>
          <w:rFonts w:ascii="Times New Roman" w:eastAsia="Calibri" w:hAnsi="Times New Roman" w:cs="Times New Roman"/>
          <w:i/>
          <w:szCs w:val="24"/>
          <w:lang w:eastAsia="en-AU"/>
        </w:rPr>
        <w:t>retail bill</w:t>
      </w:r>
      <w:r>
        <w:rPr>
          <w:rFonts w:ascii="Times New Roman" w:eastAsia="Calibri" w:hAnsi="Times New Roman" w:cs="Times New Roman"/>
          <w:szCs w:val="24"/>
          <w:lang w:eastAsia="en-AU"/>
        </w:rPr>
        <w:t xml:space="preserve"> is anticipated to rise by 6.0 per cent as a result of this decision, all else equal.</w:t>
      </w:r>
      <w:r w:rsidRPr="008A435D">
        <w:rPr>
          <w:color w:val="1F497D"/>
        </w:rPr>
        <w:t xml:space="preserve"> </w:t>
      </w:r>
      <w:r w:rsidRPr="008A435D">
        <w:rPr>
          <w:rFonts w:ascii="Times New Roman" w:eastAsia="Calibri" w:hAnsi="Times New Roman" w:cs="Times New Roman"/>
          <w:szCs w:val="24"/>
          <w:lang w:eastAsia="en-AU"/>
        </w:rPr>
        <w:t>However, there are many factors determining final electricity prices other than network charges</w:t>
      </w:r>
      <w:r>
        <w:rPr>
          <w:rFonts w:ascii="Times New Roman" w:eastAsia="Calibri" w:hAnsi="Times New Roman" w:cs="Times New Roman"/>
          <w:szCs w:val="24"/>
          <w:lang w:eastAsia="en-AU"/>
        </w:rPr>
        <w:t>.</w:t>
      </w:r>
    </w:p>
    <w:p w:rsidR="008A435D" w:rsidRDefault="008A435D" w:rsidP="008A435D">
      <w:pPr>
        <w:autoSpaceDE w:val="0"/>
        <w:autoSpaceDN w:val="0"/>
        <w:adjustRightInd w:val="0"/>
        <w:spacing w:before="0"/>
        <w:jc w:val="both"/>
        <w:rPr>
          <w:rFonts w:ascii="Times New Roman" w:eastAsia="Calibri" w:hAnsi="Times New Roman" w:cs="Times New Roman"/>
          <w:szCs w:val="24"/>
          <w:lang w:eastAsia="en-AU"/>
        </w:rPr>
      </w:pPr>
    </w:p>
    <w:p w:rsidR="008A435D" w:rsidRPr="00BB03B5" w:rsidRDefault="008A435D" w:rsidP="008A435D">
      <w:pPr>
        <w:spacing w:before="0"/>
        <w:jc w:val="both"/>
        <w:rPr>
          <w:rFonts w:ascii="Times New Roman" w:eastAsia="Calibri" w:hAnsi="Times New Roman" w:cs="Times New Roman"/>
          <w:szCs w:val="24"/>
          <w:lang w:eastAsia="en-AU"/>
        </w:rPr>
      </w:pPr>
      <w:r w:rsidRPr="00BB03B5">
        <w:rPr>
          <w:rFonts w:ascii="Times New Roman" w:eastAsia="Calibri" w:hAnsi="Times New Roman" w:cs="Times New Roman"/>
          <w:szCs w:val="24"/>
          <w:lang w:eastAsia="en-AU"/>
        </w:rPr>
        <w:t>The reason</w:t>
      </w:r>
      <w:r>
        <w:rPr>
          <w:rFonts w:ascii="Times New Roman" w:eastAsia="Calibri" w:hAnsi="Times New Roman" w:cs="Times New Roman"/>
          <w:szCs w:val="24"/>
          <w:lang w:eastAsia="en-AU"/>
        </w:rPr>
        <w:t>s</w:t>
      </w:r>
      <w:r w:rsidRPr="00BB03B5">
        <w:rPr>
          <w:rFonts w:ascii="Times New Roman" w:eastAsia="Calibri" w:hAnsi="Times New Roman" w:cs="Times New Roman"/>
          <w:szCs w:val="24"/>
          <w:lang w:eastAsia="en-AU"/>
        </w:rPr>
        <w:t xml:space="preserve"> for approving </w:t>
      </w:r>
      <w:proofErr w:type="spellStart"/>
      <w:r>
        <w:rPr>
          <w:rFonts w:ascii="Times New Roman" w:eastAsia="Calibri" w:hAnsi="Times New Roman" w:cs="Times New Roman"/>
          <w:szCs w:val="24"/>
          <w:lang w:eastAsia="en-AU"/>
        </w:rPr>
        <w:t>Energex’s</w:t>
      </w:r>
      <w:proofErr w:type="spellEnd"/>
      <w:r>
        <w:rPr>
          <w:rFonts w:ascii="Times New Roman" w:eastAsia="Calibri" w:hAnsi="Times New Roman" w:cs="Times New Roman"/>
          <w:szCs w:val="24"/>
          <w:lang w:eastAsia="en-AU"/>
        </w:rPr>
        <w:t xml:space="preserve"> annual pricing proposal are that</w:t>
      </w:r>
      <w:r w:rsidRPr="00BB03B5">
        <w:rPr>
          <w:rFonts w:ascii="Times New Roman" w:eastAsia="Calibri" w:hAnsi="Times New Roman" w:cs="Times New Roman"/>
          <w:szCs w:val="24"/>
          <w:lang w:eastAsia="en-AU"/>
        </w:rPr>
        <w:t>:</w:t>
      </w:r>
    </w:p>
    <w:p w:rsidR="008A435D" w:rsidRPr="00BB03B5" w:rsidRDefault="008A435D" w:rsidP="008A435D">
      <w:pPr>
        <w:spacing w:before="0"/>
        <w:jc w:val="both"/>
        <w:rPr>
          <w:rFonts w:ascii="Times New Roman" w:eastAsia="Calibri" w:hAnsi="Times New Roman" w:cs="Times New Roman"/>
          <w:szCs w:val="24"/>
          <w:lang w:eastAsia="en-AU"/>
        </w:rPr>
      </w:pPr>
    </w:p>
    <w:p w:rsidR="008A435D" w:rsidRPr="00D93A93" w:rsidRDefault="008A435D" w:rsidP="008A435D">
      <w:pPr>
        <w:numPr>
          <w:ilvl w:val="0"/>
          <w:numId w:val="20"/>
        </w:numPr>
        <w:spacing w:before="0"/>
        <w:jc w:val="both"/>
        <w:rPr>
          <w:rFonts w:ascii="Times New Roman" w:eastAsia="Calibri" w:hAnsi="Times New Roman" w:cs="Times New Roman"/>
          <w:szCs w:val="24"/>
          <w:lang w:eastAsia="en-AU"/>
        </w:rPr>
      </w:pPr>
      <w:r w:rsidRPr="00522E7B">
        <w:rPr>
          <w:rFonts w:ascii="Times New Roman" w:eastAsia="Calibri" w:hAnsi="Times New Roman" w:cs="Times New Roman"/>
          <w:szCs w:val="24"/>
          <w:lang w:eastAsia="en-AU"/>
        </w:rPr>
        <w:t xml:space="preserve">We are satisfied that the proposed network tariffs have been calculated using the approved revenue requirement (as per the </w:t>
      </w:r>
      <w:r w:rsidRPr="00B168AC">
        <w:rPr>
          <w:rFonts w:ascii="Times New Roman" w:eastAsia="Calibri" w:hAnsi="Times New Roman" w:cs="Times New Roman"/>
          <w:szCs w:val="24"/>
          <w:lang w:eastAsia="en-AU"/>
        </w:rPr>
        <w:t>revenue</w:t>
      </w:r>
      <w:r w:rsidRPr="00522E7B">
        <w:rPr>
          <w:rFonts w:ascii="Times New Roman" w:eastAsia="Calibri" w:hAnsi="Times New Roman" w:cs="Times New Roman"/>
          <w:szCs w:val="24"/>
          <w:lang w:eastAsia="en-AU"/>
        </w:rPr>
        <w:t xml:space="preserve"> cap formula in se</w:t>
      </w:r>
      <w:r w:rsidRPr="00B168AC">
        <w:rPr>
          <w:rFonts w:ascii="Times New Roman" w:eastAsia="Calibri" w:hAnsi="Times New Roman" w:cs="Times New Roman"/>
          <w:szCs w:val="24"/>
          <w:lang w:eastAsia="en-AU"/>
        </w:rPr>
        <w:t xml:space="preserve">ction </w:t>
      </w:r>
      <w:r>
        <w:rPr>
          <w:rFonts w:ascii="Times New Roman" w:eastAsia="Calibri" w:hAnsi="Times New Roman" w:cs="Times New Roman"/>
          <w:szCs w:val="24"/>
          <w:lang w:eastAsia="en-AU"/>
        </w:rPr>
        <w:t>4.5.1</w:t>
      </w:r>
      <w:r w:rsidRPr="00B168AC">
        <w:rPr>
          <w:rFonts w:ascii="Times New Roman" w:eastAsia="Calibri" w:hAnsi="Times New Roman" w:cs="Times New Roman"/>
          <w:szCs w:val="24"/>
          <w:lang w:eastAsia="en-AU"/>
        </w:rPr>
        <w:t xml:space="preserve"> of the </w:t>
      </w:r>
      <w:r>
        <w:rPr>
          <w:rFonts w:ascii="Times New Roman" w:eastAsia="Calibri" w:hAnsi="Times New Roman" w:cs="Times New Roman"/>
          <w:szCs w:val="24"/>
          <w:lang w:eastAsia="en-AU"/>
        </w:rPr>
        <w:t>final decision</w:t>
      </w:r>
      <w:r w:rsidRPr="00B168AC">
        <w:rPr>
          <w:rFonts w:ascii="Times New Roman" w:eastAsia="Calibri" w:hAnsi="Times New Roman" w:cs="Times New Roman"/>
          <w:szCs w:val="24"/>
          <w:lang w:eastAsia="en-AU"/>
        </w:rPr>
        <w:t>)</w:t>
      </w:r>
      <w:r w:rsidRPr="00522E7B">
        <w:rPr>
          <w:rFonts w:ascii="Times New Roman" w:eastAsia="Calibri" w:hAnsi="Times New Roman" w:cs="Times New Roman"/>
          <w:szCs w:val="24"/>
          <w:lang w:eastAsia="en-AU"/>
        </w:rPr>
        <w:t xml:space="preserve"> and based on reasonable quantity forecasts. Furthermore, the proposed network tariffs comply with the relevant pricing principles and side constraints set out in the distribution pricing rules. </w:t>
      </w:r>
    </w:p>
    <w:p w:rsidR="008A435D" w:rsidRPr="00B606FB" w:rsidRDefault="008A435D" w:rsidP="008A435D">
      <w:pPr>
        <w:spacing w:before="0"/>
        <w:ind w:left="720"/>
        <w:jc w:val="both"/>
        <w:rPr>
          <w:rFonts w:ascii="Times New Roman" w:eastAsia="Calibri" w:hAnsi="Times New Roman" w:cs="Times New Roman"/>
          <w:szCs w:val="24"/>
          <w:lang w:eastAsia="en-AU"/>
        </w:rPr>
      </w:pPr>
    </w:p>
    <w:p w:rsidR="008A435D" w:rsidRDefault="008A435D" w:rsidP="008A435D">
      <w:pPr>
        <w:numPr>
          <w:ilvl w:val="0"/>
          <w:numId w:val="20"/>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Energex</w:t>
      </w:r>
      <w:r w:rsidRPr="00B606FB">
        <w:rPr>
          <w:rFonts w:ascii="Times New Roman" w:eastAsia="Calibri" w:hAnsi="Times New Roman" w:cs="Times New Roman"/>
          <w:szCs w:val="24"/>
          <w:lang w:eastAsia="en-AU"/>
        </w:rPr>
        <w:t xml:space="preserve"> has correctly applied the approved price control mechanism to calculate the </w:t>
      </w:r>
      <w:r w:rsidRPr="009F3116">
        <w:rPr>
          <w:rFonts w:ascii="Times New Roman" w:eastAsia="Calibri" w:hAnsi="Times New Roman" w:cs="Times New Roman"/>
          <w:szCs w:val="24"/>
          <w:lang w:eastAsia="en-AU"/>
        </w:rPr>
        <w:t xml:space="preserve">alternative control service prices in accordance with section 17.5 and 18.5 of the final decision. The approved price control mechanism involves escalating current prices by the change in the March quarter CPI on a year on year basis multiplied by an approved X factor. </w:t>
      </w:r>
    </w:p>
    <w:p w:rsidR="008A435D" w:rsidRDefault="008A435D" w:rsidP="008A435D">
      <w:pPr>
        <w:pStyle w:val="ListParagraph"/>
        <w:rPr>
          <w:rFonts w:ascii="Times New Roman" w:eastAsia="Calibri" w:hAnsi="Times New Roman" w:cs="Times New Roman"/>
          <w:szCs w:val="24"/>
          <w:lang w:eastAsia="en-AU"/>
        </w:rPr>
      </w:pPr>
    </w:p>
    <w:p w:rsidR="008A435D" w:rsidRPr="009F3116" w:rsidRDefault="008A435D" w:rsidP="008A435D">
      <w:pPr>
        <w:numPr>
          <w:ilvl w:val="0"/>
          <w:numId w:val="20"/>
        </w:num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All pass through amounts and adjustments of the unders and overs account have been calculated correctly.</w:t>
      </w:r>
    </w:p>
    <w:p w:rsidR="008A435D" w:rsidRDefault="008A435D" w:rsidP="008A435D">
      <w:pPr>
        <w:spacing w:before="0" w:after="200" w:line="276" w:lineRule="auto"/>
        <w:rPr>
          <w:rFonts w:ascii="Times New Roman" w:eastAsia="Calibri" w:hAnsi="Times New Roman" w:cs="Times New Roman"/>
          <w:szCs w:val="24"/>
          <w:lang w:eastAsia="en-AU"/>
        </w:rPr>
      </w:pPr>
    </w:p>
    <w:p w:rsidR="001715FF" w:rsidRDefault="001715FF" w:rsidP="001715FF">
      <w:pPr>
        <w:spacing w:before="0"/>
        <w:jc w:val="both"/>
        <w:rPr>
          <w:rFonts w:ascii="Times New Roman" w:eastAsia="Calibri" w:hAnsi="Times New Roman" w:cs="Times New Roman"/>
          <w:szCs w:val="24"/>
          <w:lang w:eastAsia="en-AU"/>
        </w:rPr>
      </w:pPr>
      <w:r>
        <w:rPr>
          <w:rFonts w:ascii="Times New Roman" w:eastAsia="Calibri" w:hAnsi="Times New Roman" w:cs="Times New Roman"/>
          <w:szCs w:val="24"/>
          <w:lang w:eastAsia="en-AU"/>
        </w:rPr>
        <w:t>The approved 2014–15 network tariffs and alternative control service charges can be found in the following document on our website:</w:t>
      </w:r>
    </w:p>
    <w:p w:rsidR="008A435D" w:rsidRDefault="008A435D" w:rsidP="008A435D">
      <w:pPr>
        <w:spacing w:before="0" w:after="200" w:line="276" w:lineRule="auto"/>
        <w:rPr>
          <w:rFonts w:ascii="Times New Roman" w:eastAsia="Calibri" w:hAnsi="Times New Roman" w:cs="Times New Roman"/>
          <w:szCs w:val="24"/>
          <w:lang w:eastAsia="en-AU"/>
        </w:rPr>
      </w:pPr>
      <w:bookmarkStart w:id="0" w:name="_GoBack"/>
      <w:bookmarkEnd w:id="0"/>
    </w:p>
    <w:p w:rsidR="001715FF" w:rsidRPr="001715FF" w:rsidRDefault="001715FF" w:rsidP="001715FF">
      <w:pPr>
        <w:pStyle w:val="ListParagraph"/>
        <w:numPr>
          <w:ilvl w:val="0"/>
          <w:numId w:val="21"/>
        </w:numPr>
        <w:spacing w:before="0" w:after="200" w:line="276" w:lineRule="auto"/>
        <w:rPr>
          <w:rFonts w:ascii="Times New Roman" w:eastAsia="Calibri" w:hAnsi="Times New Roman" w:cs="Times New Roman"/>
          <w:szCs w:val="24"/>
          <w:lang w:eastAsia="en-AU"/>
        </w:rPr>
      </w:pPr>
      <w:proofErr w:type="spellStart"/>
      <w:r>
        <w:rPr>
          <w:rFonts w:ascii="Times New Roman" w:eastAsia="Calibri" w:hAnsi="Times New Roman" w:cs="Times New Roman"/>
          <w:szCs w:val="24"/>
          <w:lang w:eastAsia="en-AU"/>
        </w:rPr>
        <w:t>Energex’s</w:t>
      </w:r>
      <w:proofErr w:type="spellEnd"/>
      <w:r>
        <w:rPr>
          <w:rFonts w:ascii="Times New Roman" w:eastAsia="Calibri" w:hAnsi="Times New Roman" w:cs="Times New Roman"/>
          <w:szCs w:val="24"/>
          <w:lang w:eastAsia="en-AU"/>
        </w:rPr>
        <w:t xml:space="preserve"> approved</w:t>
      </w:r>
      <w:r w:rsidR="00416D78">
        <w:rPr>
          <w:rFonts w:ascii="Times New Roman" w:eastAsia="Calibri" w:hAnsi="Times New Roman" w:cs="Times New Roman"/>
          <w:szCs w:val="24"/>
          <w:lang w:eastAsia="en-AU"/>
        </w:rPr>
        <w:t xml:space="preserve"> annual</w:t>
      </w:r>
      <w:r>
        <w:rPr>
          <w:rFonts w:ascii="Times New Roman" w:eastAsia="Calibri" w:hAnsi="Times New Roman" w:cs="Times New Roman"/>
          <w:szCs w:val="24"/>
          <w:lang w:eastAsia="en-AU"/>
        </w:rPr>
        <w:t xml:space="preserve"> pricing proposal – 2014–15</w:t>
      </w:r>
    </w:p>
    <w:p w:rsidR="001715FF" w:rsidRDefault="001715FF" w:rsidP="008A435D">
      <w:pPr>
        <w:spacing w:before="0" w:after="200" w:line="276" w:lineRule="auto"/>
        <w:rPr>
          <w:rFonts w:ascii="Times New Roman" w:eastAsia="Calibri" w:hAnsi="Times New Roman" w:cs="Times New Roman"/>
          <w:szCs w:val="24"/>
          <w:lang w:eastAsia="en-AU"/>
        </w:rPr>
      </w:pPr>
    </w:p>
    <w:p w:rsidR="008A435D" w:rsidRPr="00BE1F1B" w:rsidRDefault="008A435D" w:rsidP="00BE1F1B"/>
    <w:sectPr w:rsidR="008A435D"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79F6E75"/>
    <w:multiLevelType w:val="hybridMultilevel"/>
    <w:tmpl w:val="97841106"/>
    <w:lvl w:ilvl="0" w:tplc="DDA81AB2">
      <w:start w:val="1"/>
      <w:numFmt w:val="bullet"/>
      <w:lvlText w:val=""/>
      <w:lvlJc w:val="left"/>
      <w:pPr>
        <w:tabs>
          <w:tab w:val="num" w:pos="720"/>
        </w:tabs>
        <w:ind w:left="720" w:hanging="360"/>
      </w:pPr>
      <w:rPr>
        <w:rFonts w:ascii="Wingdings" w:hAnsi="Wingdings" w:hint="default"/>
      </w:rPr>
    </w:lvl>
    <w:lvl w:ilvl="1" w:tplc="BAC0E806">
      <w:start w:val="1"/>
      <w:numFmt w:val="bullet"/>
      <w:lvlText w:val=""/>
      <w:lvlJc w:val="left"/>
      <w:pPr>
        <w:tabs>
          <w:tab w:val="num" w:pos="1440"/>
        </w:tabs>
        <w:ind w:left="1440" w:hanging="360"/>
      </w:pPr>
      <w:rPr>
        <w:rFonts w:ascii="Arial" w:hAnsi="Arial" w:hint="default"/>
        <w:color w:val="auto"/>
      </w:rPr>
    </w:lvl>
    <w:lvl w:ilvl="2" w:tplc="0C090005" w:tentative="1">
      <w:start w:val="1"/>
      <w:numFmt w:val="bullet"/>
      <w:lvlText w:val=""/>
      <w:lvlJc w:val="left"/>
      <w:pPr>
        <w:tabs>
          <w:tab w:val="num" w:pos="2160"/>
        </w:tabs>
        <w:ind w:left="2160" w:hanging="360"/>
      </w:pPr>
      <w:rPr>
        <w:rFonts w:ascii="Arial" w:hAnsi="Arial" w:hint="default"/>
      </w:rPr>
    </w:lvl>
    <w:lvl w:ilvl="3" w:tplc="0C090001" w:tentative="1">
      <w:start w:val="1"/>
      <w:numFmt w:val="bullet"/>
      <w:lvlText w:val=""/>
      <w:lvlJc w:val="left"/>
      <w:pPr>
        <w:tabs>
          <w:tab w:val="num" w:pos="2880"/>
        </w:tabs>
        <w:ind w:left="2880" w:hanging="360"/>
      </w:pPr>
      <w:rPr>
        <w:rFonts w:ascii="Times" w:hAnsi="Times" w:hint="default"/>
      </w:rPr>
    </w:lvl>
    <w:lvl w:ilvl="4" w:tplc="0C090003" w:tentative="1">
      <w:start w:val="1"/>
      <w:numFmt w:val="bullet"/>
      <w:lvlText w:val="o"/>
      <w:lvlJc w:val="left"/>
      <w:pPr>
        <w:tabs>
          <w:tab w:val="num" w:pos="3600"/>
        </w:tabs>
        <w:ind w:left="3600" w:hanging="360"/>
      </w:pPr>
      <w:rPr>
        <w:rFonts w:ascii="Tahoma" w:hAnsi="Tahoma" w:cs="Tahoma" w:hint="default"/>
      </w:rPr>
    </w:lvl>
    <w:lvl w:ilvl="5" w:tplc="0C090005" w:tentative="1">
      <w:start w:val="1"/>
      <w:numFmt w:val="bullet"/>
      <w:lvlText w:val=""/>
      <w:lvlJc w:val="left"/>
      <w:pPr>
        <w:tabs>
          <w:tab w:val="num" w:pos="4320"/>
        </w:tabs>
        <w:ind w:left="4320" w:hanging="360"/>
      </w:pPr>
      <w:rPr>
        <w:rFonts w:ascii="Arial" w:hAnsi="Arial" w:hint="default"/>
      </w:rPr>
    </w:lvl>
    <w:lvl w:ilvl="6" w:tplc="0C090001" w:tentative="1">
      <w:start w:val="1"/>
      <w:numFmt w:val="bullet"/>
      <w:lvlText w:val=""/>
      <w:lvlJc w:val="left"/>
      <w:pPr>
        <w:tabs>
          <w:tab w:val="num" w:pos="5040"/>
        </w:tabs>
        <w:ind w:left="5040" w:hanging="360"/>
      </w:pPr>
      <w:rPr>
        <w:rFonts w:ascii="Times" w:hAnsi="Times" w:hint="default"/>
      </w:rPr>
    </w:lvl>
    <w:lvl w:ilvl="7" w:tplc="0C090003" w:tentative="1">
      <w:start w:val="1"/>
      <w:numFmt w:val="bullet"/>
      <w:lvlText w:val="o"/>
      <w:lvlJc w:val="left"/>
      <w:pPr>
        <w:tabs>
          <w:tab w:val="num" w:pos="5760"/>
        </w:tabs>
        <w:ind w:left="5760" w:hanging="360"/>
      </w:pPr>
      <w:rPr>
        <w:rFonts w:ascii="Tahoma" w:hAnsi="Tahoma" w:cs="Tahoma" w:hint="default"/>
      </w:rPr>
    </w:lvl>
    <w:lvl w:ilvl="8" w:tplc="0C090005" w:tentative="1">
      <w:start w:val="1"/>
      <w:numFmt w:val="bullet"/>
      <w:lvlText w:val=""/>
      <w:lvlJc w:val="left"/>
      <w:pPr>
        <w:tabs>
          <w:tab w:val="num" w:pos="6480"/>
        </w:tabs>
        <w:ind w:left="6480" w:hanging="360"/>
      </w:pPr>
      <w:rPr>
        <w:rFonts w:ascii="Arial" w:hAnsi="Arial"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2C39C8"/>
    <w:multiLevelType w:val="hybridMultilevel"/>
    <w:tmpl w:val="F92008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1"/>
  </w:num>
  <w:num w:numId="4">
    <w:abstractNumId w:val="18"/>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3"/>
    <w:lvlOverride w:ilvl="0">
      <w:startOverride w:val="1"/>
    </w:lvlOverride>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moff\Local Settings\Temporary Internet Files\Content.Outlook\WHMJTLRJ\STATEMENT OF REASONS - Energex tariffs 2014-15.docx"/>
  </w:docVars>
  <w:rsids>
    <w:rsidRoot w:val="008A435D"/>
    <w:rsid w:val="00021202"/>
    <w:rsid w:val="000E1819"/>
    <w:rsid w:val="000E6C72"/>
    <w:rsid w:val="00124609"/>
    <w:rsid w:val="001573E4"/>
    <w:rsid w:val="001715FF"/>
    <w:rsid w:val="00251745"/>
    <w:rsid w:val="00286874"/>
    <w:rsid w:val="002A7DEF"/>
    <w:rsid w:val="00307F6D"/>
    <w:rsid w:val="003518B3"/>
    <w:rsid w:val="00416D78"/>
    <w:rsid w:val="00532467"/>
    <w:rsid w:val="00564A4D"/>
    <w:rsid w:val="00632D6D"/>
    <w:rsid w:val="007303C3"/>
    <w:rsid w:val="00763E5D"/>
    <w:rsid w:val="00777EE6"/>
    <w:rsid w:val="007C1C53"/>
    <w:rsid w:val="00851209"/>
    <w:rsid w:val="008A435D"/>
    <w:rsid w:val="008E7031"/>
    <w:rsid w:val="00A60A26"/>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435D"/>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A435D"/>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F9B4-CD8B-41A5-9B76-E4912A84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E97AF6D4.dotm</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Craig</dc:creator>
  <cp:keywords/>
  <dc:description/>
  <cp:lastModifiedBy>Moffitt, Shannon</cp:lastModifiedBy>
  <cp:revision>3</cp:revision>
  <dcterms:created xsi:type="dcterms:W3CDTF">2014-06-13T06:19:00Z</dcterms:created>
  <dcterms:modified xsi:type="dcterms:W3CDTF">2014-06-13T06:19:00Z</dcterms:modified>
</cp:coreProperties>
</file>