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04" w:rsidRPr="00BB03B5" w:rsidRDefault="004B4804" w:rsidP="004B4804">
      <w:pPr>
        <w:spacing w:before="0"/>
        <w:jc w:val="center"/>
        <w:rPr>
          <w:rFonts w:ascii="Calibri" w:eastAsia="Calibri" w:hAnsi="Calibri" w:cs="Times New Roman"/>
          <w:lang w:eastAsia="en-AU"/>
        </w:rPr>
      </w:pPr>
      <w:bookmarkStart w:id="0" w:name="_GoBack"/>
      <w:bookmarkEnd w:id="0"/>
      <w:r>
        <w:rPr>
          <w:rFonts w:ascii="Calibri" w:eastAsia="Calibri" w:hAnsi="Calibri" w:cs="Times New Roman"/>
          <w:noProof/>
          <w:lang w:eastAsia="en-AU"/>
        </w:rPr>
        <w:drawing>
          <wp:anchor distT="0" distB="0" distL="114300" distR="114300" simplePos="0" relativeHeight="251659264" behindDoc="0" locked="0" layoutInCell="1" allowOverlap="1" wp14:anchorId="777FD548" wp14:editId="7E26212A">
            <wp:simplePos x="0" y="0"/>
            <wp:positionH relativeFrom="column">
              <wp:posOffset>394335</wp:posOffset>
            </wp:positionH>
            <wp:positionV relativeFrom="paragraph">
              <wp:posOffset>165100</wp:posOffset>
            </wp:positionV>
            <wp:extent cx="5311140" cy="1259840"/>
            <wp:effectExtent l="0" t="0" r="381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1259840"/>
                    </a:xfrm>
                    <a:prstGeom prst="rect">
                      <a:avLst/>
                    </a:prstGeom>
                    <a:noFill/>
                  </pic:spPr>
                </pic:pic>
              </a:graphicData>
            </a:graphic>
            <wp14:sizeRelH relativeFrom="page">
              <wp14:pctWidth>0</wp14:pctWidth>
            </wp14:sizeRelH>
            <wp14:sizeRelV relativeFrom="page">
              <wp14:pctHeight>0</wp14:pctHeight>
            </wp14:sizeRelV>
          </wp:anchor>
        </w:drawing>
      </w: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4B4804" w:rsidRPr="00BB03B5" w:rsidRDefault="004B4804" w:rsidP="004B4804">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4B4804" w:rsidRPr="00BB03B5" w:rsidRDefault="004B4804" w:rsidP="004B4804">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Essential Energy New South Wales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4B4804" w:rsidRPr="00BB03B5" w:rsidRDefault="004B4804" w:rsidP="004B4804">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4B4804" w:rsidRPr="00BB03B5" w:rsidRDefault="004B4804" w:rsidP="004B4804">
      <w:pPr>
        <w:spacing w:before="0"/>
        <w:jc w:val="center"/>
        <w:rPr>
          <w:rFonts w:ascii="Calibri" w:eastAsia="Calibri" w:hAnsi="Calibri" w:cs="Times New Roman"/>
          <w:lang w:eastAsia="en-AU"/>
        </w:rPr>
      </w:pPr>
    </w:p>
    <w:p w:rsidR="004B4804" w:rsidRPr="00BB03B5" w:rsidRDefault="004B4804" w:rsidP="004B4804">
      <w:pPr>
        <w:spacing w:before="0"/>
        <w:jc w:val="both"/>
        <w:rPr>
          <w:rFonts w:ascii="Calibri" w:eastAsia="Calibri" w:hAnsi="Calibri" w:cs="Times New Roman"/>
          <w:lang w:eastAsia="en-AU"/>
        </w:rPr>
      </w:pPr>
    </w:p>
    <w:p w:rsidR="004B4804" w:rsidRDefault="004B4804" w:rsidP="004B4804">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r>
        <w:rPr>
          <w:rFonts w:ascii="Times New Roman" w:eastAsia="Calibri" w:hAnsi="Times New Roman" w:cs="Times New Roman"/>
          <w:szCs w:val="24"/>
          <w:lang w:eastAsia="en-AU"/>
        </w:rPr>
        <w:t>Essential Energy’s annual pricing proposal.</w:t>
      </w:r>
    </w:p>
    <w:p w:rsidR="004B4804" w:rsidRDefault="004B4804" w:rsidP="004B4804">
      <w:pPr>
        <w:autoSpaceDE w:val="0"/>
        <w:autoSpaceDN w:val="0"/>
        <w:adjustRightInd w:val="0"/>
        <w:spacing w:before="0"/>
        <w:jc w:val="both"/>
        <w:rPr>
          <w:rFonts w:ascii="Times New Roman" w:eastAsia="Calibri" w:hAnsi="Times New Roman" w:cs="Times New Roman"/>
          <w:szCs w:val="24"/>
          <w:lang w:eastAsia="en-AU"/>
        </w:rPr>
      </w:pPr>
    </w:p>
    <w:p w:rsidR="004B4804" w:rsidRDefault="004B4804" w:rsidP="004B4804">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The annual pricing proposal outlines the network tariffs and alternative control service charges that will apply from 1 July 2014 to 30 June 2015. </w:t>
      </w:r>
    </w:p>
    <w:p w:rsidR="004B4804" w:rsidRDefault="004B4804" w:rsidP="004B4804">
      <w:pPr>
        <w:autoSpaceDE w:val="0"/>
        <w:autoSpaceDN w:val="0"/>
        <w:adjustRightInd w:val="0"/>
        <w:spacing w:before="0"/>
        <w:jc w:val="both"/>
        <w:rPr>
          <w:rFonts w:ascii="Times New Roman" w:eastAsia="Calibri" w:hAnsi="Times New Roman" w:cs="Times New Roman"/>
          <w:szCs w:val="24"/>
          <w:lang w:eastAsia="en-AU"/>
        </w:rPr>
      </w:pPr>
    </w:p>
    <w:p w:rsidR="004B4804" w:rsidRDefault="004B4804" w:rsidP="004B4804">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Essential Energy’s 2014–15 placeholder distribution determination (placeholder distribution determination) and with section 6.18 of the National Electricity Rules (the rules). The typical household </w:t>
      </w:r>
      <w:r w:rsidRPr="00A635B5">
        <w:rPr>
          <w:rFonts w:ascii="Times New Roman" w:eastAsia="Calibri" w:hAnsi="Times New Roman" w:cs="Times New Roman"/>
          <w:i/>
          <w:szCs w:val="24"/>
          <w:lang w:eastAsia="en-AU"/>
        </w:rPr>
        <w:t>retail bill</w:t>
      </w:r>
      <w:r>
        <w:rPr>
          <w:rFonts w:ascii="Times New Roman" w:eastAsia="Calibri" w:hAnsi="Times New Roman" w:cs="Times New Roman"/>
          <w:szCs w:val="24"/>
          <w:lang w:eastAsia="en-AU"/>
        </w:rPr>
        <w:t xml:space="preserve"> decrease is, all things equal, anticipated to be minus 4 per cent as a consequence of this decision.</w:t>
      </w:r>
    </w:p>
    <w:p w:rsidR="004B4804" w:rsidRPr="00BB03B5" w:rsidRDefault="004B4804" w:rsidP="004B4804">
      <w:pPr>
        <w:spacing w:before="0"/>
        <w:jc w:val="both"/>
        <w:rPr>
          <w:rFonts w:ascii="Times New Roman" w:eastAsia="Calibri" w:hAnsi="Times New Roman" w:cs="Times New Roman"/>
          <w:szCs w:val="24"/>
          <w:lang w:eastAsia="en-AU"/>
        </w:rPr>
      </w:pPr>
    </w:p>
    <w:p w:rsidR="004B4804" w:rsidRPr="00BB03B5" w:rsidRDefault="004B4804" w:rsidP="004B4804">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r>
        <w:rPr>
          <w:rFonts w:ascii="Times New Roman" w:eastAsia="Calibri" w:hAnsi="Times New Roman" w:cs="Times New Roman"/>
          <w:szCs w:val="24"/>
          <w:lang w:eastAsia="en-AU"/>
        </w:rPr>
        <w:t>Essential Energy’s annual pricing proposal are that</w:t>
      </w:r>
      <w:r w:rsidRPr="00BB03B5">
        <w:rPr>
          <w:rFonts w:ascii="Times New Roman" w:eastAsia="Calibri" w:hAnsi="Times New Roman" w:cs="Times New Roman"/>
          <w:szCs w:val="24"/>
          <w:lang w:eastAsia="en-AU"/>
        </w:rPr>
        <w:t>:</w:t>
      </w:r>
    </w:p>
    <w:p w:rsidR="004B4804" w:rsidRPr="00BB03B5" w:rsidRDefault="004B4804" w:rsidP="004B4804">
      <w:pPr>
        <w:spacing w:before="0"/>
        <w:jc w:val="both"/>
        <w:rPr>
          <w:rFonts w:ascii="Times New Roman" w:eastAsia="Calibri" w:hAnsi="Times New Roman" w:cs="Times New Roman"/>
          <w:szCs w:val="24"/>
          <w:lang w:eastAsia="en-AU"/>
        </w:rPr>
      </w:pPr>
    </w:p>
    <w:p w:rsidR="004B4804" w:rsidRDefault="004B4804" w:rsidP="004B4804">
      <w:pPr>
        <w:numPr>
          <w:ilvl w:val="0"/>
          <w:numId w:val="20"/>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are satisfied that the proposed network tariffs have been calculated using the approved annual revenue requirement (as per section 1.14 of the placeholder distribution determination) and based on reasonable quantity forecasts. Furthermore, the proposed network tariffs comply with the relevant pricing principles set out in the distribution pricing rules. </w:t>
      </w:r>
    </w:p>
    <w:p w:rsidR="004B4804" w:rsidRDefault="004B4804" w:rsidP="004B4804">
      <w:pPr>
        <w:spacing w:before="0"/>
        <w:ind w:left="720"/>
        <w:jc w:val="both"/>
        <w:rPr>
          <w:rFonts w:ascii="Times New Roman" w:eastAsia="Calibri" w:hAnsi="Times New Roman" w:cs="Times New Roman"/>
          <w:szCs w:val="24"/>
          <w:lang w:eastAsia="en-AU"/>
        </w:rPr>
      </w:pPr>
    </w:p>
    <w:p w:rsidR="004B4804" w:rsidRPr="00BB03B5" w:rsidRDefault="004B4804" w:rsidP="004B4804">
      <w:pPr>
        <w:numPr>
          <w:ilvl w:val="0"/>
          <w:numId w:val="20"/>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Essential Energy </w:t>
      </w:r>
      <w:proofErr w:type="gramStart"/>
      <w:r>
        <w:rPr>
          <w:rFonts w:ascii="Times New Roman" w:eastAsia="Calibri" w:hAnsi="Times New Roman" w:cs="Times New Roman"/>
          <w:szCs w:val="24"/>
          <w:lang w:eastAsia="en-AU"/>
        </w:rPr>
        <w:t>have</w:t>
      </w:r>
      <w:proofErr w:type="gramEnd"/>
      <w:r>
        <w:rPr>
          <w:rFonts w:ascii="Times New Roman" w:eastAsia="Calibri" w:hAnsi="Times New Roman" w:cs="Times New Roman"/>
          <w:szCs w:val="24"/>
          <w:lang w:eastAsia="en-AU"/>
        </w:rPr>
        <w:t xml:space="preserve"> proposed alternative control service charges which the AER approved in the placeholder distribution determination.</w:t>
      </w:r>
      <w:r w:rsidRPr="00BB03B5">
        <w:rPr>
          <w:rFonts w:ascii="Times New Roman" w:eastAsia="Calibri" w:hAnsi="Times New Roman" w:cs="Times New Roman"/>
          <w:szCs w:val="24"/>
          <w:lang w:eastAsia="en-AU"/>
        </w:rPr>
        <w:t xml:space="preserve"> </w:t>
      </w:r>
    </w:p>
    <w:p w:rsidR="004B4804" w:rsidRDefault="004B4804" w:rsidP="004B4804">
      <w:pPr>
        <w:spacing w:before="0"/>
        <w:jc w:val="both"/>
        <w:rPr>
          <w:rFonts w:ascii="Times New Roman" w:eastAsia="Calibri" w:hAnsi="Times New Roman" w:cs="Times New Roman"/>
          <w:szCs w:val="24"/>
          <w:lang w:eastAsia="en-AU"/>
        </w:rPr>
      </w:pPr>
    </w:p>
    <w:p w:rsidR="004B4804" w:rsidRDefault="004B4804" w:rsidP="004B4804">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documents found on our website:</w:t>
      </w:r>
    </w:p>
    <w:p w:rsidR="004B4804" w:rsidRDefault="004B4804" w:rsidP="004B4804">
      <w:pPr>
        <w:spacing w:before="0"/>
        <w:jc w:val="both"/>
        <w:rPr>
          <w:rFonts w:ascii="Times New Roman" w:eastAsia="Calibri" w:hAnsi="Times New Roman" w:cs="Times New Roman"/>
          <w:szCs w:val="24"/>
          <w:lang w:eastAsia="en-AU"/>
        </w:rPr>
      </w:pPr>
    </w:p>
    <w:p w:rsidR="004B4804" w:rsidRDefault="004B4804" w:rsidP="004B4804">
      <w:pPr>
        <w:pStyle w:val="ListParagraph"/>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Network tariffs –</w:t>
      </w:r>
      <w:r w:rsidRPr="00022633">
        <w:rPr>
          <w:rFonts w:ascii="Times New Roman" w:eastAsia="Calibri" w:hAnsi="Times New Roman" w:cs="Times New Roman"/>
          <w:i/>
          <w:szCs w:val="24"/>
          <w:lang w:eastAsia="en-AU"/>
        </w:rPr>
        <w:t>Essential Energy</w:t>
      </w:r>
      <w:r>
        <w:rPr>
          <w:rFonts w:ascii="Times New Roman" w:eastAsia="Calibri" w:hAnsi="Times New Roman" w:cs="Times New Roman"/>
          <w:i/>
          <w:szCs w:val="24"/>
          <w:lang w:eastAsia="en-AU"/>
        </w:rPr>
        <w:t xml:space="preserve"> </w:t>
      </w:r>
      <w:r w:rsidRPr="00AA0302">
        <w:rPr>
          <w:rFonts w:ascii="Times New Roman" w:eastAsia="Calibri" w:hAnsi="Times New Roman" w:cs="Times New Roman"/>
          <w:i/>
          <w:szCs w:val="24"/>
          <w:lang w:eastAsia="en-AU"/>
        </w:rPr>
        <w:t>Approved Revised</w:t>
      </w:r>
      <w:r w:rsidRPr="00022633">
        <w:rPr>
          <w:rFonts w:ascii="Times New Roman" w:eastAsia="Calibri" w:hAnsi="Times New Roman" w:cs="Times New Roman"/>
          <w:i/>
          <w:szCs w:val="24"/>
          <w:lang w:eastAsia="en-AU"/>
        </w:rPr>
        <w:t xml:space="preserve"> Price List &amp; Explanatory Notes 2014-15</w:t>
      </w:r>
    </w:p>
    <w:p w:rsidR="004B4804" w:rsidRDefault="004B4804" w:rsidP="004B4804">
      <w:pPr>
        <w:pStyle w:val="ListParagraph"/>
        <w:numPr>
          <w:ilvl w:val="0"/>
          <w:numId w:val="21"/>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Alternative control service charges</w:t>
      </w:r>
    </w:p>
    <w:p w:rsidR="004B4804" w:rsidRPr="004F1376" w:rsidRDefault="004B4804" w:rsidP="004B4804">
      <w:pPr>
        <w:pStyle w:val="ListParagraph"/>
        <w:numPr>
          <w:ilvl w:val="1"/>
          <w:numId w:val="21"/>
        </w:numPr>
        <w:spacing w:before="0"/>
        <w:jc w:val="both"/>
        <w:rPr>
          <w:rFonts w:ascii="Times New Roman" w:eastAsia="Calibri" w:hAnsi="Times New Roman" w:cs="Times New Roman"/>
          <w:i/>
          <w:szCs w:val="24"/>
          <w:lang w:eastAsia="en-AU"/>
        </w:rPr>
      </w:pPr>
      <w:r>
        <w:rPr>
          <w:rFonts w:ascii="Times New Roman" w:eastAsia="Calibri" w:hAnsi="Times New Roman" w:cs="Times New Roman"/>
          <w:i/>
          <w:szCs w:val="24"/>
          <w:lang w:eastAsia="en-AU"/>
        </w:rPr>
        <w:t>Approved C</w:t>
      </w:r>
      <w:r w:rsidRPr="004F1376">
        <w:rPr>
          <w:rFonts w:ascii="Times New Roman" w:eastAsia="Calibri" w:hAnsi="Times New Roman" w:cs="Times New Roman"/>
          <w:i/>
          <w:szCs w:val="24"/>
          <w:lang w:eastAsia="en-AU"/>
        </w:rPr>
        <w:t xml:space="preserve">harges for </w:t>
      </w:r>
      <w:r>
        <w:rPr>
          <w:rFonts w:ascii="Times New Roman" w:eastAsia="Calibri" w:hAnsi="Times New Roman" w:cs="Times New Roman"/>
          <w:i/>
          <w:szCs w:val="24"/>
          <w:lang w:eastAsia="en-AU"/>
        </w:rPr>
        <w:t>Public Lighting S</w:t>
      </w:r>
      <w:r w:rsidRPr="004F1376">
        <w:rPr>
          <w:rFonts w:ascii="Times New Roman" w:eastAsia="Calibri" w:hAnsi="Times New Roman" w:cs="Times New Roman"/>
          <w:i/>
          <w:szCs w:val="24"/>
          <w:lang w:eastAsia="en-AU"/>
        </w:rPr>
        <w:t>ervice</w:t>
      </w:r>
      <w:r>
        <w:rPr>
          <w:rFonts w:ascii="Times New Roman" w:eastAsia="Calibri" w:hAnsi="Times New Roman" w:cs="Times New Roman"/>
          <w:i/>
          <w:szCs w:val="24"/>
          <w:lang w:eastAsia="en-AU"/>
        </w:rPr>
        <w:t>s</w:t>
      </w:r>
    </w:p>
    <w:p w:rsidR="004B4804" w:rsidRPr="00022633" w:rsidRDefault="004B4804" w:rsidP="004B4804">
      <w:pPr>
        <w:pStyle w:val="ListParagraph"/>
        <w:numPr>
          <w:ilvl w:val="1"/>
          <w:numId w:val="21"/>
        </w:numPr>
        <w:spacing w:before="0"/>
        <w:jc w:val="both"/>
        <w:rPr>
          <w:rFonts w:ascii="Times New Roman" w:eastAsia="Calibri" w:hAnsi="Times New Roman" w:cs="Times New Roman"/>
          <w:i/>
          <w:szCs w:val="24"/>
          <w:lang w:eastAsia="en-AU"/>
        </w:rPr>
      </w:pPr>
      <w:r>
        <w:rPr>
          <w:rFonts w:ascii="Times New Roman" w:eastAsia="Calibri" w:hAnsi="Times New Roman" w:cs="Times New Roman"/>
          <w:i/>
          <w:szCs w:val="24"/>
          <w:lang w:eastAsia="en-AU"/>
        </w:rPr>
        <w:t>Approved</w:t>
      </w:r>
      <w:r w:rsidRPr="00022633">
        <w:rPr>
          <w:rFonts w:ascii="Times New Roman" w:eastAsia="Calibri" w:hAnsi="Times New Roman" w:cs="Times New Roman"/>
          <w:i/>
          <w:szCs w:val="24"/>
          <w:lang w:eastAsia="en-AU"/>
        </w:rPr>
        <w:t xml:space="preserve"> Price </w:t>
      </w:r>
      <w:r>
        <w:rPr>
          <w:rFonts w:ascii="Times New Roman" w:eastAsia="Calibri" w:hAnsi="Times New Roman" w:cs="Times New Roman"/>
          <w:i/>
          <w:szCs w:val="24"/>
          <w:lang w:eastAsia="en-AU"/>
        </w:rPr>
        <w:t>S</w:t>
      </w:r>
      <w:r w:rsidRPr="00022633">
        <w:rPr>
          <w:rFonts w:ascii="Times New Roman" w:eastAsia="Calibri" w:hAnsi="Times New Roman" w:cs="Times New Roman"/>
          <w:i/>
          <w:szCs w:val="24"/>
          <w:lang w:eastAsia="en-AU"/>
        </w:rPr>
        <w:t xml:space="preserve">chedule for </w:t>
      </w:r>
      <w:r>
        <w:rPr>
          <w:rFonts w:ascii="Times New Roman" w:eastAsia="Calibri" w:hAnsi="Times New Roman" w:cs="Times New Roman"/>
          <w:i/>
          <w:szCs w:val="24"/>
          <w:lang w:eastAsia="en-AU"/>
        </w:rPr>
        <w:t>Miscellaneous, ERW and M</w:t>
      </w:r>
      <w:r w:rsidRPr="00022633">
        <w:rPr>
          <w:rFonts w:ascii="Times New Roman" w:eastAsia="Calibri" w:hAnsi="Times New Roman" w:cs="Times New Roman"/>
          <w:i/>
          <w:szCs w:val="24"/>
          <w:lang w:eastAsia="en-AU"/>
        </w:rPr>
        <w:t xml:space="preserve">onopoly </w:t>
      </w:r>
      <w:r>
        <w:rPr>
          <w:rFonts w:ascii="Times New Roman" w:eastAsia="Calibri" w:hAnsi="Times New Roman" w:cs="Times New Roman"/>
          <w:i/>
          <w:szCs w:val="24"/>
          <w:lang w:eastAsia="en-AU"/>
        </w:rPr>
        <w:t>F</w:t>
      </w:r>
      <w:r w:rsidRPr="00022633">
        <w:rPr>
          <w:rFonts w:ascii="Times New Roman" w:eastAsia="Calibri" w:hAnsi="Times New Roman" w:cs="Times New Roman"/>
          <w:i/>
          <w:szCs w:val="24"/>
          <w:lang w:eastAsia="en-AU"/>
        </w:rPr>
        <w:t>ees</w:t>
      </w: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D097654"/>
    <w:multiLevelType w:val="hybridMultilevel"/>
    <w:tmpl w:val="6CA2D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3"/>
  </w:num>
  <w:num w:numId="3">
    <w:abstractNumId w:val="11"/>
  </w:num>
  <w:num w:numId="4">
    <w:abstractNumId w:val="19"/>
  </w:num>
  <w:num w:numId="5">
    <w:abstractNumId w:val="10"/>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6"/>
  </w:num>
  <w:num w:numId="19">
    <w:abstractNumId w:val="13"/>
    <w:lvlOverride w:ilvl="0">
      <w:startOverride w:val="1"/>
    </w:lvlOverride>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2"/>
  </w:docVars>
  <w:rsids>
    <w:rsidRoot w:val="004B4804"/>
    <w:rsid w:val="00021202"/>
    <w:rsid w:val="000E1819"/>
    <w:rsid w:val="000E6C72"/>
    <w:rsid w:val="00124609"/>
    <w:rsid w:val="001573E4"/>
    <w:rsid w:val="00251745"/>
    <w:rsid w:val="00286874"/>
    <w:rsid w:val="002A7DEF"/>
    <w:rsid w:val="00307F6D"/>
    <w:rsid w:val="003518B3"/>
    <w:rsid w:val="004B4804"/>
    <w:rsid w:val="00532467"/>
    <w:rsid w:val="00564A4D"/>
    <w:rsid w:val="00632D6D"/>
    <w:rsid w:val="007303C3"/>
    <w:rsid w:val="00763E5D"/>
    <w:rsid w:val="00777EE6"/>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4804"/>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4804"/>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D19A-AEE3-4FEF-BB8C-460AC290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25B6AD1F.dotm</Template>
  <TotalTime>0</TotalTime>
  <Pages>1</Pages>
  <Words>261</Words>
  <Characters>1488</Characters>
  <Application>Microsoft Office Word</Application>
  <DocSecurity>0</DocSecurity>
  <Lines>12</Lines>
  <Paragraphs>3</Paragraphs>
  <ScaleCrop>false</ScaleCrop>
  <Company>ACCC</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Madden, Craig</cp:lastModifiedBy>
  <cp:revision>1</cp:revision>
  <dcterms:created xsi:type="dcterms:W3CDTF">2014-06-16T04:48:00Z</dcterms:created>
  <dcterms:modified xsi:type="dcterms:W3CDTF">2014-06-16T04:48:00Z</dcterms:modified>
</cp:coreProperties>
</file>