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D4428" w14:textId="1DD4D7B0" w:rsidR="00996ADF" w:rsidRPr="00996ADF" w:rsidRDefault="00996ADF" w:rsidP="00996ADF">
      <w:pPr>
        <w:spacing w:after="0" w:line="240" w:lineRule="auto"/>
        <w:rPr>
          <w:sz w:val="16"/>
          <w:szCs w:val="16"/>
        </w:rPr>
      </w:pPr>
      <w:bookmarkStart w:id="0" w:name="_GoBack"/>
      <w:bookmarkEnd w:id="0"/>
      <w:r w:rsidRPr="00996ADF">
        <w:rPr>
          <w:sz w:val="16"/>
          <w:szCs w:val="16"/>
        </w:rPr>
        <w:t>Our Ref:</w:t>
      </w:r>
      <w:r w:rsidRPr="00996ADF">
        <w:rPr>
          <w:sz w:val="16"/>
          <w:szCs w:val="16"/>
        </w:rPr>
        <w:tab/>
      </w:r>
      <w:bookmarkStart w:id="1" w:name="OurRef"/>
      <w:bookmarkEnd w:id="1"/>
      <w:r w:rsidR="00737EED">
        <w:rPr>
          <w:sz w:val="16"/>
          <w:szCs w:val="16"/>
        </w:rPr>
        <w:tab/>
      </w:r>
      <w:r w:rsidR="003D69E2">
        <w:rPr>
          <w:sz w:val="16"/>
          <w:szCs w:val="16"/>
        </w:rPr>
        <w:t>50701</w:t>
      </w:r>
    </w:p>
    <w:p w14:paraId="325C6303" w14:textId="77777777" w:rsidR="00996ADF" w:rsidRPr="00996ADF" w:rsidRDefault="00996ADF" w:rsidP="00996ADF">
      <w:pPr>
        <w:spacing w:after="0" w:line="240" w:lineRule="auto"/>
        <w:rPr>
          <w:sz w:val="16"/>
          <w:szCs w:val="16"/>
        </w:rPr>
      </w:pPr>
      <w:r w:rsidRPr="00996ADF">
        <w:rPr>
          <w:sz w:val="16"/>
          <w:szCs w:val="16"/>
        </w:rPr>
        <w:t>Contact Officer:</w:t>
      </w:r>
      <w:r w:rsidRPr="00996ADF">
        <w:rPr>
          <w:sz w:val="16"/>
          <w:szCs w:val="16"/>
        </w:rPr>
        <w:tab/>
      </w:r>
      <w:r w:rsidR="003D69E2">
        <w:rPr>
          <w:sz w:val="16"/>
          <w:szCs w:val="16"/>
        </w:rPr>
        <w:t>Craig Madden</w:t>
      </w:r>
    </w:p>
    <w:p w14:paraId="1D4F3193" w14:textId="77777777" w:rsidR="00996ADF" w:rsidRPr="00996ADF" w:rsidRDefault="00996ADF" w:rsidP="00996ADF">
      <w:pPr>
        <w:pStyle w:val="AERbodytext"/>
        <w:rPr>
          <w:sz w:val="16"/>
          <w:szCs w:val="16"/>
        </w:rPr>
      </w:pPr>
      <w:r w:rsidRPr="00996ADF">
        <w:rPr>
          <w:rStyle w:val="AERbody"/>
          <w:sz w:val="16"/>
          <w:szCs w:val="16"/>
        </w:rPr>
        <w:t>Contact</w:t>
      </w:r>
      <w:r w:rsidRPr="00996ADF">
        <w:rPr>
          <w:sz w:val="16"/>
          <w:szCs w:val="16"/>
        </w:rPr>
        <w:t xml:space="preserve"> Phone:</w:t>
      </w:r>
      <w:r w:rsidRPr="00996ADF">
        <w:rPr>
          <w:sz w:val="16"/>
          <w:szCs w:val="16"/>
        </w:rPr>
        <w:tab/>
      </w:r>
      <w:bookmarkStart w:id="2" w:name="ContactPhone"/>
      <w:bookmarkEnd w:id="2"/>
      <w:r w:rsidR="003D69E2">
        <w:rPr>
          <w:sz w:val="16"/>
          <w:szCs w:val="16"/>
        </w:rPr>
        <w:t>03 9290 1443</w:t>
      </w:r>
    </w:p>
    <w:p w14:paraId="022D92D2" w14:textId="77777777" w:rsidR="00996ADF" w:rsidRPr="007F0CEF" w:rsidRDefault="00996ADF" w:rsidP="00996ADF"/>
    <w:p w14:paraId="29664188" w14:textId="09E12854" w:rsidR="00996ADF" w:rsidRPr="007F0CEF" w:rsidRDefault="00737EED" w:rsidP="00996ADF">
      <w:r>
        <w:t>18</w:t>
      </w:r>
      <w:r w:rsidR="003D69E2">
        <w:t xml:space="preserve"> December</w:t>
      </w:r>
      <w:r w:rsidR="00996ADF" w:rsidRPr="007F0CEF">
        <w:t xml:space="preserve"> 201</w:t>
      </w:r>
      <w:r w:rsidR="003D69E2">
        <w:t>3</w:t>
      </w:r>
    </w:p>
    <w:p w14:paraId="52ECBD93" w14:textId="77777777" w:rsidR="00996ADF" w:rsidRPr="007F0CEF" w:rsidRDefault="00996ADF" w:rsidP="00996ADF">
      <w:pPr>
        <w:spacing w:after="0"/>
      </w:pPr>
    </w:p>
    <w:p w14:paraId="5F317F9A" w14:textId="77777777" w:rsidR="00996ADF" w:rsidRPr="007F0CEF" w:rsidRDefault="00996ADF" w:rsidP="00996ADF">
      <w:pPr>
        <w:spacing w:after="0"/>
      </w:pPr>
      <w:bookmarkStart w:id="3" w:name="Recipient"/>
      <w:bookmarkEnd w:id="3"/>
      <w:r w:rsidRPr="007F0CEF">
        <w:t>John Pierce</w:t>
      </w:r>
    </w:p>
    <w:p w14:paraId="08F91090" w14:textId="77777777" w:rsidR="00996ADF" w:rsidRPr="007F0CEF" w:rsidRDefault="00996ADF" w:rsidP="00996ADF">
      <w:pPr>
        <w:spacing w:after="0"/>
      </w:pPr>
      <w:r w:rsidRPr="007F0CEF">
        <w:t>Chairman</w:t>
      </w:r>
    </w:p>
    <w:p w14:paraId="55FD2114" w14:textId="77777777" w:rsidR="00996ADF" w:rsidRPr="007F0CEF" w:rsidRDefault="00996ADF" w:rsidP="00996ADF">
      <w:pPr>
        <w:spacing w:after="0"/>
      </w:pPr>
      <w:r w:rsidRPr="007F0CEF">
        <w:t>Australian Energy Market Commission</w:t>
      </w:r>
    </w:p>
    <w:p w14:paraId="6AEAE204" w14:textId="77777777" w:rsidR="00996ADF" w:rsidRPr="007F0CEF" w:rsidRDefault="00996ADF" w:rsidP="00996ADF">
      <w:pPr>
        <w:spacing w:after="0"/>
      </w:pPr>
      <w:r w:rsidRPr="007F0CEF">
        <w:t>PO Box A2449</w:t>
      </w:r>
    </w:p>
    <w:p w14:paraId="4FEDA6EB" w14:textId="77777777" w:rsidR="00996ADF" w:rsidRPr="007F0CEF" w:rsidRDefault="00996ADF" w:rsidP="00996ADF">
      <w:pPr>
        <w:spacing w:after="0"/>
      </w:pPr>
      <w:r w:rsidRPr="007F0CEF">
        <w:t>SYDNEY SOUTH NSW 1235</w:t>
      </w:r>
    </w:p>
    <w:p w14:paraId="6B295BC3" w14:textId="77777777" w:rsidR="00996ADF" w:rsidRPr="007F0CEF" w:rsidRDefault="00996ADF" w:rsidP="00996ADF">
      <w:pPr>
        <w:spacing w:after="0"/>
      </w:pPr>
    </w:p>
    <w:p w14:paraId="2CB2323D" w14:textId="77777777" w:rsidR="00996ADF" w:rsidRPr="007F0CEF" w:rsidRDefault="00996ADF" w:rsidP="00996ADF">
      <w:pPr>
        <w:spacing w:after="0"/>
      </w:pPr>
    </w:p>
    <w:p w14:paraId="4B3E254D" w14:textId="77777777" w:rsidR="00996ADF" w:rsidRPr="007F0CEF" w:rsidRDefault="00996ADF" w:rsidP="00996ADF">
      <w:pPr>
        <w:spacing w:after="0"/>
      </w:pPr>
      <w:bookmarkStart w:id="4" w:name="Salutation"/>
      <w:bookmarkEnd w:id="4"/>
      <w:r w:rsidRPr="007F0CEF">
        <w:t>Dear Mr Pierce</w:t>
      </w:r>
    </w:p>
    <w:p w14:paraId="2A29DE54" w14:textId="77777777" w:rsidR="00996ADF" w:rsidRPr="007F0CEF" w:rsidRDefault="00996ADF" w:rsidP="00996ADF">
      <w:pPr>
        <w:spacing w:after="0"/>
      </w:pPr>
    </w:p>
    <w:p w14:paraId="234310D0" w14:textId="77777777" w:rsidR="00996ADF" w:rsidRPr="00996ADF" w:rsidRDefault="00996ADF" w:rsidP="00996ADF">
      <w:pPr>
        <w:spacing w:after="0"/>
        <w:rPr>
          <w:b/>
        </w:rPr>
      </w:pPr>
      <w:r w:rsidRPr="00996ADF">
        <w:rPr>
          <w:b/>
        </w:rPr>
        <w:t xml:space="preserve">Submission on </w:t>
      </w:r>
      <w:r w:rsidR="003D69E2">
        <w:rPr>
          <w:b/>
        </w:rPr>
        <w:t>distribution</w:t>
      </w:r>
      <w:r w:rsidR="003D69E2" w:rsidRPr="003D69E2">
        <w:rPr>
          <w:b/>
        </w:rPr>
        <w:t xml:space="preserve"> network pricing arrangements</w:t>
      </w:r>
    </w:p>
    <w:p w14:paraId="5EE8BC4D" w14:textId="77777777" w:rsidR="00996ADF" w:rsidRPr="007F0CEF" w:rsidRDefault="00996ADF" w:rsidP="00996ADF">
      <w:pPr>
        <w:spacing w:after="0"/>
      </w:pPr>
    </w:p>
    <w:p w14:paraId="218CAD6B" w14:textId="3784E318" w:rsidR="00996ADF" w:rsidRDefault="00996ADF" w:rsidP="00996ADF">
      <w:pPr>
        <w:spacing w:after="0"/>
      </w:pPr>
      <w:r w:rsidRPr="007F0CEF">
        <w:t xml:space="preserve">Please find attached </w:t>
      </w:r>
      <w:r w:rsidR="003F17B3">
        <w:t>our</w:t>
      </w:r>
      <w:r w:rsidRPr="007F0CEF">
        <w:t xml:space="preserve"> submission regarding the Australian Energy Market Commission’s </w:t>
      </w:r>
      <w:r w:rsidR="00EE31A6" w:rsidRPr="00EE31A6">
        <w:t xml:space="preserve">consultation paper </w:t>
      </w:r>
      <w:r w:rsidR="000D62A2">
        <w:t>on</w:t>
      </w:r>
      <w:r w:rsidR="00090F54">
        <w:t xml:space="preserve"> National Electricity Amendment (Distribution Network Pricing Arrangements) Rule 2014. </w:t>
      </w:r>
    </w:p>
    <w:p w14:paraId="262D242D" w14:textId="77777777" w:rsidR="00996ADF" w:rsidRPr="007F0CEF" w:rsidRDefault="00996ADF" w:rsidP="00996ADF">
      <w:pPr>
        <w:spacing w:after="0"/>
      </w:pPr>
    </w:p>
    <w:p w14:paraId="2CD19BB4" w14:textId="1A125B6F" w:rsidR="00996ADF" w:rsidRDefault="00090F54" w:rsidP="00996ADF">
      <w:pPr>
        <w:spacing w:after="0"/>
      </w:pPr>
      <w:r>
        <w:t>We</w:t>
      </w:r>
      <w:r w:rsidR="00996ADF" w:rsidRPr="007F0CEF">
        <w:t xml:space="preserve"> would be pleased to provide further assistan</w:t>
      </w:r>
      <w:r>
        <w:t>ce to the Commission on this important area of reform</w:t>
      </w:r>
      <w:r w:rsidR="003F17B3">
        <w:t>.</w:t>
      </w:r>
      <w:r w:rsidR="00996ADF" w:rsidRPr="007F0CEF">
        <w:t xml:space="preserve"> If you would li</w:t>
      </w:r>
      <w:r>
        <w:t>ke to discuss any aspect of our</w:t>
      </w:r>
      <w:r w:rsidR="00996ADF" w:rsidRPr="007F0CEF">
        <w:t xml:space="preserve"> submission please contact </w:t>
      </w:r>
      <w:r w:rsidR="003D69E2">
        <w:t>Craig Madden</w:t>
      </w:r>
      <w:r w:rsidR="00996ADF" w:rsidRPr="007F0CEF">
        <w:t xml:space="preserve">, </w:t>
      </w:r>
      <w:r w:rsidR="003D69E2">
        <w:t>Director</w:t>
      </w:r>
      <w:r w:rsidR="00996ADF" w:rsidRPr="007F0CEF">
        <w:t xml:space="preserve">, </w:t>
      </w:r>
      <w:r w:rsidR="003D69E2">
        <w:t>Network Regulation</w:t>
      </w:r>
      <w:r w:rsidR="00996ADF" w:rsidRPr="007F0CEF">
        <w:t xml:space="preserve">, on (03) 9290 </w:t>
      </w:r>
      <w:r w:rsidR="003D69E2">
        <w:t>1443</w:t>
      </w:r>
      <w:r w:rsidR="00996ADF" w:rsidRPr="007F0CEF">
        <w:t xml:space="preserve">. </w:t>
      </w:r>
    </w:p>
    <w:p w14:paraId="004F1B91" w14:textId="77777777" w:rsidR="00996ADF" w:rsidRDefault="00996ADF" w:rsidP="00996ADF">
      <w:pPr>
        <w:spacing w:after="0"/>
      </w:pPr>
    </w:p>
    <w:p w14:paraId="20B86A35" w14:textId="77777777" w:rsidR="00090F54" w:rsidRPr="007F0CEF" w:rsidRDefault="00090F54" w:rsidP="00996ADF">
      <w:pPr>
        <w:spacing w:after="0"/>
      </w:pPr>
    </w:p>
    <w:p w14:paraId="75E12E9D" w14:textId="77777777" w:rsidR="00996ADF" w:rsidRPr="007F0CEF" w:rsidRDefault="00996ADF" w:rsidP="00996ADF">
      <w:pPr>
        <w:spacing w:after="0"/>
      </w:pPr>
      <w:r w:rsidRPr="007F0CEF">
        <w:t>Yours sincerely</w:t>
      </w:r>
    </w:p>
    <w:p w14:paraId="5AC62BEE" w14:textId="77777777" w:rsidR="00996ADF" w:rsidRPr="007F0CEF" w:rsidRDefault="00996ADF" w:rsidP="00996ADF">
      <w:pPr>
        <w:spacing w:after="0"/>
      </w:pPr>
    </w:p>
    <w:p w14:paraId="7F902B17" w14:textId="77777777" w:rsidR="00996ADF" w:rsidRPr="007F0CEF" w:rsidRDefault="00996ADF" w:rsidP="00996ADF">
      <w:pPr>
        <w:spacing w:after="0"/>
      </w:pPr>
    </w:p>
    <w:p w14:paraId="58D20532" w14:textId="77777777" w:rsidR="00996ADF" w:rsidRPr="007F0CEF" w:rsidRDefault="00996ADF" w:rsidP="00996ADF">
      <w:pPr>
        <w:spacing w:after="0"/>
      </w:pPr>
    </w:p>
    <w:p w14:paraId="0C1E221D" w14:textId="77777777" w:rsidR="00996ADF" w:rsidRPr="007F0CEF" w:rsidRDefault="00BB2F3D" w:rsidP="00996ADF">
      <w:pPr>
        <w:spacing w:after="0"/>
      </w:pPr>
      <w:r>
        <w:t>Andrew Reeves</w:t>
      </w:r>
    </w:p>
    <w:p w14:paraId="7B0F68EE" w14:textId="77777777" w:rsidR="00996ADF" w:rsidRDefault="00BB2F3D" w:rsidP="00996ADF">
      <w:pPr>
        <w:spacing w:after="0"/>
      </w:pPr>
      <w:r>
        <w:t>Chairman</w:t>
      </w:r>
    </w:p>
    <w:p w14:paraId="19396DB8" w14:textId="77777777" w:rsidR="000277FD" w:rsidRDefault="00996ADF" w:rsidP="00996ADF">
      <w:pPr>
        <w:spacing w:after="0"/>
      </w:pPr>
      <w:r>
        <w:t>Australian Energy Regulator</w:t>
      </w:r>
    </w:p>
    <w:p w14:paraId="4B32FE0A" w14:textId="77777777" w:rsidR="00972D59" w:rsidRDefault="00972D59" w:rsidP="00996ADF">
      <w:pPr>
        <w:spacing w:after="0"/>
        <w:sectPr w:rsidR="00972D59" w:rsidSect="000277FD">
          <w:headerReference w:type="default" r:id="rId9"/>
          <w:pgSz w:w="11906" w:h="16838"/>
          <w:pgMar w:top="1440" w:right="1440" w:bottom="1440" w:left="1440" w:header="708" w:footer="708" w:gutter="0"/>
          <w:pgNumType w:fmt="lowerRoman" w:start="1"/>
          <w:cols w:space="708"/>
          <w:docGrid w:linePitch="360"/>
        </w:sectPr>
      </w:pPr>
    </w:p>
    <w:p w14:paraId="7E48A96F" w14:textId="77777777" w:rsidR="000277FD" w:rsidRDefault="000277FD" w:rsidP="00996ADF">
      <w:pPr>
        <w:spacing w:after="0"/>
        <w:sectPr w:rsidR="000277FD" w:rsidSect="00972D59">
          <w:type w:val="continuous"/>
          <w:pgSz w:w="11906" w:h="16838"/>
          <w:pgMar w:top="1440" w:right="1440" w:bottom="1440" w:left="1440" w:header="708" w:footer="708" w:gutter="0"/>
          <w:pgNumType w:fmt="lowerRoman" w:start="1"/>
          <w:cols w:space="708"/>
          <w:docGrid w:linePitch="360"/>
        </w:sectPr>
      </w:pPr>
    </w:p>
    <w:p w14:paraId="4499056E" w14:textId="46EA3D0F" w:rsidR="00996ADF" w:rsidRDefault="005622C5" w:rsidP="000277FD">
      <w:pPr>
        <w:pStyle w:val="AERtitle1"/>
        <w:jc w:val="both"/>
      </w:pPr>
      <w:bookmarkStart w:id="5" w:name="OLE_LINK1"/>
      <w:bookmarkStart w:id="6" w:name="OLE_LINK2"/>
      <w:r>
        <w:rPr>
          <w:noProof/>
        </w:rPr>
        <w:lastRenderedPageBreak/>
        <w:drawing>
          <wp:anchor distT="0" distB="0" distL="114300" distR="114300" simplePos="0" relativeHeight="251657728" behindDoc="1" locked="0" layoutInCell="1" allowOverlap="1" wp14:anchorId="4E153407" wp14:editId="241EA69B">
            <wp:simplePos x="0" y="0"/>
            <wp:positionH relativeFrom="column">
              <wp:posOffset>-1030605</wp:posOffset>
            </wp:positionH>
            <wp:positionV relativeFrom="paragraph">
              <wp:posOffset>-914400</wp:posOffset>
            </wp:positionV>
            <wp:extent cx="7654925" cy="10692765"/>
            <wp:effectExtent l="0" t="0" r="0" b="635"/>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4925" cy="10692765"/>
                    </a:xfrm>
                    <a:prstGeom prst="rect">
                      <a:avLst/>
                    </a:prstGeom>
                    <a:noFill/>
                  </pic:spPr>
                </pic:pic>
              </a:graphicData>
            </a:graphic>
            <wp14:sizeRelH relativeFrom="page">
              <wp14:pctWidth>0</wp14:pctWidth>
            </wp14:sizeRelH>
            <wp14:sizeRelV relativeFrom="page">
              <wp14:pctHeight>0</wp14:pctHeight>
            </wp14:sizeRelV>
          </wp:anchor>
        </w:drawing>
      </w:r>
    </w:p>
    <w:bookmarkEnd w:id="5"/>
    <w:bookmarkEnd w:id="6"/>
    <w:p w14:paraId="3D721B69" w14:textId="77777777" w:rsidR="00996ADF" w:rsidRDefault="00996ADF" w:rsidP="00996ADF">
      <w:pPr>
        <w:pStyle w:val="AERbodytext"/>
      </w:pPr>
    </w:p>
    <w:p w14:paraId="5D926BCD" w14:textId="77777777" w:rsidR="00996ADF" w:rsidRDefault="00996ADF" w:rsidP="00996ADF">
      <w:pPr>
        <w:pStyle w:val="AERbodytext"/>
      </w:pPr>
    </w:p>
    <w:p w14:paraId="553E7D73" w14:textId="77777777" w:rsidR="00996ADF" w:rsidRDefault="00996ADF" w:rsidP="00996ADF">
      <w:pPr>
        <w:pStyle w:val="AERtitle1"/>
      </w:pPr>
    </w:p>
    <w:p w14:paraId="595F86C8" w14:textId="77777777" w:rsidR="00996ADF" w:rsidRDefault="00996ADF" w:rsidP="00996ADF">
      <w:pPr>
        <w:pStyle w:val="AERtitle1"/>
      </w:pPr>
    </w:p>
    <w:p w14:paraId="40C296F9" w14:textId="77777777" w:rsidR="00996ADF" w:rsidRDefault="00996ADF" w:rsidP="00996ADF">
      <w:pPr>
        <w:pStyle w:val="AERtitle1"/>
      </w:pPr>
    </w:p>
    <w:p w14:paraId="0426B304" w14:textId="77777777" w:rsidR="00996ADF" w:rsidRDefault="00996ADF" w:rsidP="00996ADF">
      <w:pPr>
        <w:pStyle w:val="AERtitle1"/>
      </w:pPr>
    </w:p>
    <w:p w14:paraId="5BAE4AC9" w14:textId="77777777" w:rsidR="00972D59" w:rsidRDefault="00972D59" w:rsidP="00996ADF">
      <w:pPr>
        <w:pStyle w:val="AERtitle1"/>
      </w:pPr>
    </w:p>
    <w:p w14:paraId="4877F2E9" w14:textId="77777777" w:rsidR="00972D59" w:rsidRDefault="00972D59" w:rsidP="00996ADF">
      <w:pPr>
        <w:pStyle w:val="AERtitle1"/>
      </w:pPr>
    </w:p>
    <w:p w14:paraId="32461174" w14:textId="77777777" w:rsidR="00090F54" w:rsidRDefault="00090F54" w:rsidP="00996ADF">
      <w:pPr>
        <w:pStyle w:val="AERtitle1"/>
      </w:pPr>
      <w:r>
        <w:t>Rule changes – Distribution network pricing arrangements</w:t>
      </w:r>
    </w:p>
    <w:p w14:paraId="3CAEB215" w14:textId="451860E3" w:rsidR="00996ADF" w:rsidRDefault="00090F54" w:rsidP="00996ADF">
      <w:pPr>
        <w:pStyle w:val="AERtitle1"/>
      </w:pPr>
      <w:r>
        <w:t xml:space="preserve"> </w:t>
      </w:r>
    </w:p>
    <w:p w14:paraId="14F29684" w14:textId="62272813" w:rsidR="00972D59" w:rsidRPr="003D69E2" w:rsidRDefault="00090F54" w:rsidP="00972D59">
      <w:pPr>
        <w:pStyle w:val="AERtitle1"/>
      </w:pPr>
      <w:r>
        <w:t xml:space="preserve">AER </w:t>
      </w:r>
      <w:r>
        <w:rPr>
          <w:rFonts w:hint="eastAsia"/>
        </w:rPr>
        <w:t>Submission to AEMC Consultation Paper</w:t>
      </w:r>
    </w:p>
    <w:p w14:paraId="3984F2FC" w14:textId="77777777" w:rsidR="00996ADF" w:rsidRDefault="00996ADF" w:rsidP="00996ADF"/>
    <w:p w14:paraId="3C6A8DC1" w14:textId="77777777" w:rsidR="00996ADF" w:rsidRPr="00F6235D" w:rsidRDefault="00996ADF" w:rsidP="00996ADF"/>
    <w:p w14:paraId="5ECD07A4" w14:textId="77777777" w:rsidR="00996ADF" w:rsidRPr="00F6235D" w:rsidRDefault="00996ADF" w:rsidP="00996ADF"/>
    <w:p w14:paraId="7AAB194F" w14:textId="77777777" w:rsidR="00996ADF" w:rsidRPr="00F6235D" w:rsidRDefault="00996ADF" w:rsidP="00996ADF">
      <w:pPr>
        <w:pStyle w:val="AERbodytext"/>
      </w:pPr>
      <w:r w:rsidRPr="00F6235D">
        <w:t xml:space="preserve"> </w:t>
      </w:r>
    </w:p>
    <w:p w14:paraId="10F6D9C6" w14:textId="77777777" w:rsidR="00996ADF" w:rsidRDefault="003D69E2" w:rsidP="00996ADF">
      <w:pPr>
        <w:pStyle w:val="AERtitle2"/>
      </w:pPr>
      <w:r w:rsidRPr="003D69E2">
        <w:t>December</w:t>
      </w:r>
      <w:r w:rsidR="00BB2F3D" w:rsidRPr="00BB2F3D">
        <w:rPr>
          <w:color w:val="FF0000"/>
        </w:rPr>
        <w:t xml:space="preserve"> </w:t>
      </w:r>
      <w:r>
        <w:t>2013</w:t>
      </w:r>
    </w:p>
    <w:p w14:paraId="690D2DF6" w14:textId="77777777" w:rsidR="00972D59" w:rsidRDefault="00972D59" w:rsidP="00996ADF">
      <w:pPr>
        <w:pStyle w:val="AERtitle2"/>
        <w:sectPr w:rsidR="00972D59" w:rsidSect="000277FD">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39A91693" w14:textId="77777777" w:rsidR="00972D59" w:rsidRDefault="00972D59" w:rsidP="00996ADF">
      <w:pPr>
        <w:pStyle w:val="AERtitle2"/>
      </w:pPr>
    </w:p>
    <w:p w14:paraId="26D3E7EF" w14:textId="77777777" w:rsidR="00996ADF" w:rsidRDefault="00996ADF" w:rsidP="00996ADF">
      <w:pPr>
        <w:pStyle w:val="AERbodytext"/>
      </w:pPr>
    </w:p>
    <w:p w14:paraId="7B2995DE" w14:textId="77777777" w:rsidR="00996ADF" w:rsidRDefault="00996ADF" w:rsidP="00090F54">
      <w:pPr>
        <w:pStyle w:val="AERtitle1"/>
        <w:jc w:val="both"/>
      </w:pPr>
    </w:p>
    <w:p w14:paraId="05675F56" w14:textId="77777777" w:rsidR="00996ADF" w:rsidRDefault="00996ADF" w:rsidP="00972D59">
      <w:pPr>
        <w:pStyle w:val="UnnumberedHeading"/>
        <w:numPr>
          <w:ilvl w:val="0"/>
          <w:numId w:val="0"/>
        </w:numPr>
      </w:pPr>
      <w:bookmarkStart w:id="7" w:name="_Toc334445374"/>
      <w:bookmarkStart w:id="8" w:name="_Toc334450571"/>
      <w:bookmarkStart w:id="9" w:name="_Toc337462128"/>
      <w:bookmarkStart w:id="10" w:name="_Toc337561427"/>
      <w:bookmarkStart w:id="11" w:name="_Toc375143039"/>
      <w:r>
        <w:lastRenderedPageBreak/>
        <w:t>Contents</w:t>
      </w:r>
      <w:bookmarkEnd w:id="7"/>
      <w:bookmarkEnd w:id="8"/>
      <w:bookmarkEnd w:id="9"/>
      <w:bookmarkEnd w:id="10"/>
      <w:bookmarkEnd w:id="11"/>
    </w:p>
    <w:p w14:paraId="59C69D03" w14:textId="77777777" w:rsidR="007C63D6" w:rsidRDefault="00996ADF">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"1-2" \h \z \u \t "Heading 7,1,Heading 8,2" </w:instrText>
      </w:r>
      <w:r>
        <w:fldChar w:fldCharType="separate"/>
      </w:r>
      <w:hyperlink w:anchor="_Toc375143039" w:history="1">
        <w:r w:rsidR="007C63D6" w:rsidRPr="00034FD9">
          <w:rPr>
            <w:rStyle w:val="Hyperlink"/>
            <w:noProof/>
          </w:rPr>
          <w:t>Contents</w:t>
        </w:r>
        <w:r w:rsidR="007C63D6">
          <w:rPr>
            <w:noProof/>
            <w:webHidden/>
          </w:rPr>
          <w:tab/>
        </w:r>
        <w:r w:rsidR="007C63D6">
          <w:rPr>
            <w:noProof/>
            <w:webHidden/>
          </w:rPr>
          <w:fldChar w:fldCharType="begin"/>
        </w:r>
        <w:r w:rsidR="007C63D6">
          <w:rPr>
            <w:noProof/>
            <w:webHidden/>
          </w:rPr>
          <w:instrText xml:space="preserve"> PAGEREF _Toc375143039 \h </w:instrText>
        </w:r>
        <w:r w:rsidR="007C63D6">
          <w:rPr>
            <w:noProof/>
            <w:webHidden/>
          </w:rPr>
        </w:r>
        <w:r w:rsidR="007C63D6">
          <w:rPr>
            <w:noProof/>
            <w:webHidden/>
          </w:rPr>
          <w:fldChar w:fldCharType="separate"/>
        </w:r>
        <w:r w:rsidR="003F53FF">
          <w:rPr>
            <w:noProof/>
            <w:webHidden/>
          </w:rPr>
          <w:t>ii</w:t>
        </w:r>
        <w:r w:rsidR="007C63D6">
          <w:rPr>
            <w:noProof/>
            <w:webHidden/>
          </w:rPr>
          <w:fldChar w:fldCharType="end"/>
        </w:r>
      </w:hyperlink>
    </w:p>
    <w:p w14:paraId="338259FA" w14:textId="77777777" w:rsidR="007C63D6" w:rsidRDefault="00A1647D">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75143040" w:history="1">
        <w:r w:rsidR="007C63D6" w:rsidRPr="00034FD9">
          <w:rPr>
            <w:rStyle w:val="Hyperlink"/>
            <w:noProof/>
          </w:rPr>
          <w:t>1</w:t>
        </w:r>
        <w:r w:rsidR="007C63D6">
          <w:rPr>
            <w:rFonts w:asciiTheme="minorHAnsi" w:eastAsiaTheme="minorEastAsia" w:hAnsiTheme="minorHAnsi" w:cstheme="minorBidi"/>
            <w:b w:val="0"/>
            <w:bCs w:val="0"/>
            <w:noProof/>
            <w:sz w:val="22"/>
            <w:szCs w:val="22"/>
            <w:lang w:eastAsia="en-AU"/>
          </w:rPr>
          <w:tab/>
        </w:r>
        <w:r w:rsidR="007C63D6" w:rsidRPr="00034FD9">
          <w:rPr>
            <w:rStyle w:val="Hyperlink"/>
            <w:noProof/>
          </w:rPr>
          <w:t>Summary</w:t>
        </w:r>
        <w:r w:rsidR="007C63D6">
          <w:rPr>
            <w:noProof/>
            <w:webHidden/>
          </w:rPr>
          <w:tab/>
        </w:r>
        <w:r w:rsidR="007C63D6">
          <w:rPr>
            <w:noProof/>
            <w:webHidden/>
          </w:rPr>
          <w:fldChar w:fldCharType="begin"/>
        </w:r>
        <w:r w:rsidR="007C63D6">
          <w:rPr>
            <w:noProof/>
            <w:webHidden/>
          </w:rPr>
          <w:instrText xml:space="preserve"> PAGEREF _Toc375143040 \h </w:instrText>
        </w:r>
        <w:r w:rsidR="007C63D6">
          <w:rPr>
            <w:noProof/>
            <w:webHidden/>
          </w:rPr>
        </w:r>
        <w:r w:rsidR="007C63D6">
          <w:rPr>
            <w:noProof/>
            <w:webHidden/>
          </w:rPr>
          <w:fldChar w:fldCharType="separate"/>
        </w:r>
        <w:r w:rsidR="003F53FF">
          <w:rPr>
            <w:noProof/>
            <w:webHidden/>
          </w:rPr>
          <w:t>1</w:t>
        </w:r>
        <w:r w:rsidR="007C63D6">
          <w:rPr>
            <w:noProof/>
            <w:webHidden/>
          </w:rPr>
          <w:fldChar w:fldCharType="end"/>
        </w:r>
      </w:hyperlink>
    </w:p>
    <w:p w14:paraId="2AC29627" w14:textId="77777777" w:rsidR="007C63D6" w:rsidRDefault="00A1647D">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75143041" w:history="1">
        <w:r w:rsidR="007C63D6" w:rsidRPr="00034FD9">
          <w:rPr>
            <w:rStyle w:val="Hyperlink"/>
            <w:noProof/>
          </w:rPr>
          <w:t>2</w:t>
        </w:r>
        <w:r w:rsidR="007C63D6">
          <w:rPr>
            <w:rFonts w:asciiTheme="minorHAnsi" w:eastAsiaTheme="minorEastAsia" w:hAnsiTheme="minorHAnsi" w:cstheme="minorBidi"/>
            <w:b w:val="0"/>
            <w:bCs w:val="0"/>
            <w:noProof/>
            <w:sz w:val="22"/>
            <w:szCs w:val="22"/>
            <w:lang w:eastAsia="en-AU"/>
          </w:rPr>
          <w:tab/>
        </w:r>
        <w:r w:rsidR="007C63D6" w:rsidRPr="00034FD9">
          <w:rPr>
            <w:rStyle w:val="Hyperlink"/>
            <w:noProof/>
          </w:rPr>
          <w:t>Introduction</w:t>
        </w:r>
        <w:r w:rsidR="007C63D6">
          <w:rPr>
            <w:noProof/>
            <w:webHidden/>
          </w:rPr>
          <w:tab/>
        </w:r>
        <w:r w:rsidR="007C63D6">
          <w:rPr>
            <w:noProof/>
            <w:webHidden/>
          </w:rPr>
          <w:fldChar w:fldCharType="begin"/>
        </w:r>
        <w:r w:rsidR="007C63D6">
          <w:rPr>
            <w:noProof/>
            <w:webHidden/>
          </w:rPr>
          <w:instrText xml:space="preserve"> PAGEREF _Toc375143041 \h </w:instrText>
        </w:r>
        <w:r w:rsidR="007C63D6">
          <w:rPr>
            <w:noProof/>
            <w:webHidden/>
          </w:rPr>
        </w:r>
        <w:r w:rsidR="007C63D6">
          <w:rPr>
            <w:noProof/>
            <w:webHidden/>
          </w:rPr>
          <w:fldChar w:fldCharType="separate"/>
        </w:r>
        <w:r w:rsidR="003F53FF">
          <w:rPr>
            <w:noProof/>
            <w:webHidden/>
          </w:rPr>
          <w:t>2</w:t>
        </w:r>
        <w:r w:rsidR="007C63D6">
          <w:rPr>
            <w:noProof/>
            <w:webHidden/>
          </w:rPr>
          <w:fldChar w:fldCharType="end"/>
        </w:r>
      </w:hyperlink>
    </w:p>
    <w:p w14:paraId="060710D7" w14:textId="77777777" w:rsidR="007C63D6" w:rsidRDefault="00A1647D">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75143042" w:history="1">
        <w:r w:rsidR="007C63D6" w:rsidRPr="00034FD9">
          <w:rPr>
            <w:rStyle w:val="Hyperlink"/>
            <w:noProof/>
          </w:rPr>
          <w:t>3</w:t>
        </w:r>
        <w:r w:rsidR="007C63D6">
          <w:rPr>
            <w:rFonts w:asciiTheme="minorHAnsi" w:eastAsiaTheme="minorEastAsia" w:hAnsiTheme="minorHAnsi" w:cstheme="minorBidi"/>
            <w:b w:val="0"/>
            <w:bCs w:val="0"/>
            <w:noProof/>
            <w:sz w:val="22"/>
            <w:szCs w:val="22"/>
            <w:lang w:eastAsia="en-AU"/>
          </w:rPr>
          <w:tab/>
        </w:r>
        <w:r w:rsidR="007C63D6" w:rsidRPr="00034FD9">
          <w:rPr>
            <w:rStyle w:val="Hyperlink"/>
            <w:noProof/>
          </w:rPr>
          <w:t>Pricing principles</w:t>
        </w:r>
        <w:r w:rsidR="007C63D6">
          <w:rPr>
            <w:noProof/>
            <w:webHidden/>
          </w:rPr>
          <w:tab/>
        </w:r>
        <w:r w:rsidR="007C63D6">
          <w:rPr>
            <w:noProof/>
            <w:webHidden/>
          </w:rPr>
          <w:fldChar w:fldCharType="begin"/>
        </w:r>
        <w:r w:rsidR="007C63D6">
          <w:rPr>
            <w:noProof/>
            <w:webHidden/>
          </w:rPr>
          <w:instrText xml:space="preserve"> PAGEREF _Toc375143042 \h </w:instrText>
        </w:r>
        <w:r w:rsidR="007C63D6">
          <w:rPr>
            <w:noProof/>
            <w:webHidden/>
          </w:rPr>
        </w:r>
        <w:r w:rsidR="007C63D6">
          <w:rPr>
            <w:noProof/>
            <w:webHidden/>
          </w:rPr>
          <w:fldChar w:fldCharType="separate"/>
        </w:r>
        <w:r w:rsidR="003F53FF">
          <w:rPr>
            <w:noProof/>
            <w:webHidden/>
          </w:rPr>
          <w:t>4</w:t>
        </w:r>
        <w:r w:rsidR="007C63D6">
          <w:rPr>
            <w:noProof/>
            <w:webHidden/>
          </w:rPr>
          <w:fldChar w:fldCharType="end"/>
        </w:r>
      </w:hyperlink>
    </w:p>
    <w:p w14:paraId="581DC432" w14:textId="77777777" w:rsidR="007C63D6" w:rsidRDefault="00A1647D">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5143043" w:history="1">
        <w:r w:rsidR="007C63D6" w:rsidRPr="00034FD9">
          <w:rPr>
            <w:rStyle w:val="Hyperlink"/>
            <w:noProof/>
          </w:rPr>
          <w:t>3.1</w:t>
        </w:r>
        <w:r w:rsidR="007C63D6">
          <w:rPr>
            <w:rFonts w:asciiTheme="minorHAnsi" w:eastAsiaTheme="minorEastAsia" w:hAnsiTheme="minorHAnsi" w:cstheme="minorBidi"/>
            <w:iCs w:val="0"/>
            <w:noProof/>
            <w:sz w:val="22"/>
            <w:szCs w:val="22"/>
            <w:lang w:eastAsia="en-AU"/>
          </w:rPr>
          <w:tab/>
        </w:r>
        <w:r w:rsidR="007C63D6" w:rsidRPr="00034FD9">
          <w:rPr>
            <w:rStyle w:val="Hyperlink"/>
            <w:noProof/>
          </w:rPr>
          <w:t>Targeting network cost drivers</w:t>
        </w:r>
        <w:r w:rsidR="007C63D6">
          <w:rPr>
            <w:noProof/>
            <w:webHidden/>
          </w:rPr>
          <w:tab/>
        </w:r>
        <w:r w:rsidR="007C63D6">
          <w:rPr>
            <w:noProof/>
            <w:webHidden/>
          </w:rPr>
          <w:fldChar w:fldCharType="begin"/>
        </w:r>
        <w:r w:rsidR="007C63D6">
          <w:rPr>
            <w:noProof/>
            <w:webHidden/>
          </w:rPr>
          <w:instrText xml:space="preserve"> PAGEREF _Toc375143043 \h </w:instrText>
        </w:r>
        <w:r w:rsidR="007C63D6">
          <w:rPr>
            <w:noProof/>
            <w:webHidden/>
          </w:rPr>
        </w:r>
        <w:r w:rsidR="007C63D6">
          <w:rPr>
            <w:noProof/>
            <w:webHidden/>
          </w:rPr>
          <w:fldChar w:fldCharType="separate"/>
        </w:r>
        <w:r w:rsidR="003F53FF">
          <w:rPr>
            <w:noProof/>
            <w:webHidden/>
          </w:rPr>
          <w:t>4</w:t>
        </w:r>
        <w:r w:rsidR="007C63D6">
          <w:rPr>
            <w:noProof/>
            <w:webHidden/>
          </w:rPr>
          <w:fldChar w:fldCharType="end"/>
        </w:r>
      </w:hyperlink>
    </w:p>
    <w:p w14:paraId="08FCA5EF" w14:textId="77777777" w:rsidR="007C63D6" w:rsidRDefault="00A1647D">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5143044" w:history="1">
        <w:r w:rsidR="007C63D6" w:rsidRPr="00034FD9">
          <w:rPr>
            <w:rStyle w:val="Hyperlink"/>
            <w:noProof/>
          </w:rPr>
          <w:t>3.2</w:t>
        </w:r>
        <w:r w:rsidR="007C63D6">
          <w:rPr>
            <w:rFonts w:asciiTheme="minorHAnsi" w:eastAsiaTheme="minorEastAsia" w:hAnsiTheme="minorHAnsi" w:cstheme="minorBidi"/>
            <w:iCs w:val="0"/>
            <w:noProof/>
            <w:sz w:val="22"/>
            <w:szCs w:val="22"/>
            <w:lang w:eastAsia="en-AU"/>
          </w:rPr>
          <w:tab/>
        </w:r>
        <w:r w:rsidR="007C63D6" w:rsidRPr="00034FD9">
          <w:rPr>
            <w:rStyle w:val="Hyperlink"/>
            <w:noProof/>
          </w:rPr>
          <w:t>Customer impacts</w:t>
        </w:r>
        <w:r w:rsidR="007C63D6">
          <w:rPr>
            <w:noProof/>
            <w:webHidden/>
          </w:rPr>
          <w:tab/>
        </w:r>
        <w:r w:rsidR="007C63D6">
          <w:rPr>
            <w:noProof/>
            <w:webHidden/>
          </w:rPr>
          <w:fldChar w:fldCharType="begin"/>
        </w:r>
        <w:r w:rsidR="007C63D6">
          <w:rPr>
            <w:noProof/>
            <w:webHidden/>
          </w:rPr>
          <w:instrText xml:space="preserve"> PAGEREF _Toc375143044 \h </w:instrText>
        </w:r>
        <w:r w:rsidR="007C63D6">
          <w:rPr>
            <w:noProof/>
            <w:webHidden/>
          </w:rPr>
        </w:r>
        <w:r w:rsidR="007C63D6">
          <w:rPr>
            <w:noProof/>
            <w:webHidden/>
          </w:rPr>
          <w:fldChar w:fldCharType="separate"/>
        </w:r>
        <w:r w:rsidR="003F53FF">
          <w:rPr>
            <w:noProof/>
            <w:webHidden/>
          </w:rPr>
          <w:t>8</w:t>
        </w:r>
        <w:r w:rsidR="007C63D6">
          <w:rPr>
            <w:noProof/>
            <w:webHidden/>
          </w:rPr>
          <w:fldChar w:fldCharType="end"/>
        </w:r>
      </w:hyperlink>
    </w:p>
    <w:p w14:paraId="5F766749" w14:textId="77777777" w:rsidR="007C63D6" w:rsidRDefault="00A1647D">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75143045" w:history="1">
        <w:r w:rsidR="007C63D6" w:rsidRPr="00034FD9">
          <w:rPr>
            <w:rStyle w:val="Hyperlink"/>
            <w:noProof/>
          </w:rPr>
          <w:t>4</w:t>
        </w:r>
        <w:r w:rsidR="007C63D6">
          <w:rPr>
            <w:rFonts w:asciiTheme="minorHAnsi" w:eastAsiaTheme="minorEastAsia" w:hAnsiTheme="minorHAnsi" w:cstheme="minorBidi"/>
            <w:b w:val="0"/>
            <w:bCs w:val="0"/>
            <w:noProof/>
            <w:sz w:val="22"/>
            <w:szCs w:val="22"/>
            <w:lang w:eastAsia="en-AU"/>
          </w:rPr>
          <w:tab/>
        </w:r>
        <w:r w:rsidR="007C63D6" w:rsidRPr="00034FD9">
          <w:rPr>
            <w:rStyle w:val="Hyperlink"/>
            <w:noProof/>
          </w:rPr>
          <w:t>Tariff classes</w:t>
        </w:r>
        <w:r w:rsidR="007C63D6">
          <w:rPr>
            <w:noProof/>
            <w:webHidden/>
          </w:rPr>
          <w:tab/>
        </w:r>
        <w:r w:rsidR="007C63D6">
          <w:rPr>
            <w:noProof/>
            <w:webHidden/>
          </w:rPr>
          <w:fldChar w:fldCharType="begin"/>
        </w:r>
        <w:r w:rsidR="007C63D6">
          <w:rPr>
            <w:noProof/>
            <w:webHidden/>
          </w:rPr>
          <w:instrText xml:space="preserve"> PAGEREF _Toc375143045 \h </w:instrText>
        </w:r>
        <w:r w:rsidR="007C63D6">
          <w:rPr>
            <w:noProof/>
            <w:webHidden/>
          </w:rPr>
        </w:r>
        <w:r w:rsidR="007C63D6">
          <w:rPr>
            <w:noProof/>
            <w:webHidden/>
          </w:rPr>
          <w:fldChar w:fldCharType="separate"/>
        </w:r>
        <w:r w:rsidR="003F53FF">
          <w:rPr>
            <w:noProof/>
            <w:webHidden/>
          </w:rPr>
          <w:t>10</w:t>
        </w:r>
        <w:r w:rsidR="007C63D6">
          <w:rPr>
            <w:noProof/>
            <w:webHidden/>
          </w:rPr>
          <w:fldChar w:fldCharType="end"/>
        </w:r>
      </w:hyperlink>
    </w:p>
    <w:p w14:paraId="5C6554D4" w14:textId="77777777" w:rsidR="007C63D6" w:rsidRDefault="00A1647D">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75143046" w:history="1">
        <w:r w:rsidR="007C63D6" w:rsidRPr="00034FD9">
          <w:rPr>
            <w:rStyle w:val="Hyperlink"/>
            <w:noProof/>
          </w:rPr>
          <w:t>5</w:t>
        </w:r>
        <w:r w:rsidR="007C63D6">
          <w:rPr>
            <w:rFonts w:asciiTheme="minorHAnsi" w:eastAsiaTheme="minorEastAsia" w:hAnsiTheme="minorHAnsi" w:cstheme="minorBidi"/>
            <w:b w:val="0"/>
            <w:bCs w:val="0"/>
            <w:noProof/>
            <w:sz w:val="22"/>
            <w:szCs w:val="22"/>
            <w:lang w:eastAsia="en-AU"/>
          </w:rPr>
          <w:tab/>
        </w:r>
        <w:r w:rsidR="007C63D6" w:rsidRPr="00034FD9">
          <w:rPr>
            <w:rStyle w:val="Hyperlink"/>
            <w:noProof/>
          </w:rPr>
          <w:t>New framework for tariff setting</w:t>
        </w:r>
        <w:r w:rsidR="007C63D6">
          <w:rPr>
            <w:noProof/>
            <w:webHidden/>
          </w:rPr>
          <w:tab/>
        </w:r>
        <w:r w:rsidR="007C63D6">
          <w:rPr>
            <w:noProof/>
            <w:webHidden/>
          </w:rPr>
          <w:fldChar w:fldCharType="begin"/>
        </w:r>
        <w:r w:rsidR="007C63D6">
          <w:rPr>
            <w:noProof/>
            <w:webHidden/>
          </w:rPr>
          <w:instrText xml:space="preserve"> PAGEREF _Toc375143046 \h </w:instrText>
        </w:r>
        <w:r w:rsidR="007C63D6">
          <w:rPr>
            <w:noProof/>
            <w:webHidden/>
          </w:rPr>
        </w:r>
        <w:r w:rsidR="007C63D6">
          <w:rPr>
            <w:noProof/>
            <w:webHidden/>
          </w:rPr>
          <w:fldChar w:fldCharType="separate"/>
        </w:r>
        <w:r w:rsidR="003F53FF">
          <w:rPr>
            <w:noProof/>
            <w:webHidden/>
          </w:rPr>
          <w:t>12</w:t>
        </w:r>
        <w:r w:rsidR="007C63D6">
          <w:rPr>
            <w:noProof/>
            <w:webHidden/>
          </w:rPr>
          <w:fldChar w:fldCharType="end"/>
        </w:r>
      </w:hyperlink>
    </w:p>
    <w:p w14:paraId="367425C7" w14:textId="77777777" w:rsidR="007C63D6" w:rsidRDefault="00A1647D">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5143047" w:history="1">
        <w:r w:rsidR="007C63D6" w:rsidRPr="00034FD9">
          <w:rPr>
            <w:rStyle w:val="Hyperlink"/>
            <w:noProof/>
          </w:rPr>
          <w:t>5.1</w:t>
        </w:r>
        <w:r w:rsidR="007C63D6">
          <w:rPr>
            <w:rFonts w:asciiTheme="minorHAnsi" w:eastAsiaTheme="minorEastAsia" w:hAnsiTheme="minorHAnsi" w:cstheme="minorBidi"/>
            <w:iCs w:val="0"/>
            <w:noProof/>
            <w:sz w:val="22"/>
            <w:szCs w:val="22"/>
            <w:lang w:eastAsia="en-AU"/>
          </w:rPr>
          <w:tab/>
        </w:r>
        <w:r w:rsidR="007C63D6" w:rsidRPr="00034FD9">
          <w:rPr>
            <w:rStyle w:val="Hyperlink"/>
            <w:noProof/>
          </w:rPr>
          <w:t>Consultation on PSS</w:t>
        </w:r>
        <w:r w:rsidR="007C63D6">
          <w:rPr>
            <w:noProof/>
            <w:webHidden/>
          </w:rPr>
          <w:tab/>
        </w:r>
        <w:r w:rsidR="007C63D6">
          <w:rPr>
            <w:noProof/>
            <w:webHidden/>
          </w:rPr>
          <w:fldChar w:fldCharType="begin"/>
        </w:r>
        <w:r w:rsidR="007C63D6">
          <w:rPr>
            <w:noProof/>
            <w:webHidden/>
          </w:rPr>
          <w:instrText xml:space="preserve"> PAGEREF _Toc375143047 \h </w:instrText>
        </w:r>
        <w:r w:rsidR="007C63D6">
          <w:rPr>
            <w:noProof/>
            <w:webHidden/>
          </w:rPr>
        </w:r>
        <w:r w:rsidR="007C63D6">
          <w:rPr>
            <w:noProof/>
            <w:webHidden/>
          </w:rPr>
          <w:fldChar w:fldCharType="separate"/>
        </w:r>
        <w:r w:rsidR="003F53FF">
          <w:rPr>
            <w:noProof/>
            <w:webHidden/>
          </w:rPr>
          <w:t>12</w:t>
        </w:r>
        <w:r w:rsidR="007C63D6">
          <w:rPr>
            <w:noProof/>
            <w:webHidden/>
          </w:rPr>
          <w:fldChar w:fldCharType="end"/>
        </w:r>
      </w:hyperlink>
    </w:p>
    <w:p w14:paraId="20DA1830" w14:textId="77777777" w:rsidR="007C63D6" w:rsidRDefault="00A1647D">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5143048" w:history="1">
        <w:r w:rsidR="007C63D6" w:rsidRPr="00034FD9">
          <w:rPr>
            <w:rStyle w:val="Hyperlink"/>
            <w:noProof/>
          </w:rPr>
          <w:t>5.2</w:t>
        </w:r>
        <w:r w:rsidR="007C63D6">
          <w:rPr>
            <w:rFonts w:asciiTheme="minorHAnsi" w:eastAsiaTheme="minorEastAsia" w:hAnsiTheme="minorHAnsi" w:cstheme="minorBidi"/>
            <w:iCs w:val="0"/>
            <w:noProof/>
            <w:sz w:val="22"/>
            <w:szCs w:val="22"/>
            <w:lang w:eastAsia="en-AU"/>
          </w:rPr>
          <w:tab/>
        </w:r>
        <w:r w:rsidR="007C63D6" w:rsidRPr="00034FD9">
          <w:rPr>
            <w:rStyle w:val="Hyperlink"/>
            <w:noProof/>
          </w:rPr>
          <w:t>Scope of PSS</w:t>
        </w:r>
        <w:r w:rsidR="007C63D6">
          <w:rPr>
            <w:noProof/>
            <w:webHidden/>
          </w:rPr>
          <w:tab/>
        </w:r>
        <w:r w:rsidR="007C63D6">
          <w:rPr>
            <w:noProof/>
            <w:webHidden/>
          </w:rPr>
          <w:fldChar w:fldCharType="begin"/>
        </w:r>
        <w:r w:rsidR="007C63D6">
          <w:rPr>
            <w:noProof/>
            <w:webHidden/>
          </w:rPr>
          <w:instrText xml:space="preserve"> PAGEREF _Toc375143048 \h </w:instrText>
        </w:r>
        <w:r w:rsidR="007C63D6">
          <w:rPr>
            <w:noProof/>
            <w:webHidden/>
          </w:rPr>
        </w:r>
        <w:r w:rsidR="007C63D6">
          <w:rPr>
            <w:noProof/>
            <w:webHidden/>
          </w:rPr>
          <w:fldChar w:fldCharType="separate"/>
        </w:r>
        <w:r w:rsidR="003F53FF">
          <w:rPr>
            <w:noProof/>
            <w:webHidden/>
          </w:rPr>
          <w:t>13</w:t>
        </w:r>
        <w:r w:rsidR="007C63D6">
          <w:rPr>
            <w:noProof/>
            <w:webHidden/>
          </w:rPr>
          <w:fldChar w:fldCharType="end"/>
        </w:r>
      </w:hyperlink>
    </w:p>
    <w:p w14:paraId="69DEBB8F" w14:textId="77777777" w:rsidR="007C63D6" w:rsidRDefault="00A1647D">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5143049" w:history="1">
        <w:r w:rsidR="007C63D6" w:rsidRPr="00034FD9">
          <w:rPr>
            <w:rStyle w:val="Hyperlink"/>
            <w:noProof/>
          </w:rPr>
          <w:t>5.3</w:t>
        </w:r>
        <w:r w:rsidR="007C63D6">
          <w:rPr>
            <w:rFonts w:asciiTheme="minorHAnsi" w:eastAsiaTheme="minorEastAsia" w:hAnsiTheme="minorHAnsi" w:cstheme="minorBidi"/>
            <w:iCs w:val="0"/>
            <w:noProof/>
            <w:sz w:val="22"/>
            <w:szCs w:val="22"/>
            <w:lang w:eastAsia="en-AU"/>
          </w:rPr>
          <w:tab/>
        </w:r>
        <w:r w:rsidR="007C63D6" w:rsidRPr="00034FD9">
          <w:rPr>
            <w:rStyle w:val="Hyperlink"/>
            <w:noProof/>
          </w:rPr>
          <w:t>PSS &amp; tariff proposal assessments</w:t>
        </w:r>
        <w:r w:rsidR="007C63D6">
          <w:rPr>
            <w:noProof/>
            <w:webHidden/>
          </w:rPr>
          <w:tab/>
        </w:r>
        <w:r w:rsidR="007C63D6">
          <w:rPr>
            <w:noProof/>
            <w:webHidden/>
          </w:rPr>
          <w:fldChar w:fldCharType="begin"/>
        </w:r>
        <w:r w:rsidR="007C63D6">
          <w:rPr>
            <w:noProof/>
            <w:webHidden/>
          </w:rPr>
          <w:instrText xml:space="preserve"> PAGEREF _Toc375143049 \h </w:instrText>
        </w:r>
        <w:r w:rsidR="007C63D6">
          <w:rPr>
            <w:noProof/>
            <w:webHidden/>
          </w:rPr>
        </w:r>
        <w:r w:rsidR="007C63D6">
          <w:rPr>
            <w:noProof/>
            <w:webHidden/>
          </w:rPr>
          <w:fldChar w:fldCharType="separate"/>
        </w:r>
        <w:r w:rsidR="003F53FF">
          <w:rPr>
            <w:noProof/>
            <w:webHidden/>
          </w:rPr>
          <w:t>14</w:t>
        </w:r>
        <w:r w:rsidR="007C63D6">
          <w:rPr>
            <w:noProof/>
            <w:webHidden/>
          </w:rPr>
          <w:fldChar w:fldCharType="end"/>
        </w:r>
      </w:hyperlink>
    </w:p>
    <w:p w14:paraId="20CE39CA" w14:textId="77777777" w:rsidR="007C63D6" w:rsidRDefault="00A1647D">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75143050" w:history="1">
        <w:r w:rsidR="007C63D6" w:rsidRPr="00034FD9">
          <w:rPr>
            <w:rStyle w:val="Hyperlink"/>
            <w:noProof/>
          </w:rPr>
          <w:t>6</w:t>
        </w:r>
        <w:r w:rsidR="007C63D6">
          <w:rPr>
            <w:rFonts w:asciiTheme="minorHAnsi" w:eastAsiaTheme="minorEastAsia" w:hAnsiTheme="minorHAnsi" w:cstheme="minorBidi"/>
            <w:b w:val="0"/>
            <w:bCs w:val="0"/>
            <w:noProof/>
            <w:sz w:val="22"/>
            <w:szCs w:val="22"/>
            <w:lang w:eastAsia="en-AU"/>
          </w:rPr>
          <w:tab/>
        </w:r>
        <w:r w:rsidR="007C63D6" w:rsidRPr="00034FD9">
          <w:rPr>
            <w:rStyle w:val="Hyperlink"/>
            <w:noProof/>
          </w:rPr>
          <w:t>Timing of price reviews</w:t>
        </w:r>
        <w:r w:rsidR="007C63D6">
          <w:rPr>
            <w:noProof/>
            <w:webHidden/>
          </w:rPr>
          <w:tab/>
        </w:r>
        <w:r w:rsidR="007C63D6">
          <w:rPr>
            <w:noProof/>
            <w:webHidden/>
          </w:rPr>
          <w:fldChar w:fldCharType="begin"/>
        </w:r>
        <w:r w:rsidR="007C63D6">
          <w:rPr>
            <w:noProof/>
            <w:webHidden/>
          </w:rPr>
          <w:instrText xml:space="preserve"> PAGEREF _Toc375143050 \h </w:instrText>
        </w:r>
        <w:r w:rsidR="007C63D6">
          <w:rPr>
            <w:noProof/>
            <w:webHidden/>
          </w:rPr>
        </w:r>
        <w:r w:rsidR="007C63D6">
          <w:rPr>
            <w:noProof/>
            <w:webHidden/>
          </w:rPr>
          <w:fldChar w:fldCharType="separate"/>
        </w:r>
        <w:r w:rsidR="003F53FF">
          <w:rPr>
            <w:noProof/>
            <w:webHidden/>
          </w:rPr>
          <w:t>16</w:t>
        </w:r>
        <w:r w:rsidR="007C63D6">
          <w:rPr>
            <w:noProof/>
            <w:webHidden/>
          </w:rPr>
          <w:fldChar w:fldCharType="end"/>
        </w:r>
      </w:hyperlink>
    </w:p>
    <w:p w14:paraId="228BAFE2" w14:textId="77777777" w:rsidR="007C63D6" w:rsidRDefault="00A1647D">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5143051" w:history="1">
        <w:r w:rsidR="007C63D6" w:rsidRPr="00034FD9">
          <w:rPr>
            <w:rStyle w:val="Hyperlink"/>
            <w:noProof/>
          </w:rPr>
          <w:t>6.1</w:t>
        </w:r>
        <w:r w:rsidR="007C63D6">
          <w:rPr>
            <w:rFonts w:asciiTheme="minorHAnsi" w:eastAsiaTheme="minorEastAsia" w:hAnsiTheme="minorHAnsi" w:cstheme="minorBidi"/>
            <w:iCs w:val="0"/>
            <w:noProof/>
            <w:sz w:val="22"/>
            <w:szCs w:val="22"/>
            <w:lang w:eastAsia="en-AU"/>
          </w:rPr>
          <w:tab/>
        </w:r>
        <w:r w:rsidR="007C63D6" w:rsidRPr="00034FD9">
          <w:rPr>
            <w:rStyle w:val="Hyperlink"/>
            <w:noProof/>
          </w:rPr>
          <w:t>Timing effect of new framework</w:t>
        </w:r>
        <w:r w:rsidR="007C63D6">
          <w:rPr>
            <w:noProof/>
            <w:webHidden/>
          </w:rPr>
          <w:tab/>
        </w:r>
        <w:r w:rsidR="007C63D6">
          <w:rPr>
            <w:noProof/>
            <w:webHidden/>
          </w:rPr>
          <w:fldChar w:fldCharType="begin"/>
        </w:r>
        <w:r w:rsidR="007C63D6">
          <w:rPr>
            <w:noProof/>
            <w:webHidden/>
          </w:rPr>
          <w:instrText xml:space="preserve"> PAGEREF _Toc375143051 \h </w:instrText>
        </w:r>
        <w:r w:rsidR="007C63D6">
          <w:rPr>
            <w:noProof/>
            <w:webHidden/>
          </w:rPr>
        </w:r>
        <w:r w:rsidR="007C63D6">
          <w:rPr>
            <w:noProof/>
            <w:webHidden/>
          </w:rPr>
          <w:fldChar w:fldCharType="separate"/>
        </w:r>
        <w:r w:rsidR="003F53FF">
          <w:rPr>
            <w:noProof/>
            <w:webHidden/>
          </w:rPr>
          <w:t>16</w:t>
        </w:r>
        <w:r w:rsidR="007C63D6">
          <w:rPr>
            <w:noProof/>
            <w:webHidden/>
          </w:rPr>
          <w:fldChar w:fldCharType="end"/>
        </w:r>
      </w:hyperlink>
    </w:p>
    <w:p w14:paraId="63E73F1A" w14:textId="77777777" w:rsidR="007C63D6" w:rsidRDefault="00A1647D">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5143052" w:history="1">
        <w:r w:rsidR="007C63D6" w:rsidRPr="00034FD9">
          <w:rPr>
            <w:rStyle w:val="Hyperlink"/>
            <w:noProof/>
          </w:rPr>
          <w:t>6.2</w:t>
        </w:r>
        <w:r w:rsidR="007C63D6">
          <w:rPr>
            <w:rFonts w:asciiTheme="minorHAnsi" w:eastAsiaTheme="minorEastAsia" w:hAnsiTheme="minorHAnsi" w:cstheme="minorBidi"/>
            <w:iCs w:val="0"/>
            <w:noProof/>
            <w:sz w:val="22"/>
            <w:szCs w:val="22"/>
            <w:lang w:eastAsia="en-AU"/>
          </w:rPr>
          <w:tab/>
        </w:r>
        <w:r w:rsidR="007C63D6" w:rsidRPr="00034FD9">
          <w:rPr>
            <w:rStyle w:val="Hyperlink"/>
            <w:noProof/>
          </w:rPr>
          <w:t>Bringing forward tariff reviews</w:t>
        </w:r>
        <w:r w:rsidR="007C63D6">
          <w:rPr>
            <w:noProof/>
            <w:webHidden/>
          </w:rPr>
          <w:tab/>
        </w:r>
        <w:r w:rsidR="007C63D6">
          <w:rPr>
            <w:noProof/>
            <w:webHidden/>
          </w:rPr>
          <w:fldChar w:fldCharType="begin"/>
        </w:r>
        <w:r w:rsidR="007C63D6">
          <w:rPr>
            <w:noProof/>
            <w:webHidden/>
          </w:rPr>
          <w:instrText xml:space="preserve"> PAGEREF _Toc375143052 \h </w:instrText>
        </w:r>
        <w:r w:rsidR="007C63D6">
          <w:rPr>
            <w:noProof/>
            <w:webHidden/>
          </w:rPr>
        </w:r>
        <w:r w:rsidR="007C63D6">
          <w:rPr>
            <w:noProof/>
            <w:webHidden/>
          </w:rPr>
          <w:fldChar w:fldCharType="separate"/>
        </w:r>
        <w:r w:rsidR="003F53FF">
          <w:rPr>
            <w:noProof/>
            <w:webHidden/>
          </w:rPr>
          <w:t>17</w:t>
        </w:r>
        <w:r w:rsidR="007C63D6">
          <w:rPr>
            <w:noProof/>
            <w:webHidden/>
          </w:rPr>
          <w:fldChar w:fldCharType="end"/>
        </w:r>
      </w:hyperlink>
    </w:p>
    <w:p w14:paraId="396CA5A8" w14:textId="77777777" w:rsidR="007C63D6" w:rsidRDefault="00A1647D">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75143053" w:history="1">
        <w:r w:rsidR="007C63D6" w:rsidRPr="00034FD9">
          <w:rPr>
            <w:rStyle w:val="Hyperlink"/>
            <w:noProof/>
          </w:rPr>
          <w:t>7</w:t>
        </w:r>
        <w:r w:rsidR="007C63D6">
          <w:rPr>
            <w:rFonts w:asciiTheme="minorHAnsi" w:eastAsiaTheme="minorEastAsia" w:hAnsiTheme="minorHAnsi" w:cstheme="minorBidi"/>
            <w:b w:val="0"/>
            <w:bCs w:val="0"/>
            <w:noProof/>
            <w:sz w:val="22"/>
            <w:szCs w:val="22"/>
            <w:lang w:eastAsia="en-AU"/>
          </w:rPr>
          <w:tab/>
        </w:r>
        <w:r w:rsidR="007C63D6" w:rsidRPr="00034FD9">
          <w:rPr>
            <w:rStyle w:val="Hyperlink"/>
            <w:noProof/>
          </w:rPr>
          <w:t>Tariff transition / volatility</w:t>
        </w:r>
        <w:r w:rsidR="007C63D6">
          <w:rPr>
            <w:noProof/>
            <w:webHidden/>
          </w:rPr>
          <w:tab/>
        </w:r>
        <w:r w:rsidR="007C63D6">
          <w:rPr>
            <w:noProof/>
            <w:webHidden/>
          </w:rPr>
          <w:fldChar w:fldCharType="begin"/>
        </w:r>
        <w:r w:rsidR="007C63D6">
          <w:rPr>
            <w:noProof/>
            <w:webHidden/>
          </w:rPr>
          <w:instrText xml:space="preserve"> PAGEREF _Toc375143053 \h </w:instrText>
        </w:r>
        <w:r w:rsidR="007C63D6">
          <w:rPr>
            <w:noProof/>
            <w:webHidden/>
          </w:rPr>
        </w:r>
        <w:r w:rsidR="007C63D6">
          <w:rPr>
            <w:noProof/>
            <w:webHidden/>
          </w:rPr>
          <w:fldChar w:fldCharType="separate"/>
        </w:r>
        <w:r w:rsidR="003F53FF">
          <w:rPr>
            <w:noProof/>
            <w:webHidden/>
          </w:rPr>
          <w:t>18</w:t>
        </w:r>
        <w:r w:rsidR="007C63D6">
          <w:rPr>
            <w:noProof/>
            <w:webHidden/>
          </w:rPr>
          <w:fldChar w:fldCharType="end"/>
        </w:r>
      </w:hyperlink>
    </w:p>
    <w:p w14:paraId="181BF660" w14:textId="77777777" w:rsidR="007C63D6" w:rsidRDefault="00A1647D">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5143054" w:history="1">
        <w:r w:rsidR="007C63D6" w:rsidRPr="00034FD9">
          <w:rPr>
            <w:rStyle w:val="Hyperlink"/>
            <w:noProof/>
          </w:rPr>
          <w:t>7.1</w:t>
        </w:r>
        <w:r w:rsidR="007C63D6">
          <w:rPr>
            <w:rFonts w:asciiTheme="minorHAnsi" w:eastAsiaTheme="minorEastAsia" w:hAnsiTheme="minorHAnsi" w:cstheme="minorBidi"/>
            <w:iCs w:val="0"/>
            <w:noProof/>
            <w:sz w:val="22"/>
            <w:szCs w:val="22"/>
            <w:lang w:eastAsia="en-AU"/>
          </w:rPr>
          <w:tab/>
        </w:r>
        <w:r w:rsidR="007C63D6" w:rsidRPr="00034FD9">
          <w:rPr>
            <w:rStyle w:val="Hyperlink"/>
            <w:noProof/>
          </w:rPr>
          <w:t>Framework for managing transition / volatility</w:t>
        </w:r>
        <w:r w:rsidR="007C63D6">
          <w:rPr>
            <w:noProof/>
            <w:webHidden/>
          </w:rPr>
          <w:tab/>
        </w:r>
        <w:r w:rsidR="007C63D6">
          <w:rPr>
            <w:noProof/>
            <w:webHidden/>
          </w:rPr>
          <w:fldChar w:fldCharType="begin"/>
        </w:r>
        <w:r w:rsidR="007C63D6">
          <w:rPr>
            <w:noProof/>
            <w:webHidden/>
          </w:rPr>
          <w:instrText xml:space="preserve"> PAGEREF _Toc375143054 \h </w:instrText>
        </w:r>
        <w:r w:rsidR="007C63D6">
          <w:rPr>
            <w:noProof/>
            <w:webHidden/>
          </w:rPr>
        </w:r>
        <w:r w:rsidR="007C63D6">
          <w:rPr>
            <w:noProof/>
            <w:webHidden/>
          </w:rPr>
          <w:fldChar w:fldCharType="separate"/>
        </w:r>
        <w:r w:rsidR="003F53FF">
          <w:rPr>
            <w:noProof/>
            <w:webHidden/>
          </w:rPr>
          <w:t>18</w:t>
        </w:r>
        <w:r w:rsidR="007C63D6">
          <w:rPr>
            <w:noProof/>
            <w:webHidden/>
          </w:rPr>
          <w:fldChar w:fldCharType="end"/>
        </w:r>
      </w:hyperlink>
    </w:p>
    <w:p w14:paraId="03C77A46" w14:textId="77777777" w:rsidR="007C63D6" w:rsidRDefault="00A1647D">
      <w:pPr>
        <w:pStyle w:val="TOC2"/>
        <w:tabs>
          <w:tab w:val="left" w:pos="880"/>
          <w:tab w:val="right" w:leader="dot" w:pos="9016"/>
        </w:tabs>
        <w:rPr>
          <w:rFonts w:asciiTheme="minorHAnsi" w:eastAsiaTheme="minorEastAsia" w:hAnsiTheme="minorHAnsi" w:cstheme="minorBidi"/>
          <w:iCs w:val="0"/>
          <w:noProof/>
          <w:sz w:val="22"/>
          <w:szCs w:val="22"/>
          <w:lang w:eastAsia="en-AU"/>
        </w:rPr>
      </w:pPr>
      <w:hyperlink w:anchor="_Toc375143055" w:history="1">
        <w:r w:rsidR="007C63D6" w:rsidRPr="00034FD9">
          <w:rPr>
            <w:rStyle w:val="Hyperlink"/>
            <w:noProof/>
          </w:rPr>
          <w:t>7.2</w:t>
        </w:r>
        <w:r w:rsidR="007C63D6">
          <w:rPr>
            <w:rFonts w:asciiTheme="minorHAnsi" w:eastAsiaTheme="minorEastAsia" w:hAnsiTheme="minorHAnsi" w:cstheme="minorBidi"/>
            <w:iCs w:val="0"/>
            <w:noProof/>
            <w:sz w:val="22"/>
            <w:szCs w:val="22"/>
            <w:lang w:eastAsia="en-AU"/>
          </w:rPr>
          <w:tab/>
        </w:r>
        <w:r w:rsidR="007C63D6" w:rsidRPr="00034FD9">
          <w:rPr>
            <w:rStyle w:val="Hyperlink"/>
            <w:noProof/>
          </w:rPr>
          <w:t>Management options</w:t>
        </w:r>
        <w:r w:rsidR="007C63D6">
          <w:rPr>
            <w:noProof/>
            <w:webHidden/>
          </w:rPr>
          <w:tab/>
        </w:r>
        <w:r w:rsidR="007C63D6">
          <w:rPr>
            <w:noProof/>
            <w:webHidden/>
          </w:rPr>
          <w:fldChar w:fldCharType="begin"/>
        </w:r>
        <w:r w:rsidR="007C63D6">
          <w:rPr>
            <w:noProof/>
            <w:webHidden/>
          </w:rPr>
          <w:instrText xml:space="preserve"> PAGEREF _Toc375143055 \h </w:instrText>
        </w:r>
        <w:r w:rsidR="007C63D6">
          <w:rPr>
            <w:noProof/>
            <w:webHidden/>
          </w:rPr>
        </w:r>
        <w:r w:rsidR="007C63D6">
          <w:rPr>
            <w:noProof/>
            <w:webHidden/>
          </w:rPr>
          <w:fldChar w:fldCharType="separate"/>
        </w:r>
        <w:r w:rsidR="003F53FF">
          <w:rPr>
            <w:noProof/>
            <w:webHidden/>
          </w:rPr>
          <w:t>18</w:t>
        </w:r>
        <w:r w:rsidR="007C63D6">
          <w:rPr>
            <w:noProof/>
            <w:webHidden/>
          </w:rPr>
          <w:fldChar w:fldCharType="end"/>
        </w:r>
      </w:hyperlink>
    </w:p>
    <w:p w14:paraId="16AA8827" w14:textId="77777777" w:rsidR="007C63D6" w:rsidRDefault="00A1647D">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75143056" w:history="1">
        <w:r w:rsidR="007C63D6" w:rsidRPr="00034FD9">
          <w:rPr>
            <w:rStyle w:val="Hyperlink"/>
            <w:noProof/>
          </w:rPr>
          <w:t>8</w:t>
        </w:r>
        <w:r w:rsidR="007C63D6">
          <w:rPr>
            <w:rFonts w:asciiTheme="minorHAnsi" w:eastAsiaTheme="minorEastAsia" w:hAnsiTheme="minorHAnsi" w:cstheme="minorBidi"/>
            <w:b w:val="0"/>
            <w:bCs w:val="0"/>
            <w:noProof/>
            <w:sz w:val="22"/>
            <w:szCs w:val="22"/>
            <w:lang w:eastAsia="en-AU"/>
          </w:rPr>
          <w:tab/>
        </w:r>
        <w:r w:rsidR="007C63D6" w:rsidRPr="00034FD9">
          <w:rPr>
            <w:rStyle w:val="Hyperlink"/>
            <w:noProof/>
          </w:rPr>
          <w:t>AER guidelines</w:t>
        </w:r>
        <w:r w:rsidR="007C63D6">
          <w:rPr>
            <w:noProof/>
            <w:webHidden/>
          </w:rPr>
          <w:tab/>
        </w:r>
        <w:r w:rsidR="007C63D6">
          <w:rPr>
            <w:noProof/>
            <w:webHidden/>
          </w:rPr>
          <w:fldChar w:fldCharType="begin"/>
        </w:r>
        <w:r w:rsidR="007C63D6">
          <w:rPr>
            <w:noProof/>
            <w:webHidden/>
          </w:rPr>
          <w:instrText xml:space="preserve"> PAGEREF _Toc375143056 \h </w:instrText>
        </w:r>
        <w:r w:rsidR="007C63D6">
          <w:rPr>
            <w:noProof/>
            <w:webHidden/>
          </w:rPr>
        </w:r>
        <w:r w:rsidR="007C63D6">
          <w:rPr>
            <w:noProof/>
            <w:webHidden/>
          </w:rPr>
          <w:fldChar w:fldCharType="separate"/>
        </w:r>
        <w:r w:rsidR="003F53FF">
          <w:rPr>
            <w:noProof/>
            <w:webHidden/>
          </w:rPr>
          <w:t>21</w:t>
        </w:r>
        <w:r w:rsidR="007C63D6">
          <w:rPr>
            <w:noProof/>
            <w:webHidden/>
          </w:rPr>
          <w:fldChar w:fldCharType="end"/>
        </w:r>
      </w:hyperlink>
    </w:p>
    <w:p w14:paraId="273606E7" w14:textId="77777777" w:rsidR="007C63D6" w:rsidRDefault="00A1647D">
      <w:pPr>
        <w:pStyle w:val="TOC1"/>
        <w:tabs>
          <w:tab w:val="left" w:pos="440"/>
          <w:tab w:val="right" w:leader="dot" w:pos="9016"/>
        </w:tabs>
        <w:rPr>
          <w:rFonts w:asciiTheme="minorHAnsi" w:eastAsiaTheme="minorEastAsia" w:hAnsiTheme="minorHAnsi" w:cstheme="minorBidi"/>
          <w:b w:val="0"/>
          <w:bCs w:val="0"/>
          <w:noProof/>
          <w:sz w:val="22"/>
          <w:szCs w:val="22"/>
          <w:lang w:eastAsia="en-AU"/>
        </w:rPr>
      </w:pPr>
      <w:hyperlink w:anchor="_Toc375143057" w:history="1">
        <w:r w:rsidR="007C63D6" w:rsidRPr="00034FD9">
          <w:rPr>
            <w:rStyle w:val="Hyperlink"/>
            <w:noProof/>
          </w:rPr>
          <w:t>9</w:t>
        </w:r>
        <w:r w:rsidR="007C63D6">
          <w:rPr>
            <w:rFonts w:asciiTheme="minorHAnsi" w:eastAsiaTheme="minorEastAsia" w:hAnsiTheme="minorHAnsi" w:cstheme="minorBidi"/>
            <w:b w:val="0"/>
            <w:bCs w:val="0"/>
            <w:noProof/>
            <w:sz w:val="22"/>
            <w:szCs w:val="22"/>
            <w:lang w:eastAsia="en-AU"/>
          </w:rPr>
          <w:tab/>
        </w:r>
        <w:r w:rsidR="007C63D6" w:rsidRPr="00034FD9">
          <w:rPr>
            <w:rStyle w:val="Hyperlink"/>
            <w:noProof/>
          </w:rPr>
          <w:t>Timing of reforms</w:t>
        </w:r>
        <w:r w:rsidR="007C63D6">
          <w:rPr>
            <w:noProof/>
            <w:webHidden/>
          </w:rPr>
          <w:tab/>
        </w:r>
        <w:r w:rsidR="007C63D6">
          <w:rPr>
            <w:noProof/>
            <w:webHidden/>
          </w:rPr>
          <w:fldChar w:fldCharType="begin"/>
        </w:r>
        <w:r w:rsidR="007C63D6">
          <w:rPr>
            <w:noProof/>
            <w:webHidden/>
          </w:rPr>
          <w:instrText xml:space="preserve"> PAGEREF _Toc375143057 \h </w:instrText>
        </w:r>
        <w:r w:rsidR="007C63D6">
          <w:rPr>
            <w:noProof/>
            <w:webHidden/>
          </w:rPr>
        </w:r>
        <w:r w:rsidR="007C63D6">
          <w:rPr>
            <w:noProof/>
            <w:webHidden/>
          </w:rPr>
          <w:fldChar w:fldCharType="separate"/>
        </w:r>
        <w:r w:rsidR="003F53FF">
          <w:rPr>
            <w:noProof/>
            <w:webHidden/>
          </w:rPr>
          <w:t>22</w:t>
        </w:r>
        <w:r w:rsidR="007C63D6">
          <w:rPr>
            <w:noProof/>
            <w:webHidden/>
          </w:rPr>
          <w:fldChar w:fldCharType="end"/>
        </w:r>
      </w:hyperlink>
    </w:p>
    <w:p w14:paraId="08144BE7" w14:textId="77777777" w:rsidR="000277FD" w:rsidRDefault="00996ADF" w:rsidP="00996ADF">
      <w:pPr>
        <w:pStyle w:val="AERbodytext"/>
      </w:pPr>
      <w:r>
        <w:fldChar w:fldCharType="end"/>
      </w:r>
    </w:p>
    <w:p w14:paraId="0DB08F7F" w14:textId="77777777" w:rsidR="000277FD" w:rsidRDefault="000277FD" w:rsidP="000277FD">
      <w:pPr>
        <w:pStyle w:val="AERbodytext"/>
        <w:numPr>
          <w:ilvl w:val="0"/>
          <w:numId w:val="0"/>
        </w:numPr>
        <w:sectPr w:rsidR="000277FD" w:rsidSect="00972D59">
          <w:footerReference w:type="default" r:id="rId13"/>
          <w:type w:val="continuous"/>
          <w:pgSz w:w="11906" w:h="16838"/>
          <w:pgMar w:top="1440" w:right="1440" w:bottom="1440" w:left="1440" w:header="708" w:footer="708" w:gutter="0"/>
          <w:pgNumType w:fmt="lowerRoman" w:start="1"/>
          <w:cols w:space="708"/>
          <w:docGrid w:linePitch="360"/>
        </w:sectPr>
      </w:pPr>
    </w:p>
    <w:p w14:paraId="497DC5EA" w14:textId="77777777" w:rsidR="000277FD" w:rsidRDefault="000277FD" w:rsidP="000277FD">
      <w:pPr>
        <w:pStyle w:val="AERbodytext"/>
        <w:numPr>
          <w:ilvl w:val="0"/>
          <w:numId w:val="0"/>
        </w:numPr>
        <w:sectPr w:rsidR="000277FD" w:rsidSect="000277FD">
          <w:type w:val="continuous"/>
          <w:pgSz w:w="11906" w:h="16838"/>
          <w:pgMar w:top="1440" w:right="1440" w:bottom="1440" w:left="1440" w:header="708" w:footer="708" w:gutter="0"/>
          <w:pgNumType w:fmt="lowerRoman" w:start="1"/>
          <w:cols w:space="708"/>
          <w:docGrid w:linePitch="360"/>
        </w:sectPr>
      </w:pPr>
    </w:p>
    <w:p w14:paraId="37E0C97E" w14:textId="033485AD" w:rsidR="00B17BD5" w:rsidRDefault="00B17BD5" w:rsidP="00E011FE">
      <w:pPr>
        <w:pStyle w:val="Heading1"/>
        <w:spacing w:after="60"/>
      </w:pPr>
      <w:bookmarkStart w:id="12" w:name="_Toc375143040"/>
      <w:r>
        <w:lastRenderedPageBreak/>
        <w:t>Summary</w:t>
      </w:r>
      <w:bookmarkEnd w:id="12"/>
    </w:p>
    <w:p w14:paraId="7BF9DB31" w14:textId="105178EB" w:rsidR="00B33BFD" w:rsidRDefault="00044150" w:rsidP="00044150">
      <w:pPr>
        <w:pStyle w:val="AERbodytext"/>
        <w:spacing w:after="120"/>
      </w:pPr>
      <w:r>
        <w:t xml:space="preserve">Our main recommendations </w:t>
      </w:r>
      <w:r w:rsidR="00C313BE">
        <w:t xml:space="preserve">and </w:t>
      </w:r>
      <w:r>
        <w:t>positions in response to the proposed rule changes and to the AEMC’s consultation paper are set out below.</w:t>
      </w:r>
    </w:p>
    <w:tbl>
      <w:tblPr>
        <w:tblStyle w:val="TableGrid"/>
        <w:tblW w:w="0" w:type="auto"/>
        <w:tblLook w:val="04A0" w:firstRow="1" w:lastRow="0" w:firstColumn="1" w:lastColumn="0" w:noHBand="0" w:noVBand="1"/>
      </w:tblPr>
      <w:tblGrid>
        <w:gridCol w:w="1242"/>
        <w:gridCol w:w="7797"/>
      </w:tblGrid>
      <w:tr w:rsidR="00B402F0" w:rsidRPr="00FD253E" w14:paraId="5FF3FA1D" w14:textId="77777777" w:rsidTr="00FD253E">
        <w:tc>
          <w:tcPr>
            <w:tcW w:w="1242" w:type="dxa"/>
          </w:tcPr>
          <w:p w14:paraId="23BF87AC" w14:textId="3A3AB235" w:rsidR="00B402F0" w:rsidRPr="00FD253E" w:rsidRDefault="00B402F0" w:rsidP="00B402F0">
            <w:pPr>
              <w:pStyle w:val="AERbodytext"/>
              <w:numPr>
                <w:ilvl w:val="0"/>
                <w:numId w:val="0"/>
              </w:numPr>
              <w:rPr>
                <w:b/>
                <w:sz w:val="18"/>
                <w:szCs w:val="18"/>
              </w:rPr>
            </w:pPr>
            <w:r w:rsidRPr="00FD253E">
              <w:rPr>
                <w:b/>
                <w:sz w:val="18"/>
                <w:szCs w:val="18"/>
              </w:rPr>
              <w:t>Pricing principles</w:t>
            </w:r>
          </w:p>
        </w:tc>
        <w:tc>
          <w:tcPr>
            <w:tcW w:w="7797" w:type="dxa"/>
          </w:tcPr>
          <w:p w14:paraId="62685517" w14:textId="77777777" w:rsidR="00B402F0" w:rsidRPr="00FD253E" w:rsidRDefault="00B402F0" w:rsidP="004A2DB1">
            <w:pPr>
              <w:pStyle w:val="AERbulletlistfirststyle"/>
              <w:spacing w:after="60"/>
              <w:ind w:left="318" w:hanging="318"/>
              <w:rPr>
                <w:sz w:val="18"/>
                <w:szCs w:val="18"/>
              </w:rPr>
            </w:pPr>
            <w:r w:rsidRPr="00FD253E">
              <w:rPr>
                <w:sz w:val="18"/>
                <w:szCs w:val="18"/>
              </w:rPr>
              <w:t xml:space="preserve">Support requiring tariffs to be economically efficient and cost reflective (targeting time and location of use). </w:t>
            </w:r>
          </w:p>
          <w:p w14:paraId="53ADB75D" w14:textId="3E02DDEA" w:rsidR="006C05D2" w:rsidRDefault="00044150" w:rsidP="003D1908">
            <w:pPr>
              <w:pStyle w:val="AERbulletlistfirststyle"/>
              <w:spacing w:after="60"/>
              <w:ind w:left="743" w:hanging="284"/>
              <w:rPr>
                <w:sz w:val="18"/>
                <w:szCs w:val="18"/>
              </w:rPr>
            </w:pPr>
            <w:r>
              <w:rPr>
                <w:sz w:val="18"/>
                <w:szCs w:val="18"/>
              </w:rPr>
              <w:t>Basing tariffs on</w:t>
            </w:r>
            <w:r w:rsidR="00B402F0" w:rsidRPr="00FD253E">
              <w:rPr>
                <w:sz w:val="18"/>
                <w:szCs w:val="18"/>
              </w:rPr>
              <w:t xml:space="preserve"> Long Run Marginal Cost (LRMC) can improve on the status quo. There is no need for prescription on exactly how it should be estimated and applied, so as to not restrict tariff evolution</w:t>
            </w:r>
            <w:r w:rsidR="000D62A2">
              <w:rPr>
                <w:sz w:val="18"/>
                <w:szCs w:val="18"/>
              </w:rPr>
              <w:t>—</w:t>
            </w:r>
            <w:r w:rsidR="00B402F0" w:rsidRPr="00FD253E">
              <w:rPr>
                <w:sz w:val="18"/>
                <w:szCs w:val="18"/>
              </w:rPr>
              <w:t>providing ne</w:t>
            </w:r>
            <w:r>
              <w:rPr>
                <w:sz w:val="18"/>
                <w:szCs w:val="18"/>
              </w:rPr>
              <w:t xml:space="preserve">twork cost drivers are targeted. </w:t>
            </w:r>
          </w:p>
          <w:p w14:paraId="53D609EE" w14:textId="6C662835" w:rsidR="00B402F0" w:rsidRPr="00A61DA7" w:rsidRDefault="00044150" w:rsidP="003D1908">
            <w:pPr>
              <w:pStyle w:val="AERbulletlistfirststyle"/>
              <w:spacing w:after="60"/>
              <w:ind w:left="743" w:hanging="284"/>
              <w:rPr>
                <w:sz w:val="18"/>
                <w:szCs w:val="18"/>
              </w:rPr>
            </w:pPr>
            <w:r w:rsidRPr="00A61DA7">
              <w:rPr>
                <w:sz w:val="18"/>
                <w:szCs w:val="18"/>
              </w:rPr>
              <w:t>F</w:t>
            </w:r>
            <w:r w:rsidR="00B402F0" w:rsidRPr="00A61DA7">
              <w:rPr>
                <w:sz w:val="18"/>
                <w:szCs w:val="18"/>
              </w:rPr>
              <w:t>urther</w:t>
            </w:r>
            <w:r w:rsidR="006C05D2" w:rsidRPr="00A61DA7">
              <w:rPr>
                <w:sz w:val="18"/>
                <w:szCs w:val="18"/>
              </w:rPr>
              <w:t>,</w:t>
            </w:r>
            <w:r w:rsidR="00B402F0" w:rsidRPr="00A61DA7">
              <w:rPr>
                <w:sz w:val="18"/>
                <w:szCs w:val="18"/>
              </w:rPr>
              <w:t xml:space="preserve"> guidance </w:t>
            </w:r>
            <w:r w:rsidR="00202EBB" w:rsidRPr="00A61DA7">
              <w:rPr>
                <w:sz w:val="18"/>
                <w:szCs w:val="18"/>
              </w:rPr>
              <w:t>should be provided</w:t>
            </w:r>
            <w:r w:rsidR="00B402F0" w:rsidRPr="00A61DA7">
              <w:rPr>
                <w:sz w:val="18"/>
                <w:szCs w:val="18"/>
              </w:rPr>
              <w:t xml:space="preserve"> on its interpretation</w:t>
            </w:r>
            <w:r w:rsidR="006C05D2" w:rsidRPr="00A61DA7">
              <w:rPr>
                <w:sz w:val="18"/>
                <w:szCs w:val="18"/>
              </w:rPr>
              <w:t xml:space="preserve"> </w:t>
            </w:r>
            <w:r w:rsidR="00202EBB" w:rsidRPr="00A61DA7">
              <w:rPr>
                <w:sz w:val="18"/>
                <w:szCs w:val="18"/>
              </w:rPr>
              <w:t>to</w:t>
            </w:r>
            <w:r w:rsidR="006C05D2" w:rsidRPr="00A61DA7">
              <w:rPr>
                <w:sz w:val="18"/>
                <w:szCs w:val="18"/>
              </w:rPr>
              <w:t xml:space="preserve"> account </w:t>
            </w:r>
            <w:r w:rsidR="00202EBB" w:rsidRPr="00A61DA7">
              <w:rPr>
                <w:sz w:val="18"/>
                <w:szCs w:val="18"/>
              </w:rPr>
              <w:t>for</w:t>
            </w:r>
            <w:r w:rsidR="00957D51">
              <w:rPr>
                <w:sz w:val="18"/>
                <w:szCs w:val="18"/>
              </w:rPr>
              <w:t xml:space="preserve"> time and location factors—</w:t>
            </w:r>
            <w:r w:rsidR="006C05D2" w:rsidRPr="00A61DA7">
              <w:rPr>
                <w:sz w:val="18"/>
                <w:szCs w:val="18"/>
              </w:rPr>
              <w:t>this could preferably be covered in an AER guideline</w:t>
            </w:r>
          </w:p>
          <w:p w14:paraId="5ABD79F4" w14:textId="66796A9D" w:rsidR="00B402F0" w:rsidRPr="00FD253E" w:rsidRDefault="00B402F0" w:rsidP="003D1908">
            <w:pPr>
              <w:pStyle w:val="AERbulletlistfirststyle"/>
              <w:spacing w:after="60"/>
              <w:ind w:left="743" w:hanging="284"/>
              <w:rPr>
                <w:sz w:val="18"/>
                <w:szCs w:val="18"/>
              </w:rPr>
            </w:pPr>
            <w:r w:rsidRPr="00FD253E">
              <w:rPr>
                <w:sz w:val="18"/>
                <w:szCs w:val="18"/>
              </w:rPr>
              <w:t xml:space="preserve">The </w:t>
            </w:r>
            <w:r w:rsidR="00202EBB">
              <w:rPr>
                <w:sz w:val="18"/>
                <w:szCs w:val="18"/>
              </w:rPr>
              <w:t>preferred</w:t>
            </w:r>
            <w:r w:rsidR="00202EBB" w:rsidRPr="00FD253E">
              <w:rPr>
                <w:sz w:val="18"/>
                <w:szCs w:val="18"/>
              </w:rPr>
              <w:t xml:space="preserve"> </w:t>
            </w:r>
            <w:r w:rsidRPr="00FD253E">
              <w:rPr>
                <w:sz w:val="18"/>
                <w:szCs w:val="18"/>
              </w:rPr>
              <w:t xml:space="preserve">approach to recover </w:t>
            </w:r>
            <w:r w:rsidR="00202EBB">
              <w:rPr>
                <w:sz w:val="18"/>
                <w:szCs w:val="18"/>
              </w:rPr>
              <w:t xml:space="preserve">fixed </w:t>
            </w:r>
            <w:r w:rsidRPr="00FD253E">
              <w:rPr>
                <w:sz w:val="18"/>
                <w:szCs w:val="18"/>
              </w:rPr>
              <w:t>c</w:t>
            </w:r>
            <w:r w:rsidR="00044150">
              <w:rPr>
                <w:sz w:val="18"/>
                <w:szCs w:val="18"/>
              </w:rPr>
              <w:t xml:space="preserve">osts </w:t>
            </w:r>
            <w:r w:rsidR="00202EBB">
              <w:rPr>
                <w:sz w:val="18"/>
                <w:szCs w:val="18"/>
              </w:rPr>
              <w:t>(</w:t>
            </w:r>
            <w:r w:rsidR="00044150">
              <w:rPr>
                <w:sz w:val="18"/>
                <w:szCs w:val="18"/>
              </w:rPr>
              <w:t>residual to</w:t>
            </w:r>
            <w:r w:rsidRPr="00FD253E">
              <w:rPr>
                <w:sz w:val="18"/>
                <w:szCs w:val="18"/>
              </w:rPr>
              <w:t xml:space="preserve"> LRMC</w:t>
            </w:r>
            <w:r w:rsidR="00202EBB">
              <w:rPr>
                <w:sz w:val="18"/>
                <w:szCs w:val="18"/>
              </w:rPr>
              <w:t>-based pricing)</w:t>
            </w:r>
            <w:r w:rsidRPr="00FD253E">
              <w:rPr>
                <w:sz w:val="18"/>
                <w:szCs w:val="18"/>
              </w:rPr>
              <w:t xml:space="preserve"> appears to be via f</w:t>
            </w:r>
            <w:r w:rsidR="00044150">
              <w:rPr>
                <w:sz w:val="18"/>
                <w:szCs w:val="18"/>
              </w:rPr>
              <w:t xml:space="preserve">ixed charges, and </w:t>
            </w:r>
            <w:r w:rsidR="00EF735D">
              <w:rPr>
                <w:sz w:val="18"/>
                <w:szCs w:val="18"/>
              </w:rPr>
              <w:t xml:space="preserve">cost reflectively </w:t>
            </w:r>
            <w:r w:rsidRPr="00FD253E">
              <w:rPr>
                <w:sz w:val="18"/>
                <w:szCs w:val="18"/>
              </w:rPr>
              <w:t>apportion</w:t>
            </w:r>
            <w:r w:rsidR="00044150">
              <w:rPr>
                <w:sz w:val="18"/>
                <w:szCs w:val="18"/>
              </w:rPr>
              <w:t>ing</w:t>
            </w:r>
            <w:r w:rsidRPr="00FD253E">
              <w:rPr>
                <w:sz w:val="18"/>
                <w:szCs w:val="18"/>
              </w:rPr>
              <w:t xml:space="preserve"> these (if possible). </w:t>
            </w:r>
          </w:p>
          <w:p w14:paraId="05C48A22" w14:textId="64CD94F1" w:rsidR="00B402F0" w:rsidRPr="00FD253E" w:rsidRDefault="00B402F0" w:rsidP="004A2DB1">
            <w:pPr>
              <w:pStyle w:val="AERbulletlistfirststyle"/>
              <w:spacing w:after="60"/>
              <w:ind w:left="318" w:hanging="284"/>
              <w:rPr>
                <w:sz w:val="18"/>
                <w:szCs w:val="18"/>
              </w:rPr>
            </w:pPr>
            <w:r w:rsidRPr="00FD253E">
              <w:rPr>
                <w:sz w:val="18"/>
                <w:szCs w:val="18"/>
              </w:rPr>
              <w:t xml:space="preserve">Support </w:t>
            </w:r>
            <w:r w:rsidR="00A61DA7">
              <w:rPr>
                <w:sz w:val="18"/>
                <w:szCs w:val="18"/>
              </w:rPr>
              <w:t xml:space="preserve">a </w:t>
            </w:r>
            <w:r w:rsidR="00044150">
              <w:rPr>
                <w:sz w:val="18"/>
                <w:szCs w:val="18"/>
              </w:rPr>
              <w:t>requirement</w:t>
            </w:r>
            <w:r w:rsidRPr="00FD253E">
              <w:rPr>
                <w:sz w:val="18"/>
                <w:szCs w:val="18"/>
              </w:rPr>
              <w:t xml:space="preserve"> to consider customer impacts of tariffs. The principle’s intent needs exploring but should be broad to cover the appropriateness of tariffs and matters of managing tariff transition / volatility.</w:t>
            </w:r>
          </w:p>
        </w:tc>
      </w:tr>
      <w:tr w:rsidR="00B402F0" w:rsidRPr="00FD253E" w14:paraId="5A5DE1FE" w14:textId="77777777" w:rsidTr="00FD253E">
        <w:tc>
          <w:tcPr>
            <w:tcW w:w="1242" w:type="dxa"/>
          </w:tcPr>
          <w:p w14:paraId="2DCF1A7B" w14:textId="4F3D06E1" w:rsidR="00B402F0" w:rsidRPr="00FD253E" w:rsidRDefault="00B402F0" w:rsidP="00B402F0">
            <w:pPr>
              <w:pStyle w:val="AERbulletlistfirststyle"/>
              <w:numPr>
                <w:ilvl w:val="0"/>
                <w:numId w:val="0"/>
              </w:numPr>
              <w:rPr>
                <w:b/>
                <w:sz w:val="18"/>
                <w:szCs w:val="18"/>
              </w:rPr>
            </w:pPr>
            <w:r w:rsidRPr="00FD253E">
              <w:rPr>
                <w:b/>
                <w:sz w:val="18"/>
                <w:szCs w:val="18"/>
              </w:rPr>
              <w:t>Tariff classes</w:t>
            </w:r>
          </w:p>
        </w:tc>
        <w:tc>
          <w:tcPr>
            <w:tcW w:w="7797" w:type="dxa"/>
          </w:tcPr>
          <w:p w14:paraId="1B4DFCD2" w14:textId="3FD0E3E7" w:rsidR="00FD253E" w:rsidRPr="00FD253E" w:rsidRDefault="00FD253E" w:rsidP="00044150">
            <w:pPr>
              <w:pStyle w:val="AERbulletlistfirststyle"/>
              <w:spacing w:after="100"/>
              <w:ind w:left="318" w:hanging="284"/>
              <w:rPr>
                <w:sz w:val="18"/>
                <w:szCs w:val="18"/>
              </w:rPr>
            </w:pPr>
            <w:r w:rsidRPr="00FD253E">
              <w:rPr>
                <w:sz w:val="18"/>
                <w:szCs w:val="18"/>
              </w:rPr>
              <w:t xml:space="preserve">Support amendment making it mandatory for tariff classes to be defined on an economically efficient basis </w:t>
            </w:r>
            <w:r w:rsidR="006C05D2">
              <w:rPr>
                <w:sz w:val="18"/>
                <w:szCs w:val="18"/>
              </w:rPr>
              <w:t>taking account of</w:t>
            </w:r>
            <w:r w:rsidRPr="00FD253E">
              <w:rPr>
                <w:sz w:val="18"/>
                <w:szCs w:val="18"/>
              </w:rPr>
              <w:t xml:space="preserve"> transaction costs</w:t>
            </w:r>
            <w:r w:rsidR="000D62A2">
              <w:rPr>
                <w:sz w:val="18"/>
                <w:szCs w:val="18"/>
              </w:rPr>
              <w:t>—</w:t>
            </w:r>
            <w:r w:rsidRPr="00FD253E">
              <w:rPr>
                <w:sz w:val="18"/>
                <w:szCs w:val="18"/>
              </w:rPr>
              <w:t xml:space="preserve">providing consistency </w:t>
            </w:r>
            <w:r w:rsidR="006C05D2">
              <w:rPr>
                <w:sz w:val="18"/>
                <w:szCs w:val="18"/>
              </w:rPr>
              <w:t>in</w:t>
            </w:r>
            <w:r w:rsidR="006C05D2" w:rsidRPr="00FD253E">
              <w:rPr>
                <w:sz w:val="18"/>
                <w:szCs w:val="18"/>
              </w:rPr>
              <w:t xml:space="preserve"> </w:t>
            </w:r>
            <w:r w:rsidRPr="00FD253E">
              <w:rPr>
                <w:sz w:val="18"/>
                <w:szCs w:val="18"/>
              </w:rPr>
              <w:t xml:space="preserve">the pricing rules </w:t>
            </w:r>
            <w:r w:rsidR="006C05D2">
              <w:rPr>
                <w:sz w:val="18"/>
                <w:szCs w:val="18"/>
              </w:rPr>
              <w:t>on</w:t>
            </w:r>
            <w:r w:rsidRPr="00FD253E">
              <w:rPr>
                <w:sz w:val="18"/>
                <w:szCs w:val="18"/>
              </w:rPr>
              <w:t xml:space="preserve"> the need for cost reflectivity.</w:t>
            </w:r>
          </w:p>
          <w:p w14:paraId="7D37A264" w14:textId="6263077A" w:rsidR="00B402F0" w:rsidRPr="00FD253E" w:rsidRDefault="00A927A6" w:rsidP="006C05D2">
            <w:pPr>
              <w:pStyle w:val="AERbulletlistfirststyle"/>
              <w:spacing w:after="80"/>
              <w:ind w:left="318" w:hanging="284"/>
              <w:rPr>
                <w:sz w:val="18"/>
                <w:szCs w:val="18"/>
              </w:rPr>
            </w:pPr>
            <w:r>
              <w:rPr>
                <w:sz w:val="18"/>
                <w:szCs w:val="18"/>
              </w:rPr>
              <w:t>Recommend need for</w:t>
            </w:r>
            <w:r w:rsidR="00FD253E" w:rsidRPr="00FD253E">
              <w:rPr>
                <w:sz w:val="18"/>
                <w:szCs w:val="18"/>
              </w:rPr>
              <w:t xml:space="preserve"> clarity </w:t>
            </w:r>
            <w:r>
              <w:rPr>
                <w:sz w:val="18"/>
                <w:szCs w:val="18"/>
              </w:rPr>
              <w:t>on interpreting criteria for</w:t>
            </w:r>
            <w:r w:rsidR="000D62A2">
              <w:rPr>
                <w:sz w:val="18"/>
                <w:szCs w:val="18"/>
              </w:rPr>
              <w:t xml:space="preserve"> assignment and reassignment</w:t>
            </w:r>
            <w:r w:rsidR="00FD253E" w:rsidRPr="00FD253E">
              <w:rPr>
                <w:sz w:val="18"/>
                <w:szCs w:val="18"/>
              </w:rPr>
              <w:t xml:space="preserve"> of customers between tariff classes. </w:t>
            </w:r>
            <w:r w:rsidR="006C05D2">
              <w:rPr>
                <w:sz w:val="18"/>
                <w:szCs w:val="18"/>
              </w:rPr>
              <w:t>Examine</w:t>
            </w:r>
            <w:r>
              <w:rPr>
                <w:sz w:val="18"/>
                <w:szCs w:val="18"/>
              </w:rPr>
              <w:t xml:space="preserve"> </w:t>
            </w:r>
            <w:r w:rsidR="00FD253E" w:rsidRPr="00FD253E">
              <w:rPr>
                <w:sz w:val="18"/>
                <w:szCs w:val="18"/>
              </w:rPr>
              <w:t xml:space="preserve">criteria referring to the ‘nature and extent of a customer’s usage’ and </w:t>
            </w:r>
            <w:r w:rsidR="006C05D2">
              <w:rPr>
                <w:sz w:val="18"/>
                <w:szCs w:val="18"/>
              </w:rPr>
              <w:t>how</w:t>
            </w:r>
            <w:r w:rsidR="00FD253E" w:rsidRPr="00FD253E">
              <w:rPr>
                <w:sz w:val="18"/>
                <w:szCs w:val="18"/>
              </w:rPr>
              <w:t xml:space="preserve"> customers with micro-generation should </w:t>
            </w:r>
            <w:r w:rsidR="006C05D2">
              <w:rPr>
                <w:sz w:val="18"/>
                <w:szCs w:val="18"/>
              </w:rPr>
              <w:t>be treated as compared to</w:t>
            </w:r>
            <w:r w:rsidR="00FD253E" w:rsidRPr="00FD253E">
              <w:rPr>
                <w:sz w:val="18"/>
                <w:szCs w:val="18"/>
              </w:rPr>
              <w:t xml:space="preserve"> customers without such facilities</w:t>
            </w:r>
            <w:r w:rsidR="00E011FE">
              <w:rPr>
                <w:sz w:val="18"/>
                <w:szCs w:val="18"/>
              </w:rPr>
              <w:t>.</w:t>
            </w:r>
            <w:r w:rsidR="00FD253E" w:rsidRPr="00FD253E">
              <w:rPr>
                <w:sz w:val="18"/>
                <w:szCs w:val="18"/>
              </w:rPr>
              <w:t xml:space="preserve"> </w:t>
            </w:r>
          </w:p>
        </w:tc>
      </w:tr>
      <w:tr w:rsidR="00B402F0" w:rsidRPr="00FD253E" w14:paraId="14509B48" w14:textId="77777777" w:rsidTr="00FD253E">
        <w:tc>
          <w:tcPr>
            <w:tcW w:w="1242" w:type="dxa"/>
          </w:tcPr>
          <w:p w14:paraId="5EB3BD4A" w14:textId="22DE1A53" w:rsidR="00B402F0" w:rsidRPr="00FD253E" w:rsidRDefault="00FD253E" w:rsidP="00B402F0">
            <w:pPr>
              <w:pStyle w:val="AERbulletlistfirststyle"/>
              <w:numPr>
                <w:ilvl w:val="0"/>
                <w:numId w:val="0"/>
              </w:numPr>
              <w:rPr>
                <w:b/>
                <w:sz w:val="18"/>
                <w:szCs w:val="18"/>
              </w:rPr>
            </w:pPr>
            <w:r w:rsidRPr="00FD253E">
              <w:rPr>
                <w:b/>
                <w:sz w:val="18"/>
                <w:szCs w:val="18"/>
              </w:rPr>
              <w:t>New framework with P</w:t>
            </w:r>
            <w:r>
              <w:rPr>
                <w:b/>
                <w:sz w:val="18"/>
                <w:szCs w:val="18"/>
              </w:rPr>
              <w:t>rice Structures Statement (PSS)</w:t>
            </w:r>
          </w:p>
        </w:tc>
        <w:tc>
          <w:tcPr>
            <w:tcW w:w="7797" w:type="dxa"/>
          </w:tcPr>
          <w:p w14:paraId="28A818D1" w14:textId="77219FBD" w:rsidR="00FD253E" w:rsidRPr="00FD253E" w:rsidRDefault="00FD253E" w:rsidP="00044150">
            <w:pPr>
              <w:pStyle w:val="AERbulletlistfirststyle"/>
              <w:spacing w:after="100"/>
              <w:ind w:left="318" w:hanging="284"/>
              <w:rPr>
                <w:sz w:val="18"/>
                <w:szCs w:val="18"/>
              </w:rPr>
            </w:pPr>
            <w:r w:rsidRPr="00FD253E">
              <w:rPr>
                <w:sz w:val="18"/>
                <w:szCs w:val="18"/>
              </w:rPr>
              <w:t xml:space="preserve">Support requiring distributors to prepare, consult on, and be bound to (in regard to tariff structure) a PSS, as a focal point for </w:t>
            </w:r>
            <w:r w:rsidR="000D62A2">
              <w:rPr>
                <w:sz w:val="18"/>
                <w:szCs w:val="18"/>
              </w:rPr>
              <w:t xml:space="preserve">their </w:t>
            </w:r>
            <w:r w:rsidRPr="00FD253E">
              <w:rPr>
                <w:sz w:val="18"/>
                <w:szCs w:val="18"/>
              </w:rPr>
              <w:t xml:space="preserve">consultation </w:t>
            </w:r>
            <w:r w:rsidR="000D62A2">
              <w:rPr>
                <w:sz w:val="18"/>
                <w:szCs w:val="18"/>
              </w:rPr>
              <w:t>with</w:t>
            </w:r>
            <w:r w:rsidRPr="00FD253E">
              <w:rPr>
                <w:sz w:val="18"/>
                <w:szCs w:val="18"/>
              </w:rPr>
              <w:t xml:space="preserve"> stakeholders.</w:t>
            </w:r>
          </w:p>
          <w:p w14:paraId="43A4CC89" w14:textId="18542CD7" w:rsidR="00044150" w:rsidRDefault="00044150" w:rsidP="003D1908">
            <w:pPr>
              <w:pStyle w:val="AERbulletlistfirststyle"/>
              <w:spacing w:after="60"/>
              <w:ind w:left="743" w:hanging="284"/>
              <w:rPr>
                <w:sz w:val="18"/>
                <w:szCs w:val="18"/>
              </w:rPr>
            </w:pPr>
            <w:r>
              <w:rPr>
                <w:sz w:val="18"/>
                <w:szCs w:val="18"/>
              </w:rPr>
              <w:t>Recommend that the PSS be broad and cover tariff strategy</w:t>
            </w:r>
            <w:r w:rsidR="00A61DA7">
              <w:rPr>
                <w:sz w:val="18"/>
                <w:szCs w:val="18"/>
              </w:rPr>
              <w:t xml:space="preserve"> as well as information SCER suggests. </w:t>
            </w:r>
            <w:r>
              <w:rPr>
                <w:sz w:val="18"/>
                <w:szCs w:val="18"/>
              </w:rPr>
              <w:t>PSS requirements should be set flexibly via an AER guideline.</w:t>
            </w:r>
          </w:p>
          <w:p w14:paraId="53CCCE56" w14:textId="77777777" w:rsidR="00FD253E" w:rsidRPr="00FD253E" w:rsidRDefault="00FD253E" w:rsidP="003D1908">
            <w:pPr>
              <w:pStyle w:val="AERbulletlistfirststyle"/>
              <w:spacing w:after="60"/>
              <w:ind w:left="743" w:hanging="284"/>
              <w:rPr>
                <w:sz w:val="18"/>
                <w:szCs w:val="18"/>
              </w:rPr>
            </w:pPr>
            <w:r w:rsidRPr="00FD253E">
              <w:rPr>
                <w:sz w:val="18"/>
                <w:szCs w:val="18"/>
              </w:rPr>
              <w:t>Require consultation on a PSS prior to submission to the AER for review.</w:t>
            </w:r>
          </w:p>
          <w:p w14:paraId="3071AEEE" w14:textId="3CD5373B" w:rsidR="00B402F0" w:rsidRPr="00FD253E" w:rsidRDefault="00957D51" w:rsidP="003D1908">
            <w:pPr>
              <w:pStyle w:val="AERbulletlistfirststyle"/>
              <w:spacing w:after="100"/>
              <w:ind w:left="743" w:hanging="284"/>
              <w:rPr>
                <w:sz w:val="18"/>
                <w:szCs w:val="18"/>
              </w:rPr>
            </w:pPr>
            <w:r>
              <w:rPr>
                <w:sz w:val="18"/>
                <w:szCs w:val="18"/>
              </w:rPr>
              <w:t>Allow mid</w:t>
            </w:r>
            <w:r w:rsidR="00532B49">
              <w:rPr>
                <w:sz w:val="18"/>
                <w:szCs w:val="18"/>
              </w:rPr>
              <w:t>–</w:t>
            </w:r>
            <w:r w:rsidR="00CF2BEE" w:rsidRPr="00FD253E">
              <w:rPr>
                <w:sz w:val="18"/>
                <w:szCs w:val="18"/>
              </w:rPr>
              <w:t>regulatory period amendments to the PSS</w:t>
            </w:r>
            <w:r w:rsidR="00CF2BEE">
              <w:rPr>
                <w:sz w:val="18"/>
                <w:szCs w:val="18"/>
              </w:rPr>
              <w:t>, where significant changes are proposed</w:t>
            </w:r>
            <w:r w:rsidR="00CF2BEE" w:rsidRPr="00FD253E">
              <w:rPr>
                <w:sz w:val="18"/>
                <w:szCs w:val="18"/>
              </w:rPr>
              <w:t xml:space="preserve"> </w:t>
            </w:r>
            <w:r w:rsidR="00CF2BEE">
              <w:rPr>
                <w:sz w:val="18"/>
                <w:szCs w:val="18"/>
              </w:rPr>
              <w:t>and</w:t>
            </w:r>
            <w:r w:rsidR="00F917E0">
              <w:rPr>
                <w:sz w:val="18"/>
                <w:szCs w:val="18"/>
              </w:rPr>
              <w:t>/or</w:t>
            </w:r>
            <w:r w:rsidR="00CF2BEE">
              <w:rPr>
                <w:sz w:val="18"/>
                <w:szCs w:val="18"/>
              </w:rPr>
              <w:t xml:space="preserve"> AER require</w:t>
            </w:r>
            <w:r w:rsidR="00F917E0">
              <w:rPr>
                <w:sz w:val="18"/>
                <w:szCs w:val="18"/>
              </w:rPr>
              <w:t>s</w:t>
            </w:r>
            <w:r w:rsidR="00CF2BEE">
              <w:rPr>
                <w:sz w:val="18"/>
                <w:szCs w:val="18"/>
              </w:rPr>
              <w:t xml:space="preserve"> </w:t>
            </w:r>
            <w:r w:rsidR="00CF2BEE" w:rsidRPr="00FD253E">
              <w:rPr>
                <w:sz w:val="18"/>
                <w:szCs w:val="18"/>
              </w:rPr>
              <w:t xml:space="preserve">amendments </w:t>
            </w:r>
            <w:r w:rsidR="00CF2BEE">
              <w:rPr>
                <w:sz w:val="18"/>
                <w:szCs w:val="18"/>
              </w:rPr>
              <w:t xml:space="preserve">to ensure a PSS </w:t>
            </w:r>
            <w:r w:rsidR="00CF2BEE" w:rsidRPr="00FD253E">
              <w:rPr>
                <w:sz w:val="18"/>
                <w:szCs w:val="18"/>
              </w:rPr>
              <w:t>better compl</w:t>
            </w:r>
            <w:r w:rsidR="00CF2BEE">
              <w:rPr>
                <w:sz w:val="18"/>
                <w:szCs w:val="18"/>
              </w:rPr>
              <w:t>ies</w:t>
            </w:r>
            <w:r w:rsidR="00CF2BEE" w:rsidRPr="00FD253E">
              <w:rPr>
                <w:sz w:val="18"/>
                <w:szCs w:val="18"/>
              </w:rPr>
              <w:t xml:space="preserve"> with the NER.</w:t>
            </w:r>
          </w:p>
        </w:tc>
      </w:tr>
      <w:tr w:rsidR="00B402F0" w:rsidRPr="00FD253E" w14:paraId="215A533C" w14:textId="77777777" w:rsidTr="00FD253E">
        <w:tc>
          <w:tcPr>
            <w:tcW w:w="1242" w:type="dxa"/>
          </w:tcPr>
          <w:p w14:paraId="7361E32F" w14:textId="630B2FDD" w:rsidR="00B402F0" w:rsidRPr="00FD253E" w:rsidRDefault="00044150" w:rsidP="00FD253E">
            <w:pPr>
              <w:pStyle w:val="AERbulletlistfirststyle"/>
              <w:numPr>
                <w:ilvl w:val="0"/>
                <w:numId w:val="0"/>
              </w:numPr>
              <w:rPr>
                <w:b/>
                <w:sz w:val="18"/>
                <w:szCs w:val="18"/>
              </w:rPr>
            </w:pPr>
            <w:r>
              <w:rPr>
                <w:b/>
                <w:sz w:val="18"/>
                <w:szCs w:val="18"/>
              </w:rPr>
              <w:t>Timing of</w:t>
            </w:r>
            <w:r w:rsidR="00FD253E" w:rsidRPr="00FD253E">
              <w:rPr>
                <w:b/>
                <w:sz w:val="18"/>
                <w:szCs w:val="18"/>
              </w:rPr>
              <w:t xml:space="preserve"> reviews</w:t>
            </w:r>
          </w:p>
        </w:tc>
        <w:tc>
          <w:tcPr>
            <w:tcW w:w="7797" w:type="dxa"/>
          </w:tcPr>
          <w:p w14:paraId="0D556D9A" w14:textId="124011DE" w:rsidR="00B402F0" w:rsidRPr="00FD253E" w:rsidRDefault="00044150" w:rsidP="004A2DB1">
            <w:pPr>
              <w:pStyle w:val="AERbulletlistfirststyle"/>
              <w:spacing w:after="60"/>
              <w:ind w:left="318" w:hanging="284"/>
              <w:rPr>
                <w:sz w:val="18"/>
                <w:szCs w:val="18"/>
              </w:rPr>
            </w:pPr>
            <w:r>
              <w:rPr>
                <w:sz w:val="18"/>
                <w:szCs w:val="18"/>
              </w:rPr>
              <w:t>Broadly support</w:t>
            </w:r>
            <w:r w:rsidR="00FD253E" w:rsidRPr="00FD253E">
              <w:rPr>
                <w:sz w:val="18"/>
                <w:szCs w:val="18"/>
              </w:rPr>
              <w:t xml:space="preserve"> bringing forward the timing of</w:t>
            </w:r>
            <w:r>
              <w:rPr>
                <w:sz w:val="18"/>
                <w:szCs w:val="18"/>
              </w:rPr>
              <w:t xml:space="preserve"> pricing proposals to achieve</w:t>
            </w:r>
            <w:r w:rsidR="00FD253E" w:rsidRPr="00FD253E">
              <w:rPr>
                <w:sz w:val="18"/>
                <w:szCs w:val="18"/>
              </w:rPr>
              <w:t xml:space="preserve"> </w:t>
            </w:r>
            <w:r w:rsidR="009D4423" w:rsidRPr="00FD253E">
              <w:rPr>
                <w:sz w:val="18"/>
                <w:szCs w:val="18"/>
              </w:rPr>
              <w:t>timelier</w:t>
            </w:r>
            <w:r w:rsidR="00FD253E" w:rsidRPr="00FD253E">
              <w:rPr>
                <w:sz w:val="18"/>
                <w:szCs w:val="18"/>
              </w:rPr>
              <w:t xml:space="preserve"> tariff notifications. Practicalities of pricing </w:t>
            </w:r>
            <w:r w:rsidR="00AF63B8">
              <w:rPr>
                <w:sz w:val="18"/>
                <w:szCs w:val="18"/>
              </w:rPr>
              <w:t xml:space="preserve">and </w:t>
            </w:r>
            <w:r w:rsidR="00FD253E" w:rsidRPr="00FD253E">
              <w:rPr>
                <w:sz w:val="18"/>
                <w:szCs w:val="18"/>
              </w:rPr>
              <w:t>input data availabilit</w:t>
            </w:r>
            <w:r w:rsidR="00FD253E">
              <w:rPr>
                <w:sz w:val="18"/>
                <w:szCs w:val="18"/>
              </w:rPr>
              <w:t>y can likely be overcome</w:t>
            </w:r>
            <w:r w:rsidR="006C05D2">
              <w:rPr>
                <w:sz w:val="18"/>
                <w:szCs w:val="18"/>
              </w:rPr>
              <w:t>, keeping in mind achieving an appropriate balance between timeliness and precision</w:t>
            </w:r>
            <w:r w:rsidR="00FD253E">
              <w:rPr>
                <w:sz w:val="18"/>
                <w:szCs w:val="18"/>
              </w:rPr>
              <w:t>.</w:t>
            </w:r>
          </w:p>
        </w:tc>
      </w:tr>
      <w:tr w:rsidR="00B402F0" w:rsidRPr="00FD253E" w14:paraId="5CD25A05" w14:textId="77777777" w:rsidTr="00FD253E">
        <w:tc>
          <w:tcPr>
            <w:tcW w:w="1242" w:type="dxa"/>
          </w:tcPr>
          <w:p w14:paraId="2137F7AB" w14:textId="21F61DBE" w:rsidR="00B402F0" w:rsidRPr="003D1908" w:rsidRDefault="00FD253E" w:rsidP="003D1908">
            <w:pPr>
              <w:pStyle w:val="AERbulletlistfirststyle"/>
              <w:numPr>
                <w:ilvl w:val="0"/>
                <w:numId w:val="0"/>
              </w:numPr>
              <w:rPr>
                <w:b/>
                <w:sz w:val="18"/>
                <w:szCs w:val="18"/>
              </w:rPr>
            </w:pPr>
            <w:r w:rsidRPr="00FD253E">
              <w:rPr>
                <w:b/>
                <w:sz w:val="18"/>
                <w:szCs w:val="18"/>
              </w:rPr>
              <w:t>Tariff transition / volatility</w:t>
            </w:r>
          </w:p>
        </w:tc>
        <w:tc>
          <w:tcPr>
            <w:tcW w:w="7797" w:type="dxa"/>
          </w:tcPr>
          <w:p w14:paraId="1CEF44AA" w14:textId="3A37B353" w:rsidR="00FD253E" w:rsidRPr="00FD253E" w:rsidRDefault="00FD253E" w:rsidP="00A61DA7">
            <w:pPr>
              <w:pStyle w:val="AERbulletlistfirststyle"/>
              <w:spacing w:after="60"/>
              <w:ind w:left="318" w:hanging="284"/>
              <w:rPr>
                <w:sz w:val="18"/>
                <w:szCs w:val="18"/>
              </w:rPr>
            </w:pPr>
            <w:r w:rsidRPr="00FD253E">
              <w:rPr>
                <w:sz w:val="18"/>
                <w:szCs w:val="18"/>
              </w:rPr>
              <w:t>Recommend broader and more direct consideration of approaches intended to manage tariff transitions and volatilit</w:t>
            </w:r>
            <w:r w:rsidR="00AF63B8">
              <w:rPr>
                <w:sz w:val="18"/>
                <w:szCs w:val="18"/>
              </w:rPr>
              <w:t>y</w:t>
            </w:r>
            <w:r w:rsidRPr="00FD253E">
              <w:rPr>
                <w:sz w:val="18"/>
                <w:szCs w:val="18"/>
              </w:rPr>
              <w:t>:</w:t>
            </w:r>
          </w:p>
          <w:p w14:paraId="15A3BC98" w14:textId="3EFA2846" w:rsidR="00C50ABD" w:rsidRDefault="00C50ABD" w:rsidP="003D1908">
            <w:pPr>
              <w:pStyle w:val="AERbulletlistfirststyle"/>
              <w:spacing w:after="60"/>
              <w:ind w:left="743" w:hanging="284"/>
              <w:rPr>
                <w:sz w:val="18"/>
                <w:szCs w:val="18"/>
              </w:rPr>
            </w:pPr>
            <w:r>
              <w:rPr>
                <w:sz w:val="18"/>
                <w:szCs w:val="18"/>
              </w:rPr>
              <w:t xml:space="preserve">Suggest that a rationale for managing these issues </w:t>
            </w:r>
            <w:r w:rsidR="00C313BE">
              <w:rPr>
                <w:sz w:val="18"/>
                <w:szCs w:val="18"/>
              </w:rPr>
              <w:t xml:space="preserve">can be </w:t>
            </w:r>
            <w:r w:rsidR="00CC7DB2">
              <w:rPr>
                <w:sz w:val="18"/>
                <w:szCs w:val="18"/>
              </w:rPr>
              <w:t>designed</w:t>
            </w:r>
            <w:r>
              <w:rPr>
                <w:sz w:val="18"/>
                <w:szCs w:val="18"/>
              </w:rPr>
              <w:t xml:space="preserve"> consistent with the National Electricity Objective (NEO)</w:t>
            </w:r>
            <w:r w:rsidR="003D1908">
              <w:rPr>
                <w:sz w:val="18"/>
                <w:szCs w:val="18"/>
              </w:rPr>
              <w:t>.</w:t>
            </w:r>
          </w:p>
          <w:p w14:paraId="7B2530E9" w14:textId="5CFA70DD" w:rsidR="00B402F0" w:rsidRPr="00A61DA7" w:rsidRDefault="00FD253E" w:rsidP="003D1908">
            <w:pPr>
              <w:pStyle w:val="AERbulletlistfirststyle"/>
              <w:spacing w:after="60"/>
              <w:ind w:left="743" w:hanging="284"/>
              <w:rPr>
                <w:sz w:val="18"/>
                <w:szCs w:val="18"/>
              </w:rPr>
            </w:pPr>
            <w:r w:rsidRPr="00FD253E">
              <w:rPr>
                <w:sz w:val="18"/>
                <w:szCs w:val="18"/>
              </w:rPr>
              <w:t>Suggest the proposed new pricing framework with a binding PSS and requiring considera</w:t>
            </w:r>
            <w:r w:rsidR="003D1908">
              <w:rPr>
                <w:sz w:val="18"/>
                <w:szCs w:val="18"/>
              </w:rPr>
              <w:t>tion of customer impacts</w:t>
            </w:r>
            <w:r w:rsidR="00532B49">
              <w:rPr>
                <w:sz w:val="18"/>
                <w:szCs w:val="18"/>
              </w:rPr>
              <w:t>,</w:t>
            </w:r>
            <w:r w:rsidR="00044150">
              <w:rPr>
                <w:sz w:val="18"/>
                <w:szCs w:val="18"/>
              </w:rPr>
              <w:t xml:space="preserve"> </w:t>
            </w:r>
            <w:r w:rsidRPr="00FD253E">
              <w:rPr>
                <w:sz w:val="18"/>
                <w:szCs w:val="18"/>
              </w:rPr>
              <w:t>provide</w:t>
            </w:r>
            <w:r w:rsidR="00044150">
              <w:rPr>
                <w:sz w:val="18"/>
                <w:szCs w:val="18"/>
              </w:rPr>
              <w:t>s</w:t>
            </w:r>
            <w:r w:rsidRPr="00FD253E">
              <w:rPr>
                <w:sz w:val="18"/>
                <w:szCs w:val="18"/>
              </w:rPr>
              <w:t xml:space="preserve"> </w:t>
            </w:r>
            <w:r w:rsidR="006C05D2">
              <w:rPr>
                <w:sz w:val="18"/>
                <w:szCs w:val="18"/>
              </w:rPr>
              <w:t xml:space="preserve">a </w:t>
            </w:r>
            <w:r w:rsidR="00EF735D">
              <w:rPr>
                <w:sz w:val="18"/>
                <w:szCs w:val="18"/>
              </w:rPr>
              <w:t>platform for distributors</w:t>
            </w:r>
            <w:r w:rsidRPr="00FD253E">
              <w:rPr>
                <w:sz w:val="18"/>
                <w:szCs w:val="18"/>
              </w:rPr>
              <w:t xml:space="preserve"> to manage these issues in consultation with stak</w:t>
            </w:r>
            <w:r w:rsidR="00044150">
              <w:rPr>
                <w:sz w:val="18"/>
                <w:szCs w:val="18"/>
              </w:rPr>
              <w:t>eholders</w:t>
            </w:r>
            <w:r w:rsidRPr="00FD253E">
              <w:rPr>
                <w:sz w:val="18"/>
                <w:szCs w:val="18"/>
              </w:rPr>
              <w:t xml:space="preserve">. </w:t>
            </w:r>
            <w:r w:rsidR="00EF735D">
              <w:rPr>
                <w:sz w:val="18"/>
                <w:szCs w:val="18"/>
              </w:rPr>
              <w:t>This appears preferable to</w:t>
            </w:r>
            <w:r w:rsidRPr="00FD253E">
              <w:rPr>
                <w:sz w:val="18"/>
                <w:szCs w:val="18"/>
              </w:rPr>
              <w:t xml:space="preserve"> prescriptive approaches</w:t>
            </w:r>
            <w:r w:rsidR="001D7E5F">
              <w:rPr>
                <w:sz w:val="18"/>
                <w:szCs w:val="18"/>
              </w:rPr>
              <w:t>,</w:t>
            </w:r>
            <w:r w:rsidRPr="00FD253E">
              <w:rPr>
                <w:sz w:val="18"/>
                <w:szCs w:val="18"/>
              </w:rPr>
              <w:t xml:space="preserve"> </w:t>
            </w:r>
            <w:r w:rsidR="00EF735D">
              <w:rPr>
                <w:sz w:val="18"/>
                <w:szCs w:val="18"/>
              </w:rPr>
              <w:t>like</w:t>
            </w:r>
            <w:r w:rsidR="001D7E5F">
              <w:rPr>
                <w:sz w:val="18"/>
                <w:szCs w:val="18"/>
              </w:rPr>
              <w:t xml:space="preserve"> </w:t>
            </w:r>
            <w:r w:rsidRPr="00FD253E">
              <w:rPr>
                <w:sz w:val="18"/>
                <w:szCs w:val="18"/>
              </w:rPr>
              <w:t>numerical limits on prices</w:t>
            </w:r>
            <w:r w:rsidR="00AF63B8">
              <w:rPr>
                <w:sz w:val="18"/>
                <w:szCs w:val="18"/>
              </w:rPr>
              <w:t xml:space="preserve"> (explicit side constraints in the rules)</w:t>
            </w:r>
            <w:r w:rsidRPr="00FD253E">
              <w:rPr>
                <w:sz w:val="18"/>
                <w:szCs w:val="18"/>
              </w:rPr>
              <w:t xml:space="preserve">. </w:t>
            </w:r>
          </w:p>
        </w:tc>
      </w:tr>
      <w:tr w:rsidR="00B402F0" w:rsidRPr="00FD253E" w14:paraId="65D6179B" w14:textId="77777777" w:rsidTr="00FD253E">
        <w:tc>
          <w:tcPr>
            <w:tcW w:w="1242" w:type="dxa"/>
          </w:tcPr>
          <w:p w14:paraId="0CD469EE" w14:textId="4149804B" w:rsidR="00B402F0" w:rsidRPr="00044150" w:rsidRDefault="00044150" w:rsidP="00044150">
            <w:pPr>
              <w:pStyle w:val="AERbulletlistfirststyle"/>
              <w:numPr>
                <w:ilvl w:val="0"/>
                <w:numId w:val="0"/>
              </w:numPr>
              <w:rPr>
                <w:b/>
                <w:sz w:val="18"/>
                <w:szCs w:val="18"/>
              </w:rPr>
            </w:pPr>
            <w:r>
              <w:rPr>
                <w:b/>
                <w:sz w:val="18"/>
                <w:szCs w:val="18"/>
              </w:rPr>
              <w:t>AER guidelines</w:t>
            </w:r>
          </w:p>
        </w:tc>
        <w:tc>
          <w:tcPr>
            <w:tcW w:w="7797" w:type="dxa"/>
          </w:tcPr>
          <w:p w14:paraId="4BF08974" w14:textId="096CC80A" w:rsidR="00B402F0" w:rsidRPr="00FD253E" w:rsidRDefault="00044150" w:rsidP="0000312C">
            <w:pPr>
              <w:pStyle w:val="AERbulletlistfirststyle"/>
              <w:spacing w:after="60"/>
              <w:ind w:left="318" w:hanging="284"/>
              <w:rPr>
                <w:sz w:val="18"/>
                <w:szCs w:val="18"/>
              </w:rPr>
            </w:pPr>
            <w:r>
              <w:rPr>
                <w:sz w:val="18"/>
                <w:szCs w:val="18"/>
              </w:rPr>
              <w:t>V</w:t>
            </w:r>
            <w:r w:rsidR="00A61DA7">
              <w:rPr>
                <w:sz w:val="18"/>
                <w:szCs w:val="18"/>
              </w:rPr>
              <w:t>arious</w:t>
            </w:r>
            <w:r>
              <w:rPr>
                <w:sz w:val="18"/>
                <w:szCs w:val="18"/>
              </w:rPr>
              <w:t xml:space="preserve"> pricing rules</w:t>
            </w:r>
            <w:r w:rsidR="00FD253E" w:rsidRPr="00FD253E">
              <w:rPr>
                <w:sz w:val="18"/>
                <w:szCs w:val="18"/>
              </w:rPr>
              <w:t xml:space="preserve"> </w:t>
            </w:r>
            <w:r w:rsidR="00A61DA7">
              <w:rPr>
                <w:sz w:val="18"/>
                <w:szCs w:val="18"/>
              </w:rPr>
              <w:t>might</w:t>
            </w:r>
            <w:r>
              <w:rPr>
                <w:sz w:val="18"/>
                <w:szCs w:val="18"/>
              </w:rPr>
              <w:t xml:space="preserve"> require further </w:t>
            </w:r>
            <w:r w:rsidR="001D7E5F">
              <w:rPr>
                <w:sz w:val="18"/>
                <w:szCs w:val="18"/>
              </w:rPr>
              <w:t>clarification</w:t>
            </w:r>
            <w:r w:rsidR="00532B49">
              <w:rPr>
                <w:sz w:val="18"/>
                <w:szCs w:val="18"/>
              </w:rPr>
              <w:t>—</w:t>
            </w:r>
            <w:r w:rsidR="003C5786" w:rsidRPr="00FD253E">
              <w:rPr>
                <w:sz w:val="18"/>
                <w:szCs w:val="18"/>
              </w:rPr>
              <w:t>pricing</w:t>
            </w:r>
            <w:r w:rsidR="00FD253E" w:rsidRPr="00FD253E">
              <w:rPr>
                <w:sz w:val="18"/>
                <w:szCs w:val="18"/>
              </w:rPr>
              <w:t xml:space="preserve"> principles, PSS requirements, tariff class</w:t>
            </w:r>
            <w:r w:rsidR="0000312C">
              <w:rPr>
                <w:sz w:val="18"/>
                <w:szCs w:val="18"/>
              </w:rPr>
              <w:t>es</w:t>
            </w:r>
            <w:r w:rsidR="00FD253E" w:rsidRPr="00FD253E">
              <w:rPr>
                <w:sz w:val="18"/>
                <w:szCs w:val="18"/>
              </w:rPr>
              <w:t xml:space="preserve"> and assignment criteria. </w:t>
            </w:r>
            <w:r w:rsidR="004A2DB1">
              <w:rPr>
                <w:sz w:val="18"/>
                <w:szCs w:val="18"/>
              </w:rPr>
              <w:t>A separate pricing guideline can cover these</w:t>
            </w:r>
            <w:r w:rsidR="001D7E5F">
              <w:rPr>
                <w:sz w:val="18"/>
                <w:szCs w:val="18"/>
              </w:rPr>
              <w:t xml:space="preserve">. </w:t>
            </w:r>
            <w:r w:rsidR="004A2DB1">
              <w:rPr>
                <w:sz w:val="18"/>
                <w:szCs w:val="18"/>
              </w:rPr>
              <w:t xml:space="preserve">Should also consider </w:t>
            </w:r>
            <w:r w:rsidR="00FD253E" w:rsidRPr="00FD253E">
              <w:rPr>
                <w:sz w:val="18"/>
                <w:szCs w:val="18"/>
              </w:rPr>
              <w:t xml:space="preserve">whether </w:t>
            </w:r>
            <w:r w:rsidR="00A61DA7">
              <w:rPr>
                <w:sz w:val="18"/>
                <w:szCs w:val="18"/>
              </w:rPr>
              <w:t>more specific/</w:t>
            </w:r>
            <w:r w:rsidR="00FD253E" w:rsidRPr="00FD253E">
              <w:rPr>
                <w:sz w:val="18"/>
                <w:szCs w:val="18"/>
              </w:rPr>
              <w:t xml:space="preserve">customised guidance on </w:t>
            </w:r>
            <w:r w:rsidR="00F917E0">
              <w:rPr>
                <w:sz w:val="18"/>
                <w:szCs w:val="18"/>
              </w:rPr>
              <w:t>distributor</w:t>
            </w:r>
            <w:r w:rsidR="001D7E5F" w:rsidRPr="00FD253E">
              <w:rPr>
                <w:sz w:val="18"/>
                <w:szCs w:val="18"/>
              </w:rPr>
              <w:t xml:space="preserve"> </w:t>
            </w:r>
            <w:r w:rsidR="00FD253E" w:rsidRPr="00FD253E">
              <w:rPr>
                <w:sz w:val="18"/>
                <w:szCs w:val="18"/>
              </w:rPr>
              <w:t>consultation</w:t>
            </w:r>
            <w:r w:rsidR="00AF63B8">
              <w:rPr>
                <w:sz w:val="18"/>
                <w:szCs w:val="18"/>
              </w:rPr>
              <w:t xml:space="preserve"> is needed</w:t>
            </w:r>
            <w:r w:rsidR="00532B49">
              <w:rPr>
                <w:sz w:val="18"/>
                <w:szCs w:val="18"/>
              </w:rPr>
              <w:t>,</w:t>
            </w:r>
            <w:r w:rsidR="00FD253E" w:rsidRPr="00FD253E">
              <w:rPr>
                <w:sz w:val="18"/>
                <w:szCs w:val="18"/>
              </w:rPr>
              <w:t xml:space="preserve"> than currently </w:t>
            </w:r>
            <w:r w:rsidR="004A2DB1">
              <w:rPr>
                <w:sz w:val="18"/>
                <w:szCs w:val="18"/>
              </w:rPr>
              <w:t>provided</w:t>
            </w:r>
            <w:r w:rsidR="00FD253E" w:rsidRPr="00FD253E">
              <w:rPr>
                <w:sz w:val="18"/>
                <w:szCs w:val="18"/>
              </w:rPr>
              <w:t xml:space="preserve"> in </w:t>
            </w:r>
            <w:r w:rsidR="0000312C">
              <w:rPr>
                <w:sz w:val="18"/>
                <w:szCs w:val="18"/>
              </w:rPr>
              <w:t>AER</w:t>
            </w:r>
            <w:r w:rsidR="0000312C" w:rsidRPr="00FD253E">
              <w:rPr>
                <w:sz w:val="18"/>
                <w:szCs w:val="18"/>
              </w:rPr>
              <w:t xml:space="preserve"> </w:t>
            </w:r>
            <w:r w:rsidR="00FD253E" w:rsidRPr="00FD253E">
              <w:rPr>
                <w:sz w:val="18"/>
                <w:szCs w:val="18"/>
              </w:rPr>
              <w:t xml:space="preserve">Consumer Engagement Guideline. </w:t>
            </w:r>
          </w:p>
        </w:tc>
      </w:tr>
      <w:tr w:rsidR="00B402F0" w:rsidRPr="00FD253E" w14:paraId="7B06F5BC" w14:textId="77777777" w:rsidTr="00FD253E">
        <w:tc>
          <w:tcPr>
            <w:tcW w:w="1242" w:type="dxa"/>
          </w:tcPr>
          <w:p w14:paraId="615487CC" w14:textId="01587CE7" w:rsidR="00B402F0" w:rsidRPr="00FD253E" w:rsidRDefault="00FD253E" w:rsidP="00FD253E">
            <w:pPr>
              <w:tabs>
                <w:tab w:val="left" w:pos="357"/>
              </w:tabs>
              <w:spacing w:after="200"/>
              <w:rPr>
                <w:rFonts w:eastAsia="Times New Roman"/>
                <w:b/>
                <w:sz w:val="18"/>
                <w:szCs w:val="18"/>
              </w:rPr>
            </w:pPr>
            <w:r w:rsidRPr="00FD253E">
              <w:rPr>
                <w:rFonts w:eastAsia="Times New Roman"/>
                <w:b/>
                <w:sz w:val="18"/>
                <w:szCs w:val="18"/>
              </w:rPr>
              <w:t>Timing of reforms</w:t>
            </w:r>
          </w:p>
        </w:tc>
        <w:tc>
          <w:tcPr>
            <w:tcW w:w="7797" w:type="dxa"/>
          </w:tcPr>
          <w:p w14:paraId="02EA8BEF" w14:textId="27DCFCEE" w:rsidR="00B402F0" w:rsidRPr="00FD253E" w:rsidRDefault="00A61DA7" w:rsidP="004A2DB1">
            <w:pPr>
              <w:pStyle w:val="AERbulletlistfirststyle"/>
              <w:spacing w:after="60"/>
              <w:ind w:left="318" w:hanging="284"/>
              <w:rPr>
                <w:sz w:val="18"/>
                <w:szCs w:val="18"/>
              </w:rPr>
            </w:pPr>
            <w:r>
              <w:rPr>
                <w:sz w:val="18"/>
                <w:szCs w:val="18"/>
              </w:rPr>
              <w:t>F</w:t>
            </w:r>
            <w:r w:rsidR="001D7E5F">
              <w:rPr>
                <w:sz w:val="18"/>
                <w:szCs w:val="18"/>
              </w:rPr>
              <w:t xml:space="preserve">urther consideration required on </w:t>
            </w:r>
            <w:r>
              <w:rPr>
                <w:sz w:val="18"/>
                <w:szCs w:val="18"/>
              </w:rPr>
              <w:t>how/</w:t>
            </w:r>
            <w:r w:rsidR="00FD253E" w:rsidRPr="00FD253E">
              <w:rPr>
                <w:sz w:val="18"/>
                <w:szCs w:val="18"/>
              </w:rPr>
              <w:t>when to introduce the pricing reforms, given potential constraints for upcoming revenue determinations for NSW/ACT</w:t>
            </w:r>
            <w:r w:rsidR="00AF63B8">
              <w:rPr>
                <w:sz w:val="18"/>
                <w:szCs w:val="18"/>
              </w:rPr>
              <w:t xml:space="preserve"> and </w:t>
            </w:r>
            <w:r w:rsidR="00FD253E" w:rsidRPr="00FD253E">
              <w:rPr>
                <w:sz w:val="18"/>
                <w:szCs w:val="18"/>
              </w:rPr>
              <w:t>SA/QLD.</w:t>
            </w:r>
          </w:p>
        </w:tc>
      </w:tr>
    </w:tbl>
    <w:p w14:paraId="4DEAE144" w14:textId="77777777" w:rsidR="00B402F0" w:rsidRPr="003D1908" w:rsidRDefault="00B402F0" w:rsidP="00B402F0">
      <w:pPr>
        <w:pStyle w:val="AERbodytext"/>
        <w:numPr>
          <w:ilvl w:val="0"/>
          <w:numId w:val="0"/>
        </w:numPr>
        <w:rPr>
          <w:sz w:val="16"/>
          <w:szCs w:val="16"/>
        </w:rPr>
      </w:pPr>
    </w:p>
    <w:p w14:paraId="791E867C" w14:textId="34AAE44E" w:rsidR="00996ADF" w:rsidRDefault="00AC2504" w:rsidP="00291965">
      <w:pPr>
        <w:pStyle w:val="Heading1"/>
        <w:spacing w:before="40" w:after="80"/>
      </w:pPr>
      <w:bookmarkStart w:id="13" w:name="_Toc375143041"/>
      <w:r>
        <w:lastRenderedPageBreak/>
        <w:t>Introduction</w:t>
      </w:r>
      <w:bookmarkEnd w:id="13"/>
    </w:p>
    <w:p w14:paraId="3E14EE83" w14:textId="6B514ACD" w:rsidR="004050C2" w:rsidRPr="00291965" w:rsidRDefault="00090F54" w:rsidP="00291965">
      <w:pPr>
        <w:pStyle w:val="AERbodytext"/>
        <w:spacing w:after="180"/>
        <w:rPr>
          <w:sz w:val="19"/>
          <w:szCs w:val="19"/>
        </w:rPr>
      </w:pPr>
      <w:r w:rsidRPr="00291965">
        <w:rPr>
          <w:sz w:val="19"/>
          <w:szCs w:val="19"/>
        </w:rPr>
        <w:t>The AER</w:t>
      </w:r>
      <w:r w:rsidR="0043367A" w:rsidRPr="00291965">
        <w:rPr>
          <w:sz w:val="19"/>
          <w:szCs w:val="19"/>
        </w:rPr>
        <w:t xml:space="preserve"> welcome</w:t>
      </w:r>
      <w:r w:rsidRPr="00291965">
        <w:rPr>
          <w:sz w:val="19"/>
          <w:szCs w:val="19"/>
        </w:rPr>
        <w:t>s</w:t>
      </w:r>
      <w:r w:rsidR="00996ADF" w:rsidRPr="00291965">
        <w:rPr>
          <w:sz w:val="19"/>
          <w:szCs w:val="19"/>
        </w:rPr>
        <w:t xml:space="preserve"> the opportunity to respond to the AEMC's</w:t>
      </w:r>
      <w:r w:rsidR="00BB2F3D" w:rsidRPr="00291965">
        <w:rPr>
          <w:sz w:val="19"/>
          <w:szCs w:val="19"/>
        </w:rPr>
        <w:t xml:space="preserve"> </w:t>
      </w:r>
      <w:r w:rsidR="003D69E2" w:rsidRPr="00291965">
        <w:rPr>
          <w:sz w:val="19"/>
          <w:szCs w:val="19"/>
        </w:rPr>
        <w:t xml:space="preserve">consultation paper </w:t>
      </w:r>
      <w:r w:rsidRPr="00291965">
        <w:rPr>
          <w:sz w:val="19"/>
          <w:szCs w:val="19"/>
        </w:rPr>
        <w:t>on</w:t>
      </w:r>
      <w:r w:rsidR="00AC2504" w:rsidRPr="00291965">
        <w:rPr>
          <w:sz w:val="19"/>
          <w:szCs w:val="19"/>
        </w:rPr>
        <w:t xml:space="preserve"> proposed</w:t>
      </w:r>
      <w:r w:rsidRPr="00291965">
        <w:rPr>
          <w:sz w:val="19"/>
          <w:szCs w:val="19"/>
        </w:rPr>
        <w:t xml:space="preserve"> changes</w:t>
      </w:r>
      <w:r w:rsidR="00AC2504" w:rsidRPr="00291965">
        <w:rPr>
          <w:sz w:val="19"/>
          <w:szCs w:val="19"/>
        </w:rPr>
        <w:t xml:space="preserve"> to the </w:t>
      </w:r>
      <w:r w:rsidR="00AC2504" w:rsidRPr="00291965">
        <w:rPr>
          <w:rFonts w:hint="eastAsia"/>
          <w:sz w:val="19"/>
          <w:szCs w:val="19"/>
        </w:rPr>
        <w:t>distribution</w:t>
      </w:r>
      <w:r w:rsidR="00AC2504" w:rsidRPr="00291965">
        <w:rPr>
          <w:sz w:val="19"/>
          <w:szCs w:val="19"/>
        </w:rPr>
        <w:t xml:space="preserve"> network pricing arrangements in the National Electricity Rules (NER). This c</w:t>
      </w:r>
      <w:r w:rsidR="00572DEC" w:rsidRPr="00291965">
        <w:rPr>
          <w:sz w:val="19"/>
          <w:szCs w:val="19"/>
        </w:rPr>
        <w:t>onsolidates</w:t>
      </w:r>
      <w:r w:rsidR="0043367A" w:rsidRPr="00291965">
        <w:rPr>
          <w:sz w:val="19"/>
          <w:szCs w:val="19"/>
        </w:rPr>
        <w:t xml:space="preserve"> </w:t>
      </w:r>
      <w:r w:rsidRPr="00291965">
        <w:rPr>
          <w:sz w:val="19"/>
          <w:szCs w:val="19"/>
        </w:rPr>
        <w:t xml:space="preserve">proposals from </w:t>
      </w:r>
      <w:r w:rsidR="00AC2504" w:rsidRPr="00291965">
        <w:rPr>
          <w:sz w:val="19"/>
          <w:szCs w:val="19"/>
        </w:rPr>
        <w:t xml:space="preserve">the Independent Pricing and Regulatory Tribunal </w:t>
      </w:r>
      <w:r w:rsidR="00572DEC" w:rsidRPr="00291965">
        <w:rPr>
          <w:sz w:val="19"/>
          <w:szCs w:val="19"/>
        </w:rPr>
        <w:t>(IPART) of New South Wales</w:t>
      </w:r>
      <w:r w:rsidR="00AC2504" w:rsidRPr="00291965">
        <w:rPr>
          <w:sz w:val="19"/>
          <w:szCs w:val="19"/>
        </w:rPr>
        <w:t xml:space="preserve"> and the Standing Council on Energy and Resources (SCER)</w:t>
      </w:r>
      <w:r w:rsidR="0043367A" w:rsidRPr="00291965">
        <w:rPr>
          <w:sz w:val="19"/>
          <w:szCs w:val="19"/>
        </w:rPr>
        <w:t xml:space="preserve">. </w:t>
      </w:r>
      <w:r w:rsidR="00572DEC" w:rsidRPr="00291965">
        <w:rPr>
          <w:sz w:val="19"/>
          <w:szCs w:val="19"/>
        </w:rPr>
        <w:t>This</w:t>
      </w:r>
      <w:r w:rsidR="0043367A" w:rsidRPr="00291965">
        <w:rPr>
          <w:sz w:val="19"/>
          <w:szCs w:val="19"/>
        </w:rPr>
        <w:t xml:space="preserve"> </w:t>
      </w:r>
      <w:r w:rsidR="00773C3E" w:rsidRPr="00291965">
        <w:rPr>
          <w:sz w:val="19"/>
          <w:szCs w:val="19"/>
        </w:rPr>
        <w:t xml:space="preserve">is </w:t>
      </w:r>
      <w:r w:rsidR="00AC2504" w:rsidRPr="00291965">
        <w:rPr>
          <w:sz w:val="19"/>
          <w:szCs w:val="19"/>
        </w:rPr>
        <w:t xml:space="preserve">a </w:t>
      </w:r>
      <w:r w:rsidR="00AC2504" w:rsidRPr="00291965">
        <w:rPr>
          <w:rFonts w:hint="eastAsia"/>
          <w:sz w:val="19"/>
          <w:szCs w:val="19"/>
        </w:rPr>
        <w:t>significant</w:t>
      </w:r>
      <w:r w:rsidR="00AC2504" w:rsidRPr="00291965">
        <w:rPr>
          <w:sz w:val="19"/>
          <w:szCs w:val="19"/>
        </w:rPr>
        <w:t xml:space="preserve"> package of </w:t>
      </w:r>
      <w:r w:rsidR="004E2710" w:rsidRPr="00291965">
        <w:rPr>
          <w:sz w:val="19"/>
          <w:szCs w:val="19"/>
        </w:rPr>
        <w:t>reforms that</w:t>
      </w:r>
      <w:r w:rsidR="00861089" w:rsidRPr="00291965">
        <w:rPr>
          <w:sz w:val="19"/>
          <w:szCs w:val="19"/>
        </w:rPr>
        <w:t xml:space="preserve"> raise</w:t>
      </w:r>
      <w:r w:rsidR="00C857A4" w:rsidRPr="00291965">
        <w:rPr>
          <w:sz w:val="19"/>
          <w:szCs w:val="19"/>
        </w:rPr>
        <w:t>s</w:t>
      </w:r>
      <w:r w:rsidR="00861089" w:rsidRPr="00291965">
        <w:rPr>
          <w:sz w:val="19"/>
          <w:szCs w:val="19"/>
        </w:rPr>
        <w:t xml:space="preserve"> a number </w:t>
      </w:r>
      <w:r w:rsidR="00773C3E" w:rsidRPr="00291965">
        <w:rPr>
          <w:sz w:val="19"/>
          <w:szCs w:val="19"/>
        </w:rPr>
        <w:t>of</w:t>
      </w:r>
      <w:r w:rsidR="00861089" w:rsidRPr="00291965">
        <w:rPr>
          <w:sz w:val="19"/>
          <w:szCs w:val="19"/>
        </w:rPr>
        <w:t xml:space="preserve"> issues around the </w:t>
      </w:r>
      <w:r w:rsidR="00CC7DB2" w:rsidRPr="00291965">
        <w:rPr>
          <w:sz w:val="19"/>
          <w:szCs w:val="19"/>
        </w:rPr>
        <w:t xml:space="preserve">rationale for, and management of, a transition to more cost reflective distribution pricing. </w:t>
      </w:r>
    </w:p>
    <w:p w14:paraId="4E943577" w14:textId="77BEC8F3" w:rsidR="00FD369C" w:rsidRPr="00291965" w:rsidRDefault="00AC2504" w:rsidP="00291965">
      <w:pPr>
        <w:pStyle w:val="AERbodytext"/>
        <w:spacing w:after="180"/>
        <w:rPr>
          <w:sz w:val="19"/>
          <w:szCs w:val="19"/>
        </w:rPr>
      </w:pPr>
      <w:r w:rsidRPr="00291965">
        <w:rPr>
          <w:sz w:val="19"/>
          <w:szCs w:val="19"/>
        </w:rPr>
        <w:t>Impr</w:t>
      </w:r>
      <w:r w:rsidR="00090F54" w:rsidRPr="00291965">
        <w:rPr>
          <w:sz w:val="19"/>
          <w:szCs w:val="19"/>
        </w:rPr>
        <w:t xml:space="preserve">oving the efficiency of </w:t>
      </w:r>
      <w:r w:rsidR="00572DEC" w:rsidRPr="00291965">
        <w:rPr>
          <w:sz w:val="19"/>
          <w:szCs w:val="19"/>
        </w:rPr>
        <w:t>price signals by</w:t>
      </w:r>
      <w:r w:rsidRPr="00291965">
        <w:rPr>
          <w:sz w:val="19"/>
          <w:szCs w:val="19"/>
        </w:rPr>
        <w:t xml:space="preserve"> greater reflectivity of </w:t>
      </w:r>
      <w:r w:rsidRPr="00291965">
        <w:rPr>
          <w:rFonts w:hint="eastAsia"/>
          <w:sz w:val="19"/>
          <w:szCs w:val="19"/>
        </w:rPr>
        <w:t>network</w:t>
      </w:r>
      <w:r w:rsidR="00675D50" w:rsidRPr="00291965">
        <w:rPr>
          <w:sz w:val="19"/>
          <w:szCs w:val="19"/>
        </w:rPr>
        <w:t xml:space="preserve"> cost drivers </w:t>
      </w:r>
      <w:r w:rsidR="0069252C" w:rsidRPr="00291965">
        <w:rPr>
          <w:sz w:val="19"/>
          <w:szCs w:val="19"/>
        </w:rPr>
        <w:t xml:space="preserve">is </w:t>
      </w:r>
      <w:r w:rsidR="00675D50" w:rsidRPr="00291965">
        <w:rPr>
          <w:sz w:val="19"/>
          <w:szCs w:val="19"/>
        </w:rPr>
        <w:t>important</w:t>
      </w:r>
      <w:r w:rsidRPr="00291965">
        <w:rPr>
          <w:sz w:val="19"/>
          <w:szCs w:val="19"/>
        </w:rPr>
        <w:t xml:space="preserve"> </w:t>
      </w:r>
      <w:r w:rsidR="00572DEC" w:rsidRPr="00291965">
        <w:rPr>
          <w:sz w:val="19"/>
          <w:szCs w:val="19"/>
        </w:rPr>
        <w:t>for</w:t>
      </w:r>
      <w:r w:rsidRPr="00291965">
        <w:rPr>
          <w:sz w:val="19"/>
          <w:szCs w:val="19"/>
        </w:rPr>
        <w:t xml:space="preserve"> efficient use </w:t>
      </w:r>
      <w:r w:rsidR="00BC4F81" w:rsidRPr="00291965">
        <w:rPr>
          <w:sz w:val="19"/>
          <w:szCs w:val="19"/>
        </w:rPr>
        <w:t xml:space="preserve">of </w:t>
      </w:r>
      <w:r w:rsidRPr="00291965">
        <w:rPr>
          <w:sz w:val="19"/>
          <w:szCs w:val="19"/>
        </w:rPr>
        <w:t>and investment in electricity networks.</w:t>
      </w:r>
      <w:r w:rsidR="00090F54" w:rsidRPr="00291965">
        <w:rPr>
          <w:sz w:val="19"/>
          <w:szCs w:val="19"/>
        </w:rPr>
        <w:t xml:space="preserve"> W</w:t>
      </w:r>
      <w:r w:rsidR="00FD369C" w:rsidRPr="00291965">
        <w:rPr>
          <w:sz w:val="19"/>
          <w:szCs w:val="19"/>
        </w:rPr>
        <w:t>e</w:t>
      </w:r>
      <w:r w:rsidR="00090F54" w:rsidRPr="00291965">
        <w:rPr>
          <w:sz w:val="19"/>
          <w:szCs w:val="19"/>
        </w:rPr>
        <w:t xml:space="preserve"> therefore</w:t>
      </w:r>
      <w:r w:rsidR="00675D50" w:rsidRPr="00291965">
        <w:rPr>
          <w:sz w:val="19"/>
          <w:szCs w:val="19"/>
        </w:rPr>
        <w:t xml:space="preserve"> support requiring</w:t>
      </w:r>
      <w:r w:rsidR="00FD369C" w:rsidRPr="00291965">
        <w:rPr>
          <w:sz w:val="19"/>
          <w:szCs w:val="19"/>
        </w:rPr>
        <w:t xml:space="preserve"> more specific regard to economic efficiency an</w:t>
      </w:r>
      <w:r w:rsidR="00026B00" w:rsidRPr="00291965">
        <w:rPr>
          <w:sz w:val="19"/>
          <w:szCs w:val="19"/>
        </w:rPr>
        <w:t>d cost reflectivity in the rules</w:t>
      </w:r>
      <w:r w:rsidR="00FD369C" w:rsidRPr="00291965">
        <w:rPr>
          <w:sz w:val="19"/>
          <w:szCs w:val="19"/>
        </w:rPr>
        <w:t xml:space="preserve"> guidi</w:t>
      </w:r>
      <w:r w:rsidR="00572DEC" w:rsidRPr="00291965">
        <w:rPr>
          <w:sz w:val="19"/>
          <w:szCs w:val="19"/>
        </w:rPr>
        <w:t xml:space="preserve">ng how </w:t>
      </w:r>
      <w:r w:rsidR="00675D50" w:rsidRPr="00291965">
        <w:rPr>
          <w:sz w:val="19"/>
          <w:szCs w:val="19"/>
        </w:rPr>
        <w:t>tariffs are set</w:t>
      </w:r>
      <w:r w:rsidR="00090F54" w:rsidRPr="00291965">
        <w:rPr>
          <w:sz w:val="19"/>
          <w:szCs w:val="19"/>
        </w:rPr>
        <w:t xml:space="preserve">. However, we </w:t>
      </w:r>
      <w:r w:rsidR="003F17B3" w:rsidRPr="00291965">
        <w:rPr>
          <w:sz w:val="19"/>
          <w:szCs w:val="19"/>
        </w:rPr>
        <w:t xml:space="preserve">recommend </w:t>
      </w:r>
      <w:r w:rsidR="00C86593" w:rsidRPr="00291965">
        <w:rPr>
          <w:sz w:val="19"/>
          <w:szCs w:val="19"/>
        </w:rPr>
        <w:t xml:space="preserve">there be </w:t>
      </w:r>
      <w:r w:rsidR="00FD369C" w:rsidRPr="00291965">
        <w:rPr>
          <w:sz w:val="19"/>
          <w:szCs w:val="19"/>
        </w:rPr>
        <w:t>further</w:t>
      </w:r>
      <w:r w:rsidR="00C86593" w:rsidRPr="00291965">
        <w:rPr>
          <w:sz w:val="19"/>
          <w:szCs w:val="19"/>
        </w:rPr>
        <w:t xml:space="preserve"> consideration</w:t>
      </w:r>
      <w:r w:rsidR="00FD369C" w:rsidRPr="00291965">
        <w:rPr>
          <w:sz w:val="19"/>
          <w:szCs w:val="19"/>
        </w:rPr>
        <w:t xml:space="preserve"> </w:t>
      </w:r>
      <w:r w:rsidR="00572DEC" w:rsidRPr="00291965">
        <w:rPr>
          <w:sz w:val="19"/>
          <w:szCs w:val="19"/>
        </w:rPr>
        <w:t>to</w:t>
      </w:r>
      <w:r w:rsidR="00090F54" w:rsidRPr="00291965">
        <w:rPr>
          <w:sz w:val="19"/>
          <w:szCs w:val="19"/>
        </w:rPr>
        <w:t xml:space="preserve"> how the NER can reflect this</w:t>
      </w:r>
      <w:r w:rsidR="00C86593" w:rsidRPr="00291965">
        <w:rPr>
          <w:sz w:val="19"/>
          <w:szCs w:val="19"/>
        </w:rPr>
        <w:t>. In particular</w:t>
      </w:r>
      <w:r w:rsidR="00FD369C" w:rsidRPr="00291965">
        <w:rPr>
          <w:sz w:val="19"/>
          <w:szCs w:val="19"/>
        </w:rPr>
        <w:t>:</w:t>
      </w:r>
    </w:p>
    <w:p w14:paraId="77D14365" w14:textId="03DAFF37" w:rsidR="0058205D" w:rsidRPr="00291965" w:rsidRDefault="00FD369C" w:rsidP="00291965">
      <w:pPr>
        <w:pStyle w:val="AERbulletlistfirststyle"/>
        <w:spacing w:after="160"/>
        <w:ind w:left="714" w:hanging="357"/>
        <w:rPr>
          <w:sz w:val="19"/>
          <w:szCs w:val="19"/>
        </w:rPr>
      </w:pPr>
      <w:r w:rsidRPr="00291965">
        <w:rPr>
          <w:sz w:val="19"/>
          <w:szCs w:val="19"/>
        </w:rPr>
        <w:t>We suppo</w:t>
      </w:r>
      <w:r w:rsidR="00026B00" w:rsidRPr="00291965">
        <w:rPr>
          <w:sz w:val="19"/>
          <w:szCs w:val="19"/>
        </w:rPr>
        <w:t>rt</w:t>
      </w:r>
      <w:r w:rsidR="007F1891" w:rsidRPr="00291965">
        <w:rPr>
          <w:sz w:val="19"/>
          <w:szCs w:val="19"/>
        </w:rPr>
        <w:t xml:space="preserve"> tightened </w:t>
      </w:r>
      <w:r w:rsidRPr="00291965">
        <w:rPr>
          <w:sz w:val="19"/>
          <w:szCs w:val="19"/>
        </w:rPr>
        <w:t>pricing prin</w:t>
      </w:r>
      <w:r w:rsidR="00675D50" w:rsidRPr="00291965">
        <w:rPr>
          <w:sz w:val="19"/>
          <w:szCs w:val="19"/>
        </w:rPr>
        <w:t xml:space="preserve">ciples </w:t>
      </w:r>
      <w:r w:rsidR="00572DEC" w:rsidRPr="00291965">
        <w:rPr>
          <w:sz w:val="19"/>
          <w:szCs w:val="19"/>
        </w:rPr>
        <w:t>for</w:t>
      </w:r>
      <w:r w:rsidR="003F17B3" w:rsidRPr="00291965">
        <w:rPr>
          <w:sz w:val="19"/>
          <w:szCs w:val="19"/>
        </w:rPr>
        <w:t xml:space="preserve"> </w:t>
      </w:r>
      <w:r w:rsidR="00675D50" w:rsidRPr="00291965">
        <w:rPr>
          <w:sz w:val="19"/>
          <w:szCs w:val="19"/>
        </w:rPr>
        <w:t xml:space="preserve">tariffs </w:t>
      </w:r>
      <w:r w:rsidR="00572DEC" w:rsidRPr="00291965">
        <w:rPr>
          <w:sz w:val="19"/>
          <w:szCs w:val="19"/>
        </w:rPr>
        <w:t>to</w:t>
      </w:r>
      <w:r w:rsidR="00675D50" w:rsidRPr="00291965">
        <w:rPr>
          <w:sz w:val="19"/>
          <w:szCs w:val="19"/>
        </w:rPr>
        <w:t xml:space="preserve"> target</w:t>
      </w:r>
      <w:r w:rsidRPr="00291965">
        <w:rPr>
          <w:sz w:val="19"/>
          <w:szCs w:val="19"/>
        </w:rPr>
        <w:t xml:space="preserve"> underlying </w:t>
      </w:r>
      <w:r w:rsidR="00675D50" w:rsidRPr="00291965">
        <w:rPr>
          <w:sz w:val="19"/>
          <w:szCs w:val="19"/>
        </w:rPr>
        <w:t>network cost drivers</w:t>
      </w:r>
      <w:r w:rsidR="00CC7DB2" w:rsidRPr="00291965">
        <w:rPr>
          <w:sz w:val="19"/>
          <w:szCs w:val="19"/>
        </w:rPr>
        <w:t>,</w:t>
      </w:r>
      <w:r w:rsidR="00675D50" w:rsidRPr="00291965">
        <w:rPr>
          <w:sz w:val="19"/>
          <w:szCs w:val="19"/>
        </w:rPr>
        <w:t xml:space="preserve"> but</w:t>
      </w:r>
      <w:r w:rsidR="00C86593" w:rsidRPr="00291965">
        <w:rPr>
          <w:sz w:val="19"/>
          <w:szCs w:val="19"/>
        </w:rPr>
        <w:t xml:space="preserve"> the drafting of the rules should enable</w:t>
      </w:r>
      <w:r w:rsidR="00572DEC" w:rsidRPr="00291965">
        <w:rPr>
          <w:sz w:val="19"/>
          <w:szCs w:val="19"/>
        </w:rPr>
        <w:t xml:space="preserve"> target</w:t>
      </w:r>
      <w:r w:rsidR="00C86593" w:rsidRPr="00291965">
        <w:rPr>
          <w:sz w:val="19"/>
          <w:szCs w:val="19"/>
        </w:rPr>
        <w:t>ing</w:t>
      </w:r>
      <w:r w:rsidR="00572DEC" w:rsidRPr="00291965">
        <w:rPr>
          <w:sz w:val="19"/>
          <w:szCs w:val="19"/>
        </w:rPr>
        <w:t xml:space="preserve"> both short and long </w:t>
      </w:r>
      <w:r w:rsidR="005F1762" w:rsidRPr="00291965">
        <w:rPr>
          <w:sz w:val="19"/>
          <w:szCs w:val="19"/>
        </w:rPr>
        <w:t>ru</w:t>
      </w:r>
      <w:r w:rsidR="00572DEC" w:rsidRPr="00291965">
        <w:rPr>
          <w:sz w:val="19"/>
          <w:szCs w:val="19"/>
        </w:rPr>
        <w:t>n cost drivers</w:t>
      </w:r>
      <w:r w:rsidR="00C857A4" w:rsidRPr="00291965">
        <w:rPr>
          <w:sz w:val="19"/>
          <w:szCs w:val="19"/>
        </w:rPr>
        <w:t>,</w:t>
      </w:r>
      <w:r w:rsidR="00572DEC" w:rsidRPr="00291965">
        <w:rPr>
          <w:sz w:val="19"/>
          <w:szCs w:val="19"/>
        </w:rPr>
        <w:t xml:space="preserve"> </w:t>
      </w:r>
      <w:r w:rsidR="00B17BD5" w:rsidRPr="00291965">
        <w:rPr>
          <w:sz w:val="19"/>
          <w:szCs w:val="19"/>
        </w:rPr>
        <w:t>flexibility</w:t>
      </w:r>
      <w:r w:rsidR="005F1762" w:rsidRPr="00291965">
        <w:rPr>
          <w:sz w:val="19"/>
          <w:szCs w:val="19"/>
        </w:rPr>
        <w:t xml:space="preserve"> for innovation, and</w:t>
      </w:r>
      <w:r w:rsidR="00C86593" w:rsidRPr="00291965">
        <w:rPr>
          <w:sz w:val="19"/>
          <w:szCs w:val="19"/>
        </w:rPr>
        <w:t xml:space="preserve"> be </w:t>
      </w:r>
      <w:r w:rsidR="005F1762" w:rsidRPr="00291965">
        <w:rPr>
          <w:sz w:val="19"/>
          <w:szCs w:val="19"/>
        </w:rPr>
        <w:t xml:space="preserve">specific enough </w:t>
      </w:r>
      <w:r w:rsidR="00572DEC" w:rsidRPr="00291965">
        <w:rPr>
          <w:sz w:val="19"/>
          <w:szCs w:val="19"/>
        </w:rPr>
        <w:t>for compliance assessment.</w:t>
      </w:r>
    </w:p>
    <w:p w14:paraId="4A553EEF" w14:textId="77777777" w:rsidR="00861089" w:rsidRPr="00291965" w:rsidRDefault="005F1762" w:rsidP="00861089">
      <w:pPr>
        <w:pStyle w:val="AERbulletlistfirststyle"/>
        <w:rPr>
          <w:sz w:val="19"/>
          <w:szCs w:val="19"/>
        </w:rPr>
      </w:pPr>
      <w:r w:rsidRPr="00291965">
        <w:rPr>
          <w:sz w:val="19"/>
          <w:szCs w:val="19"/>
        </w:rPr>
        <w:t>We consid</w:t>
      </w:r>
      <w:r w:rsidR="00572DEC" w:rsidRPr="00291965">
        <w:rPr>
          <w:sz w:val="19"/>
          <w:szCs w:val="19"/>
        </w:rPr>
        <w:t>er that an enhanced focus on</w:t>
      </w:r>
      <w:r w:rsidRPr="00291965">
        <w:rPr>
          <w:sz w:val="19"/>
          <w:szCs w:val="19"/>
        </w:rPr>
        <w:t xml:space="preserve"> </w:t>
      </w:r>
      <w:r w:rsidR="00FD369C" w:rsidRPr="00291965">
        <w:rPr>
          <w:sz w:val="19"/>
          <w:szCs w:val="19"/>
        </w:rPr>
        <w:t>Long Run Marginal</w:t>
      </w:r>
      <w:r w:rsidR="00572DEC" w:rsidRPr="00291965">
        <w:rPr>
          <w:sz w:val="19"/>
          <w:szCs w:val="19"/>
        </w:rPr>
        <w:t xml:space="preserve"> Cost (LRMC)</w:t>
      </w:r>
      <w:r w:rsidR="00026B00" w:rsidRPr="00291965">
        <w:rPr>
          <w:sz w:val="19"/>
          <w:szCs w:val="19"/>
        </w:rPr>
        <w:t xml:space="preserve"> </w:t>
      </w:r>
      <w:r w:rsidR="00572DEC" w:rsidRPr="00291965">
        <w:rPr>
          <w:sz w:val="19"/>
          <w:szCs w:val="19"/>
        </w:rPr>
        <w:t xml:space="preserve">could improve on the </w:t>
      </w:r>
      <w:r w:rsidRPr="00291965">
        <w:rPr>
          <w:sz w:val="19"/>
          <w:szCs w:val="19"/>
        </w:rPr>
        <w:t xml:space="preserve">status quo. However, </w:t>
      </w:r>
      <w:r w:rsidR="00C86593" w:rsidRPr="00291965">
        <w:rPr>
          <w:sz w:val="19"/>
          <w:szCs w:val="19"/>
        </w:rPr>
        <w:t>any</w:t>
      </w:r>
      <w:r w:rsidR="00572DEC" w:rsidRPr="00291965">
        <w:rPr>
          <w:sz w:val="19"/>
          <w:szCs w:val="19"/>
        </w:rPr>
        <w:t xml:space="preserve"> requirement to focus on LRMC</w:t>
      </w:r>
      <w:r w:rsidRPr="00291965">
        <w:rPr>
          <w:sz w:val="19"/>
          <w:szCs w:val="19"/>
        </w:rPr>
        <w:t xml:space="preserve"> should not be implemented </w:t>
      </w:r>
      <w:r w:rsidR="00572DEC" w:rsidRPr="00291965">
        <w:rPr>
          <w:sz w:val="19"/>
          <w:szCs w:val="19"/>
        </w:rPr>
        <w:t xml:space="preserve">in a way that limits </w:t>
      </w:r>
      <w:r w:rsidRPr="00291965">
        <w:rPr>
          <w:sz w:val="19"/>
          <w:szCs w:val="19"/>
        </w:rPr>
        <w:t xml:space="preserve">a move to more </w:t>
      </w:r>
      <w:r w:rsidR="00C86593" w:rsidRPr="00291965">
        <w:rPr>
          <w:sz w:val="19"/>
          <w:szCs w:val="19"/>
        </w:rPr>
        <w:t xml:space="preserve">dynamic pricing approaches </w:t>
      </w:r>
      <w:r w:rsidRPr="00291965">
        <w:rPr>
          <w:sz w:val="19"/>
          <w:szCs w:val="19"/>
        </w:rPr>
        <w:t xml:space="preserve">over time. LRMC of itself, </w:t>
      </w:r>
      <w:r w:rsidR="00026B00" w:rsidRPr="00291965">
        <w:rPr>
          <w:sz w:val="19"/>
          <w:szCs w:val="19"/>
        </w:rPr>
        <w:t>might</w:t>
      </w:r>
      <w:r w:rsidR="00240A84" w:rsidRPr="00291965">
        <w:rPr>
          <w:sz w:val="19"/>
          <w:szCs w:val="19"/>
        </w:rPr>
        <w:t xml:space="preserve"> be </w:t>
      </w:r>
      <w:r w:rsidR="00026B00" w:rsidRPr="00291965">
        <w:rPr>
          <w:sz w:val="19"/>
          <w:szCs w:val="19"/>
        </w:rPr>
        <w:t>in</w:t>
      </w:r>
      <w:r w:rsidR="00240A84" w:rsidRPr="00291965">
        <w:rPr>
          <w:sz w:val="19"/>
          <w:szCs w:val="19"/>
        </w:rPr>
        <w:t xml:space="preserve">sufficiently informative without further explanations and guidance. </w:t>
      </w:r>
    </w:p>
    <w:p w14:paraId="5F89647A" w14:textId="7607E714" w:rsidR="004D5755" w:rsidRPr="00291965" w:rsidRDefault="00F94626" w:rsidP="00291965">
      <w:pPr>
        <w:pStyle w:val="AERbodytext"/>
        <w:spacing w:after="180"/>
        <w:rPr>
          <w:sz w:val="19"/>
          <w:szCs w:val="19"/>
        </w:rPr>
      </w:pPr>
      <w:r w:rsidRPr="00291965">
        <w:rPr>
          <w:sz w:val="19"/>
          <w:szCs w:val="19"/>
        </w:rPr>
        <w:t>A shift awa</w:t>
      </w:r>
      <w:r w:rsidR="00532B49">
        <w:rPr>
          <w:sz w:val="19"/>
          <w:szCs w:val="19"/>
        </w:rPr>
        <w:t xml:space="preserve">y from the time and </w:t>
      </w:r>
      <w:r w:rsidR="005F1762" w:rsidRPr="00291965">
        <w:rPr>
          <w:sz w:val="19"/>
          <w:szCs w:val="19"/>
        </w:rPr>
        <w:t>geographically averaged</w:t>
      </w:r>
      <w:r w:rsidR="00CC7DB2" w:rsidRPr="00291965">
        <w:rPr>
          <w:sz w:val="19"/>
          <w:szCs w:val="19"/>
        </w:rPr>
        <w:t>,</w:t>
      </w:r>
      <w:r w:rsidR="005F1762" w:rsidRPr="00291965">
        <w:rPr>
          <w:sz w:val="19"/>
          <w:szCs w:val="19"/>
        </w:rPr>
        <w:t xml:space="preserve"> </w:t>
      </w:r>
      <w:r w:rsidR="00AC2504" w:rsidRPr="00291965">
        <w:rPr>
          <w:sz w:val="19"/>
          <w:szCs w:val="19"/>
        </w:rPr>
        <w:t>consumption volume based netwo</w:t>
      </w:r>
      <w:r w:rsidR="00240A84" w:rsidRPr="00291965">
        <w:rPr>
          <w:sz w:val="19"/>
          <w:szCs w:val="19"/>
        </w:rPr>
        <w:t>rk tariffs that most</w:t>
      </w:r>
      <w:r w:rsidR="00AC2504" w:rsidRPr="00291965">
        <w:rPr>
          <w:sz w:val="19"/>
          <w:szCs w:val="19"/>
        </w:rPr>
        <w:t xml:space="preserve"> consumers</w:t>
      </w:r>
      <w:r w:rsidR="00323E0A" w:rsidRPr="00291965">
        <w:rPr>
          <w:sz w:val="19"/>
          <w:szCs w:val="19"/>
        </w:rPr>
        <w:t xml:space="preserve"> </w:t>
      </w:r>
      <w:r w:rsidR="00AC2504" w:rsidRPr="00291965">
        <w:rPr>
          <w:sz w:val="19"/>
          <w:szCs w:val="19"/>
        </w:rPr>
        <w:t xml:space="preserve">currently face will be </w:t>
      </w:r>
      <w:r w:rsidR="00AC2504" w:rsidRPr="00291965">
        <w:rPr>
          <w:rFonts w:hint="eastAsia"/>
          <w:sz w:val="19"/>
          <w:szCs w:val="19"/>
        </w:rPr>
        <w:t>significant</w:t>
      </w:r>
      <w:r w:rsidR="00AC2504" w:rsidRPr="00291965">
        <w:rPr>
          <w:sz w:val="19"/>
          <w:szCs w:val="19"/>
        </w:rPr>
        <w:t xml:space="preserve">. </w:t>
      </w:r>
      <w:r w:rsidR="00FD369C" w:rsidRPr="00291965">
        <w:rPr>
          <w:sz w:val="19"/>
          <w:szCs w:val="19"/>
        </w:rPr>
        <w:t>Tariff</w:t>
      </w:r>
      <w:r w:rsidR="00323E0A" w:rsidRPr="00291965">
        <w:rPr>
          <w:sz w:val="19"/>
          <w:szCs w:val="19"/>
        </w:rPr>
        <w:t xml:space="preserve">s will </w:t>
      </w:r>
      <w:r w:rsidR="005F1762" w:rsidRPr="00291965">
        <w:rPr>
          <w:sz w:val="19"/>
          <w:szCs w:val="19"/>
        </w:rPr>
        <w:t xml:space="preserve">potentially </w:t>
      </w:r>
      <w:r w:rsidR="00323E0A" w:rsidRPr="00291965">
        <w:rPr>
          <w:sz w:val="19"/>
          <w:szCs w:val="19"/>
        </w:rPr>
        <w:t>evolve</w:t>
      </w:r>
      <w:r w:rsidR="00632D6B" w:rsidRPr="00291965">
        <w:rPr>
          <w:sz w:val="19"/>
          <w:szCs w:val="19"/>
        </w:rPr>
        <w:t xml:space="preserve"> in</w:t>
      </w:r>
      <w:r w:rsidR="00FD369C" w:rsidRPr="00291965">
        <w:rPr>
          <w:sz w:val="19"/>
          <w:szCs w:val="19"/>
        </w:rPr>
        <w:t xml:space="preserve"> sophistication and variability with time </w:t>
      </w:r>
      <w:r w:rsidR="00223F86" w:rsidRPr="00291965">
        <w:rPr>
          <w:sz w:val="19"/>
          <w:szCs w:val="19"/>
        </w:rPr>
        <w:t>and location of energy use</w:t>
      </w:r>
      <w:r w:rsidR="00773C3E" w:rsidRPr="00291965">
        <w:rPr>
          <w:sz w:val="19"/>
          <w:szCs w:val="19"/>
        </w:rPr>
        <w:t>.</w:t>
      </w:r>
      <w:r w:rsidR="00223F86" w:rsidRPr="00291965">
        <w:rPr>
          <w:sz w:val="19"/>
          <w:szCs w:val="19"/>
        </w:rPr>
        <w:t xml:space="preserve"> </w:t>
      </w:r>
      <w:r w:rsidR="00773C3E" w:rsidRPr="00291965">
        <w:rPr>
          <w:sz w:val="19"/>
          <w:szCs w:val="19"/>
        </w:rPr>
        <w:t>I</w:t>
      </w:r>
      <w:r w:rsidR="00FD369C" w:rsidRPr="00291965">
        <w:rPr>
          <w:rFonts w:hint="eastAsia"/>
          <w:sz w:val="19"/>
          <w:szCs w:val="19"/>
        </w:rPr>
        <w:t>nformation</w:t>
      </w:r>
      <w:r w:rsidR="00FD369C" w:rsidRPr="00291965">
        <w:rPr>
          <w:sz w:val="19"/>
          <w:szCs w:val="19"/>
        </w:rPr>
        <w:t xml:space="preserve"> and volatility chall</w:t>
      </w:r>
      <w:r w:rsidR="007F1891" w:rsidRPr="00291965">
        <w:rPr>
          <w:sz w:val="19"/>
          <w:szCs w:val="19"/>
        </w:rPr>
        <w:t>enges will need managing</w:t>
      </w:r>
      <w:r w:rsidR="00396D0F" w:rsidRPr="00291965">
        <w:rPr>
          <w:sz w:val="19"/>
          <w:szCs w:val="19"/>
        </w:rPr>
        <w:t xml:space="preserve"> </w:t>
      </w:r>
      <w:r w:rsidR="00773C3E" w:rsidRPr="00291965">
        <w:rPr>
          <w:sz w:val="19"/>
          <w:szCs w:val="19"/>
        </w:rPr>
        <w:t xml:space="preserve">in a transparent and </w:t>
      </w:r>
      <w:r w:rsidR="0000312C" w:rsidRPr="00291965">
        <w:rPr>
          <w:sz w:val="19"/>
          <w:szCs w:val="19"/>
        </w:rPr>
        <w:t xml:space="preserve">preferably in a </w:t>
      </w:r>
      <w:r w:rsidR="00773C3E" w:rsidRPr="00291965">
        <w:rPr>
          <w:sz w:val="19"/>
          <w:szCs w:val="19"/>
        </w:rPr>
        <w:t>nationally consistent way</w:t>
      </w:r>
      <w:r w:rsidR="00FD369C" w:rsidRPr="00291965">
        <w:rPr>
          <w:sz w:val="19"/>
          <w:szCs w:val="19"/>
        </w:rPr>
        <w:t>.</w:t>
      </w:r>
      <w:r w:rsidR="00396D0F" w:rsidRPr="00291965">
        <w:rPr>
          <w:sz w:val="19"/>
          <w:szCs w:val="19"/>
        </w:rPr>
        <w:t xml:space="preserve"> </w:t>
      </w:r>
      <w:r w:rsidR="004D5755" w:rsidRPr="00291965">
        <w:rPr>
          <w:sz w:val="19"/>
          <w:szCs w:val="19"/>
        </w:rPr>
        <w:t xml:space="preserve">These issues need broader consideration in this rule change and clarity is needed on measures that might temper change—that is, the </w:t>
      </w:r>
      <w:r w:rsidR="00396D0F" w:rsidRPr="00291965">
        <w:rPr>
          <w:sz w:val="19"/>
          <w:szCs w:val="19"/>
        </w:rPr>
        <w:t>speed</w:t>
      </w:r>
      <w:r w:rsidR="004D5755" w:rsidRPr="00291965">
        <w:rPr>
          <w:sz w:val="19"/>
          <w:szCs w:val="19"/>
        </w:rPr>
        <w:t xml:space="preserve"> and extent to which Distribution Network Service Providers (DNSPs) can introduce </w:t>
      </w:r>
      <w:r w:rsidR="00C857A4" w:rsidRPr="00291965">
        <w:rPr>
          <w:sz w:val="19"/>
          <w:szCs w:val="19"/>
        </w:rPr>
        <w:t>more cost reflectivity. On these</w:t>
      </w:r>
      <w:r w:rsidR="004D5755" w:rsidRPr="00291965">
        <w:rPr>
          <w:sz w:val="19"/>
          <w:szCs w:val="19"/>
        </w:rPr>
        <w:t xml:space="preserve"> issues we consider:</w:t>
      </w:r>
    </w:p>
    <w:p w14:paraId="1CBE3A51" w14:textId="58DA54DF" w:rsidR="005C0D0F" w:rsidRPr="00291965" w:rsidRDefault="005C0D0F" w:rsidP="00291965">
      <w:pPr>
        <w:pStyle w:val="AERbulletlistfirststyle"/>
        <w:spacing w:after="160"/>
        <w:ind w:left="714" w:hanging="357"/>
        <w:rPr>
          <w:sz w:val="19"/>
          <w:szCs w:val="19"/>
        </w:rPr>
      </w:pPr>
      <w:r w:rsidRPr="00291965">
        <w:rPr>
          <w:sz w:val="19"/>
          <w:szCs w:val="19"/>
        </w:rPr>
        <w:t xml:space="preserve">Managing potential stakeholder concerns around tariff volatility or transition, can be considered relevant to </w:t>
      </w:r>
      <w:r w:rsidR="0000312C" w:rsidRPr="00291965">
        <w:rPr>
          <w:sz w:val="19"/>
          <w:szCs w:val="19"/>
        </w:rPr>
        <w:t>ach</w:t>
      </w:r>
      <w:r w:rsidR="00A3284D" w:rsidRPr="00291965">
        <w:rPr>
          <w:sz w:val="19"/>
          <w:szCs w:val="19"/>
        </w:rPr>
        <w:t>ie</w:t>
      </w:r>
      <w:r w:rsidR="0000312C" w:rsidRPr="00291965">
        <w:rPr>
          <w:sz w:val="19"/>
          <w:szCs w:val="19"/>
        </w:rPr>
        <w:t>ving</w:t>
      </w:r>
      <w:r w:rsidRPr="00291965">
        <w:rPr>
          <w:sz w:val="19"/>
          <w:szCs w:val="19"/>
        </w:rPr>
        <w:t xml:space="preserve"> the National Electricity Objective (NEO). Addressing such concerns, by attempting to provide sufficient notice, information or certainty with respect to significant tariff changes, can be consistent with the economic efficiency and </w:t>
      </w:r>
      <w:r w:rsidR="0000312C" w:rsidRPr="00291965">
        <w:rPr>
          <w:sz w:val="19"/>
          <w:szCs w:val="19"/>
        </w:rPr>
        <w:t xml:space="preserve">the </w:t>
      </w:r>
      <w:r w:rsidRPr="00291965">
        <w:rPr>
          <w:sz w:val="19"/>
          <w:szCs w:val="19"/>
        </w:rPr>
        <w:t>long term interest of consumer</w:t>
      </w:r>
      <w:r w:rsidR="0000312C" w:rsidRPr="00291965">
        <w:rPr>
          <w:sz w:val="19"/>
          <w:szCs w:val="19"/>
        </w:rPr>
        <w:t>s</w:t>
      </w:r>
      <w:r w:rsidRPr="00291965">
        <w:rPr>
          <w:sz w:val="19"/>
          <w:szCs w:val="19"/>
        </w:rPr>
        <w:t xml:space="preserve">. </w:t>
      </w:r>
    </w:p>
    <w:p w14:paraId="4BFA196F" w14:textId="257E82D2" w:rsidR="00E611F2" w:rsidRPr="00291965" w:rsidRDefault="00E611F2" w:rsidP="00291965">
      <w:pPr>
        <w:pStyle w:val="AERbulletlistfirststyle"/>
        <w:spacing w:after="160"/>
        <w:ind w:left="714" w:hanging="357"/>
        <w:rPr>
          <w:sz w:val="19"/>
          <w:szCs w:val="19"/>
        </w:rPr>
      </w:pPr>
      <w:r w:rsidRPr="00291965">
        <w:rPr>
          <w:sz w:val="19"/>
          <w:szCs w:val="19"/>
        </w:rPr>
        <w:t xml:space="preserve">Aspects of SCER’s new pricing framework </w:t>
      </w:r>
      <w:r w:rsidR="00D03491" w:rsidRPr="00291965">
        <w:rPr>
          <w:sz w:val="19"/>
          <w:szCs w:val="19"/>
        </w:rPr>
        <w:t xml:space="preserve">can </w:t>
      </w:r>
      <w:r w:rsidR="007C63D6" w:rsidRPr="00291965">
        <w:rPr>
          <w:sz w:val="19"/>
          <w:szCs w:val="19"/>
        </w:rPr>
        <w:t>help manage</w:t>
      </w:r>
      <w:r w:rsidR="00D03491" w:rsidRPr="00291965">
        <w:rPr>
          <w:sz w:val="19"/>
          <w:szCs w:val="19"/>
        </w:rPr>
        <w:t xml:space="preserve"> these issues. A</w:t>
      </w:r>
      <w:r w:rsidRPr="00291965">
        <w:rPr>
          <w:sz w:val="19"/>
          <w:szCs w:val="19"/>
        </w:rPr>
        <w:t xml:space="preserve"> binding Pric</w:t>
      </w:r>
      <w:r w:rsidR="0049109C" w:rsidRPr="00291965">
        <w:rPr>
          <w:sz w:val="19"/>
          <w:szCs w:val="19"/>
        </w:rPr>
        <w:t>ing Structures Statement (PSS) with requirements to</w:t>
      </w:r>
      <w:r w:rsidR="00D03491" w:rsidRPr="00291965">
        <w:rPr>
          <w:sz w:val="19"/>
          <w:szCs w:val="19"/>
        </w:rPr>
        <w:t xml:space="preserve"> cons</w:t>
      </w:r>
      <w:r w:rsidR="0049109C" w:rsidRPr="00291965">
        <w:rPr>
          <w:sz w:val="19"/>
          <w:szCs w:val="19"/>
        </w:rPr>
        <w:t>ider</w:t>
      </w:r>
      <w:r w:rsidR="00D03491" w:rsidRPr="00291965">
        <w:rPr>
          <w:sz w:val="19"/>
          <w:szCs w:val="19"/>
        </w:rPr>
        <w:t xml:space="preserve"> </w:t>
      </w:r>
      <w:r w:rsidR="00396D0F" w:rsidRPr="00291965">
        <w:rPr>
          <w:sz w:val="19"/>
          <w:szCs w:val="19"/>
        </w:rPr>
        <w:t xml:space="preserve">tariff impacts on </w:t>
      </w:r>
      <w:r w:rsidR="00D03491" w:rsidRPr="00291965">
        <w:rPr>
          <w:sz w:val="19"/>
          <w:szCs w:val="19"/>
        </w:rPr>
        <w:t>customer</w:t>
      </w:r>
      <w:r w:rsidR="00396D0F" w:rsidRPr="00291965">
        <w:rPr>
          <w:sz w:val="19"/>
          <w:szCs w:val="19"/>
        </w:rPr>
        <w:t>s</w:t>
      </w:r>
      <w:r w:rsidR="00D03491" w:rsidRPr="00291965">
        <w:rPr>
          <w:sz w:val="19"/>
          <w:szCs w:val="19"/>
        </w:rPr>
        <w:t xml:space="preserve"> </w:t>
      </w:r>
      <w:r w:rsidRPr="00291965">
        <w:rPr>
          <w:sz w:val="19"/>
          <w:szCs w:val="19"/>
        </w:rPr>
        <w:t>can provide an effective focal point for</w:t>
      </w:r>
      <w:r w:rsidR="007C63D6" w:rsidRPr="00291965">
        <w:rPr>
          <w:sz w:val="19"/>
          <w:szCs w:val="19"/>
        </w:rPr>
        <w:t xml:space="preserve"> stakeholder consultation</w:t>
      </w:r>
      <w:r w:rsidRPr="00291965">
        <w:rPr>
          <w:sz w:val="19"/>
          <w:szCs w:val="19"/>
        </w:rPr>
        <w:t xml:space="preserve"> and certainty on tariff structures. </w:t>
      </w:r>
    </w:p>
    <w:p w14:paraId="09F17666" w14:textId="1438F2C7" w:rsidR="00E805FB" w:rsidRPr="00291965" w:rsidRDefault="00E611F2" w:rsidP="00291965">
      <w:pPr>
        <w:pStyle w:val="AERbulletlistfirststyle"/>
        <w:spacing w:after="160"/>
        <w:ind w:left="714" w:hanging="357"/>
        <w:rPr>
          <w:sz w:val="19"/>
          <w:szCs w:val="19"/>
        </w:rPr>
      </w:pPr>
      <w:r w:rsidRPr="00291965">
        <w:rPr>
          <w:sz w:val="19"/>
          <w:szCs w:val="19"/>
        </w:rPr>
        <w:t>Managing tariff transition</w:t>
      </w:r>
      <w:r w:rsidR="00707942" w:rsidRPr="00291965">
        <w:rPr>
          <w:sz w:val="19"/>
          <w:szCs w:val="19"/>
        </w:rPr>
        <w:t xml:space="preserve"> or </w:t>
      </w:r>
      <w:r w:rsidRPr="00291965">
        <w:rPr>
          <w:sz w:val="19"/>
          <w:szCs w:val="19"/>
        </w:rPr>
        <w:t>volatility via this framework</w:t>
      </w:r>
      <w:r w:rsidR="00D03491" w:rsidRPr="00291965">
        <w:rPr>
          <w:sz w:val="19"/>
          <w:szCs w:val="19"/>
        </w:rPr>
        <w:t>,</w:t>
      </w:r>
      <w:r w:rsidR="005C0D0F" w:rsidRPr="00291965">
        <w:rPr>
          <w:sz w:val="19"/>
          <w:szCs w:val="19"/>
        </w:rPr>
        <w:t xml:space="preserve"> placing</w:t>
      </w:r>
      <w:r w:rsidRPr="00291965">
        <w:rPr>
          <w:sz w:val="19"/>
          <w:szCs w:val="19"/>
        </w:rPr>
        <w:t xml:space="preserve"> </w:t>
      </w:r>
      <w:r w:rsidR="00D03491" w:rsidRPr="00291965">
        <w:rPr>
          <w:sz w:val="19"/>
          <w:szCs w:val="19"/>
        </w:rPr>
        <w:t xml:space="preserve">onus </w:t>
      </w:r>
      <w:r w:rsidR="0049109C" w:rsidRPr="00291965">
        <w:rPr>
          <w:sz w:val="19"/>
          <w:szCs w:val="19"/>
        </w:rPr>
        <w:t xml:space="preserve">upon a DNSP-stakeholder dialogue </w:t>
      </w:r>
      <w:r w:rsidR="00D03491" w:rsidRPr="00291965">
        <w:rPr>
          <w:sz w:val="19"/>
          <w:szCs w:val="19"/>
        </w:rPr>
        <w:t>(</w:t>
      </w:r>
      <w:r w:rsidRPr="00291965">
        <w:rPr>
          <w:sz w:val="19"/>
          <w:szCs w:val="19"/>
        </w:rPr>
        <w:t>with our oversight</w:t>
      </w:r>
      <w:r w:rsidR="00D03491" w:rsidRPr="00291965">
        <w:rPr>
          <w:sz w:val="19"/>
          <w:szCs w:val="19"/>
        </w:rPr>
        <w:t>)</w:t>
      </w:r>
      <w:r w:rsidRPr="00291965">
        <w:rPr>
          <w:sz w:val="19"/>
          <w:szCs w:val="19"/>
        </w:rPr>
        <w:t xml:space="preserve"> also </w:t>
      </w:r>
      <w:r w:rsidR="00962BD5" w:rsidRPr="00291965">
        <w:rPr>
          <w:sz w:val="19"/>
          <w:szCs w:val="19"/>
        </w:rPr>
        <w:t>allows for adaptation and customisation</w:t>
      </w:r>
      <w:r w:rsidRPr="00291965">
        <w:rPr>
          <w:sz w:val="19"/>
          <w:szCs w:val="19"/>
        </w:rPr>
        <w:t xml:space="preserve">. </w:t>
      </w:r>
      <w:r w:rsidR="00E805FB" w:rsidRPr="00291965">
        <w:rPr>
          <w:sz w:val="19"/>
          <w:szCs w:val="19"/>
        </w:rPr>
        <w:t xml:space="preserve">This is relevant as efficient tariffs </w:t>
      </w:r>
      <w:r w:rsidR="0000312C" w:rsidRPr="00291965">
        <w:rPr>
          <w:sz w:val="19"/>
          <w:szCs w:val="19"/>
        </w:rPr>
        <w:t>are used</w:t>
      </w:r>
      <w:r w:rsidR="00E805FB" w:rsidRPr="00291965">
        <w:rPr>
          <w:sz w:val="19"/>
          <w:szCs w:val="19"/>
        </w:rPr>
        <w:t xml:space="preserve"> to </w:t>
      </w:r>
      <w:r w:rsidR="0000312C" w:rsidRPr="00291965">
        <w:rPr>
          <w:sz w:val="19"/>
          <w:szCs w:val="19"/>
        </w:rPr>
        <w:t xml:space="preserve">address </w:t>
      </w:r>
      <w:r w:rsidR="00E805FB" w:rsidRPr="00291965">
        <w:rPr>
          <w:sz w:val="19"/>
          <w:szCs w:val="19"/>
        </w:rPr>
        <w:t xml:space="preserve">specific </w:t>
      </w:r>
      <w:r w:rsidR="005C0D0F" w:rsidRPr="00291965">
        <w:rPr>
          <w:sz w:val="19"/>
          <w:szCs w:val="19"/>
        </w:rPr>
        <w:t xml:space="preserve">network </w:t>
      </w:r>
      <w:r w:rsidR="00E805FB" w:rsidRPr="00291965">
        <w:rPr>
          <w:sz w:val="19"/>
          <w:szCs w:val="19"/>
        </w:rPr>
        <w:t xml:space="preserve">challenges </w:t>
      </w:r>
      <w:r w:rsidR="00D03491" w:rsidRPr="00291965">
        <w:rPr>
          <w:sz w:val="19"/>
          <w:szCs w:val="19"/>
        </w:rPr>
        <w:t xml:space="preserve">of demand on different assets. </w:t>
      </w:r>
      <w:r w:rsidR="00E805FB" w:rsidRPr="00291965">
        <w:rPr>
          <w:sz w:val="19"/>
          <w:szCs w:val="19"/>
        </w:rPr>
        <w:t xml:space="preserve">They are also </w:t>
      </w:r>
      <w:r w:rsidR="0000312C" w:rsidRPr="00291965">
        <w:rPr>
          <w:sz w:val="19"/>
          <w:szCs w:val="19"/>
        </w:rPr>
        <w:t>part of</w:t>
      </w:r>
      <w:r w:rsidR="00E805FB" w:rsidRPr="00291965">
        <w:rPr>
          <w:sz w:val="19"/>
          <w:szCs w:val="19"/>
        </w:rPr>
        <w:t xml:space="preserve"> a suite of </w:t>
      </w:r>
      <w:r w:rsidR="00962BD5" w:rsidRPr="00291965">
        <w:rPr>
          <w:sz w:val="19"/>
          <w:szCs w:val="19"/>
        </w:rPr>
        <w:t>potential solutions</w:t>
      </w:r>
      <w:r w:rsidR="0049109C" w:rsidRPr="00291965">
        <w:rPr>
          <w:sz w:val="19"/>
          <w:szCs w:val="19"/>
        </w:rPr>
        <w:t xml:space="preserve">—along with </w:t>
      </w:r>
      <w:r w:rsidR="00E805FB" w:rsidRPr="00291965">
        <w:rPr>
          <w:sz w:val="19"/>
          <w:szCs w:val="19"/>
        </w:rPr>
        <w:t xml:space="preserve">network </w:t>
      </w:r>
      <w:r w:rsidR="00707942" w:rsidRPr="00291965">
        <w:rPr>
          <w:sz w:val="19"/>
          <w:szCs w:val="19"/>
        </w:rPr>
        <w:t xml:space="preserve">augmentation </w:t>
      </w:r>
      <w:r w:rsidR="00E805FB" w:rsidRPr="00291965">
        <w:rPr>
          <w:sz w:val="19"/>
          <w:szCs w:val="19"/>
        </w:rPr>
        <w:t>or demand management.</w:t>
      </w:r>
      <w:r w:rsidR="00707942" w:rsidRPr="00291965">
        <w:rPr>
          <w:sz w:val="19"/>
          <w:szCs w:val="19"/>
        </w:rPr>
        <w:t xml:space="preserve"> </w:t>
      </w:r>
      <w:r w:rsidR="005C0D0F" w:rsidRPr="00291965">
        <w:rPr>
          <w:sz w:val="19"/>
          <w:szCs w:val="19"/>
        </w:rPr>
        <w:t>Therefore, w</w:t>
      </w:r>
      <w:r w:rsidR="00D03491" w:rsidRPr="00291965">
        <w:rPr>
          <w:sz w:val="19"/>
          <w:szCs w:val="19"/>
        </w:rPr>
        <w:t xml:space="preserve">e recommend that the </w:t>
      </w:r>
      <w:r w:rsidR="005C0D0F" w:rsidRPr="00291965">
        <w:rPr>
          <w:sz w:val="19"/>
          <w:szCs w:val="19"/>
        </w:rPr>
        <w:t>PSS’ scope</w:t>
      </w:r>
      <w:r w:rsidR="00D03491" w:rsidRPr="00291965">
        <w:rPr>
          <w:sz w:val="19"/>
          <w:szCs w:val="19"/>
        </w:rPr>
        <w:t xml:space="preserve"> be broader than </w:t>
      </w:r>
      <w:r w:rsidR="005C0D0F" w:rsidRPr="00291965">
        <w:rPr>
          <w:sz w:val="19"/>
          <w:szCs w:val="19"/>
        </w:rPr>
        <w:t>the rule change intends</w:t>
      </w:r>
      <w:r w:rsidR="00D03491" w:rsidRPr="00291965">
        <w:rPr>
          <w:sz w:val="19"/>
          <w:szCs w:val="19"/>
        </w:rPr>
        <w:t xml:space="preserve"> and set out a </w:t>
      </w:r>
      <w:r w:rsidR="00962BD5" w:rsidRPr="00291965">
        <w:rPr>
          <w:sz w:val="19"/>
          <w:szCs w:val="19"/>
        </w:rPr>
        <w:t>DNSP’s tariff strategy—</w:t>
      </w:r>
      <w:r w:rsidR="0049109C" w:rsidRPr="00291965">
        <w:rPr>
          <w:sz w:val="19"/>
          <w:szCs w:val="19"/>
        </w:rPr>
        <w:t>set</w:t>
      </w:r>
      <w:r w:rsidR="00962BD5" w:rsidRPr="00291965">
        <w:rPr>
          <w:sz w:val="19"/>
          <w:szCs w:val="19"/>
        </w:rPr>
        <w:t>ting</w:t>
      </w:r>
      <w:r w:rsidR="0049109C" w:rsidRPr="00291965">
        <w:rPr>
          <w:sz w:val="19"/>
          <w:szCs w:val="19"/>
        </w:rPr>
        <w:t xml:space="preserve"> out</w:t>
      </w:r>
      <w:r w:rsidR="00D03491" w:rsidRPr="00291965">
        <w:rPr>
          <w:sz w:val="19"/>
          <w:szCs w:val="19"/>
        </w:rPr>
        <w:t xml:space="preserve"> network challenges, why various </w:t>
      </w:r>
      <w:r w:rsidR="00E805FB" w:rsidRPr="00291965">
        <w:rPr>
          <w:sz w:val="19"/>
          <w:szCs w:val="19"/>
        </w:rPr>
        <w:t>tariff</w:t>
      </w:r>
      <w:r w:rsidR="00D03491" w:rsidRPr="00291965">
        <w:rPr>
          <w:sz w:val="19"/>
          <w:szCs w:val="19"/>
        </w:rPr>
        <w:t xml:space="preserve">s are </w:t>
      </w:r>
      <w:r w:rsidR="00E805FB" w:rsidRPr="00291965">
        <w:rPr>
          <w:sz w:val="19"/>
          <w:szCs w:val="19"/>
        </w:rPr>
        <w:t>the best solution</w:t>
      </w:r>
      <w:r w:rsidR="0049109C" w:rsidRPr="00291965">
        <w:rPr>
          <w:sz w:val="19"/>
          <w:szCs w:val="19"/>
        </w:rPr>
        <w:t>s</w:t>
      </w:r>
      <w:r w:rsidR="00E805FB" w:rsidRPr="00291965">
        <w:rPr>
          <w:sz w:val="19"/>
          <w:szCs w:val="19"/>
        </w:rPr>
        <w:t>, impacts</w:t>
      </w:r>
      <w:r w:rsidR="00D03491" w:rsidRPr="00291965">
        <w:rPr>
          <w:sz w:val="19"/>
          <w:szCs w:val="19"/>
        </w:rPr>
        <w:t xml:space="preserve"> that</w:t>
      </w:r>
      <w:r w:rsidR="00E805FB" w:rsidRPr="00291965">
        <w:rPr>
          <w:sz w:val="19"/>
          <w:szCs w:val="19"/>
        </w:rPr>
        <w:t xml:space="preserve"> m</w:t>
      </w:r>
      <w:r w:rsidR="00962BD5" w:rsidRPr="00291965">
        <w:rPr>
          <w:sz w:val="19"/>
          <w:szCs w:val="19"/>
        </w:rPr>
        <w:t>ight need managing</w:t>
      </w:r>
      <w:r w:rsidR="00E805FB" w:rsidRPr="00291965">
        <w:rPr>
          <w:sz w:val="19"/>
          <w:szCs w:val="19"/>
        </w:rPr>
        <w:t>, a</w:t>
      </w:r>
      <w:r w:rsidR="00291965" w:rsidRPr="00291965">
        <w:rPr>
          <w:sz w:val="19"/>
          <w:szCs w:val="19"/>
        </w:rPr>
        <w:t>nd</w:t>
      </w:r>
      <w:r w:rsidR="00962BD5" w:rsidRPr="00291965">
        <w:rPr>
          <w:sz w:val="19"/>
          <w:szCs w:val="19"/>
        </w:rPr>
        <w:t xml:space="preserve"> evolutions</w:t>
      </w:r>
      <w:r w:rsidR="0049109C" w:rsidRPr="00291965">
        <w:rPr>
          <w:sz w:val="19"/>
          <w:szCs w:val="19"/>
        </w:rPr>
        <w:t xml:space="preserve"> expected</w:t>
      </w:r>
      <w:r w:rsidR="00291965" w:rsidRPr="00291965">
        <w:rPr>
          <w:sz w:val="19"/>
          <w:szCs w:val="19"/>
        </w:rPr>
        <w:t xml:space="preserve"> </w:t>
      </w:r>
      <w:r w:rsidR="00532B49">
        <w:rPr>
          <w:sz w:val="19"/>
          <w:szCs w:val="19"/>
        </w:rPr>
        <w:t>at least over</w:t>
      </w:r>
      <w:r w:rsidR="0049109C" w:rsidRPr="00291965">
        <w:rPr>
          <w:sz w:val="19"/>
          <w:szCs w:val="19"/>
        </w:rPr>
        <w:t xml:space="preserve"> the regulatory period</w:t>
      </w:r>
      <w:r w:rsidR="00707942" w:rsidRPr="00291965">
        <w:rPr>
          <w:sz w:val="19"/>
          <w:szCs w:val="19"/>
        </w:rPr>
        <w:t>.</w:t>
      </w:r>
    </w:p>
    <w:p w14:paraId="69A78B3C" w14:textId="3FBE74F5" w:rsidR="00FD369C" w:rsidRPr="00291965" w:rsidRDefault="000D29F3" w:rsidP="00291965">
      <w:pPr>
        <w:pStyle w:val="AERbodytext"/>
        <w:spacing w:after="120"/>
        <w:rPr>
          <w:sz w:val="19"/>
          <w:szCs w:val="19"/>
        </w:rPr>
      </w:pPr>
      <w:r w:rsidRPr="00291965">
        <w:rPr>
          <w:sz w:val="19"/>
          <w:szCs w:val="19"/>
        </w:rPr>
        <w:t>Our s</w:t>
      </w:r>
      <w:r w:rsidR="00323E0A" w:rsidRPr="00291965">
        <w:rPr>
          <w:sz w:val="19"/>
          <w:szCs w:val="19"/>
        </w:rPr>
        <w:t>ubmission also responds to</w:t>
      </w:r>
      <w:r w:rsidRPr="00291965">
        <w:rPr>
          <w:sz w:val="19"/>
          <w:szCs w:val="19"/>
        </w:rPr>
        <w:t xml:space="preserve"> more specific issues raised in the AEMC</w:t>
      </w:r>
      <w:r w:rsidRPr="00291965">
        <w:rPr>
          <w:rFonts w:hint="eastAsia"/>
          <w:sz w:val="19"/>
          <w:szCs w:val="19"/>
        </w:rPr>
        <w:t>’</w:t>
      </w:r>
      <w:r w:rsidR="00945776" w:rsidRPr="00291965">
        <w:rPr>
          <w:sz w:val="19"/>
          <w:szCs w:val="19"/>
        </w:rPr>
        <w:t>s</w:t>
      </w:r>
      <w:r w:rsidRPr="00291965">
        <w:rPr>
          <w:sz w:val="19"/>
          <w:szCs w:val="19"/>
        </w:rPr>
        <w:t xml:space="preserve"> paper</w:t>
      </w:r>
      <w:r w:rsidR="00DE63CD" w:rsidRPr="00291965">
        <w:rPr>
          <w:sz w:val="19"/>
          <w:szCs w:val="19"/>
        </w:rPr>
        <w:t>, including</w:t>
      </w:r>
      <w:r w:rsidRPr="00291965">
        <w:rPr>
          <w:sz w:val="19"/>
          <w:szCs w:val="19"/>
        </w:rPr>
        <w:t>:</w:t>
      </w:r>
    </w:p>
    <w:p w14:paraId="2713A8C3" w14:textId="49729719" w:rsidR="00962D81" w:rsidRPr="00291965" w:rsidRDefault="00962D81" w:rsidP="00291965">
      <w:pPr>
        <w:pStyle w:val="AERbulletlistfirststyle"/>
        <w:spacing w:after="120"/>
        <w:ind w:left="714" w:hanging="357"/>
        <w:rPr>
          <w:sz w:val="19"/>
          <w:szCs w:val="19"/>
        </w:rPr>
      </w:pPr>
      <w:r w:rsidRPr="00291965">
        <w:rPr>
          <w:sz w:val="19"/>
          <w:szCs w:val="19"/>
        </w:rPr>
        <w:t>The process by which</w:t>
      </w:r>
      <w:r w:rsidR="00E805FB" w:rsidRPr="00291965">
        <w:rPr>
          <w:sz w:val="19"/>
          <w:szCs w:val="19"/>
        </w:rPr>
        <w:t xml:space="preserve"> the PSS is reviewed </w:t>
      </w:r>
      <w:r w:rsidRPr="00291965">
        <w:rPr>
          <w:sz w:val="19"/>
          <w:szCs w:val="19"/>
        </w:rPr>
        <w:t>and how it is consulted on.</w:t>
      </w:r>
    </w:p>
    <w:p w14:paraId="383E14C3" w14:textId="5EB39160" w:rsidR="00962D81" w:rsidRPr="00291965" w:rsidRDefault="00962D81" w:rsidP="00291965">
      <w:pPr>
        <w:pStyle w:val="AERbulletlistfirststyle"/>
        <w:spacing w:after="120"/>
        <w:ind w:left="714" w:hanging="357"/>
        <w:rPr>
          <w:sz w:val="19"/>
          <w:szCs w:val="19"/>
        </w:rPr>
      </w:pPr>
      <w:r w:rsidRPr="00291965">
        <w:rPr>
          <w:sz w:val="19"/>
          <w:szCs w:val="19"/>
        </w:rPr>
        <w:t>The need for AER guidelines to provide explanations on various aspects of the pricing rules.</w:t>
      </w:r>
    </w:p>
    <w:p w14:paraId="288FB71D" w14:textId="00220693" w:rsidR="00962D81" w:rsidRPr="00291965" w:rsidRDefault="00962D81" w:rsidP="00291965">
      <w:pPr>
        <w:pStyle w:val="AERbulletlistfirststyle"/>
        <w:spacing w:after="120"/>
        <w:ind w:left="714" w:hanging="357"/>
        <w:rPr>
          <w:sz w:val="19"/>
          <w:szCs w:val="19"/>
        </w:rPr>
      </w:pPr>
      <w:r w:rsidRPr="00291965">
        <w:rPr>
          <w:sz w:val="19"/>
          <w:szCs w:val="19"/>
        </w:rPr>
        <w:t>Options to achieve more timely outcomes of price reviews</w:t>
      </w:r>
      <w:r w:rsidR="00291965" w:rsidRPr="00291965">
        <w:rPr>
          <w:sz w:val="19"/>
          <w:szCs w:val="19"/>
        </w:rPr>
        <w:t>.</w:t>
      </w:r>
    </w:p>
    <w:p w14:paraId="75B5F2B7" w14:textId="46F8C299" w:rsidR="00962D81" w:rsidRPr="00291965" w:rsidRDefault="00962D81" w:rsidP="00291965">
      <w:pPr>
        <w:pStyle w:val="AERbulletlistfirststyle"/>
        <w:spacing w:after="120"/>
        <w:ind w:left="714" w:hanging="357"/>
        <w:rPr>
          <w:sz w:val="19"/>
          <w:szCs w:val="19"/>
        </w:rPr>
      </w:pPr>
      <w:r w:rsidRPr="00291965">
        <w:rPr>
          <w:sz w:val="19"/>
          <w:szCs w:val="19"/>
        </w:rPr>
        <w:t>Options for the timing of implementation of the reforms to upcoming revenue determinations.</w:t>
      </w:r>
    </w:p>
    <w:p w14:paraId="3F28BBBA" w14:textId="77777777" w:rsidR="00BD69A4" w:rsidRDefault="002F43E4" w:rsidP="00835B18">
      <w:pPr>
        <w:pStyle w:val="Heading1"/>
      </w:pPr>
      <w:bookmarkStart w:id="14" w:name="_Toc375143042"/>
      <w:r>
        <w:lastRenderedPageBreak/>
        <w:t>P</w:t>
      </w:r>
      <w:r w:rsidR="00835B18">
        <w:t>ricing principles</w:t>
      </w:r>
      <w:bookmarkEnd w:id="14"/>
    </w:p>
    <w:p w14:paraId="5CF718B4" w14:textId="49087955" w:rsidR="00684CA6" w:rsidRDefault="009E72CF" w:rsidP="000B5138">
      <w:pPr>
        <w:pStyle w:val="AERbodytext"/>
        <w:spacing w:after="200"/>
      </w:pPr>
      <w:r>
        <w:t xml:space="preserve">The </w:t>
      </w:r>
      <w:r w:rsidR="00684CA6">
        <w:t xml:space="preserve">NER </w:t>
      </w:r>
      <w:r>
        <w:t>distribution pricing</w:t>
      </w:r>
      <w:r w:rsidR="0069252C">
        <w:t xml:space="preserve"> principles</w:t>
      </w:r>
      <w:r w:rsidR="00F917E0">
        <w:rPr>
          <w:rStyle w:val="FootnoteReference"/>
        </w:rPr>
        <w:footnoteReference w:id="1"/>
      </w:r>
      <w:r w:rsidR="0069252C">
        <w:t xml:space="preserve"> are</w:t>
      </w:r>
      <w:r>
        <w:t xml:space="preserve"> the main means </w:t>
      </w:r>
      <w:r w:rsidR="008A17F2">
        <w:t>to</w:t>
      </w:r>
      <w:r>
        <w:t xml:space="preserve"> influence the design of network price signals that are to be passed</w:t>
      </w:r>
      <w:r w:rsidR="00EA3034">
        <w:t>,</w:t>
      </w:r>
      <w:r w:rsidR="0069252C">
        <w:t xml:space="preserve"> </w:t>
      </w:r>
      <w:r w:rsidR="00EA3034">
        <w:t xml:space="preserve">via </w:t>
      </w:r>
      <w:r w:rsidR="0069252C">
        <w:t>retailers</w:t>
      </w:r>
      <w:r w:rsidR="00E72329">
        <w:t>,</w:t>
      </w:r>
      <w:r w:rsidR="0069252C">
        <w:t xml:space="preserve"> </w:t>
      </w:r>
      <w:r w:rsidR="00EA3034">
        <w:t>to</w:t>
      </w:r>
      <w:r>
        <w:t xml:space="preserve"> consumers in some form. </w:t>
      </w:r>
      <w:r w:rsidR="0069252C">
        <w:t>I</w:t>
      </w:r>
      <w:r>
        <w:t>mproving the effici</w:t>
      </w:r>
      <w:r w:rsidR="00684CA6">
        <w:t>ency of price</w:t>
      </w:r>
      <w:r w:rsidR="008A17F2">
        <w:t xml:space="preserve"> signals is a key area</w:t>
      </w:r>
      <w:r>
        <w:t xml:space="preserve"> of national </w:t>
      </w:r>
      <w:r w:rsidR="004D3C37">
        <w:t xml:space="preserve">energy </w:t>
      </w:r>
      <w:r>
        <w:t xml:space="preserve">reform. </w:t>
      </w:r>
      <w:r w:rsidR="00E72329">
        <w:t>P</w:t>
      </w:r>
      <w:r w:rsidR="00684CA6">
        <w:t>ricing principle reforms</w:t>
      </w:r>
      <w:r>
        <w:t xml:space="preserve"> </w:t>
      </w:r>
      <w:r w:rsidR="00EA3034">
        <w:t>should be</w:t>
      </w:r>
      <w:r w:rsidR="00BD2C8E">
        <w:t xml:space="preserve"> designed with </w:t>
      </w:r>
      <w:r>
        <w:t xml:space="preserve">clear and </w:t>
      </w:r>
      <w:r w:rsidR="00637FFC">
        <w:t>defined objective</w:t>
      </w:r>
      <w:r w:rsidR="00BD2C8E">
        <w:t>s</w:t>
      </w:r>
      <w:r w:rsidR="00637FFC">
        <w:t xml:space="preserve">, </w:t>
      </w:r>
      <w:r w:rsidR="0069252C">
        <w:t xml:space="preserve">suitable to the present and future. </w:t>
      </w:r>
      <w:r w:rsidR="00CF2BEE">
        <w:t>They should be relevant in dealing with current network challenges (mostly peak demand, network underutilisation), as well as possible future challenges from diffe</w:t>
      </w:r>
      <w:r w:rsidR="00BD2C8E">
        <w:t>rent technologies, or changes</w:t>
      </w:r>
      <w:r w:rsidR="00580C4B">
        <w:t>/</w:t>
      </w:r>
      <w:r w:rsidR="00BD2C8E">
        <w:t>declines in</w:t>
      </w:r>
      <w:r w:rsidR="00CF2BEE">
        <w:t xml:space="preserve"> demand pa</w:t>
      </w:r>
      <w:r w:rsidR="00BD2C8E">
        <w:t>tterns</w:t>
      </w:r>
      <w:r w:rsidR="00CF2BEE">
        <w:t xml:space="preserve">. </w:t>
      </w:r>
      <w:r>
        <w:t>In particular,</w:t>
      </w:r>
      <w:r w:rsidR="00684CA6">
        <w:t xml:space="preserve"> while the principles need to be mindful of current constraints</w:t>
      </w:r>
      <w:r>
        <w:t xml:space="preserve"> </w:t>
      </w:r>
      <w:r w:rsidR="00684CA6">
        <w:t>(e.g. metering, consumer understanding)</w:t>
      </w:r>
      <w:r w:rsidR="00363655" w:rsidRPr="00363655">
        <w:t xml:space="preserve"> </w:t>
      </w:r>
      <w:r w:rsidR="00363655">
        <w:t xml:space="preserve">in setting tariff objectives, they </w:t>
      </w:r>
      <w:r w:rsidR="00684CA6">
        <w:t>should not be bound to these constraints</w:t>
      </w:r>
      <w:r w:rsidR="00F917E0">
        <w:t xml:space="preserve"> and allow for market evolution</w:t>
      </w:r>
      <w:r w:rsidR="00684CA6">
        <w:t xml:space="preserve">. </w:t>
      </w:r>
    </w:p>
    <w:p w14:paraId="32E33042" w14:textId="1C3A4237" w:rsidR="009E72CF" w:rsidRDefault="00684CA6" w:rsidP="00BE3D6F">
      <w:pPr>
        <w:pStyle w:val="AERbodytext"/>
        <w:spacing w:after="160"/>
      </w:pPr>
      <w:r>
        <w:t>Our responses to SCER’s proposals</w:t>
      </w:r>
      <w:r w:rsidR="009E72CF">
        <w:t xml:space="preserve"> are framed with these considerations in mind</w:t>
      </w:r>
      <w:r w:rsidR="002D766D">
        <w:t>. We support</w:t>
      </w:r>
      <w:r w:rsidR="009E72CF">
        <w:t>:</w:t>
      </w:r>
    </w:p>
    <w:p w14:paraId="50BF159D" w14:textId="3C28C4B8" w:rsidR="009E72CF" w:rsidRDefault="00C75D57" w:rsidP="00A7691D">
      <w:pPr>
        <w:pStyle w:val="AERbulletlistfirststyle"/>
        <w:spacing w:after="180"/>
        <w:ind w:left="714" w:hanging="357"/>
      </w:pPr>
      <w:r>
        <w:t>A</w:t>
      </w:r>
      <w:r w:rsidR="009E72CF">
        <w:t xml:space="preserve"> tightened requirement in the pricing principles for tariffs</w:t>
      </w:r>
      <w:r w:rsidR="00637FFC">
        <w:t xml:space="preserve"> to</w:t>
      </w:r>
      <w:r w:rsidR="009E72CF">
        <w:t xml:space="preserve"> reflect underlying </w:t>
      </w:r>
      <w:r w:rsidR="00723197">
        <w:t xml:space="preserve">short and long run </w:t>
      </w:r>
      <w:r w:rsidR="00E76A13">
        <w:t xml:space="preserve">drivers of </w:t>
      </w:r>
      <w:r>
        <w:t>cost</w:t>
      </w:r>
      <w:r w:rsidR="00E76A13">
        <w:t>s</w:t>
      </w:r>
      <w:r w:rsidR="00D41D59">
        <w:t xml:space="preserve">. </w:t>
      </w:r>
      <w:r w:rsidR="004D3C37">
        <w:t>However</w:t>
      </w:r>
      <w:r w:rsidR="00203795">
        <w:t>,</w:t>
      </w:r>
      <w:r w:rsidR="004D3C37">
        <w:t xml:space="preserve"> this </w:t>
      </w:r>
      <w:r w:rsidR="009E72CF">
        <w:t>needs to allow sufficient flexibility for</w:t>
      </w:r>
      <w:r w:rsidR="0069252C">
        <w:t xml:space="preserve"> DNSP innovation on the</w:t>
      </w:r>
      <w:r w:rsidR="009E72CF">
        <w:t xml:space="preserve"> tariff options that they consider best </w:t>
      </w:r>
      <w:r w:rsidR="00637FFC">
        <w:t>addre</w:t>
      </w:r>
      <w:r w:rsidR="00F917E0">
        <w:t>ss this cost reflectivity</w:t>
      </w:r>
      <w:r w:rsidR="00A615AB">
        <w:t xml:space="preserve"> objective. T</w:t>
      </w:r>
      <w:r w:rsidR="00637FFC">
        <w:t>he</w:t>
      </w:r>
      <w:r w:rsidR="009E72CF">
        <w:t xml:space="preserve"> LRMC </w:t>
      </w:r>
      <w:r w:rsidR="00637FFC">
        <w:t xml:space="preserve">concept </w:t>
      </w:r>
      <w:r w:rsidR="009E72CF">
        <w:t xml:space="preserve">might </w:t>
      </w:r>
      <w:r>
        <w:t xml:space="preserve">be </w:t>
      </w:r>
      <w:r w:rsidR="00FE620E">
        <w:t>a useful anchor</w:t>
      </w:r>
      <w:r>
        <w:t xml:space="preserve"> toward</w:t>
      </w:r>
      <w:r w:rsidR="0069252C">
        <w:t xml:space="preserve"> this end, but </w:t>
      </w:r>
      <w:r w:rsidR="009E72CF">
        <w:t>require</w:t>
      </w:r>
      <w:r w:rsidR="0069252C">
        <w:t>s</w:t>
      </w:r>
      <w:r w:rsidR="009E72CF">
        <w:t xml:space="preserve"> additional e</w:t>
      </w:r>
      <w:r w:rsidR="00637FFC">
        <w:t>xplanation or guidance so</w:t>
      </w:r>
      <w:r w:rsidR="009E72CF">
        <w:t xml:space="preserve"> that the objective is clear</w:t>
      </w:r>
      <w:r w:rsidR="0069252C">
        <w:t xml:space="preserve">. We also note </w:t>
      </w:r>
      <w:r w:rsidR="009E72CF">
        <w:t xml:space="preserve">there </w:t>
      </w:r>
      <w:r w:rsidR="0069252C">
        <w:t>are</w:t>
      </w:r>
      <w:r w:rsidR="009E72CF">
        <w:t xml:space="preserve"> variants </w:t>
      </w:r>
      <w:r w:rsidR="005C1C05">
        <w:t xml:space="preserve">to the use of the LRMC concept as </w:t>
      </w:r>
      <w:r w:rsidR="009E72CF">
        <w:t>the key requirement</w:t>
      </w:r>
      <w:r w:rsidR="005C1C05">
        <w:t xml:space="preserve"> that could be explored</w:t>
      </w:r>
      <w:r w:rsidR="00203795">
        <w:t>.</w:t>
      </w:r>
      <w:r w:rsidR="009E72CF">
        <w:t xml:space="preserve"> </w:t>
      </w:r>
    </w:p>
    <w:p w14:paraId="4DAD065F" w14:textId="53960CE7" w:rsidR="009E72CF" w:rsidRPr="009E72CF" w:rsidRDefault="00B07D9B" w:rsidP="00E84769">
      <w:pPr>
        <w:pStyle w:val="AERbulletlistfirststyle"/>
      </w:pPr>
      <w:r>
        <w:t>A</w:t>
      </w:r>
      <w:r w:rsidR="009E72CF">
        <w:t xml:space="preserve"> customer impact principle</w:t>
      </w:r>
      <w:r w:rsidR="00F917E0">
        <w:t>—i</w:t>
      </w:r>
      <w:r w:rsidR="009E72CF">
        <w:t>f interpreted broadly</w:t>
      </w:r>
      <w:r w:rsidR="002D766D">
        <w:t xml:space="preserve"> </w:t>
      </w:r>
      <w:r w:rsidR="008D40FD">
        <w:t>it can</w:t>
      </w:r>
      <w:r w:rsidR="00A615AB">
        <w:t xml:space="preserve"> provide for</w:t>
      </w:r>
      <w:r w:rsidR="009E72CF">
        <w:t xml:space="preserve"> DNSP </w:t>
      </w:r>
      <w:r w:rsidR="008D40FD">
        <w:t xml:space="preserve">tariff </w:t>
      </w:r>
      <w:r w:rsidR="009E72CF">
        <w:t xml:space="preserve">consultation </w:t>
      </w:r>
      <w:r w:rsidR="00A615AB">
        <w:t xml:space="preserve">to </w:t>
      </w:r>
      <w:r w:rsidR="009E72CF">
        <w:t>inc</w:t>
      </w:r>
      <w:r w:rsidR="002D766D">
        <w:t>lude</w:t>
      </w:r>
      <w:r w:rsidR="009E72CF">
        <w:t xml:space="preserve"> transition strategy and t</w:t>
      </w:r>
      <w:r w:rsidR="00A615AB">
        <w:t xml:space="preserve">hereby </w:t>
      </w:r>
      <w:r w:rsidR="00FE620E">
        <w:t xml:space="preserve">address </w:t>
      </w:r>
      <w:r w:rsidR="00A615AB">
        <w:t>matters of</w:t>
      </w:r>
      <w:r w:rsidR="008D40FD">
        <w:t xml:space="preserve"> volatility. The </w:t>
      </w:r>
      <w:r w:rsidR="009E72CF">
        <w:t>ideal/intended scop</w:t>
      </w:r>
      <w:r w:rsidR="008D40FD">
        <w:t xml:space="preserve">e and </w:t>
      </w:r>
      <w:r w:rsidR="002D766D">
        <w:t xml:space="preserve">status of this principle among the others needs exploring. </w:t>
      </w:r>
    </w:p>
    <w:p w14:paraId="01DA384B" w14:textId="77777777" w:rsidR="00835B18" w:rsidRDefault="002F43E4" w:rsidP="00835B18">
      <w:pPr>
        <w:pStyle w:val="Heading2"/>
      </w:pPr>
      <w:bookmarkStart w:id="15" w:name="_Toc375143043"/>
      <w:r>
        <w:t>Targeting network cost drivers</w:t>
      </w:r>
      <w:bookmarkEnd w:id="15"/>
    </w:p>
    <w:p w14:paraId="2BAE3731" w14:textId="73FBEE0D" w:rsidR="009E72CF" w:rsidRDefault="00F84DF6" w:rsidP="000B5138">
      <w:pPr>
        <w:pStyle w:val="AERbodytext"/>
        <w:spacing w:after="200"/>
      </w:pPr>
      <w:r>
        <w:t>SCER</w:t>
      </w:r>
      <w:r>
        <w:rPr>
          <w:rFonts w:hint="eastAsia"/>
        </w:rPr>
        <w:t xml:space="preserve"> proposes</w:t>
      </w:r>
      <w:r>
        <w:t xml:space="preserve"> specific reforms to the pricing principles to ad</w:t>
      </w:r>
      <w:r w:rsidR="000B5138">
        <w:t>dress tariff</w:t>
      </w:r>
      <w:r w:rsidR="00A85BDA">
        <w:t xml:space="preserve"> efficiency</w:t>
      </w:r>
      <w:r>
        <w:t xml:space="preserve">. These include a </w:t>
      </w:r>
      <w:r w:rsidR="008D40FD">
        <w:t xml:space="preserve">key principle </w:t>
      </w:r>
      <w:r w:rsidR="00A85BDA">
        <w:t xml:space="preserve">to set tariffs for services </w:t>
      </w:r>
      <w:r w:rsidR="00085F7A">
        <w:t>‘</w:t>
      </w:r>
      <w:r w:rsidR="009E72CF">
        <w:t>on the basis of</w:t>
      </w:r>
      <w:r w:rsidR="00085F7A">
        <w:t>’</w:t>
      </w:r>
      <w:r w:rsidR="009E72CF">
        <w:t xml:space="preserve"> LRMC rather than just </w:t>
      </w:r>
      <w:r w:rsidR="00085F7A">
        <w:t>‘</w:t>
      </w:r>
      <w:r w:rsidR="009E72CF">
        <w:t>take it into account</w:t>
      </w:r>
      <w:r w:rsidR="00085F7A">
        <w:t>’</w:t>
      </w:r>
      <w:r>
        <w:t xml:space="preserve"> (as </w:t>
      </w:r>
      <w:r w:rsidR="00723197">
        <w:t xml:space="preserve">is </w:t>
      </w:r>
      <w:r>
        <w:t>current</w:t>
      </w:r>
      <w:r w:rsidR="00723197">
        <w:t>ly the case)</w:t>
      </w:r>
      <w:r w:rsidR="009E72CF">
        <w:t>, and two sub</w:t>
      </w:r>
      <w:r>
        <w:t>-</w:t>
      </w:r>
      <w:r w:rsidR="009E72CF">
        <w:t xml:space="preserve">clauses </w:t>
      </w:r>
      <w:r>
        <w:t xml:space="preserve">requiring regard to </w:t>
      </w:r>
      <w:r w:rsidR="00E903DC">
        <w:t>the ability</w:t>
      </w:r>
      <w:r>
        <w:t xml:space="preserve"> to reflect time and locational </w:t>
      </w:r>
      <w:r w:rsidR="00FB04CD">
        <w:t xml:space="preserve">network cost </w:t>
      </w:r>
      <w:r>
        <w:t>drivers</w:t>
      </w:r>
      <w:r w:rsidR="00A85BDA">
        <w:t>,</w:t>
      </w:r>
      <w:r>
        <w:t xml:space="preserve"> as </w:t>
      </w:r>
      <w:r w:rsidR="001C1672">
        <w:t xml:space="preserve">far as </w:t>
      </w:r>
      <w:r>
        <w:t xml:space="preserve">possible. </w:t>
      </w:r>
      <w:r w:rsidR="00A110B2">
        <w:t xml:space="preserve">In considering the appropriate wording of the pricing </w:t>
      </w:r>
      <w:r w:rsidR="00B07D9B">
        <w:t>principles</w:t>
      </w:r>
      <w:r w:rsidR="00A110B2">
        <w:t>, we think these should achieve a number of objectives, including</w:t>
      </w:r>
      <w:r w:rsidR="00F917E0">
        <w:t xml:space="preserve"> providing</w:t>
      </w:r>
      <w:r w:rsidR="00A110B2">
        <w:t xml:space="preserve">: </w:t>
      </w:r>
    </w:p>
    <w:p w14:paraId="55881124" w14:textId="6A7722DB" w:rsidR="009E72CF" w:rsidRDefault="009E72CF" w:rsidP="00A7691D">
      <w:pPr>
        <w:pStyle w:val="AERbulletlistfirststyle"/>
        <w:spacing w:after="180"/>
        <w:ind w:left="714" w:hanging="357"/>
      </w:pPr>
      <w:r w:rsidRPr="00E903DC">
        <w:rPr>
          <w:u w:val="single"/>
        </w:rPr>
        <w:t>A key requirement</w:t>
      </w:r>
      <w:r w:rsidR="00501DB3">
        <w:t>—</w:t>
      </w:r>
      <w:r w:rsidR="008D40FD">
        <w:t>for economically efficient tariffs</w:t>
      </w:r>
      <w:r w:rsidR="00166127">
        <w:t xml:space="preserve">. </w:t>
      </w:r>
      <w:r w:rsidR="008D40FD">
        <w:t>The</w:t>
      </w:r>
      <w:r w:rsidR="000B5138">
        <w:t xml:space="preserve"> goal</w:t>
      </w:r>
      <w:r w:rsidR="00FB04CD">
        <w:t xml:space="preserve"> is</w:t>
      </w:r>
      <w:r w:rsidR="00A85BDA">
        <w:t xml:space="preserve"> </w:t>
      </w:r>
      <w:r>
        <w:t>target</w:t>
      </w:r>
      <w:r w:rsidR="00FB04CD">
        <w:t>ing</w:t>
      </w:r>
      <w:r>
        <w:t xml:space="preserve"> </w:t>
      </w:r>
      <w:r w:rsidR="00A85BDA">
        <w:t xml:space="preserve">network cost </w:t>
      </w:r>
      <w:r>
        <w:t>drivers</w:t>
      </w:r>
      <w:r w:rsidR="00C75D57">
        <w:t xml:space="preserve"> </w:t>
      </w:r>
      <w:r w:rsidR="00A7691D">
        <w:t xml:space="preserve">(both short and long run) </w:t>
      </w:r>
      <w:r>
        <w:t>whi</w:t>
      </w:r>
      <w:r w:rsidR="00A85BDA">
        <w:t>ch for electricity</w:t>
      </w:r>
      <w:r>
        <w:t xml:space="preserve"> vary by location and ti</w:t>
      </w:r>
      <w:r w:rsidR="00A85BDA">
        <w:t>me of</w:t>
      </w:r>
      <w:r w:rsidR="00166127">
        <w:t xml:space="preserve"> use. </w:t>
      </w:r>
    </w:p>
    <w:p w14:paraId="600687B7" w14:textId="17ED552E" w:rsidR="009E72CF" w:rsidRDefault="00F917E0" w:rsidP="00A7691D">
      <w:pPr>
        <w:pStyle w:val="AERbulletlistfirststyle"/>
        <w:spacing w:after="180"/>
        <w:ind w:left="714" w:hanging="357"/>
      </w:pPr>
      <w:r>
        <w:rPr>
          <w:u w:val="single"/>
        </w:rPr>
        <w:t>G</w:t>
      </w:r>
      <w:r w:rsidR="009E72CF" w:rsidRPr="00E903DC">
        <w:rPr>
          <w:u w:val="single"/>
        </w:rPr>
        <w:t>uidance</w:t>
      </w:r>
      <w:r w:rsidR="00501DB3">
        <w:t>—</w:t>
      </w:r>
      <w:r w:rsidR="008D40FD">
        <w:t xml:space="preserve">to DNSPs on </w:t>
      </w:r>
      <w:r w:rsidR="009E72CF">
        <w:t xml:space="preserve">the overall </w:t>
      </w:r>
      <w:r>
        <w:t>cost reflectivity</w:t>
      </w:r>
      <w:r w:rsidR="00723197">
        <w:t xml:space="preserve"> </w:t>
      </w:r>
      <w:r w:rsidR="009E72CF">
        <w:t xml:space="preserve">objective </w:t>
      </w:r>
      <w:r w:rsidR="008D40FD">
        <w:t>of tarif</w:t>
      </w:r>
      <w:r w:rsidR="00723197">
        <w:t>fs,</w:t>
      </w:r>
      <w:r w:rsidR="009E72CF">
        <w:t xml:space="preserve"> when constructing tariffs</w:t>
      </w:r>
      <w:r w:rsidR="0097643F">
        <w:t xml:space="preserve"> and framing tariff</w:t>
      </w:r>
      <w:r w:rsidR="00A85BDA">
        <w:t xml:space="preserve"> proposals</w:t>
      </w:r>
      <w:r w:rsidR="009E72CF">
        <w:t xml:space="preserve"> </w:t>
      </w:r>
      <w:r w:rsidR="00293FD4">
        <w:t>for our assessment</w:t>
      </w:r>
      <w:r w:rsidR="009E72CF">
        <w:t xml:space="preserve">. </w:t>
      </w:r>
    </w:p>
    <w:p w14:paraId="7591580F" w14:textId="5AA2A131" w:rsidR="009E72CF" w:rsidRDefault="009E72CF" w:rsidP="00A7691D">
      <w:pPr>
        <w:pStyle w:val="AERbulletlistfirststyle"/>
        <w:spacing w:after="180"/>
        <w:ind w:left="714" w:hanging="357"/>
      </w:pPr>
      <w:r w:rsidRPr="00E903DC">
        <w:rPr>
          <w:u w:val="single"/>
        </w:rPr>
        <w:t>Enforceability</w:t>
      </w:r>
      <w:r w:rsidR="00501DB3">
        <w:t>—</w:t>
      </w:r>
      <w:r>
        <w:t>ther</w:t>
      </w:r>
      <w:r w:rsidR="008D40FD">
        <w:t>e</w:t>
      </w:r>
      <w:r>
        <w:t xml:space="preserve"> needs to be some structured way by which we can assess w</w:t>
      </w:r>
      <w:r w:rsidR="0097643F">
        <w:t>hether a DNSP’s proposed tariff structures</w:t>
      </w:r>
      <w:r>
        <w:t xml:space="preserve"> comply with the objectives of the pricing principles.</w:t>
      </w:r>
    </w:p>
    <w:p w14:paraId="63EC3CD2" w14:textId="4C3FE4E0" w:rsidR="009E72CF" w:rsidRDefault="009E72CF" w:rsidP="00A7691D">
      <w:pPr>
        <w:pStyle w:val="AERbulletlistfirststyle"/>
        <w:spacing w:after="180"/>
        <w:ind w:left="714" w:hanging="357"/>
      </w:pPr>
      <w:r w:rsidRPr="00E903DC">
        <w:rPr>
          <w:u w:val="single"/>
        </w:rPr>
        <w:t>Flexibility</w:t>
      </w:r>
      <w:r w:rsidR="00501DB3">
        <w:t>—</w:t>
      </w:r>
      <w:r>
        <w:t>f</w:t>
      </w:r>
      <w:r w:rsidR="008D40FD">
        <w:t xml:space="preserve">or DNSPs </w:t>
      </w:r>
      <w:r w:rsidR="000B5138">
        <w:t>to design tariffs</w:t>
      </w:r>
      <w:r>
        <w:t xml:space="preserve"> </w:t>
      </w:r>
      <w:r w:rsidR="00293FD4">
        <w:t xml:space="preserve">suited to </w:t>
      </w:r>
      <w:r>
        <w:t>the</w:t>
      </w:r>
      <w:r w:rsidR="000B5138">
        <w:t xml:space="preserve">ir network and </w:t>
      </w:r>
      <w:r w:rsidR="00A85BDA">
        <w:t>customer needs</w:t>
      </w:r>
      <w:r w:rsidR="000B5138">
        <w:t>, and</w:t>
      </w:r>
      <w:r>
        <w:t xml:space="preserve"> </w:t>
      </w:r>
      <w:r w:rsidR="006C3FF5">
        <w:t xml:space="preserve">to </w:t>
      </w:r>
      <w:r w:rsidR="0097643F">
        <w:t>evolve their approach</w:t>
      </w:r>
      <w:r w:rsidR="00FB04CD">
        <w:t xml:space="preserve"> as technologies like</w:t>
      </w:r>
      <w:r w:rsidR="008D40FD">
        <w:t xml:space="preserve"> advanced metering become</w:t>
      </w:r>
      <w:r>
        <w:t xml:space="preserve"> prevalent, or demand c</w:t>
      </w:r>
      <w:r w:rsidR="000B5138">
        <w:t xml:space="preserve">onditions change. Pricing </w:t>
      </w:r>
      <w:r>
        <w:t>a</w:t>
      </w:r>
      <w:r w:rsidR="00A85BDA">
        <w:t>pproach</w:t>
      </w:r>
      <w:r w:rsidR="000B5138">
        <w:t>es</w:t>
      </w:r>
      <w:r w:rsidR="00A85BDA">
        <w:t xml:space="preserve"> might vary from</w:t>
      </w:r>
      <w:r w:rsidR="008D40FD">
        <w:t xml:space="preserve"> when</w:t>
      </w:r>
      <w:r>
        <w:t xml:space="preserve"> there is significant peak demand and latent capacity, to a situ</w:t>
      </w:r>
      <w:r w:rsidR="000B5138">
        <w:t>ation where peak demand is</w:t>
      </w:r>
      <w:r>
        <w:t xml:space="preserve"> </w:t>
      </w:r>
      <w:r w:rsidR="008D40FD">
        <w:t xml:space="preserve">decreasing. </w:t>
      </w:r>
      <w:r w:rsidR="000B5138">
        <w:t>The wording shouldn’</w:t>
      </w:r>
      <w:r w:rsidR="0097643F">
        <w:t xml:space="preserve">t constrain </w:t>
      </w:r>
      <w:r>
        <w:t>greater</w:t>
      </w:r>
      <w:r w:rsidR="000B5138">
        <w:t xml:space="preserve"> tariff</w:t>
      </w:r>
      <w:r>
        <w:t xml:space="preserve"> dynamism, </w:t>
      </w:r>
      <w:r w:rsidR="00293FD4">
        <w:t xml:space="preserve">thereby </w:t>
      </w:r>
      <w:r w:rsidR="0097643F">
        <w:t xml:space="preserve">leaving tariff design to DNSPs. </w:t>
      </w:r>
    </w:p>
    <w:p w14:paraId="1494CB0A" w14:textId="06A4F7E3" w:rsidR="00C75D57" w:rsidRDefault="00C75D57" w:rsidP="009E72CF">
      <w:pPr>
        <w:pStyle w:val="AERbulletlistfirststyle"/>
      </w:pPr>
      <w:r>
        <w:rPr>
          <w:u w:val="single"/>
        </w:rPr>
        <w:t>Certainty</w:t>
      </w:r>
      <w:r w:rsidR="001C1672">
        <w:rPr>
          <w:u w:val="single"/>
        </w:rPr>
        <w:t>/stability</w:t>
      </w:r>
      <w:r w:rsidR="00501DB3">
        <w:t>—</w:t>
      </w:r>
      <w:r>
        <w:t xml:space="preserve">some </w:t>
      </w:r>
      <w:r w:rsidR="00FB04CD">
        <w:t xml:space="preserve">consumer </w:t>
      </w:r>
      <w:r>
        <w:t xml:space="preserve">assurance </w:t>
      </w:r>
      <w:r w:rsidR="00FB04CD">
        <w:t xml:space="preserve">as to </w:t>
      </w:r>
      <w:r w:rsidR="000B5138">
        <w:t>rate</w:t>
      </w:r>
      <w:r w:rsidR="00FB04CD">
        <w:t>s</w:t>
      </w:r>
      <w:r w:rsidR="000B5138">
        <w:t xml:space="preserve"> of change </w:t>
      </w:r>
      <w:r w:rsidR="00723197">
        <w:t>–</w:t>
      </w:r>
      <w:r w:rsidR="00FB04CD">
        <w:t xml:space="preserve"> </w:t>
      </w:r>
      <w:r w:rsidR="00723197">
        <w:t xml:space="preserve">as a </w:t>
      </w:r>
      <w:r>
        <w:t>change in tariff structures can potentially have a large impact on customer bills. There should be a clear approach to managing these issues.</w:t>
      </w:r>
    </w:p>
    <w:p w14:paraId="0A402CDF" w14:textId="1723954D" w:rsidR="007B0B7C" w:rsidRDefault="009E72CF" w:rsidP="007B0B7C">
      <w:pPr>
        <w:pStyle w:val="Heading4"/>
        <w:rPr>
          <w:rStyle w:val="Strong"/>
          <w:b/>
        </w:rPr>
      </w:pPr>
      <w:r w:rsidRPr="000B5138">
        <w:rPr>
          <w:rStyle w:val="Strong"/>
          <w:b/>
        </w:rPr>
        <w:lastRenderedPageBreak/>
        <w:t>Efficient pricing of distribution networks</w:t>
      </w:r>
    </w:p>
    <w:p w14:paraId="3C4BC54F" w14:textId="2FA681AB" w:rsidR="008663CF" w:rsidRDefault="001C1672" w:rsidP="00B07D9B">
      <w:pPr>
        <w:pStyle w:val="AERbodytext"/>
        <w:numPr>
          <w:ilvl w:val="0"/>
          <w:numId w:val="0"/>
        </w:numPr>
      </w:pPr>
      <w:r>
        <w:t>T</w:t>
      </w:r>
      <w:r w:rsidR="00B03776">
        <w:t>here are</w:t>
      </w:r>
      <w:r w:rsidR="002A509D">
        <w:t xml:space="preserve"> various options that </w:t>
      </w:r>
      <w:r w:rsidR="00B03776">
        <w:t>should be explored</w:t>
      </w:r>
      <w:r w:rsidR="00E92683">
        <w:t xml:space="preserve"> to provide</w:t>
      </w:r>
      <w:r>
        <w:t xml:space="preserve"> a cost reflectivity objective in the NER</w:t>
      </w:r>
      <w:r w:rsidR="002A509D">
        <w:t xml:space="preserve">. This includes tariffs needing to be ‘economically efficient’, ‘cost reflective’, or ‘reflective of underlying drivers of network costs’. These </w:t>
      </w:r>
      <w:r w:rsidR="00423869">
        <w:t>could</w:t>
      </w:r>
      <w:r w:rsidR="002A509D">
        <w:t xml:space="preserve"> be flexible enoug</w:t>
      </w:r>
      <w:r w:rsidR="00B03776">
        <w:t>h to allow innovation</w:t>
      </w:r>
      <w:r w:rsidR="00A7691D">
        <w:t xml:space="preserve">, but </w:t>
      </w:r>
      <w:r w:rsidR="002A509D">
        <w:t>would require further explanation</w:t>
      </w:r>
      <w:r w:rsidR="00E72329">
        <w:t>,</w:t>
      </w:r>
      <w:r w:rsidR="002A509D">
        <w:t xml:space="preserve"> </w:t>
      </w:r>
      <w:r w:rsidR="004A2DB1">
        <w:t>given their</w:t>
      </w:r>
      <w:r w:rsidR="002A509D">
        <w:t xml:space="preserve"> potentially broad interpretation</w:t>
      </w:r>
      <w:r w:rsidR="004A2DB1">
        <w:t>.</w:t>
      </w:r>
      <w:r w:rsidR="00723197">
        <w:t xml:space="preserve"> This could occur through an AER guideline.</w:t>
      </w:r>
      <w:r w:rsidR="004A2DB1">
        <w:t xml:space="preserve"> </w:t>
      </w:r>
      <w:r>
        <w:t>W</w:t>
      </w:r>
      <w:r w:rsidR="002A509D">
        <w:t xml:space="preserve">e would consider these requirements to set efficient prices as mandatory, but the means of achieving this as flexible. </w:t>
      </w:r>
      <w:r w:rsidR="000014E1">
        <w:t xml:space="preserve">SCER’s proposal prefers </w:t>
      </w:r>
      <w:r w:rsidR="009E72CF">
        <w:t>ex</w:t>
      </w:r>
      <w:r w:rsidR="002A509D">
        <w:t>plicit reference to an</w:t>
      </w:r>
      <w:r w:rsidR="009E72CF">
        <w:t xml:space="preserve"> economic con</w:t>
      </w:r>
      <w:r w:rsidR="000014E1">
        <w:t>cept</w:t>
      </w:r>
      <w:r w:rsidR="00E24224">
        <w:t xml:space="preserve"> in LRMC</w:t>
      </w:r>
      <w:r w:rsidR="000014E1">
        <w:t>,</w:t>
      </w:r>
      <w:r w:rsidR="00E24224">
        <w:t xml:space="preserve"> as the basis </w:t>
      </w:r>
      <w:r w:rsidR="009E72CF">
        <w:t xml:space="preserve">on which to </w:t>
      </w:r>
      <w:r w:rsidR="00E24224">
        <w:t xml:space="preserve">set tariffs. </w:t>
      </w:r>
      <w:r w:rsidR="008663CF">
        <w:t>LRMC based pricing, strictly interpreted might not be the theoretical optimum for addressing all aspect</w:t>
      </w:r>
      <w:r w:rsidR="00E92683">
        <w:t>s</w:t>
      </w:r>
      <w:r w:rsidR="00723197">
        <w:t xml:space="preserve"> (short and long term)</w:t>
      </w:r>
      <w:r w:rsidR="008663CF">
        <w:t xml:space="preserve"> of effic</w:t>
      </w:r>
      <w:r w:rsidR="00723197">
        <w:t>ient pricing</w:t>
      </w:r>
      <w:r w:rsidR="00A01803">
        <w:t xml:space="preserve">. However, </w:t>
      </w:r>
      <w:r w:rsidR="008663CF">
        <w:t>referring to LRMC can</w:t>
      </w:r>
      <w:r w:rsidR="00E92683">
        <w:t xml:space="preserve"> be </w:t>
      </w:r>
      <w:r w:rsidR="008663CF">
        <w:t>useful to forward the cost reflectivity objective as long as its application allows for efficient tariff</w:t>
      </w:r>
      <w:r w:rsidR="004A2DB1">
        <w:t xml:space="preserve"> structures to evolve over time</w:t>
      </w:r>
      <w:r w:rsidR="00A01803">
        <w:t>.</w:t>
      </w:r>
    </w:p>
    <w:p w14:paraId="692C773D" w14:textId="579B3D2A" w:rsidR="00A01803" w:rsidRDefault="00851EF0" w:rsidP="003126B2">
      <w:pPr>
        <w:pStyle w:val="AERbodytext"/>
        <w:numPr>
          <w:ilvl w:val="0"/>
          <w:numId w:val="0"/>
        </w:numPr>
        <w:spacing w:after="200"/>
      </w:pPr>
      <w:r>
        <w:t>With respect to the short and long run aspects of efficient pricing, the theoretical optimum is to set</w:t>
      </w:r>
      <w:r w:rsidR="00A01803">
        <w:t xml:space="preserve"> prices on the basis of Short Run M</w:t>
      </w:r>
      <w:r>
        <w:t>arginal Cost (SRMC), which could:</w:t>
      </w:r>
    </w:p>
    <w:p w14:paraId="519472A3" w14:textId="6C3820FA" w:rsidR="00851EF0" w:rsidRDefault="00851EF0" w:rsidP="00851EF0">
      <w:pPr>
        <w:pStyle w:val="AERbulletlistfirststyle"/>
      </w:pPr>
      <w:r>
        <w:t>Address short-run decisions on the efficient use of existing network and consumption assets</w:t>
      </w:r>
      <w:r w:rsidR="00723197">
        <w:t xml:space="preserve"> by pricing network congestion, given a fixed network base</w:t>
      </w:r>
      <w:r w:rsidR="00423869">
        <w:t>—t</w:t>
      </w:r>
      <w:r w:rsidR="00723197">
        <w:t>his would provide</w:t>
      </w:r>
      <w:r>
        <w:t xml:space="preserve"> efficient signals to consumer</w:t>
      </w:r>
      <w:r w:rsidR="00E92683">
        <w:t>s</w:t>
      </w:r>
      <w:r w:rsidR="00423869">
        <w:t xml:space="preserve"> on</w:t>
      </w:r>
      <w:r>
        <w:t xml:space="preserve"> whether to draw additional power from the network, reduce local consumption, or increase local production.</w:t>
      </w:r>
      <w:r w:rsidR="007007E8">
        <w:rPr>
          <w:rStyle w:val="FootnoteReference"/>
        </w:rPr>
        <w:footnoteReference w:id="2"/>
      </w:r>
      <w:r>
        <w:t xml:space="preserve"> </w:t>
      </w:r>
    </w:p>
    <w:p w14:paraId="46783805" w14:textId="6D9768DB" w:rsidR="00851EF0" w:rsidRDefault="00851EF0" w:rsidP="004F0084">
      <w:pPr>
        <w:pStyle w:val="AERbulletlistfirststyle"/>
      </w:pPr>
      <w:r>
        <w:t>Provide signals for</w:t>
      </w:r>
      <w:r w:rsidR="007007E8">
        <w:t xml:space="preserve"> efficient long-run investment</w:t>
      </w:r>
      <w:r w:rsidR="00E92683">
        <w:t>s</w:t>
      </w:r>
      <w:r w:rsidR="007007E8">
        <w:t xml:space="preserve"> </w:t>
      </w:r>
      <w:r>
        <w:t>in generation, consumption and network assets</w:t>
      </w:r>
      <w:r w:rsidR="007007E8">
        <w:rPr>
          <w:rStyle w:val="FootnoteReference"/>
        </w:rPr>
        <w:footnoteReference w:id="3"/>
      </w:r>
      <w:r w:rsidR="00423869">
        <w:t>—</w:t>
      </w:r>
      <w:r w:rsidR="004F0084">
        <w:t>over the long term, if tariffs at locations reflect the SRMC of network use, these should on average reflect the LRMC of network augmentation to that location</w:t>
      </w:r>
      <w:r>
        <w:t>.</w:t>
      </w:r>
      <w:r>
        <w:rPr>
          <w:rStyle w:val="FootnoteReference"/>
        </w:rPr>
        <w:footnoteReference w:id="4"/>
      </w:r>
    </w:p>
    <w:p w14:paraId="1400925A" w14:textId="383EEEF0" w:rsidR="00FB30A8" w:rsidRDefault="007007E8" w:rsidP="00DE620D">
      <w:pPr>
        <w:pStyle w:val="AERbodytext"/>
        <w:numPr>
          <w:ilvl w:val="0"/>
          <w:numId w:val="0"/>
        </w:numPr>
        <w:spacing w:after="160"/>
      </w:pPr>
      <w:r>
        <w:t>It is becoming increasingly important that prices reflect some degree of dyna</w:t>
      </w:r>
      <w:r w:rsidR="00E92683">
        <w:t xml:space="preserve">mism to address these short and </w:t>
      </w:r>
      <w:r>
        <w:t xml:space="preserve">long term </w:t>
      </w:r>
      <w:r w:rsidR="00AF63B8">
        <w:t>effects</w:t>
      </w:r>
      <w:r>
        <w:t>. This</w:t>
      </w:r>
      <w:r w:rsidR="00E92683">
        <w:t xml:space="preserve"> is</w:t>
      </w:r>
      <w:r>
        <w:t xml:space="preserve"> due to the emerg</w:t>
      </w:r>
      <w:r w:rsidR="00532B49">
        <w:t>ence of new technologies</w:t>
      </w:r>
      <w:r w:rsidR="00050E8B">
        <w:t xml:space="preserve"> </w:t>
      </w:r>
      <w:r>
        <w:t>consuming energy in different ways or allowing consumers to better manage their d</w:t>
      </w:r>
      <w:r w:rsidR="00E92683">
        <w:t>emand or even export energy</w:t>
      </w:r>
      <w:r>
        <w:t xml:space="preserve">. </w:t>
      </w:r>
      <w:r w:rsidR="002D71DC">
        <w:t xml:space="preserve">Full dynamic approaches, such as those based on SRMC are currently unattainable—subject of little </w:t>
      </w:r>
      <w:r w:rsidR="00050E8B">
        <w:t>or</w:t>
      </w:r>
      <w:r w:rsidR="002D71DC">
        <w:t xml:space="preserve"> no practical experience at a distribution network level, here and abroad.</w:t>
      </w:r>
      <w:r w:rsidR="002D71DC">
        <w:rPr>
          <w:rStyle w:val="FootnoteReference"/>
        </w:rPr>
        <w:footnoteReference w:id="5"/>
      </w:r>
      <w:r w:rsidR="002D71DC">
        <w:t xml:space="preserve"> Until these are attainable, </w:t>
      </w:r>
      <w:r w:rsidR="00FB30A8">
        <w:t>basing prices on LRMC might be a sufficient second best alternative</w:t>
      </w:r>
      <w:r w:rsidR="00A3284D">
        <w:t>—</w:t>
      </w:r>
      <w:r w:rsidR="00FB30A8">
        <w:t>that is, basi</w:t>
      </w:r>
      <w:r w:rsidR="00DE620D">
        <w:t>ng prices on calculations of long-</w:t>
      </w:r>
      <w:r w:rsidR="00FB30A8">
        <w:t xml:space="preserve">run </w:t>
      </w:r>
      <w:r w:rsidR="00DE620D">
        <w:t xml:space="preserve">network augmentation </w:t>
      </w:r>
      <w:r w:rsidR="00FB30A8">
        <w:t>costs. Using LRMC estimates in this way</w:t>
      </w:r>
      <w:r w:rsidR="00423869">
        <w:t>,</w:t>
      </w:r>
      <w:r w:rsidR="00FB30A8">
        <w:t xml:space="preserve"> </w:t>
      </w:r>
      <w:r w:rsidR="00DE620D">
        <w:t>to target short and long-</w:t>
      </w:r>
      <w:r w:rsidR="00CF37A2">
        <w:t>run issues, will not precisely reflect network conditions at given time points.</w:t>
      </w:r>
      <w:r w:rsidR="004F0084">
        <w:t xml:space="preserve"> This is because LRMC estimates need to be made in advance of network conditions materialising and the need for network augmentation. </w:t>
      </w:r>
      <w:r w:rsidR="00CF37A2">
        <w:t xml:space="preserve">However, if DNSPs can reasonably predict </w:t>
      </w:r>
      <w:r w:rsidR="004F0084">
        <w:t xml:space="preserve">locational constraints or </w:t>
      </w:r>
      <w:r w:rsidR="00CF37A2">
        <w:t xml:space="preserve">times in which network peaks are more likely than others, they might be able to </w:t>
      </w:r>
      <w:r w:rsidR="00AF63B8">
        <w:t>use</w:t>
      </w:r>
      <w:r w:rsidR="00CF37A2">
        <w:t xml:space="preserve"> LRMC </w:t>
      </w:r>
      <w:r w:rsidR="006C3FF5">
        <w:t>to provide</w:t>
      </w:r>
      <w:r w:rsidR="00423869">
        <w:t xml:space="preserve"> price</w:t>
      </w:r>
      <w:r w:rsidR="001D7E5F">
        <w:t xml:space="preserve"> signals</w:t>
      </w:r>
      <w:r w:rsidR="00AF63B8">
        <w:t xml:space="preserve"> which would still be superior to existing approaches</w:t>
      </w:r>
      <w:r w:rsidR="00CF37A2">
        <w:t>.</w:t>
      </w:r>
      <w:r w:rsidR="00423869">
        <w:rPr>
          <w:rStyle w:val="FootnoteReference"/>
        </w:rPr>
        <w:footnoteReference w:id="6"/>
      </w:r>
      <w:r w:rsidR="00CF37A2">
        <w:t xml:space="preserve"> Over time, these approaches should evolve with more adv</w:t>
      </w:r>
      <w:r w:rsidR="006C3FF5">
        <w:t>anced metering technologies</w:t>
      </w:r>
      <w:r w:rsidR="00104EBC">
        <w:rPr>
          <w:rStyle w:val="FootnoteReference"/>
        </w:rPr>
        <w:footnoteReference w:id="7"/>
      </w:r>
      <w:r w:rsidR="006C3FF5">
        <w:t xml:space="preserve">: </w:t>
      </w:r>
    </w:p>
    <w:p w14:paraId="3B084822" w14:textId="0305400A" w:rsidR="00CF37A2" w:rsidRDefault="004F0084" w:rsidP="00CF37A2">
      <w:pPr>
        <w:pStyle w:val="AERbulletlistfirststyle"/>
      </w:pPr>
      <w:r>
        <w:t>Without advanced metering</w:t>
      </w:r>
      <w:r w:rsidR="00CF37A2">
        <w:t xml:space="preserve"> network augmentation costs could be app</w:t>
      </w:r>
      <w:r>
        <w:t xml:space="preserve">ortioned in some broad manner, </w:t>
      </w:r>
      <w:r w:rsidR="00CF37A2">
        <w:t>such as one peak/off-peak price for consumers across the whole year.</w:t>
      </w:r>
    </w:p>
    <w:p w14:paraId="05A0AA40" w14:textId="77AAA732" w:rsidR="00CF37A2" w:rsidRDefault="00CF37A2" w:rsidP="00CF37A2">
      <w:pPr>
        <w:pStyle w:val="AERbulletlistfirststyle"/>
      </w:pPr>
      <w:r>
        <w:lastRenderedPageBreak/>
        <w:t xml:space="preserve">With advanced metering </w:t>
      </w:r>
      <w:r w:rsidR="004F0084">
        <w:t xml:space="preserve">the </w:t>
      </w:r>
      <w:r>
        <w:t>opti</w:t>
      </w:r>
      <w:r w:rsidR="004F0084">
        <w:t>ons are potentially extensive. C</w:t>
      </w:r>
      <w:r>
        <w:t xml:space="preserve">osts could be apportioned to more accurately target times or locations of greatest use, charges could have peak/off-peak components that vary by season or each hour of the year, or they could be set to recover all augmentation costs on certain few peak periods in any given year. </w:t>
      </w:r>
      <w:r w:rsidR="001D7E5F">
        <w:t>However</w:t>
      </w:r>
      <w:r>
        <w:t xml:space="preserve">, as </w:t>
      </w:r>
      <w:r w:rsidR="00B57BD3">
        <w:t xml:space="preserve">the ability to </w:t>
      </w:r>
      <w:r>
        <w:t>pric</w:t>
      </w:r>
      <w:r w:rsidR="00B57BD3">
        <w:t>e</w:t>
      </w:r>
      <w:r>
        <w:t xml:space="preserve"> </w:t>
      </w:r>
      <w:r w:rsidR="00B57BD3">
        <w:t xml:space="preserve">in a </w:t>
      </w:r>
      <w:r>
        <w:t xml:space="preserve">more granular </w:t>
      </w:r>
      <w:r w:rsidR="006C3FF5">
        <w:t>way (to reflect network cost conditions) becomes possible</w:t>
      </w:r>
      <w:r>
        <w:t xml:space="preserve">, there will inevitably be </w:t>
      </w:r>
      <w:r w:rsidR="00B57BD3">
        <w:t xml:space="preserve">other considerations, such as </w:t>
      </w:r>
      <w:r>
        <w:t>transaction</w:t>
      </w:r>
      <w:r w:rsidR="00B57BD3">
        <w:t xml:space="preserve">, billing, marketing </w:t>
      </w:r>
      <w:r>
        <w:t xml:space="preserve">and other costs that </w:t>
      </w:r>
      <w:r w:rsidR="004E368A">
        <w:t xml:space="preserve">would mitigate overly complex tariff schedules </w:t>
      </w:r>
      <w:r>
        <w:t xml:space="preserve">. </w:t>
      </w:r>
    </w:p>
    <w:p w14:paraId="42C0F1BD" w14:textId="0BCBD383" w:rsidR="00E92683" w:rsidRDefault="00E92683" w:rsidP="00E92683">
      <w:pPr>
        <w:pStyle w:val="AERbulletlistfirststyle"/>
        <w:numPr>
          <w:ilvl w:val="0"/>
          <w:numId w:val="0"/>
        </w:numPr>
      </w:pPr>
      <w:r>
        <w:t>Given the potential</w:t>
      </w:r>
      <w:r w:rsidR="006C3FF5">
        <w:t>ly varied</w:t>
      </w:r>
      <w:r>
        <w:t xml:space="preserve"> options </w:t>
      </w:r>
      <w:r w:rsidR="00DE620D">
        <w:t>for applying</w:t>
      </w:r>
      <w:r>
        <w:t xml:space="preserve"> LRMC estimates to target network cost drivers, and </w:t>
      </w:r>
      <w:r w:rsidR="004F0084">
        <w:t>with these options evolving</w:t>
      </w:r>
      <w:r>
        <w:t xml:space="preserve"> over time as metering and customer understanding improves, </w:t>
      </w:r>
      <w:r w:rsidR="004F0084">
        <w:t xml:space="preserve">any </w:t>
      </w:r>
      <w:r>
        <w:t xml:space="preserve">prescription </w:t>
      </w:r>
      <w:r w:rsidR="00FB290A">
        <w:t>on</w:t>
      </w:r>
      <w:r>
        <w:t xml:space="preserve"> LRMC application </w:t>
      </w:r>
      <w:r w:rsidR="00FB290A">
        <w:t>could</w:t>
      </w:r>
      <w:r w:rsidR="00DE620D">
        <w:t xml:space="preserve"> constrain innovation.</w:t>
      </w:r>
      <w:r>
        <w:t xml:space="preserve"> The key objective is that DNSPs increasingly target cost drivers. To this end, we accept that SCER’s proposed sub-clauses for the pricing principles could be informative. They provide that when applying LRMC, time and location should </w:t>
      </w:r>
      <w:r w:rsidR="004E368A">
        <w:t xml:space="preserve">be </w:t>
      </w:r>
      <w:r w:rsidR="00DE620D">
        <w:t xml:space="preserve">reflected, as </w:t>
      </w:r>
      <w:r w:rsidR="00B57BD3">
        <w:t xml:space="preserve">far </w:t>
      </w:r>
      <w:r w:rsidR="004E368A">
        <w:t xml:space="preserve">as </w:t>
      </w:r>
      <w:r w:rsidR="00DE620D">
        <w:t xml:space="preserve">possible.  </w:t>
      </w:r>
    </w:p>
    <w:p w14:paraId="6A3E630B" w14:textId="77777777" w:rsidR="009E72CF" w:rsidRPr="000B5138" w:rsidRDefault="009E72CF" w:rsidP="009E72CF">
      <w:pPr>
        <w:pStyle w:val="Heading4"/>
        <w:rPr>
          <w:rStyle w:val="Strong"/>
          <w:b/>
        </w:rPr>
      </w:pPr>
      <w:r w:rsidRPr="000B5138">
        <w:rPr>
          <w:rStyle w:val="Strong"/>
          <w:b/>
        </w:rPr>
        <w:t>Assessing compliance</w:t>
      </w:r>
    </w:p>
    <w:p w14:paraId="766A91E2" w14:textId="1681BEF1" w:rsidR="009E72CF" w:rsidRDefault="00F525FC" w:rsidP="00D319B0">
      <w:pPr>
        <w:pStyle w:val="AERbodytext"/>
      </w:pPr>
      <w:r>
        <w:t xml:space="preserve">It is uncertain how to determine that tariffs set on the basis of LRMC </w:t>
      </w:r>
      <w:r w:rsidR="00423869">
        <w:t xml:space="preserve">would </w:t>
      </w:r>
      <w:r>
        <w:t>comply with the pricing principles. This</w:t>
      </w:r>
      <w:r w:rsidR="009E72CF">
        <w:t xml:space="preserve"> uncertainty arise</w:t>
      </w:r>
      <w:r w:rsidR="00266C37">
        <w:t>s</w:t>
      </w:r>
      <w:r w:rsidR="00BA758D">
        <w:t xml:space="preserve"> due</w:t>
      </w:r>
      <w:r w:rsidR="009E72CF">
        <w:t xml:space="preserve"> </w:t>
      </w:r>
      <w:r w:rsidR="00BA758D">
        <w:t xml:space="preserve">to </w:t>
      </w:r>
      <w:r w:rsidR="009A1806">
        <w:t xml:space="preserve">both </w:t>
      </w:r>
      <w:r w:rsidR="009E72CF">
        <w:t>the</w:t>
      </w:r>
      <w:r w:rsidR="00BA758D">
        <w:t xml:space="preserve"> varied ways of applying LRMC</w:t>
      </w:r>
      <w:r w:rsidR="009E72CF">
        <w:t xml:space="preserve">, </w:t>
      </w:r>
      <w:r w:rsidR="009A1806">
        <w:t>and</w:t>
      </w:r>
      <w:r w:rsidR="00266C37">
        <w:t xml:space="preserve"> various </w:t>
      </w:r>
      <w:r w:rsidR="00BA758D">
        <w:t>ways of estimating it</w:t>
      </w:r>
      <w:r w:rsidR="00266C37">
        <w:t>.</w:t>
      </w:r>
      <w:r w:rsidR="009E72CF">
        <w:t xml:space="preserve"> </w:t>
      </w:r>
      <w:r w:rsidR="00BB5DB7">
        <w:t>We do not think the NER should be</w:t>
      </w:r>
      <w:r w:rsidR="00D319B0" w:rsidRPr="00D319B0">
        <w:t xml:space="preserve"> specific </w:t>
      </w:r>
      <w:r w:rsidR="00A734EB">
        <w:t>on estimation methods</w:t>
      </w:r>
      <w:r w:rsidR="00D319B0" w:rsidRPr="00D319B0">
        <w:t xml:space="preserve">. </w:t>
      </w:r>
      <w:r w:rsidR="00BB5DB7">
        <w:t>While t</w:t>
      </w:r>
      <w:r w:rsidR="00903C82">
        <w:t>h</w:t>
      </w:r>
      <w:r w:rsidR="00BB5DB7">
        <w:t>is</w:t>
      </w:r>
      <w:r w:rsidR="00D319B0">
        <w:t xml:space="preserve"> rule change </w:t>
      </w:r>
      <w:r w:rsidR="00423869">
        <w:t>should</w:t>
      </w:r>
      <w:r w:rsidR="00BB5DB7">
        <w:t xml:space="preserve"> </w:t>
      </w:r>
      <w:r w:rsidR="00A734EB">
        <w:t>consider</w:t>
      </w:r>
      <w:r w:rsidR="00903C82">
        <w:t xml:space="preserve"> </w:t>
      </w:r>
      <w:r w:rsidR="00D319B0">
        <w:t xml:space="preserve">whether any method is superior, </w:t>
      </w:r>
      <w:r w:rsidR="00DE6EBD">
        <w:t xml:space="preserve">or </w:t>
      </w:r>
      <w:r w:rsidR="00D319B0">
        <w:t>derives suffi</w:t>
      </w:r>
      <w:r w:rsidR="00A734EB">
        <w:t>ciently different results</w:t>
      </w:r>
      <w:r w:rsidR="00DE6EBD">
        <w:t>,</w:t>
      </w:r>
      <w:r w:rsidR="00A734EB">
        <w:t xml:space="preserve"> </w:t>
      </w:r>
      <w:r w:rsidR="00DE6EBD">
        <w:t>a</w:t>
      </w:r>
      <w:r w:rsidR="000B526D">
        <w:t xml:space="preserve">t this stage it </w:t>
      </w:r>
      <w:r w:rsidR="00D319B0">
        <w:t>is not apparent to us</w:t>
      </w:r>
      <w:r w:rsidR="005D3574">
        <w:t xml:space="preserve"> that any </w:t>
      </w:r>
      <w:r w:rsidR="00B57BD3">
        <w:t xml:space="preserve">particular </w:t>
      </w:r>
      <w:r w:rsidR="005D3574">
        <w:t xml:space="preserve">method </w:t>
      </w:r>
      <w:r w:rsidR="00B57BD3">
        <w:t>should be preferred</w:t>
      </w:r>
      <w:r w:rsidR="00D319B0">
        <w:t xml:space="preserve">. </w:t>
      </w:r>
    </w:p>
    <w:p w14:paraId="421D2B80" w14:textId="63FB39E1" w:rsidR="009E72CF" w:rsidRDefault="00266C37" w:rsidP="00D97492">
      <w:pPr>
        <w:pStyle w:val="AERbodytext"/>
        <w:spacing w:after="160"/>
      </w:pPr>
      <w:r>
        <w:t>T</w:t>
      </w:r>
      <w:r w:rsidR="009E72CF">
        <w:t>here</w:t>
      </w:r>
      <w:r w:rsidR="00013D01">
        <w:t xml:space="preserve"> are numerous </w:t>
      </w:r>
      <w:r w:rsidR="00DE6EBD">
        <w:t xml:space="preserve">theoretical and practical </w:t>
      </w:r>
      <w:r w:rsidR="00013D01">
        <w:t>approaches</w:t>
      </w:r>
      <w:r w:rsidR="009E72CF">
        <w:t xml:space="preserve"> in </w:t>
      </w:r>
      <w:r w:rsidR="000B526D">
        <w:t>estimating LRMC</w:t>
      </w:r>
      <w:r w:rsidR="002142B2">
        <w:t>. T</w:t>
      </w:r>
      <w:r w:rsidR="009E72CF">
        <w:t>he most co</w:t>
      </w:r>
      <w:r w:rsidR="000B526D">
        <w:t>mmon</w:t>
      </w:r>
      <w:r>
        <w:t xml:space="preserve"> methods </w:t>
      </w:r>
      <w:r w:rsidR="00903C82">
        <w:t xml:space="preserve">are </w:t>
      </w:r>
      <w:r>
        <w:t>the Average Incremental Cost</w:t>
      </w:r>
      <w:r w:rsidR="00DE6EBD">
        <w:t xml:space="preserve"> (AIC)</w:t>
      </w:r>
      <w:r>
        <w:t xml:space="preserve">, Marginal Incremental Cost </w:t>
      </w:r>
      <w:r w:rsidR="00DE6EBD">
        <w:t xml:space="preserve">(MIC) </w:t>
      </w:r>
      <w:r>
        <w:t>and Turvey approach</w:t>
      </w:r>
      <w:r w:rsidR="00891D06">
        <w:t>es</w:t>
      </w:r>
      <w:r>
        <w:t xml:space="preserve">. </w:t>
      </w:r>
      <w:r w:rsidR="009A1806">
        <w:t>Most</w:t>
      </w:r>
      <w:r w:rsidR="00891D06">
        <w:t xml:space="preserve"> DNSPs </w:t>
      </w:r>
      <w:r w:rsidR="00256588">
        <w:t>use</w:t>
      </w:r>
      <w:r w:rsidR="009E72CF">
        <w:t xml:space="preserve"> the AIC approach. </w:t>
      </w:r>
      <w:r w:rsidR="00256588">
        <w:t xml:space="preserve">Their </w:t>
      </w:r>
      <w:r w:rsidR="000B526D">
        <w:t xml:space="preserve">choice of </w:t>
      </w:r>
      <w:r w:rsidR="009E72CF">
        <w:t>approach will prob</w:t>
      </w:r>
      <w:r w:rsidR="002142B2">
        <w:t>ably</w:t>
      </w:r>
      <w:r w:rsidR="004F0084">
        <w:t xml:space="preserve"> depend on</w:t>
      </w:r>
      <w:r w:rsidR="002142B2">
        <w:t xml:space="preserve"> data </w:t>
      </w:r>
      <w:r w:rsidR="00256588">
        <w:t>availability</w:t>
      </w:r>
      <w:r w:rsidR="000B526D">
        <w:t xml:space="preserve"> and how the</w:t>
      </w:r>
      <w:r w:rsidR="002142B2">
        <w:t xml:space="preserve"> approaches</w:t>
      </w:r>
      <w:r w:rsidR="009E72CF">
        <w:t xml:space="preserve"> fit with the</w:t>
      </w:r>
      <w:r w:rsidR="002142B2">
        <w:t>ir</w:t>
      </w:r>
      <w:r w:rsidR="009E72CF">
        <w:t xml:space="preserve"> overall planning </w:t>
      </w:r>
      <w:r w:rsidR="002142B2">
        <w:t>models</w:t>
      </w:r>
      <w:r w:rsidR="009E72CF">
        <w:t>. For example</w:t>
      </w:r>
      <w:r w:rsidR="004F0084">
        <w:t xml:space="preserve"> the</w:t>
      </w:r>
      <w:r w:rsidR="009E72CF">
        <w:t>:</w:t>
      </w:r>
    </w:p>
    <w:p w14:paraId="741AB6EC" w14:textId="54A272F9" w:rsidR="009E72CF" w:rsidRDefault="002142B2" w:rsidP="00D97492">
      <w:pPr>
        <w:pStyle w:val="AERbulletlistfirststyle"/>
        <w:spacing w:after="180"/>
        <w:ind w:left="714" w:hanging="357"/>
      </w:pPr>
      <w:r w:rsidRPr="00891D06">
        <w:rPr>
          <w:u w:val="single"/>
        </w:rPr>
        <w:t>AIC approach</w:t>
      </w:r>
      <w:r w:rsidR="007F2A72">
        <w:rPr>
          <w:rStyle w:val="FootnoteReference"/>
        </w:rPr>
        <w:footnoteReference w:id="8"/>
      </w:r>
      <w:r w:rsidR="00256588">
        <w:t>—</w:t>
      </w:r>
      <w:r w:rsidR="009E72CF">
        <w:t xml:space="preserve">for a given </w:t>
      </w:r>
      <w:r w:rsidR="00891D06">
        <w:t>time period, takes</w:t>
      </w:r>
      <w:r w:rsidR="009E72CF">
        <w:t xml:space="preserve"> the sum of forecast cape</w:t>
      </w:r>
      <w:r>
        <w:t xml:space="preserve">x and </w:t>
      </w:r>
      <w:r w:rsidR="009E72CF">
        <w:t>incremental opex (discounted by the cost of capita</w:t>
      </w:r>
      <w:r w:rsidR="00891D06">
        <w:t>l) and divides</w:t>
      </w:r>
      <w:r>
        <w:t xml:space="preserve"> it by</w:t>
      </w:r>
      <w:r w:rsidR="009E72CF">
        <w:t xml:space="preserve"> incremental demand (discounted by the time preference rate of consumption) </w:t>
      </w:r>
      <w:r>
        <w:t>that the expenditure plan would cater</w:t>
      </w:r>
      <w:r w:rsidR="00891D06">
        <w:t xml:space="preserve"> for. </w:t>
      </w:r>
      <w:r w:rsidR="00903C82">
        <w:t xml:space="preserve">This method is </w:t>
      </w:r>
      <w:r w:rsidR="00D3786D">
        <w:t>simple</w:t>
      </w:r>
      <w:r w:rsidR="00891D06">
        <w:t xml:space="preserve"> and</w:t>
      </w:r>
      <w:r w:rsidR="009E72CF">
        <w:t xml:space="preserve"> cost estimates and time periods </w:t>
      </w:r>
      <w:r>
        <w:t xml:space="preserve">could be aligned </w:t>
      </w:r>
      <w:r w:rsidR="00891D06">
        <w:t>with a</w:t>
      </w:r>
      <w:r w:rsidR="009E72CF">
        <w:t xml:space="preserve"> regulatory control period.  </w:t>
      </w:r>
    </w:p>
    <w:p w14:paraId="3FE86B61" w14:textId="4EA7A9CA" w:rsidR="009E72CF" w:rsidRDefault="009E72CF" w:rsidP="009E72CF">
      <w:pPr>
        <w:pStyle w:val="AERbulletlistfirststyle"/>
      </w:pPr>
      <w:r w:rsidRPr="00891D06">
        <w:rPr>
          <w:u w:val="single"/>
        </w:rPr>
        <w:t>Turvey approach</w:t>
      </w:r>
      <w:r w:rsidR="007F2A72">
        <w:rPr>
          <w:rStyle w:val="FootnoteReference"/>
        </w:rPr>
        <w:footnoteReference w:id="9"/>
      </w:r>
      <w:r w:rsidR="00256588">
        <w:t>—</w:t>
      </w:r>
      <w:r w:rsidR="00891D06">
        <w:t>determines</w:t>
      </w:r>
      <w:r>
        <w:t xml:space="preserve"> the present value of an optimised</w:t>
      </w:r>
      <w:r w:rsidR="002142B2">
        <w:t xml:space="preserve"> investment schedule</w:t>
      </w:r>
      <w:r>
        <w:t xml:space="preserve"> meet</w:t>
      </w:r>
      <w:r w:rsidR="00D319B0">
        <w:t>ing</w:t>
      </w:r>
      <w:r>
        <w:t xml:space="preserve"> fore</w:t>
      </w:r>
      <w:r w:rsidR="00D319B0">
        <w:t>cast capacity. F</w:t>
      </w:r>
      <w:r>
        <w:t xml:space="preserve">urther optimised </w:t>
      </w:r>
      <w:r w:rsidR="002142B2">
        <w:t xml:space="preserve">investment schedules </w:t>
      </w:r>
      <w:r>
        <w:t xml:space="preserve">are </w:t>
      </w:r>
      <w:r w:rsidR="00D319B0">
        <w:t xml:space="preserve">then </w:t>
      </w:r>
      <w:r>
        <w:t>ca</w:t>
      </w:r>
      <w:r w:rsidR="00D319B0">
        <w:t>lculated for small/</w:t>
      </w:r>
      <w:r>
        <w:t>p</w:t>
      </w:r>
      <w:r w:rsidR="002142B2">
        <w:t>ermanent increases (or decreases</w:t>
      </w:r>
      <w:r>
        <w:t xml:space="preserve">) in the previous </w:t>
      </w:r>
      <w:r w:rsidR="002142B2">
        <w:t>capacity forecast</w:t>
      </w:r>
      <w:r>
        <w:t xml:space="preserve">. The difference in present value between the initial </w:t>
      </w:r>
      <w:r w:rsidR="002142B2">
        <w:t xml:space="preserve">investment </w:t>
      </w:r>
      <w:r>
        <w:t>schedule and the one that would be required for an increase in forecast capacity (plus the incremental operating costs)</w:t>
      </w:r>
      <w:r w:rsidR="002142B2">
        <w:t>,</w:t>
      </w:r>
      <w:r>
        <w:t xml:space="preserve"> divided </w:t>
      </w:r>
      <w:r w:rsidR="002142B2">
        <w:t xml:space="preserve">by the hypothesised </w:t>
      </w:r>
      <w:r>
        <w:t>demand</w:t>
      </w:r>
      <w:r w:rsidR="002142B2">
        <w:t xml:space="preserve"> increase, is the marginal cost. This approach is information intensive, requiring exp</w:t>
      </w:r>
      <w:r>
        <w:t>li</w:t>
      </w:r>
      <w:r w:rsidR="002142B2">
        <w:t>ci</w:t>
      </w:r>
      <w:r>
        <w:t>t network planning and</w:t>
      </w:r>
      <w:r w:rsidR="00891D06">
        <w:t xml:space="preserve"> cost estimation</w:t>
      </w:r>
      <w:r w:rsidR="009D284B">
        <w:t>,</w:t>
      </w:r>
      <w:r w:rsidR="00891D06">
        <w:t xml:space="preserve"> for</w:t>
      </w:r>
      <w:r w:rsidR="005D3574">
        <w:t xml:space="preserve"> </w:t>
      </w:r>
      <w:r w:rsidR="00891D06">
        <w:t>numerous</w:t>
      </w:r>
      <w:r>
        <w:t xml:space="preserve"> different demand sc</w:t>
      </w:r>
      <w:r w:rsidR="002142B2">
        <w:t>en</w:t>
      </w:r>
      <w:r>
        <w:t>ari</w:t>
      </w:r>
      <w:r w:rsidR="00D319B0">
        <w:t xml:space="preserve">os </w:t>
      </w:r>
      <w:r w:rsidR="009D284B">
        <w:t>in different network areas.</w:t>
      </w:r>
    </w:p>
    <w:p w14:paraId="526C3497" w14:textId="7E17B984" w:rsidR="009E72CF" w:rsidRDefault="006E7ED5" w:rsidP="00D97492">
      <w:pPr>
        <w:pStyle w:val="AERbodytext"/>
        <w:spacing w:after="160"/>
      </w:pPr>
      <w:r>
        <w:t xml:space="preserve">A possible </w:t>
      </w:r>
      <w:r w:rsidR="00E35A5F">
        <w:t>reason why</w:t>
      </w:r>
      <w:r w:rsidR="000B526D">
        <w:t xml:space="preserve"> the NER </w:t>
      </w:r>
      <w:r w:rsidR="009D284B">
        <w:t>might</w:t>
      </w:r>
      <w:r w:rsidR="000B526D">
        <w:t xml:space="preserve"> need</w:t>
      </w:r>
      <w:r w:rsidR="00C633C6">
        <w:t xml:space="preserve"> </w:t>
      </w:r>
      <w:r w:rsidR="00501DB3">
        <w:t>to prescribe methods</w:t>
      </w:r>
      <w:r w:rsidR="000B526D">
        <w:t xml:space="preserve"> is if some</w:t>
      </w:r>
      <w:r w:rsidR="00E35A5F">
        <w:t xml:space="preserve"> </w:t>
      </w:r>
      <w:r w:rsidR="00501DB3">
        <w:t xml:space="preserve">costs were </w:t>
      </w:r>
      <w:r w:rsidR="00E35A5F">
        <w:t xml:space="preserve">allowed </w:t>
      </w:r>
      <w:r w:rsidR="009E72CF">
        <w:t xml:space="preserve">to be calculated </w:t>
      </w:r>
      <w:r>
        <w:t xml:space="preserve">contrary to </w:t>
      </w:r>
      <w:r w:rsidR="000B526D">
        <w:t>efficient pricing</w:t>
      </w:r>
      <w:r w:rsidR="00501DB3">
        <w:t>, thereby inducing</w:t>
      </w:r>
      <w:r w:rsidR="00F525FC">
        <w:t xml:space="preserve"> </w:t>
      </w:r>
      <w:r w:rsidR="00501DB3">
        <w:t xml:space="preserve">artificially low </w:t>
      </w:r>
      <w:r w:rsidR="009E72CF">
        <w:t>LRMC estimates.</w:t>
      </w:r>
      <w:r w:rsidR="000661DB">
        <w:rPr>
          <w:rStyle w:val="FootnoteReference"/>
        </w:rPr>
        <w:footnoteReference w:id="10"/>
      </w:r>
      <w:r w:rsidR="009E72CF">
        <w:t xml:space="preserve"> </w:t>
      </w:r>
      <w:r w:rsidR="000B526D">
        <w:t>Of the</w:t>
      </w:r>
      <w:r w:rsidR="009E72CF">
        <w:t xml:space="preserve"> methods </w:t>
      </w:r>
      <w:r w:rsidR="00D319B0">
        <w:t>mentioned</w:t>
      </w:r>
      <w:r w:rsidR="00F525FC">
        <w:t xml:space="preserve">, </w:t>
      </w:r>
      <w:r w:rsidR="009E72CF">
        <w:t>MIC</w:t>
      </w:r>
      <w:r w:rsidR="00E35A5F">
        <w:t xml:space="preserve"> ap</w:t>
      </w:r>
      <w:r>
        <w:t>pears the most sensitive to</w:t>
      </w:r>
      <w:r w:rsidR="00E35A5F">
        <w:t xml:space="preserve"> </w:t>
      </w:r>
      <w:r w:rsidR="009D284B">
        <w:t>subjectivity</w:t>
      </w:r>
      <w:r w:rsidR="007F2A72">
        <w:t>,</w:t>
      </w:r>
      <w:r w:rsidR="009D284B">
        <w:t xml:space="preserve"> particularly in regard to claims over the expected</w:t>
      </w:r>
      <w:r w:rsidR="009E72CF">
        <w:t xml:space="preserve"> timing of expansion projects. For </w:t>
      </w:r>
      <w:r w:rsidR="00256588">
        <w:t>instance</w:t>
      </w:r>
      <w:r w:rsidR="009E72CF">
        <w:t>:</w:t>
      </w:r>
    </w:p>
    <w:p w14:paraId="1C2A6238" w14:textId="698E7E96" w:rsidR="009E72CF" w:rsidRDefault="002F4D30" w:rsidP="009E72CF">
      <w:pPr>
        <w:pStyle w:val="AERbulletlistfirststyle"/>
      </w:pPr>
      <w:r w:rsidRPr="00891D06">
        <w:rPr>
          <w:u w:val="single"/>
        </w:rPr>
        <w:lastRenderedPageBreak/>
        <w:t>The MIC approach</w:t>
      </w:r>
      <w:r w:rsidR="007F2A72">
        <w:rPr>
          <w:rStyle w:val="FootnoteReference"/>
        </w:rPr>
        <w:footnoteReference w:id="11"/>
      </w:r>
      <w:r w:rsidR="00256588">
        <w:t>—</w:t>
      </w:r>
      <w:r w:rsidR="009E72CF">
        <w:t xml:space="preserve">looks at the next significant investment in capacity only. It is the difference between the present value of the next large </w:t>
      </w:r>
      <w:r w:rsidR="006E7ED5">
        <w:t xml:space="preserve">capex </w:t>
      </w:r>
      <w:r w:rsidR="009E72CF">
        <w:t xml:space="preserve">increment and the present </w:t>
      </w:r>
      <w:r>
        <w:t>value of such an investment def</w:t>
      </w:r>
      <w:r w:rsidR="009E72CF">
        <w:t>er</w:t>
      </w:r>
      <w:r>
        <w:t>r</w:t>
      </w:r>
      <w:r w:rsidR="009E72CF">
        <w:t>ed by a year, divided by the incremental d</w:t>
      </w:r>
      <w:r w:rsidR="006E7ED5">
        <w:t>emand that would require this</w:t>
      </w:r>
      <w:r w:rsidR="009E72CF">
        <w:t xml:space="preserve"> investment to be undertaken, plus the marginal operating costs. Any slight change in a parameter, such that it moves</w:t>
      </w:r>
      <w:r w:rsidR="006E7ED5">
        <w:t xml:space="preserve"> a project</w:t>
      </w:r>
      <w:r w:rsidR="00716B6E">
        <w:t>’s timing</w:t>
      </w:r>
      <w:r w:rsidR="006E7ED5">
        <w:t xml:space="preserve"> forward or back,</w:t>
      </w:r>
      <w:r w:rsidR="009E72CF">
        <w:t xml:space="preserve"> resulting in a different project becoming the ‘next significant investment’ could </w:t>
      </w:r>
      <w:r w:rsidR="009A1806">
        <w:t>significantly alter</w:t>
      </w:r>
      <w:r w:rsidR="009E72CF">
        <w:t xml:space="preserve"> cost estimates. </w:t>
      </w:r>
    </w:p>
    <w:p w14:paraId="1ABDC17F" w14:textId="77777777" w:rsidR="002F43E4" w:rsidRDefault="002F43E4" w:rsidP="009E72CF">
      <w:pPr>
        <w:pStyle w:val="Heading4"/>
        <w:rPr>
          <w:rStyle w:val="Strong"/>
          <w:b/>
        </w:rPr>
      </w:pPr>
      <w:r w:rsidRPr="000B5138">
        <w:rPr>
          <w:rStyle w:val="Strong"/>
          <w:b/>
        </w:rPr>
        <w:t>Residual costs</w:t>
      </w:r>
    </w:p>
    <w:p w14:paraId="1BD53631" w14:textId="22ED97B6" w:rsidR="000870D0" w:rsidRDefault="00051563" w:rsidP="00051563">
      <w:r>
        <w:t>A su</w:t>
      </w:r>
      <w:r w:rsidR="00BE3D6F">
        <w:t>bsequent issue to consider is how to allocate costs</w:t>
      </w:r>
      <w:r>
        <w:t xml:space="preserve"> unrecovered by LRMC. This issue of residual costs arises from the cost </w:t>
      </w:r>
      <w:r w:rsidR="00BE3D6F">
        <w:t xml:space="preserve">structure of natural monopolies. </w:t>
      </w:r>
      <w:r w:rsidR="00DE6EBD">
        <w:t>With declining costs as scale rises</w:t>
      </w:r>
      <w:r>
        <w:t>, LRMC pricing may not yield sufficient revenue to cover the total costs of providing services.</w:t>
      </w:r>
      <w:r w:rsidR="009A4C3B">
        <w:rPr>
          <w:rStyle w:val="FootnoteReference"/>
        </w:rPr>
        <w:footnoteReference w:id="12"/>
      </w:r>
      <w:r>
        <w:t xml:space="preserve"> </w:t>
      </w:r>
      <w:r w:rsidR="00BE3D6F">
        <w:t>SCER queries</w:t>
      </w:r>
      <w:r>
        <w:t xml:space="preserve"> how these residual </w:t>
      </w:r>
      <w:r w:rsidR="00BE3D6F">
        <w:t>costs might be recoup</w:t>
      </w:r>
      <w:r w:rsidR="00DE6EBD">
        <w:t>ed</w:t>
      </w:r>
      <w:r w:rsidR="00BE3D6F">
        <w:t>, citing options like</w:t>
      </w:r>
      <w:r>
        <w:t xml:space="preserve"> </w:t>
      </w:r>
      <w:r w:rsidR="00F525FC">
        <w:t>Ramsey pricing or</w:t>
      </w:r>
      <w:r>
        <w:t xml:space="preserve"> ‘postage stamp</w:t>
      </w:r>
      <w:r w:rsidR="00F525FC">
        <w:t>ing’</w:t>
      </w:r>
      <w:r>
        <w:t xml:space="preserve">. </w:t>
      </w:r>
      <w:r w:rsidR="004168CF">
        <w:t xml:space="preserve">Exploring </w:t>
      </w:r>
      <w:r w:rsidR="000870D0">
        <w:t xml:space="preserve">the likely </w:t>
      </w:r>
      <w:r w:rsidR="004168CF">
        <w:t xml:space="preserve">quantitative </w:t>
      </w:r>
      <w:r w:rsidR="000870D0">
        <w:t>magnitude of residual costs is requ</w:t>
      </w:r>
      <w:r w:rsidR="00BE3D6F">
        <w:t>ired before deciding on an</w:t>
      </w:r>
      <w:r w:rsidR="000870D0">
        <w:t xml:space="preserve"> approach. </w:t>
      </w:r>
      <w:r w:rsidR="00F74DC4">
        <w:t>However, i</w:t>
      </w:r>
      <w:r w:rsidR="00F525FC">
        <w:t xml:space="preserve">t appears to us that </w:t>
      </w:r>
      <w:r w:rsidR="000870D0">
        <w:t xml:space="preserve">the approach that would least distort efficient pricing and demand is to recoup residual costs as fixed components in tariffs, and to attempt to </w:t>
      </w:r>
      <w:r w:rsidR="00F525FC">
        <w:t xml:space="preserve">cost reflectively </w:t>
      </w:r>
      <w:r w:rsidR="000870D0">
        <w:t>apportion some of these costs. This approach could address what appears to be the ultimate goal of Ramsey pri</w:t>
      </w:r>
      <w:r w:rsidR="009D284B">
        <w:t>cing</w:t>
      </w:r>
      <w:r w:rsidR="00F74DC4">
        <w:t>,</w:t>
      </w:r>
      <w:r w:rsidR="009D284B">
        <w:t xml:space="preserve"> to target inelastic demand</w:t>
      </w:r>
      <w:r w:rsidR="00F74DC4">
        <w:t>,</w:t>
      </w:r>
      <w:r w:rsidR="009D284B">
        <w:t xml:space="preserve"> </w:t>
      </w:r>
      <w:r w:rsidR="000870D0">
        <w:t>without leading to what we see as potential problems of strict interpretation</w:t>
      </w:r>
      <w:r w:rsidR="009D284B">
        <w:t xml:space="preserve"> of that approach. </w:t>
      </w:r>
      <w:r w:rsidR="00F74DC4">
        <w:t>Concerns with Ramsey pricing could relate to its</w:t>
      </w:r>
      <w:r w:rsidR="009D284B">
        <w:t xml:space="preserve"> data intensiveness, or </w:t>
      </w:r>
      <w:r w:rsidR="00F74DC4">
        <w:t>if it i</w:t>
      </w:r>
      <w:r w:rsidR="009D284B">
        <w:t>s use</w:t>
      </w:r>
      <w:r w:rsidR="00F74DC4">
        <w:t>d</w:t>
      </w:r>
      <w:r w:rsidR="009D284B">
        <w:t xml:space="preserve"> in recouping costs in an unexpected/ex-post way. </w:t>
      </w:r>
    </w:p>
    <w:p w14:paraId="34AF28B2" w14:textId="6A588E89" w:rsidR="00051563" w:rsidRPr="000870D0" w:rsidRDefault="000870D0" w:rsidP="003126B2">
      <w:pPr>
        <w:spacing w:after="200"/>
      </w:pPr>
      <w:r>
        <w:t>Economic theory suggests that one way for consumers to face correct price signals at the margin, while still recovering revenues overall, is to use a two-part (or multi-part) tariff.</w:t>
      </w:r>
      <w:r w:rsidR="001612B8">
        <w:rPr>
          <w:rStyle w:val="FootnoteReference"/>
        </w:rPr>
        <w:footnoteReference w:id="13"/>
      </w:r>
      <w:r>
        <w:t xml:space="preserve"> There could be a variable charge to provide an efficient usage signal, and another to recover residual costs. Consistent with this approach, residual costs could be applied evenly across the entire customer bas</w:t>
      </w:r>
      <w:r w:rsidR="00F74DC4">
        <w:t>e</w:t>
      </w:r>
      <w:r>
        <w:t xml:space="preserve"> via a ‘postage stamp’. In our view, the objective that Ramsey pricing attempts to achieve (non-distortion of demand by targeting inelasticity) could suggest that residual costs be applied to inelastic components of tariffs, not just consumers. Residual costs could be recouped via </w:t>
      </w:r>
      <w:r w:rsidR="00051563" w:rsidRPr="00113ACE">
        <w:rPr>
          <w:rFonts w:eastAsia="Times New Roman"/>
          <w:szCs w:val="24"/>
        </w:rPr>
        <w:t xml:space="preserve">fixed charges which do not vary with </w:t>
      </w:r>
      <w:r w:rsidR="00051563">
        <w:rPr>
          <w:rFonts w:eastAsia="Times New Roman"/>
          <w:szCs w:val="24"/>
        </w:rPr>
        <w:t xml:space="preserve">demand. This is </w:t>
      </w:r>
      <w:r w:rsidR="00051563" w:rsidRPr="00113ACE">
        <w:rPr>
          <w:rFonts w:eastAsia="Times New Roman" w:hint="eastAsia"/>
          <w:szCs w:val="24"/>
        </w:rPr>
        <w:t>preferable</w:t>
      </w:r>
      <w:r w:rsidR="00051563">
        <w:rPr>
          <w:rFonts w:eastAsia="Times New Roman"/>
          <w:szCs w:val="24"/>
        </w:rPr>
        <w:t xml:space="preserve"> because:</w:t>
      </w:r>
      <w:r w:rsidR="00051563" w:rsidRPr="00113ACE">
        <w:rPr>
          <w:rFonts w:eastAsia="Times New Roman"/>
          <w:szCs w:val="24"/>
        </w:rPr>
        <w:t xml:space="preserve"> </w:t>
      </w:r>
    </w:p>
    <w:p w14:paraId="3EB8F328" w14:textId="1A63CF03" w:rsidR="00051563" w:rsidRDefault="00051563" w:rsidP="003126B2">
      <w:pPr>
        <w:pStyle w:val="AERbulletlistfirststyle"/>
        <w:spacing w:after="120"/>
        <w:ind w:left="714" w:hanging="357"/>
      </w:pPr>
      <w:r>
        <w:t>i</w:t>
      </w:r>
      <w:r w:rsidRPr="00113ACE">
        <w:t xml:space="preserve">t </w:t>
      </w:r>
      <w:r w:rsidR="00501DB3">
        <w:t>can</w:t>
      </w:r>
      <w:r w:rsidR="00501DB3" w:rsidRPr="00113ACE">
        <w:t xml:space="preserve"> </w:t>
      </w:r>
      <w:r w:rsidRPr="00113ACE">
        <w:t xml:space="preserve">be applied easily, without the </w:t>
      </w:r>
      <w:r w:rsidR="00501DB3">
        <w:t xml:space="preserve">need to determine </w:t>
      </w:r>
      <w:r w:rsidR="009D4423">
        <w:t>elasticity’s</w:t>
      </w:r>
      <w:r w:rsidR="00501DB3">
        <w:t xml:space="preserve"> of (different) consumers or classes</w:t>
      </w:r>
      <w:r w:rsidR="00501DB3" w:rsidRPr="00113ACE">
        <w:t xml:space="preserve"> </w:t>
      </w:r>
      <w:r w:rsidR="004468F3">
        <w:t>under a</w:t>
      </w:r>
      <w:r w:rsidRPr="00113ACE">
        <w:t xml:space="preserve"> Ramsey pricing</w:t>
      </w:r>
      <w:r w:rsidR="000870D0">
        <w:t xml:space="preserve"> </w:t>
      </w:r>
      <w:r w:rsidR="004468F3">
        <w:t>approach.</w:t>
      </w:r>
    </w:p>
    <w:p w14:paraId="58550BBD" w14:textId="4013A0AB" w:rsidR="00051563" w:rsidRDefault="00051563" w:rsidP="00051563">
      <w:pPr>
        <w:pStyle w:val="AERbulletlistfirststyle"/>
      </w:pPr>
      <w:r>
        <w:t>i</w:t>
      </w:r>
      <w:r w:rsidRPr="00113ACE">
        <w:t xml:space="preserve">t </w:t>
      </w:r>
      <w:r>
        <w:t xml:space="preserve">would provide </w:t>
      </w:r>
      <w:r w:rsidRPr="00113ACE">
        <w:t xml:space="preserve">a stable approach to residual costs, providing certainty to consumers with respect to the investments that they have </w:t>
      </w:r>
      <w:r w:rsidR="00F74DC4">
        <w:t xml:space="preserve">made </w:t>
      </w:r>
      <w:r w:rsidRPr="00113ACE">
        <w:t xml:space="preserve">or </w:t>
      </w:r>
      <w:r>
        <w:t>intend to</w:t>
      </w:r>
      <w:r w:rsidRPr="00113ACE">
        <w:t xml:space="preserve"> make. </w:t>
      </w:r>
    </w:p>
    <w:p w14:paraId="2B0293E0" w14:textId="4345991C" w:rsidR="000870D0" w:rsidRDefault="000870D0" w:rsidP="000870D0">
      <w:pPr>
        <w:tabs>
          <w:tab w:val="left" w:pos="357"/>
        </w:tabs>
        <w:spacing w:after="200"/>
        <w:rPr>
          <w:rFonts w:eastAsia="Times New Roman"/>
          <w:szCs w:val="24"/>
        </w:rPr>
      </w:pPr>
      <w:r>
        <w:t xml:space="preserve">Further, </w:t>
      </w:r>
      <w:r w:rsidR="00B03035">
        <w:t xml:space="preserve">if possible, </w:t>
      </w:r>
      <w:r w:rsidR="00F525FC">
        <w:t>these fixed costs should be</w:t>
      </w:r>
      <w:r w:rsidR="003126B2">
        <w:t xml:space="preserve"> cost reflectively</w:t>
      </w:r>
      <w:r w:rsidR="00B03035">
        <w:t xml:space="preserve"> apportion</w:t>
      </w:r>
      <w:r w:rsidR="00F525FC">
        <w:t>ed</w:t>
      </w:r>
      <w:r w:rsidR="00BE3D6F">
        <w:t xml:space="preserve">. This </w:t>
      </w:r>
      <w:r w:rsidR="00501DB3">
        <w:t>is</w:t>
      </w:r>
      <w:r w:rsidR="00B03035">
        <w:t xml:space="preserve"> consistent with the principle </w:t>
      </w:r>
      <w:r w:rsidRPr="00B3421D">
        <w:rPr>
          <w:rFonts w:eastAsia="Times New Roman"/>
          <w:szCs w:val="24"/>
        </w:rPr>
        <w:t>that revenue from any group of services/customers should exceed the incremental or attributable costs of providing those services and serving those customers.</w:t>
      </w:r>
      <w:r w:rsidRPr="00B3421D">
        <w:rPr>
          <w:rFonts w:eastAsia="Times New Roman"/>
          <w:szCs w:val="24"/>
          <w:vertAlign w:val="superscript"/>
        </w:rPr>
        <w:footnoteReference w:id="14"/>
      </w:r>
      <w:r w:rsidRPr="00B3421D">
        <w:rPr>
          <w:rFonts w:eastAsia="Times New Roman"/>
          <w:szCs w:val="24"/>
        </w:rPr>
        <w:t xml:space="preserve"> While residual costs might be shared and do not vary with demand (hence their exclusion from the efficient usage charge), they might</w:t>
      </w:r>
      <w:r w:rsidR="003126B2">
        <w:rPr>
          <w:rFonts w:eastAsia="Times New Roman"/>
          <w:szCs w:val="24"/>
        </w:rPr>
        <w:t xml:space="preserve"> include </w:t>
      </w:r>
      <w:r w:rsidRPr="00B3421D">
        <w:rPr>
          <w:rFonts w:eastAsia="Times New Roman"/>
          <w:szCs w:val="24"/>
        </w:rPr>
        <w:t>costs that could be</w:t>
      </w:r>
      <w:r w:rsidR="00B03035">
        <w:rPr>
          <w:rFonts w:eastAsia="Times New Roman"/>
          <w:szCs w:val="24"/>
        </w:rPr>
        <w:t xml:space="preserve"> cost reflectively apportioned </w:t>
      </w:r>
      <w:r w:rsidRPr="00B3421D">
        <w:rPr>
          <w:rFonts w:eastAsia="Times New Roman"/>
          <w:szCs w:val="24"/>
        </w:rPr>
        <w:t xml:space="preserve">to consumers. </w:t>
      </w:r>
      <w:r w:rsidR="003840F2">
        <w:rPr>
          <w:rFonts w:eastAsia="Times New Roman"/>
          <w:szCs w:val="24"/>
        </w:rPr>
        <w:t>It is difficult to comment precisely on how this might be achieved. An example would be where some of these fixed costs relate to specific netw</w:t>
      </w:r>
      <w:r w:rsidR="0049109C">
        <w:rPr>
          <w:rFonts w:eastAsia="Times New Roman"/>
          <w:szCs w:val="24"/>
        </w:rPr>
        <w:t>ork elements and could therefore</w:t>
      </w:r>
      <w:r w:rsidR="003840F2">
        <w:rPr>
          <w:rFonts w:eastAsia="Times New Roman"/>
          <w:szCs w:val="24"/>
        </w:rPr>
        <w:t xml:space="preserve"> be apportioned to customer/tariff classes that use those elements. </w:t>
      </w:r>
      <w:r w:rsidR="004468F3">
        <w:rPr>
          <w:rFonts w:eastAsia="Times New Roman"/>
          <w:szCs w:val="24"/>
        </w:rPr>
        <w:t xml:space="preserve">For </w:t>
      </w:r>
      <w:r w:rsidR="009A4C3B">
        <w:rPr>
          <w:rFonts w:eastAsia="Times New Roman"/>
          <w:szCs w:val="24"/>
        </w:rPr>
        <w:t>example</w:t>
      </w:r>
      <w:r w:rsidR="00C633C6">
        <w:rPr>
          <w:rFonts w:eastAsia="Times New Roman"/>
          <w:szCs w:val="24"/>
        </w:rPr>
        <w:t>,</w:t>
      </w:r>
      <w:r w:rsidR="003840F2">
        <w:rPr>
          <w:rFonts w:eastAsia="Times New Roman"/>
          <w:szCs w:val="24"/>
        </w:rPr>
        <w:t xml:space="preserve"> apportioning </w:t>
      </w:r>
      <w:r w:rsidR="004468F3">
        <w:rPr>
          <w:rFonts w:eastAsia="Times New Roman"/>
          <w:szCs w:val="24"/>
        </w:rPr>
        <w:t xml:space="preserve">the </w:t>
      </w:r>
      <w:r w:rsidR="003840F2">
        <w:rPr>
          <w:rFonts w:eastAsia="Times New Roman"/>
          <w:szCs w:val="24"/>
        </w:rPr>
        <w:t xml:space="preserve">fixed costs of high voltage assets </w:t>
      </w:r>
      <w:r w:rsidR="004468F3">
        <w:rPr>
          <w:rFonts w:eastAsia="Times New Roman"/>
          <w:szCs w:val="24"/>
        </w:rPr>
        <w:t>to</w:t>
      </w:r>
      <w:r w:rsidR="003840F2">
        <w:rPr>
          <w:rFonts w:eastAsia="Times New Roman"/>
          <w:szCs w:val="24"/>
        </w:rPr>
        <w:t xml:space="preserve"> high voltage customer tariff classes </w:t>
      </w:r>
      <w:r w:rsidR="004468F3">
        <w:rPr>
          <w:rFonts w:eastAsia="Times New Roman"/>
          <w:szCs w:val="24"/>
        </w:rPr>
        <w:t>but</w:t>
      </w:r>
      <w:r w:rsidR="003840F2">
        <w:rPr>
          <w:rFonts w:eastAsia="Times New Roman"/>
          <w:szCs w:val="24"/>
        </w:rPr>
        <w:t xml:space="preserve"> not others.  </w:t>
      </w:r>
    </w:p>
    <w:p w14:paraId="51B03311" w14:textId="54571EA2" w:rsidR="00051563" w:rsidRPr="00BE3D6F" w:rsidRDefault="00BE3D6F" w:rsidP="00BE3D6F">
      <w:pPr>
        <w:tabs>
          <w:tab w:val="left" w:pos="357"/>
        </w:tabs>
        <w:spacing w:after="200"/>
        <w:rPr>
          <w:rFonts w:eastAsia="Times New Roman"/>
          <w:szCs w:val="24"/>
        </w:rPr>
      </w:pPr>
      <w:r>
        <w:rPr>
          <w:rFonts w:eastAsia="Times New Roman"/>
          <w:szCs w:val="24"/>
        </w:rPr>
        <w:lastRenderedPageBreak/>
        <w:t xml:space="preserve">We recognise that a </w:t>
      </w:r>
      <w:r w:rsidR="00051563">
        <w:t>concern with recouping residual costs via fixed costs could be that if these costs are significant they could overpower the efficient usage signal, or encourage some consumers to disconnect from the network. To understand the significance of this, it is worth exploring the quantitative scale</w:t>
      </w:r>
      <w:r w:rsidR="00051563" w:rsidDel="00607F53">
        <w:t xml:space="preserve"> </w:t>
      </w:r>
      <w:r w:rsidR="00F525FC">
        <w:t>of</w:t>
      </w:r>
      <w:r w:rsidR="00051563">
        <w:t xml:space="preserve"> residual costs in this rule change. We anticipate these could vary with network capacity. That is, if the costs of adding extra network capacity are increasing with network capacity (e.g. due to space</w:t>
      </w:r>
      <w:r w:rsidR="009D284B">
        <w:t>/area</w:t>
      </w:r>
      <w:r w:rsidR="00051563">
        <w:t xml:space="preserve"> constraints, or limitations in obtaining easements in urban areas) then in principle the residual costs could be small. Alternatively, if the costs of adding network capacity are decreasing with network capacity (due to economies of scale) then the residual costs could be large. </w:t>
      </w:r>
    </w:p>
    <w:p w14:paraId="1860ED74" w14:textId="3B817986" w:rsidR="00113ACE" w:rsidRPr="00BE3D6F" w:rsidRDefault="00F4211E" w:rsidP="00BE3D6F">
      <w:pPr>
        <w:tabs>
          <w:tab w:val="left" w:pos="357"/>
        </w:tabs>
        <w:spacing w:after="200"/>
        <w:rPr>
          <w:rFonts w:eastAsia="Times New Roman"/>
          <w:szCs w:val="24"/>
        </w:rPr>
      </w:pPr>
      <w:r>
        <w:rPr>
          <w:rFonts w:eastAsia="Times New Roman"/>
          <w:szCs w:val="24"/>
        </w:rPr>
        <w:t>An</w:t>
      </w:r>
      <w:r w:rsidR="00BE3D6F">
        <w:rPr>
          <w:rFonts w:eastAsia="Times New Roman"/>
          <w:szCs w:val="24"/>
        </w:rPr>
        <w:t xml:space="preserve"> alternative, suggested by economic theory, where a two-part tariff is unfeasible, is us</w:t>
      </w:r>
      <w:r w:rsidR="00A920CD">
        <w:rPr>
          <w:rFonts w:eastAsia="Times New Roman"/>
          <w:szCs w:val="24"/>
        </w:rPr>
        <w:t>ing</w:t>
      </w:r>
      <w:r w:rsidR="003126B2">
        <w:rPr>
          <w:rFonts w:eastAsia="Times New Roman"/>
          <w:szCs w:val="24"/>
        </w:rPr>
        <w:t xml:space="preserve"> Ramsey pricing</w:t>
      </w:r>
      <w:r w:rsidR="00C63F1C">
        <w:t>.</w:t>
      </w:r>
      <w:r w:rsidR="00C63F1C" w:rsidRPr="00C63F1C">
        <w:rPr>
          <w:vertAlign w:val="superscript"/>
        </w:rPr>
        <w:footnoteReference w:id="15"/>
      </w:r>
      <w:r w:rsidR="004168CF">
        <w:t xml:space="preserve"> This </w:t>
      </w:r>
      <w:r w:rsidR="00BE3D6F">
        <w:t>apportion</w:t>
      </w:r>
      <w:r w:rsidR="004168CF">
        <w:t>s</w:t>
      </w:r>
      <w:r w:rsidR="004E1A6F">
        <w:t xml:space="preserve"> costs to those with</w:t>
      </w:r>
      <w:r w:rsidR="00C63F1C">
        <w:t xml:space="preserve"> least elastic demand</w:t>
      </w:r>
      <w:r w:rsidR="004468F3">
        <w:t>. That is customers</w:t>
      </w:r>
      <w:r w:rsidR="00F525FC">
        <w:t xml:space="preserve"> for which a</w:t>
      </w:r>
      <w:r w:rsidR="004468F3">
        <w:t>n</w:t>
      </w:r>
      <w:r w:rsidR="00F525FC">
        <w:t xml:space="preserve"> </w:t>
      </w:r>
      <w:r w:rsidR="004468F3">
        <w:t xml:space="preserve">increase in </w:t>
      </w:r>
      <w:r w:rsidR="00F525FC">
        <w:t>charge</w:t>
      </w:r>
      <w:r w:rsidR="004468F3">
        <w:t>s</w:t>
      </w:r>
      <w:r w:rsidR="00F525FC">
        <w:t xml:space="preserve"> will </w:t>
      </w:r>
      <w:r w:rsidR="00A920CD">
        <w:t xml:space="preserve">not reduce demand. Aside from the information intensity of </w:t>
      </w:r>
      <w:r w:rsidR="003126B2">
        <w:t>determining</w:t>
      </w:r>
      <w:r w:rsidR="00D86F58">
        <w:t xml:space="preserve"> customer </w:t>
      </w:r>
      <w:r w:rsidR="009D4423">
        <w:t>elasticity’s</w:t>
      </w:r>
      <w:r w:rsidR="00D86F58">
        <w:t>, a further</w:t>
      </w:r>
      <w:r w:rsidR="00A920CD">
        <w:t xml:space="preserve"> concer</w:t>
      </w:r>
      <w:r w:rsidR="003126B2">
        <w:t>n with Ramsey pricing could</w:t>
      </w:r>
      <w:r w:rsidR="00A920CD">
        <w:t xml:space="preserve"> arise if </w:t>
      </w:r>
      <w:r w:rsidR="003126B2">
        <w:t>it is</w:t>
      </w:r>
      <w:r w:rsidR="00113ACE" w:rsidRPr="00113ACE">
        <w:t xml:space="preserve"> used to allocate residual costs to customers in </w:t>
      </w:r>
      <w:r w:rsidR="003126B2">
        <w:t>an unforseen and ex-post manner</w:t>
      </w:r>
      <w:r w:rsidR="009A4C3B">
        <w:t>—</w:t>
      </w:r>
      <w:r w:rsidR="00113ACE" w:rsidRPr="00113ACE">
        <w:t>after they h</w:t>
      </w:r>
      <w:r w:rsidR="004E1A6F">
        <w:t>ave made sunk investments</w:t>
      </w:r>
      <w:r w:rsidR="00113ACE" w:rsidRPr="00113ACE">
        <w:t>.</w:t>
      </w:r>
      <w:r w:rsidR="00A110B2">
        <w:rPr>
          <w:rStyle w:val="FootnoteReference"/>
        </w:rPr>
        <w:footnoteReference w:id="16"/>
      </w:r>
      <w:r w:rsidR="00113ACE" w:rsidRPr="00113ACE">
        <w:t xml:space="preserve"> </w:t>
      </w:r>
    </w:p>
    <w:p w14:paraId="2C17731E" w14:textId="77777777" w:rsidR="00835B18" w:rsidRDefault="00835B18" w:rsidP="00835B18">
      <w:pPr>
        <w:pStyle w:val="Heading2"/>
      </w:pPr>
      <w:bookmarkStart w:id="16" w:name="_Toc375143044"/>
      <w:r>
        <w:t>Customer impacts</w:t>
      </w:r>
      <w:bookmarkEnd w:id="16"/>
    </w:p>
    <w:p w14:paraId="1AA80BCF" w14:textId="6084F277" w:rsidR="0087561B" w:rsidRDefault="00A03FA5" w:rsidP="0087561B">
      <w:pPr>
        <w:pStyle w:val="AERbodytext"/>
        <w:tabs>
          <w:tab w:val="left" w:pos="1965"/>
        </w:tabs>
      </w:pPr>
      <w:r>
        <w:t>We agree with SCER that t</w:t>
      </w:r>
      <w:r w:rsidR="0087561B">
        <w:t>he cur</w:t>
      </w:r>
      <w:r>
        <w:t>rent principle requiring</w:t>
      </w:r>
      <w:r w:rsidR="0087561B">
        <w:t xml:space="preserve"> regard to whether a consumer is able or likely to respond to price signals when determining tariffs, coul</w:t>
      </w:r>
      <w:r w:rsidR="00B3421D">
        <w:t xml:space="preserve">d encourage DNSPs to shift costs </w:t>
      </w:r>
      <w:r w:rsidR="0087561B">
        <w:t>to consumer classes considered least lik</w:t>
      </w:r>
      <w:r>
        <w:t xml:space="preserve">ely to change their behaviour. </w:t>
      </w:r>
      <w:r w:rsidR="0087561B">
        <w:t>Amending this re</w:t>
      </w:r>
      <w:r w:rsidR="00B3421D">
        <w:t xml:space="preserve">quirement such that </w:t>
      </w:r>
      <w:r w:rsidR="00565513">
        <w:t xml:space="preserve">in determining tariffs, </w:t>
      </w:r>
      <w:r w:rsidR="00B3421D">
        <w:t xml:space="preserve">DNSPs </w:t>
      </w:r>
      <w:r w:rsidR="0087561B">
        <w:t>need to have regard to a broader consideration of customer impacts, p</w:t>
      </w:r>
      <w:r w:rsidR="00B3421D">
        <w:t xml:space="preserve">rovides potential for </w:t>
      </w:r>
      <w:r w:rsidR="000F6B88">
        <w:t xml:space="preserve">those setting </w:t>
      </w:r>
      <w:r w:rsidR="00B3421D">
        <w:t>tariff</w:t>
      </w:r>
      <w:r w:rsidR="000F6B88">
        <w:t>s</w:t>
      </w:r>
      <w:r w:rsidR="00B3421D">
        <w:t xml:space="preserve"> </w:t>
      </w:r>
      <w:r w:rsidR="0087561B">
        <w:t>t</w:t>
      </w:r>
      <w:r w:rsidR="00B3421D">
        <w:t>o consider various</w:t>
      </w:r>
      <w:r>
        <w:t xml:space="preserve"> matters important</w:t>
      </w:r>
      <w:r w:rsidR="0087561B">
        <w:t xml:space="preserve"> to stak</w:t>
      </w:r>
      <w:r w:rsidR="00B3421D">
        <w:t>eholders. This could</w:t>
      </w:r>
      <w:r w:rsidR="0087561B">
        <w:t xml:space="preserve"> include the appropriateness of tariffs </w:t>
      </w:r>
      <w:r w:rsidR="00DE4488">
        <w:t>and</w:t>
      </w:r>
      <w:r w:rsidR="0087561B">
        <w:t xml:space="preserve"> also</w:t>
      </w:r>
      <w:r>
        <w:t xml:space="preserve"> the DNSP</w:t>
      </w:r>
      <w:r w:rsidR="00F74DC4">
        <w:t>’</w:t>
      </w:r>
      <w:r>
        <w:t>s transition strategy</w:t>
      </w:r>
      <w:r w:rsidR="00DE4488">
        <w:t xml:space="preserve">, providing a means of </w:t>
      </w:r>
      <w:r w:rsidR="0087561B">
        <w:t>addressing issues of tariff certainty/volatility</w:t>
      </w:r>
      <w:r w:rsidR="00DE4488">
        <w:t xml:space="preserve"> (</w:t>
      </w:r>
      <w:r w:rsidR="000F6B88">
        <w:t xml:space="preserve">discussed in </w:t>
      </w:r>
      <w:r w:rsidR="004A2DB1">
        <w:t>S</w:t>
      </w:r>
      <w:r w:rsidR="000F6B88">
        <w:t xml:space="preserve">ection </w:t>
      </w:r>
      <w:r w:rsidR="004A2DB1">
        <w:t>7</w:t>
      </w:r>
      <w:r w:rsidR="00DE4488">
        <w:t>)</w:t>
      </w:r>
      <w:r w:rsidR="004A2DB1">
        <w:t>.</w:t>
      </w:r>
      <w:r w:rsidR="0087561B">
        <w:t xml:space="preserve"> </w:t>
      </w:r>
      <w:r w:rsidR="000F6B88">
        <w:t>That said</w:t>
      </w:r>
      <w:r w:rsidR="0087561B">
        <w:t>, the principle requires further explo</w:t>
      </w:r>
      <w:r>
        <w:t>ration in this rule change on</w:t>
      </w:r>
      <w:r w:rsidR="0087561B">
        <w:t xml:space="preserve"> its intend</w:t>
      </w:r>
      <w:r w:rsidR="0066391D">
        <w:t xml:space="preserve">ed scope and status among </w:t>
      </w:r>
      <w:r w:rsidR="0087561B">
        <w:t xml:space="preserve">other pricing principles. </w:t>
      </w:r>
      <w:r w:rsidR="001A1CFF">
        <w:t>These are</w:t>
      </w:r>
      <w:r>
        <w:t xml:space="preserve"> matter</w:t>
      </w:r>
      <w:r w:rsidR="001A1CFF">
        <w:t>s</w:t>
      </w:r>
      <w:r>
        <w:t xml:space="preserve"> that might</w:t>
      </w:r>
      <w:r w:rsidR="0087561B">
        <w:t xml:space="preserve"> warrant further explana</w:t>
      </w:r>
      <w:r w:rsidR="0066391D">
        <w:t>tion by way of an AER guideline.</w:t>
      </w:r>
    </w:p>
    <w:p w14:paraId="2D1CFA5A" w14:textId="1ADD6578" w:rsidR="0087561B" w:rsidRDefault="00A03FA5" w:rsidP="0066391D">
      <w:pPr>
        <w:pStyle w:val="AERbodytext"/>
        <w:tabs>
          <w:tab w:val="left" w:pos="1965"/>
        </w:tabs>
        <w:spacing w:after="200"/>
      </w:pPr>
      <w:r>
        <w:t>Moving to</w:t>
      </w:r>
      <w:r w:rsidR="0087561B">
        <w:t xml:space="preserve"> greater efficiency and flexibility in network tariffs will present cha</w:t>
      </w:r>
      <w:r>
        <w:t>llenges for consumers and</w:t>
      </w:r>
      <w:r w:rsidR="0087561B">
        <w:t xml:space="preserve"> retailers. There will be new types </w:t>
      </w:r>
      <w:r>
        <w:t xml:space="preserve">of </w:t>
      </w:r>
      <w:r w:rsidR="0087561B">
        <w:t>sophisticated and innovative</w:t>
      </w:r>
      <w:r>
        <w:t xml:space="preserve"> tariffs</w:t>
      </w:r>
      <w:r w:rsidR="00532B49">
        <w:t xml:space="preserve"> and s</w:t>
      </w:r>
      <w:r w:rsidR="0087561B">
        <w:t>takeholders will need</w:t>
      </w:r>
      <w:r w:rsidR="00532B49">
        <w:t xml:space="preserve"> to understand how these</w:t>
      </w:r>
      <w:r w:rsidR="0087561B">
        <w:t xml:space="preserve"> operate to know how to </w:t>
      </w:r>
      <w:r w:rsidR="0066391D">
        <w:t>respond</w:t>
      </w:r>
      <w:r>
        <w:t xml:space="preserve">. There could </w:t>
      </w:r>
      <w:r w:rsidR="0087561B">
        <w:t>also be greater price volatility</w:t>
      </w:r>
      <w:r w:rsidR="00607F53">
        <w:t>,</w:t>
      </w:r>
      <w:r w:rsidR="0087561B">
        <w:t xml:space="preserve"> not only in shifting to new tariffs but </w:t>
      </w:r>
      <w:r w:rsidR="00607F53">
        <w:t>also</w:t>
      </w:r>
      <w:r w:rsidR="0087561B">
        <w:t xml:space="preserve"> </w:t>
      </w:r>
      <w:r w:rsidR="00F74DC4">
        <w:t xml:space="preserve">in </w:t>
      </w:r>
      <w:r w:rsidR="0087561B">
        <w:t>how prices vary over the course of a day</w:t>
      </w:r>
      <w:r w:rsidR="00607F53">
        <w:t xml:space="preserve">, </w:t>
      </w:r>
      <w:r>
        <w:t>season</w:t>
      </w:r>
      <w:r w:rsidR="00607F53">
        <w:t xml:space="preserve"> or </w:t>
      </w:r>
      <w:r>
        <w:t>year</w:t>
      </w:r>
      <w:r w:rsidR="0066391D">
        <w:t xml:space="preserve">. </w:t>
      </w:r>
      <w:r w:rsidR="00607F53">
        <w:t>To</w:t>
      </w:r>
      <w:r w:rsidR="0087561B">
        <w:t xml:space="preserve"> manage these matters, the customer impacts principle could operate </w:t>
      </w:r>
      <w:r w:rsidR="0066391D">
        <w:t>together</w:t>
      </w:r>
      <w:r w:rsidR="0087561B">
        <w:t xml:space="preserve"> with </w:t>
      </w:r>
      <w:r w:rsidR="0066391D">
        <w:t xml:space="preserve">DNSP </w:t>
      </w:r>
      <w:r w:rsidR="0087561B">
        <w:t>requirements to consult in developing or seeking to a</w:t>
      </w:r>
      <w:r w:rsidR="0066391D">
        <w:t>mend the</w:t>
      </w:r>
      <w:r>
        <w:t xml:space="preserve"> PSS</w:t>
      </w:r>
      <w:r w:rsidR="00532B49">
        <w:t>. We expect</w:t>
      </w:r>
      <w:r w:rsidR="0066391D">
        <w:t xml:space="preserve"> </w:t>
      </w:r>
      <w:r w:rsidR="0087561B">
        <w:t xml:space="preserve">this consultation would need to cover </w:t>
      </w:r>
      <w:r>
        <w:t>the following</w:t>
      </w:r>
      <w:r w:rsidR="0087561B">
        <w:t>:</w:t>
      </w:r>
    </w:p>
    <w:p w14:paraId="4BBD2C5B" w14:textId="568C6DDC" w:rsidR="0087561B" w:rsidRDefault="00D86F58" w:rsidP="0087561B">
      <w:pPr>
        <w:pStyle w:val="AERbulletlistfirststyle"/>
      </w:pPr>
      <w:r>
        <w:t>Whether or</w:t>
      </w:r>
      <w:r w:rsidR="0087561B">
        <w:t xml:space="preserve"> how a particular tariff is appropriate to particular cust</w:t>
      </w:r>
      <w:r w:rsidR="00A03FA5">
        <w:t>omers</w:t>
      </w:r>
      <w:r w:rsidR="0087561B">
        <w:t>. This coul</w:t>
      </w:r>
      <w:r w:rsidR="0066391D">
        <w:t>d be interpreted in various</w:t>
      </w:r>
      <w:r w:rsidR="0087561B">
        <w:t xml:space="preserve"> ways, includi</w:t>
      </w:r>
      <w:r w:rsidR="0066391D">
        <w:t>ng whether the consumer was</w:t>
      </w:r>
      <w:r w:rsidR="0087561B">
        <w:t xml:space="preserve"> adequ</w:t>
      </w:r>
      <w:r w:rsidR="00A03FA5">
        <w:t>ately informed on</w:t>
      </w:r>
      <w:r w:rsidR="0087561B">
        <w:t xml:space="preserve"> how the</w:t>
      </w:r>
      <w:r w:rsidR="0066391D">
        <w:t xml:space="preserve"> tariff operates, or </w:t>
      </w:r>
      <w:r w:rsidR="0087561B">
        <w:t>has any other impedime</w:t>
      </w:r>
      <w:r w:rsidR="00A03FA5">
        <w:t xml:space="preserve">nts to responding to the </w:t>
      </w:r>
      <w:r>
        <w:t xml:space="preserve">price </w:t>
      </w:r>
      <w:r w:rsidR="00A03FA5">
        <w:t>signal</w:t>
      </w:r>
      <w:r w:rsidR="0087561B">
        <w:t>.</w:t>
      </w:r>
      <w:r w:rsidR="009022E9">
        <w:t xml:space="preserve"> We consider there might also be value in requiring DNSPs to identify and quantify any customers that they expect to be worse off from a proposed change in tariff structures. </w:t>
      </w:r>
    </w:p>
    <w:p w14:paraId="335B7AD9" w14:textId="3A8A7E1E" w:rsidR="0087561B" w:rsidRDefault="0087561B" w:rsidP="00CC62E5">
      <w:pPr>
        <w:pStyle w:val="AERbulletlistfirststyle"/>
      </w:pPr>
      <w:r>
        <w:t>How a DN</w:t>
      </w:r>
      <w:r w:rsidR="00B81EA8">
        <w:t>SP proposes managing</w:t>
      </w:r>
      <w:r w:rsidR="00A03FA5">
        <w:t xml:space="preserve"> a transition to</w:t>
      </w:r>
      <w:r w:rsidR="00B81EA8">
        <w:t xml:space="preserve"> </w:t>
      </w:r>
      <w:r>
        <w:t>mo</w:t>
      </w:r>
      <w:r w:rsidR="0066391D">
        <w:t>re efficient tariff options. T</w:t>
      </w:r>
      <w:r>
        <w:t>his principle could provide a means of managing price volatility</w:t>
      </w:r>
      <w:r w:rsidR="00CC62E5">
        <w:t xml:space="preserve"> </w:t>
      </w:r>
      <w:r w:rsidR="00CC62E5" w:rsidRPr="00CC62E5">
        <w:t>by introducing</w:t>
      </w:r>
      <w:r w:rsidR="00DE4488">
        <w:t xml:space="preserve"> a</w:t>
      </w:r>
      <w:r w:rsidR="00CC62E5" w:rsidRPr="00CC62E5">
        <w:t xml:space="preserve"> form of ‘speed-hump’ to tariff transition</w:t>
      </w:r>
      <w:r w:rsidR="00A920CD">
        <w:t>.</w:t>
      </w:r>
      <w:r>
        <w:t xml:space="preserve"> </w:t>
      </w:r>
      <w:r w:rsidR="00607F53">
        <w:t xml:space="preserve">The onus should be on </w:t>
      </w:r>
      <w:r w:rsidR="00A03FA5">
        <w:t>DNSP</w:t>
      </w:r>
      <w:r w:rsidR="00DE4488">
        <w:t>s</w:t>
      </w:r>
      <w:r w:rsidR="00A03FA5">
        <w:t xml:space="preserve"> </w:t>
      </w:r>
      <w:r w:rsidR="0002477B">
        <w:t xml:space="preserve">in consultation with </w:t>
      </w:r>
      <w:r w:rsidR="00607F53">
        <w:t>stakeholders</w:t>
      </w:r>
      <w:r w:rsidR="00A03FA5">
        <w:t>, with the possibility of our</w:t>
      </w:r>
      <w:r w:rsidR="00B81EA8">
        <w:t xml:space="preserve"> oversight by way of</w:t>
      </w:r>
      <w:r w:rsidR="00A03FA5">
        <w:t xml:space="preserve"> PSS </w:t>
      </w:r>
      <w:r w:rsidR="0066391D">
        <w:t>reviews</w:t>
      </w:r>
      <w:r>
        <w:t xml:space="preserve">. While </w:t>
      </w:r>
      <w:r w:rsidR="00B81EA8">
        <w:t xml:space="preserve">potentially </w:t>
      </w:r>
      <w:r>
        <w:t xml:space="preserve">significant </w:t>
      </w:r>
      <w:r w:rsidR="00B81EA8">
        <w:t>in providing</w:t>
      </w:r>
      <w:r w:rsidR="00A03FA5">
        <w:t xml:space="preserve"> </w:t>
      </w:r>
      <w:r>
        <w:t xml:space="preserve">meaningful </w:t>
      </w:r>
      <w:r w:rsidR="00A03FA5">
        <w:t>engagement</w:t>
      </w:r>
      <w:r w:rsidR="00B81EA8">
        <w:t xml:space="preserve">, </w:t>
      </w:r>
      <w:r>
        <w:t>matters of transit</w:t>
      </w:r>
      <w:r w:rsidR="00A03FA5">
        <w:t>ion</w:t>
      </w:r>
      <w:r>
        <w:t xml:space="preserve">ing to new more efficient tariffs will be difficult to </w:t>
      </w:r>
      <w:r>
        <w:lastRenderedPageBreak/>
        <w:t xml:space="preserve">determine. There is a trade-off between the speed </w:t>
      </w:r>
      <w:r w:rsidR="0066391D">
        <w:t>of introducing</w:t>
      </w:r>
      <w:r>
        <w:t xml:space="preserve"> efficient </w:t>
      </w:r>
      <w:r w:rsidR="000F6B88">
        <w:t xml:space="preserve">prices </w:t>
      </w:r>
      <w:r w:rsidR="00B81EA8">
        <w:t xml:space="preserve">and </w:t>
      </w:r>
      <w:r>
        <w:t xml:space="preserve">price shocks on stakeholders. </w:t>
      </w:r>
    </w:p>
    <w:p w14:paraId="57849DDD" w14:textId="773A61D2" w:rsidR="0087561B" w:rsidRDefault="0087561B" w:rsidP="0066391D">
      <w:pPr>
        <w:pStyle w:val="AERbodytext"/>
        <w:tabs>
          <w:tab w:val="left" w:pos="1965"/>
        </w:tabs>
        <w:spacing w:after="200"/>
      </w:pPr>
      <w:r>
        <w:t>Wh</w:t>
      </w:r>
      <w:r w:rsidR="008408FC">
        <w:t xml:space="preserve">ile </w:t>
      </w:r>
      <w:r>
        <w:t>support</w:t>
      </w:r>
      <w:r w:rsidR="008408FC">
        <w:t>ing</w:t>
      </w:r>
      <w:r>
        <w:t xml:space="preserve"> the customer i</w:t>
      </w:r>
      <w:r w:rsidR="008408FC">
        <w:t>mpact principle</w:t>
      </w:r>
      <w:r w:rsidR="006B722F">
        <w:t xml:space="preserve">, its scope and </w:t>
      </w:r>
      <w:r w:rsidR="0066391D">
        <w:t xml:space="preserve">status among </w:t>
      </w:r>
      <w:r w:rsidR="00A23F6E">
        <w:t>other pricing principles</w:t>
      </w:r>
      <w:r w:rsidR="00D86F58">
        <w:t xml:space="preserve"> should be clarified</w:t>
      </w:r>
      <w:r w:rsidR="00A3284D">
        <w:t>, that</w:t>
      </w:r>
      <w:r w:rsidR="0066391D">
        <w:t xml:space="preserve"> is,</w:t>
      </w:r>
      <w:r w:rsidR="00A23F6E">
        <w:t xml:space="preserve"> </w:t>
      </w:r>
      <w:r w:rsidR="00DE0647">
        <w:t>wh</w:t>
      </w:r>
      <w:r w:rsidR="00AC2C83">
        <w:t>ich</w:t>
      </w:r>
      <w:r w:rsidR="00DE0647">
        <w:t xml:space="preserve"> </w:t>
      </w:r>
      <w:r w:rsidR="00B81EA8">
        <w:t xml:space="preserve">considerations </w:t>
      </w:r>
      <w:r w:rsidR="00A23F6E">
        <w:t xml:space="preserve">should </w:t>
      </w:r>
      <w:r w:rsidR="00B81EA8">
        <w:t>take primacy</w:t>
      </w:r>
      <w:r w:rsidR="00302554">
        <w:t>?</w:t>
      </w:r>
      <w:r w:rsidR="0066391D">
        <w:t xml:space="preserve"> For example, how might customer impacts</w:t>
      </w:r>
      <w:r w:rsidR="005C2C95">
        <w:t xml:space="preserve"> interact with requirements to consider jurisdictional instruments, or to base pri</w:t>
      </w:r>
      <w:r w:rsidR="00C628AC">
        <w:t>ces on LRMC?</w:t>
      </w:r>
      <w:r w:rsidR="005C2C95">
        <w:t xml:space="preserve"> </w:t>
      </w:r>
      <w:r w:rsidR="000F6B88">
        <w:t>Possible approaches include</w:t>
      </w:r>
      <w:r>
        <w:t>:</w:t>
      </w:r>
    </w:p>
    <w:p w14:paraId="15A9089F" w14:textId="2F4BE762" w:rsidR="0087561B" w:rsidRDefault="000F6B88" w:rsidP="0066391D">
      <w:pPr>
        <w:pStyle w:val="AERbulletlistfirststyle"/>
        <w:spacing w:after="160"/>
        <w:ind w:left="714" w:hanging="357"/>
      </w:pPr>
      <w:r>
        <w:t>The</w:t>
      </w:r>
      <w:r w:rsidR="0087561B">
        <w:t xml:space="preserve"> appropriateness of tariff</w:t>
      </w:r>
      <w:r w:rsidR="00A23F6E">
        <w:t>s for particular consumers could</w:t>
      </w:r>
      <w:r w:rsidR="0087561B">
        <w:t xml:space="preserve"> in pract</w:t>
      </w:r>
      <w:r w:rsidR="00A23F6E">
        <w:t>ice be linked to how DNSPs determine</w:t>
      </w:r>
      <w:r w:rsidR="0087561B">
        <w:t xml:space="preserve"> their tariff classes and assigned particular types of customers to one class or another (discussed </w:t>
      </w:r>
      <w:r w:rsidR="00C628AC">
        <w:t>in Section 4</w:t>
      </w:r>
      <w:r w:rsidR="0087561B">
        <w:t xml:space="preserve">). As such, if in </w:t>
      </w:r>
      <w:r w:rsidR="00A23F6E">
        <w:t>consulting with consumers on</w:t>
      </w:r>
      <w:r w:rsidR="0087561B">
        <w:t xml:space="preserve"> impacts</w:t>
      </w:r>
      <w:r w:rsidR="00DE4488">
        <w:t>,</w:t>
      </w:r>
      <w:r w:rsidR="0087561B">
        <w:t xml:space="preserve"> it is determined that there</w:t>
      </w:r>
      <w:r w:rsidR="00A23F6E">
        <w:t xml:space="preserve"> are reasons why some </w:t>
      </w:r>
      <w:r w:rsidR="0087561B">
        <w:t>should be grouped on a different bas</w:t>
      </w:r>
      <w:r w:rsidR="00A23F6E">
        <w:t>is, this would</w:t>
      </w:r>
      <w:r w:rsidR="0087561B">
        <w:t xml:space="preserve"> influence</w:t>
      </w:r>
      <w:r>
        <w:t xml:space="preserve"> tariff</w:t>
      </w:r>
      <w:r w:rsidR="0087561B">
        <w:t xml:space="preserve"> assignment, </w:t>
      </w:r>
      <w:r w:rsidR="00C628AC">
        <w:t>but</w:t>
      </w:r>
      <w:r>
        <w:t xml:space="preserve"> may still be reflective of relative costs of supplying different customer types</w:t>
      </w:r>
      <w:r w:rsidR="0087561B">
        <w:t xml:space="preserve">. </w:t>
      </w:r>
    </w:p>
    <w:p w14:paraId="10BC6D5E" w14:textId="5B515E50" w:rsidR="0087561B" w:rsidRDefault="00A23F6E" w:rsidP="0066391D">
      <w:pPr>
        <w:pStyle w:val="AERbulletlistfirststyle"/>
        <w:spacing w:after="160"/>
        <w:ind w:left="714" w:hanging="357"/>
      </w:pPr>
      <w:r>
        <w:t>A</w:t>
      </w:r>
      <w:r w:rsidR="0087561B">
        <w:t xml:space="preserve"> DNSP as</w:t>
      </w:r>
      <w:r>
        <w:t xml:space="preserve"> part of its PSS could propose</w:t>
      </w:r>
      <w:r w:rsidR="00C628AC">
        <w:t xml:space="preserve">, in consultation with stakeholders on customer impacts, </w:t>
      </w:r>
      <w:r>
        <w:t xml:space="preserve">to </w:t>
      </w:r>
      <w:r w:rsidR="0087561B">
        <w:t>smooth the pric</w:t>
      </w:r>
      <w:r>
        <w:t>e effects of a transition to</w:t>
      </w:r>
      <w:r w:rsidR="0087561B">
        <w:t xml:space="preserve"> new tariffs </w:t>
      </w:r>
      <w:r>
        <w:t xml:space="preserve">over the course of the regulatory period, such that prices </w:t>
      </w:r>
      <w:r w:rsidR="000F6B88">
        <w:t>would be</w:t>
      </w:r>
      <w:r>
        <w:t xml:space="preserve"> fully compliant with LRMC</w:t>
      </w:r>
      <w:r w:rsidR="000F6B88">
        <w:t xml:space="preserve"> over a given period</w:t>
      </w:r>
      <w:r>
        <w:t>.</w:t>
      </w:r>
      <w:r w:rsidR="00572DEC">
        <w:t xml:space="preserve"> </w:t>
      </w:r>
    </w:p>
    <w:p w14:paraId="19963ABA" w14:textId="77777777" w:rsidR="00835B18" w:rsidRDefault="00601712" w:rsidP="00601712">
      <w:pPr>
        <w:pStyle w:val="Heading1"/>
      </w:pPr>
      <w:bookmarkStart w:id="17" w:name="_Toc375143045"/>
      <w:r>
        <w:lastRenderedPageBreak/>
        <w:t>Tariff classes</w:t>
      </w:r>
      <w:bookmarkEnd w:id="17"/>
    </w:p>
    <w:p w14:paraId="43F94AD2" w14:textId="3B490A55" w:rsidR="00601712" w:rsidRDefault="00640A8C" w:rsidP="00640A8C">
      <w:pPr>
        <w:pStyle w:val="AERbodytext"/>
      </w:pPr>
      <w:r>
        <w:t>Network pricing efficiency objectives should feature not only in the pricing principles, but flow to other pricing rules that might influence</w:t>
      </w:r>
      <w:r w:rsidR="00532B49">
        <w:t xml:space="preserve"> efficiency. The latter include</w:t>
      </w:r>
      <w:r>
        <w:t xml:space="preserve"> criteria </w:t>
      </w:r>
      <w:r w:rsidR="00BC347C">
        <w:t>DNSPs are to consider in</w:t>
      </w:r>
      <w:r w:rsidR="00601712">
        <w:t xml:space="preserve"> determining tariff classes</w:t>
      </w:r>
      <w:r w:rsidR="00C20AB0">
        <w:rPr>
          <w:rStyle w:val="FootnoteReference"/>
        </w:rPr>
        <w:footnoteReference w:id="17"/>
      </w:r>
      <w:r w:rsidR="00601712">
        <w:t>, and then assi</w:t>
      </w:r>
      <w:r w:rsidR="00263F0D">
        <w:t>gning customers to</w:t>
      </w:r>
      <w:r w:rsidR="00075E68">
        <w:t xml:space="preserve"> </w:t>
      </w:r>
      <w:r>
        <w:t>classes</w:t>
      </w:r>
      <w:r w:rsidR="00DE0647">
        <w:t>.</w:t>
      </w:r>
      <w:r w:rsidR="00C20AB0">
        <w:rPr>
          <w:rStyle w:val="FootnoteReference"/>
        </w:rPr>
        <w:footnoteReference w:id="18"/>
      </w:r>
      <w:r w:rsidR="00BC483F">
        <w:t xml:space="preserve"> How t</w:t>
      </w:r>
      <w:r w:rsidR="00601712">
        <w:t>ariff</w:t>
      </w:r>
      <w:r w:rsidR="00BC483F">
        <w:t xml:space="preserve"> classes </w:t>
      </w:r>
      <w:r>
        <w:t xml:space="preserve">are </w:t>
      </w:r>
      <w:r w:rsidR="00BC483F">
        <w:t>defined</w:t>
      </w:r>
      <w:r w:rsidR="00601712">
        <w:t xml:space="preserve"> determine</w:t>
      </w:r>
      <w:r w:rsidR="00263F0D">
        <w:t>s</w:t>
      </w:r>
      <w:r w:rsidR="00601712">
        <w:t xml:space="preserve"> the tariffs that </w:t>
      </w:r>
      <w:r w:rsidR="00263F0D">
        <w:t xml:space="preserve">customers </w:t>
      </w:r>
      <w:r w:rsidR="00601712">
        <w:t>are then allocat</w:t>
      </w:r>
      <w:r w:rsidR="00263F0D">
        <w:t>ed. Given this role</w:t>
      </w:r>
      <w:r w:rsidR="00601712">
        <w:t>, we support SCER’s proposa</w:t>
      </w:r>
      <w:r w:rsidR="00263F0D">
        <w:t>l to tighten th</w:t>
      </w:r>
      <w:r w:rsidR="00BC347C">
        <w:t>e</w:t>
      </w:r>
      <w:r w:rsidR="00263F0D">
        <w:t xml:space="preserve"> </w:t>
      </w:r>
      <w:r w:rsidR="00601712">
        <w:t>current</w:t>
      </w:r>
      <w:r>
        <w:t xml:space="preserve"> criteria</w:t>
      </w:r>
      <w:r w:rsidR="006204A4">
        <w:t>,</w:t>
      </w:r>
      <w:r w:rsidR="00BC347C">
        <w:t xml:space="preserve"> </w:t>
      </w:r>
      <w:r>
        <w:t>making</w:t>
      </w:r>
      <w:r w:rsidR="00263F0D">
        <w:t xml:space="preserve"> it mandatory </w:t>
      </w:r>
      <w:r w:rsidR="00601712">
        <w:t xml:space="preserve">for </w:t>
      </w:r>
      <w:r w:rsidR="00BC483F">
        <w:t xml:space="preserve">tariff classes to be defined on </w:t>
      </w:r>
      <w:r w:rsidR="00601712">
        <w:t xml:space="preserve">an economically efficient basis and avoid unnecessary transaction costs, rather than just have regard to </w:t>
      </w:r>
      <w:r w:rsidR="00263F0D">
        <w:t>these matters. T</w:t>
      </w:r>
      <w:r w:rsidR="00BC347C">
        <w:t xml:space="preserve">his </w:t>
      </w:r>
      <w:r w:rsidR="00601712">
        <w:t xml:space="preserve">should provide consistency </w:t>
      </w:r>
      <w:r w:rsidR="00BC347C">
        <w:t>through the pricing rules,</w:t>
      </w:r>
      <w:r w:rsidR="00263F0D">
        <w:t xml:space="preserve"> for tariffs to target</w:t>
      </w:r>
      <w:r>
        <w:t xml:space="preserve"> network cost drivers</w:t>
      </w:r>
      <w:r w:rsidR="00601712">
        <w:t xml:space="preserve">. </w:t>
      </w:r>
    </w:p>
    <w:p w14:paraId="4DB829A3" w14:textId="7C1E3844" w:rsidR="00601712" w:rsidRDefault="00BC347C" w:rsidP="00BC483F">
      <w:pPr>
        <w:pStyle w:val="AERbodytext"/>
        <w:spacing w:after="200"/>
      </w:pPr>
      <w:r>
        <w:t>E</w:t>
      </w:r>
      <w:r w:rsidR="00601712">
        <w:t xml:space="preserve">conomic efficiency is </w:t>
      </w:r>
      <w:r>
        <w:t>a broad concept</w:t>
      </w:r>
      <w:r w:rsidR="00BC483F">
        <w:t xml:space="preserve"> so w</w:t>
      </w:r>
      <w:r w:rsidR="00601712">
        <w:t xml:space="preserve">e </w:t>
      </w:r>
      <w:r w:rsidR="00BC483F">
        <w:t>would interpret this as expecting</w:t>
      </w:r>
      <w:r w:rsidR="00601712">
        <w:t xml:space="preserve"> tariff classes</w:t>
      </w:r>
      <w:r w:rsidR="00532B49">
        <w:t xml:space="preserve"> to</w:t>
      </w:r>
      <w:r w:rsidR="00601712">
        <w:t xml:space="preserve"> be d</w:t>
      </w:r>
      <w:r w:rsidR="00BC483F">
        <w:t>esigned on the basis of some</w:t>
      </w:r>
      <w:r w:rsidR="00601712">
        <w:t xml:space="preserve"> relationship to network cost driver</w:t>
      </w:r>
      <w:r w:rsidR="00263F0D">
        <w:t>s</w:t>
      </w:r>
      <w:r w:rsidR="00BC483F">
        <w:t>.</w:t>
      </w:r>
      <w:r w:rsidR="00601712">
        <w:t xml:space="preserve"> </w:t>
      </w:r>
      <w:r>
        <w:t>T</w:t>
      </w:r>
      <w:r w:rsidR="00263F0D">
        <w:t>here might be various</w:t>
      </w:r>
      <w:r w:rsidR="00601712">
        <w:t xml:space="preserve"> </w:t>
      </w:r>
      <w:r w:rsidR="00FF6CD4">
        <w:t>ways of reasonably designing</w:t>
      </w:r>
      <w:r w:rsidR="00601712">
        <w:t xml:space="preserve"> tariff class</w:t>
      </w:r>
      <w:r w:rsidR="00263F0D">
        <w:t xml:space="preserve">es </w:t>
      </w:r>
      <w:r w:rsidR="00601712">
        <w:t>consistent wit</w:t>
      </w:r>
      <w:r w:rsidR="00BC483F">
        <w:t>h this requirement, including</w:t>
      </w:r>
      <w:r w:rsidR="00C20AB0">
        <w:t xml:space="preserve"> by reference to</w:t>
      </w:r>
      <w:r w:rsidR="00BC483F">
        <w:t>:</w:t>
      </w:r>
      <w:r w:rsidR="00FF6CD4">
        <w:t xml:space="preserve"> </w:t>
      </w:r>
    </w:p>
    <w:p w14:paraId="2D2239C4" w14:textId="6EA659BD" w:rsidR="00601712" w:rsidRDefault="00601712" w:rsidP="00BC483F">
      <w:pPr>
        <w:pStyle w:val="AERbulletlistfirststyle"/>
        <w:spacing w:after="180"/>
        <w:ind w:left="714" w:hanging="357"/>
      </w:pPr>
      <w:r w:rsidRPr="00263F0D">
        <w:rPr>
          <w:u w:val="single"/>
        </w:rPr>
        <w:t>Voltage levels</w:t>
      </w:r>
      <w:r w:rsidR="006204A4">
        <w:t>—</w:t>
      </w:r>
      <w:r w:rsidR="00C2223A">
        <w:t>c</w:t>
      </w:r>
      <w:r>
        <w:t>osts of servin</w:t>
      </w:r>
      <w:r w:rsidR="00C2223A">
        <w:t>g customers might vary</w:t>
      </w:r>
      <w:r w:rsidR="00263F0D">
        <w:t xml:space="preserve"> on the basis of large</w:t>
      </w:r>
      <w:r>
        <w:t xml:space="preserve"> differences in vol</w:t>
      </w:r>
      <w:r w:rsidR="00C2223A">
        <w:t>tage levels, depending on asset types</w:t>
      </w:r>
      <w:r>
        <w:t xml:space="preserve"> required to serve these different voltages.</w:t>
      </w:r>
    </w:p>
    <w:p w14:paraId="150EEF18" w14:textId="686D444A" w:rsidR="00601712" w:rsidRDefault="00601712" w:rsidP="00BC483F">
      <w:pPr>
        <w:pStyle w:val="AERbulletlistfirststyle"/>
        <w:spacing w:after="180"/>
        <w:ind w:left="714" w:hanging="357"/>
      </w:pPr>
      <w:r w:rsidRPr="00263F0D">
        <w:rPr>
          <w:u w:val="single"/>
        </w:rPr>
        <w:t>Location</w:t>
      </w:r>
      <w:r w:rsidR="006204A4">
        <w:t>—</w:t>
      </w:r>
      <w:r w:rsidR="00640A8C">
        <w:t>reflecting</w:t>
      </w:r>
      <w:r>
        <w:t xml:space="preserve"> </w:t>
      </w:r>
      <w:r w:rsidR="00640A8C">
        <w:t xml:space="preserve">network </w:t>
      </w:r>
      <w:r>
        <w:t>length or density required to serve customers in particular locations over others.</w:t>
      </w:r>
    </w:p>
    <w:p w14:paraId="78F72BDB" w14:textId="48012B46" w:rsidR="00601712" w:rsidRDefault="00601712" w:rsidP="00BC483F">
      <w:pPr>
        <w:pStyle w:val="AERbulletlistfirststyle"/>
        <w:spacing w:after="180"/>
        <w:ind w:left="714" w:hanging="357"/>
      </w:pPr>
      <w:r w:rsidRPr="00263F0D">
        <w:rPr>
          <w:u w:val="single"/>
        </w:rPr>
        <w:t>Customer usage profiles</w:t>
      </w:r>
      <w:r w:rsidR="006204A4">
        <w:t>—</w:t>
      </w:r>
      <w:r w:rsidR="00263F0D">
        <w:t xml:space="preserve">reflecting impacts of </w:t>
      </w:r>
      <w:r>
        <w:t xml:space="preserve">energy </w:t>
      </w:r>
      <w:r w:rsidR="00263F0D">
        <w:t xml:space="preserve">use </w:t>
      </w:r>
      <w:r>
        <w:t xml:space="preserve">at peak times </w:t>
      </w:r>
      <w:r w:rsidR="00640A8C">
        <w:t>vs</w:t>
      </w:r>
      <w:r>
        <w:t xml:space="preserve"> non-peak times.</w:t>
      </w:r>
    </w:p>
    <w:p w14:paraId="3D5A5CFB" w14:textId="2F8C317D" w:rsidR="00601712" w:rsidRDefault="00601712" w:rsidP="00601712">
      <w:pPr>
        <w:pStyle w:val="AERbulletlistfirststyle"/>
      </w:pPr>
      <w:r w:rsidRPr="00263F0D">
        <w:rPr>
          <w:u w:val="single"/>
        </w:rPr>
        <w:t>Distributed generation</w:t>
      </w:r>
      <w:r w:rsidR="006204A4">
        <w:t>—</w:t>
      </w:r>
      <w:r w:rsidR="00C2223A">
        <w:t xml:space="preserve">given </w:t>
      </w:r>
      <w:r>
        <w:t>different use patterns of such customers, and</w:t>
      </w:r>
      <w:r w:rsidR="00263F0D">
        <w:t xml:space="preserve"> impacts these units</w:t>
      </w:r>
      <w:r>
        <w:t xml:space="preserve"> might have on </w:t>
      </w:r>
      <w:r w:rsidR="00263F0D">
        <w:t xml:space="preserve">network </w:t>
      </w:r>
      <w:r>
        <w:t xml:space="preserve">voltage levels from their ability to export energy back to the grid. </w:t>
      </w:r>
    </w:p>
    <w:p w14:paraId="33FCBE3B" w14:textId="267DBF69" w:rsidR="006204A4" w:rsidRDefault="00601712" w:rsidP="00601712">
      <w:pPr>
        <w:pStyle w:val="AERbodytext"/>
      </w:pPr>
      <w:r>
        <w:t xml:space="preserve">DNSPs have </w:t>
      </w:r>
      <w:r w:rsidR="00640A8C">
        <w:t>to date</w:t>
      </w:r>
      <w:r w:rsidR="00263F0D">
        <w:t xml:space="preserve"> adopted various</w:t>
      </w:r>
      <w:r w:rsidR="006228F3">
        <w:t xml:space="preserve"> approaches, generally </w:t>
      </w:r>
      <w:r>
        <w:t>by means of the consumption volume size of cu</w:t>
      </w:r>
      <w:r w:rsidR="00263F0D">
        <w:t xml:space="preserve">stomers or connection voltage. </w:t>
      </w:r>
      <w:r>
        <w:t xml:space="preserve">It is </w:t>
      </w:r>
      <w:r w:rsidR="00AC2C83">
        <w:t xml:space="preserve">possible that </w:t>
      </w:r>
      <w:r>
        <w:t>the approac</w:t>
      </w:r>
      <w:r w:rsidR="00BC483F">
        <w:t>hes sought by DNSPs on</w:t>
      </w:r>
      <w:r>
        <w:t xml:space="preserve"> tariff classes will alte</w:t>
      </w:r>
      <w:r w:rsidR="006228F3">
        <w:t>r with the</w:t>
      </w:r>
      <w:r>
        <w:t xml:space="preserve"> reforms to the pricing principles. This is particularly with regard to where tariff classes might currently reflect consumption volumes rather than contrib</w:t>
      </w:r>
      <w:r w:rsidR="006228F3">
        <w:t>ution to peak demand.</w:t>
      </w:r>
    </w:p>
    <w:p w14:paraId="4EADDCBA" w14:textId="077EAFD3" w:rsidR="00601712" w:rsidRDefault="006228F3" w:rsidP="00601712">
      <w:pPr>
        <w:pStyle w:val="AERbodytext"/>
      </w:pPr>
      <w:r>
        <w:t>W</w:t>
      </w:r>
      <w:r w:rsidR="00601712">
        <w:t xml:space="preserve">e consider that </w:t>
      </w:r>
      <w:r w:rsidR="0049765A">
        <w:t>these matters should be addressed</w:t>
      </w:r>
      <w:r>
        <w:t xml:space="preserve"> in </w:t>
      </w:r>
      <w:r w:rsidR="0049765A">
        <w:t xml:space="preserve">the </w:t>
      </w:r>
      <w:r>
        <w:t>PSS</w:t>
      </w:r>
      <w:r w:rsidR="00601712">
        <w:t>. In so doing, we r</w:t>
      </w:r>
      <w:r w:rsidR="00640A8C">
        <w:t>ecognise that</w:t>
      </w:r>
      <w:r>
        <w:t xml:space="preserve"> further </w:t>
      </w:r>
      <w:r w:rsidR="000F1C9E">
        <w:t xml:space="preserve">broad </w:t>
      </w:r>
      <w:r>
        <w:t>guidance</w:t>
      </w:r>
      <w:r w:rsidR="00640A8C">
        <w:t xml:space="preserve"> might be needed</w:t>
      </w:r>
      <w:r w:rsidR="00BC483F">
        <w:t xml:space="preserve"> </w:t>
      </w:r>
      <w:r>
        <w:t>on how</w:t>
      </w:r>
      <w:r w:rsidR="00601712">
        <w:t xml:space="preserve"> </w:t>
      </w:r>
      <w:r w:rsidR="0049765A">
        <w:t>tariff classes should be set</w:t>
      </w:r>
      <w:r w:rsidR="00640A8C">
        <w:t>. T</w:t>
      </w:r>
      <w:r w:rsidR="00601712">
        <w:t>he tariff class requirement would be mandatory and would increas</w:t>
      </w:r>
      <w:r>
        <w:t>e the prominence of this aspect of our reviews</w:t>
      </w:r>
      <w:r w:rsidR="00601712">
        <w:t>. Clea</w:t>
      </w:r>
      <w:r>
        <w:t xml:space="preserve">r justifications would </w:t>
      </w:r>
      <w:r w:rsidR="00263F0D">
        <w:rPr>
          <w:rFonts w:hint="eastAsia"/>
        </w:rPr>
        <w:t>assist</w:t>
      </w:r>
      <w:r>
        <w:t xml:space="preserve"> our reviews, and </w:t>
      </w:r>
      <w:r w:rsidR="00601712">
        <w:t>stakeho</w:t>
      </w:r>
      <w:r>
        <w:t xml:space="preserve">lders in </w:t>
      </w:r>
      <w:r w:rsidR="00BC483F">
        <w:t>engaging</w:t>
      </w:r>
      <w:r w:rsidR="00C2223A">
        <w:t xml:space="preserve"> </w:t>
      </w:r>
      <w:r w:rsidR="00640A8C">
        <w:t>on</w:t>
      </w:r>
      <w:r w:rsidR="00C2223A">
        <w:t xml:space="preserve"> a PSS. </w:t>
      </w:r>
    </w:p>
    <w:p w14:paraId="7EF9B9B6" w14:textId="77777777" w:rsidR="00601712" w:rsidRPr="000B5138" w:rsidRDefault="00601712" w:rsidP="002F1740">
      <w:pPr>
        <w:pStyle w:val="Heading4"/>
        <w:rPr>
          <w:rStyle w:val="Strong"/>
          <w:b/>
        </w:rPr>
      </w:pPr>
      <w:r w:rsidRPr="000B5138">
        <w:rPr>
          <w:rStyle w:val="Strong"/>
          <w:b/>
        </w:rPr>
        <w:t>Ass</w:t>
      </w:r>
      <w:r w:rsidR="00C91CDB" w:rsidRPr="000B5138">
        <w:rPr>
          <w:rStyle w:val="Strong"/>
          <w:b/>
        </w:rPr>
        <w:t>ignment &amp;</w:t>
      </w:r>
      <w:r w:rsidRPr="000B5138">
        <w:rPr>
          <w:rStyle w:val="Strong"/>
          <w:b/>
        </w:rPr>
        <w:t xml:space="preserve"> reassignment procedures</w:t>
      </w:r>
    </w:p>
    <w:p w14:paraId="4D567BC5" w14:textId="4BF58978" w:rsidR="00601712" w:rsidRDefault="00601712" w:rsidP="00601712">
      <w:pPr>
        <w:pStyle w:val="AERbodytext"/>
      </w:pPr>
      <w:r>
        <w:t>S</w:t>
      </w:r>
      <w:r w:rsidR="00BC483F">
        <w:t>CER’s proposed amendments to</w:t>
      </w:r>
      <w:r w:rsidR="008E6B71">
        <w:t xml:space="preserve"> tariff class provisions are related</w:t>
      </w:r>
      <w:r w:rsidR="00BB3381">
        <w:t xml:space="preserve"> with </w:t>
      </w:r>
      <w:r>
        <w:t xml:space="preserve">NER provisions </w:t>
      </w:r>
      <w:r w:rsidR="00BB3381">
        <w:t>for</w:t>
      </w:r>
      <w:r>
        <w:t xml:space="preserve"> </w:t>
      </w:r>
      <w:r w:rsidR="00BB3381">
        <w:t>customer assignments/</w:t>
      </w:r>
      <w:r>
        <w:t>re-assignments betwe</w:t>
      </w:r>
      <w:r w:rsidR="00BB3381">
        <w:t xml:space="preserve">en tariff classes. These provide DNSPs with </w:t>
      </w:r>
      <w:r w:rsidR="00D81DFE">
        <w:t>criteria</w:t>
      </w:r>
      <w:r w:rsidR="00BC483F">
        <w:t xml:space="preserve"> on</w:t>
      </w:r>
      <w:r>
        <w:t xml:space="preserve"> how to assign cust</w:t>
      </w:r>
      <w:r w:rsidR="00BB3381">
        <w:t>omers, including</w:t>
      </w:r>
      <w:r w:rsidR="000F1C9E">
        <w:t xml:space="preserve"> </w:t>
      </w:r>
      <w:r w:rsidR="008E6B71">
        <w:t>by</w:t>
      </w:r>
      <w:r w:rsidR="000F1C9E">
        <w:t>:</w:t>
      </w:r>
      <w:r w:rsidR="008E6B71">
        <w:t xml:space="preserve"> </w:t>
      </w:r>
      <w:r>
        <w:t xml:space="preserve">the nature and extent of their usage, the nature of their </w:t>
      </w:r>
      <w:r w:rsidR="00D81DFE">
        <w:t xml:space="preserve">network </w:t>
      </w:r>
      <w:r>
        <w:t xml:space="preserve">connection, or whether they </w:t>
      </w:r>
      <w:r w:rsidR="00D81DFE">
        <w:t xml:space="preserve">have </w:t>
      </w:r>
      <w:r w:rsidR="00BB3381">
        <w:t>remotely-</w:t>
      </w:r>
      <w:r>
        <w:t>read in</w:t>
      </w:r>
      <w:r w:rsidR="00D81DFE">
        <w:t>terval metering. It appear</w:t>
      </w:r>
      <w:r w:rsidR="00BB3381">
        <w:t xml:space="preserve">s SCER’s proposal to </w:t>
      </w:r>
      <w:r>
        <w:t xml:space="preserve">make it mandatory to set tariff classes on an economically efficient basis would be supported by these provisions. </w:t>
      </w:r>
      <w:r w:rsidR="00D81DFE">
        <w:t>T</w:t>
      </w:r>
      <w:r w:rsidR="00BB3381">
        <w:t>he examples</w:t>
      </w:r>
      <w:r w:rsidR="00BC483F">
        <w:t xml:space="preserve"> described earlier of some</w:t>
      </w:r>
      <w:r>
        <w:t xml:space="preserve"> possible ways of reflecting cost drivers in tariff classes would ultimately relate to matters such as usage or connection types. </w:t>
      </w:r>
    </w:p>
    <w:p w14:paraId="09D709C3" w14:textId="0F32C782" w:rsidR="00601712" w:rsidRDefault="00601712" w:rsidP="00601712">
      <w:pPr>
        <w:pStyle w:val="AERbodytext"/>
      </w:pPr>
      <w:r>
        <w:t>While SCER’</w:t>
      </w:r>
      <w:r w:rsidR="00BB3381">
        <w:t xml:space="preserve">s proposal </w:t>
      </w:r>
      <w:r w:rsidR="008E6B71">
        <w:t>here</w:t>
      </w:r>
      <w:r>
        <w:t xml:space="preserve"> is limited to the composition of tariff clas</w:t>
      </w:r>
      <w:r w:rsidR="00BC483F">
        <w:t>ses, we are aware of</w:t>
      </w:r>
      <w:r>
        <w:t xml:space="preserve"> issues that </w:t>
      </w:r>
      <w:r w:rsidR="00D81DFE">
        <w:t xml:space="preserve">have </w:t>
      </w:r>
      <w:r>
        <w:t xml:space="preserve">over time been raised to us by stakeholders. These might be </w:t>
      </w:r>
      <w:r w:rsidR="00BB3381">
        <w:t>worth exploring</w:t>
      </w:r>
      <w:r>
        <w:t xml:space="preserve"> directly in this rule change, or </w:t>
      </w:r>
      <w:r w:rsidR="00BB3381">
        <w:t>in an</w:t>
      </w:r>
      <w:r>
        <w:t xml:space="preserve"> AER pricing guideline. For example:</w:t>
      </w:r>
    </w:p>
    <w:p w14:paraId="199E4579" w14:textId="5752C9F9" w:rsidR="00601712" w:rsidRDefault="00B81E5C" w:rsidP="00601712">
      <w:pPr>
        <w:pStyle w:val="AERbulletlistfirststyle"/>
      </w:pPr>
      <w:r>
        <w:lastRenderedPageBreak/>
        <w:t>N</w:t>
      </w:r>
      <w:r w:rsidR="008E6B71">
        <w:t>eed for interpretation</w:t>
      </w:r>
      <w:r w:rsidR="00601712">
        <w:t xml:space="preserve"> </w:t>
      </w:r>
      <w:r w:rsidR="008E6B71">
        <w:t xml:space="preserve">on </w:t>
      </w:r>
      <w:r w:rsidR="00601712">
        <w:t xml:space="preserve">the </w:t>
      </w:r>
      <w:r w:rsidR="008E6B71">
        <w:t xml:space="preserve">meaning of </w:t>
      </w:r>
      <w:r w:rsidR="00D81DFE">
        <w:rPr>
          <w:rFonts w:hint="eastAsia"/>
        </w:rPr>
        <w:t>‘</w:t>
      </w:r>
      <w:r w:rsidR="00601712">
        <w:t>nature and extent of a customer’s usage</w:t>
      </w:r>
      <w:r w:rsidR="00D81DFE">
        <w:rPr>
          <w:rFonts w:hint="eastAsia"/>
        </w:rPr>
        <w:t>’</w:t>
      </w:r>
      <w:r>
        <w:t>. There are various r</w:t>
      </w:r>
      <w:r w:rsidR="00601712">
        <w:t>eference</w:t>
      </w:r>
      <w:r w:rsidR="00D81DFE">
        <w:t xml:space="preserve">s to ‘usage’ </w:t>
      </w:r>
      <w:r w:rsidR="00601712">
        <w:t>in</w:t>
      </w:r>
      <w:r w:rsidR="00D81DFE">
        <w:t xml:space="preserve"> these provisions</w:t>
      </w:r>
      <w:r w:rsidR="00C20AB0">
        <w:rPr>
          <w:rStyle w:val="FootnoteReference"/>
        </w:rPr>
        <w:footnoteReference w:id="19"/>
      </w:r>
      <w:r w:rsidR="00D81DFE">
        <w:t xml:space="preserve"> and it is un</w:t>
      </w:r>
      <w:r w:rsidR="00601712">
        <w:t xml:space="preserve">clear if </w:t>
      </w:r>
      <w:r>
        <w:t>this is to be interpreted</w:t>
      </w:r>
      <w:r w:rsidR="00601712">
        <w:t xml:space="preserve"> on the basis of the time of demand rather than consumption volumes. </w:t>
      </w:r>
    </w:p>
    <w:p w14:paraId="67DBFF4F" w14:textId="018C2D97" w:rsidR="00601712" w:rsidRDefault="00601712" w:rsidP="00601712">
      <w:pPr>
        <w:pStyle w:val="AERbulletlistfirststyle"/>
      </w:pPr>
      <w:r>
        <w:t>Some tariff assignment provisions are</w:t>
      </w:r>
      <w:r w:rsidR="00B81E5C">
        <w:t xml:space="preserve"> also unclear</w:t>
      </w:r>
      <w:r w:rsidR="006204A4">
        <w:t>,</w:t>
      </w:r>
      <w:r w:rsidR="00F81CE4">
        <w:t xml:space="preserve"> </w:t>
      </w:r>
      <w:r w:rsidR="00B81E5C">
        <w:t>including</w:t>
      </w:r>
      <w:r>
        <w:t xml:space="preserve"> how to interpret the provision that retail customers with micro-generation facilities should be treated no less favourably than customers without such facilities but </w:t>
      </w:r>
      <w:r w:rsidR="00C20AB0">
        <w:t xml:space="preserve">with </w:t>
      </w:r>
      <w:r>
        <w:t xml:space="preserve">a similar </w:t>
      </w:r>
      <w:r w:rsidR="00B81E5C">
        <w:t>load profile. It is un</w:t>
      </w:r>
      <w:r>
        <w:t xml:space="preserve">clear what </w:t>
      </w:r>
      <w:r w:rsidR="00B81E5C">
        <w:t>this clause implies, and if</w:t>
      </w:r>
      <w:r>
        <w:t xml:space="preserve"> it applies to re</w:t>
      </w:r>
      <w:r w:rsidR="00D81DFE">
        <w:t>-</w:t>
      </w:r>
      <w:r>
        <w:t xml:space="preserve">assignments within the same tariff class. </w:t>
      </w:r>
    </w:p>
    <w:p w14:paraId="1226BD91" w14:textId="77777777" w:rsidR="00635D5E" w:rsidRDefault="00601712" w:rsidP="00601712">
      <w:pPr>
        <w:pStyle w:val="AERbodytext"/>
      </w:pPr>
      <w:r>
        <w:t>More signifi</w:t>
      </w:r>
      <w:r w:rsidR="00D81DFE">
        <w:t xml:space="preserve">cantly, </w:t>
      </w:r>
      <w:r w:rsidR="006204A4">
        <w:t xml:space="preserve">complaints received by us </w:t>
      </w:r>
      <w:r w:rsidR="00635D5E">
        <w:t xml:space="preserve">often </w:t>
      </w:r>
      <w:r>
        <w:t xml:space="preserve">concern </w:t>
      </w:r>
      <w:r w:rsidR="006204A4">
        <w:t xml:space="preserve">a </w:t>
      </w:r>
      <w:r>
        <w:t xml:space="preserve">lack </w:t>
      </w:r>
      <w:r w:rsidR="00BC483F">
        <w:t>of customer understanding of</w:t>
      </w:r>
      <w:r>
        <w:t xml:space="preserve"> </w:t>
      </w:r>
      <w:r w:rsidR="00635D5E">
        <w:t xml:space="preserve">the </w:t>
      </w:r>
      <w:r>
        <w:t>reasons why they might be re</w:t>
      </w:r>
      <w:r w:rsidR="00D81DFE">
        <w:t>-</w:t>
      </w:r>
      <w:r>
        <w:t>assigned to different tariffs within a tariff class. These re</w:t>
      </w:r>
      <w:r w:rsidR="00D81DFE">
        <w:t>-</w:t>
      </w:r>
      <w:r>
        <w:t>assignments sometimes result in significant increase</w:t>
      </w:r>
      <w:r w:rsidR="00D81DFE">
        <w:t>s</w:t>
      </w:r>
      <w:r>
        <w:t xml:space="preserve"> in network charges</w:t>
      </w:r>
      <w:r w:rsidR="00B81E5C">
        <w:t xml:space="preserve"> not associated with </w:t>
      </w:r>
      <w:r>
        <w:t>changes in consumption an</w:t>
      </w:r>
      <w:r w:rsidR="00B81E5C">
        <w:t>d demand patterns.</w:t>
      </w:r>
    </w:p>
    <w:p w14:paraId="7DDE570E" w14:textId="675FE335" w:rsidR="00601712" w:rsidRDefault="00B81E5C" w:rsidP="00601712">
      <w:pPr>
        <w:pStyle w:val="AERbodytext"/>
      </w:pPr>
      <w:r>
        <w:t xml:space="preserve">As </w:t>
      </w:r>
      <w:r w:rsidR="00601712">
        <w:t xml:space="preserve">worded, the provisions relating to the economic basis </w:t>
      </w:r>
      <w:r w:rsidR="00C93A78">
        <w:t xml:space="preserve">of tariff class design and customer assignment </w:t>
      </w:r>
      <w:r w:rsidR="00601712">
        <w:t xml:space="preserve">only relate to the tariff class level. </w:t>
      </w:r>
      <w:r w:rsidR="00C009A9">
        <w:t>The rule change should explore</w:t>
      </w:r>
      <w:r w:rsidR="00601712">
        <w:t xml:space="preserve">, </w:t>
      </w:r>
      <w:r w:rsidR="00BC483F">
        <w:t xml:space="preserve">with particular regard to </w:t>
      </w:r>
      <w:r w:rsidR="00601712">
        <w:t>PSS c</w:t>
      </w:r>
      <w:r>
        <w:t>onsultation, if</w:t>
      </w:r>
      <w:r w:rsidR="00D81DFE">
        <w:t xml:space="preserve"> there is </w:t>
      </w:r>
      <w:r w:rsidR="00601712">
        <w:t xml:space="preserve">need for greater transparency </w:t>
      </w:r>
      <w:r w:rsidR="00BC483F">
        <w:t>on</w:t>
      </w:r>
      <w:r w:rsidR="00601712">
        <w:t xml:space="preserve"> </w:t>
      </w:r>
      <w:r w:rsidR="00D81DFE">
        <w:t xml:space="preserve">customer </w:t>
      </w:r>
      <w:r w:rsidR="00601712">
        <w:t>re</w:t>
      </w:r>
      <w:r w:rsidR="00D81DFE">
        <w:t>-</w:t>
      </w:r>
      <w:r w:rsidR="00601712">
        <w:t>assignments with</w:t>
      </w:r>
      <w:r w:rsidR="00D81DFE">
        <w:t>in tariff classes. A</w:t>
      </w:r>
      <w:r>
        <w:t>ny change to these provisions,</w:t>
      </w:r>
      <w:r w:rsidR="00601712">
        <w:t xml:space="preserve"> apply</w:t>
      </w:r>
      <w:r>
        <w:t>ing</w:t>
      </w:r>
      <w:r w:rsidR="00601712">
        <w:t xml:space="preserve"> </w:t>
      </w:r>
      <w:r>
        <w:t xml:space="preserve">them </w:t>
      </w:r>
      <w:r w:rsidR="00601712">
        <w:t xml:space="preserve">to a more detailed </w:t>
      </w:r>
      <w:r>
        <w:t xml:space="preserve">level would probably need to be </w:t>
      </w:r>
      <w:r w:rsidR="00601712">
        <w:t>considered together with oth</w:t>
      </w:r>
      <w:r>
        <w:t>er provisions that are</w:t>
      </w:r>
      <w:r w:rsidR="00601712">
        <w:t xml:space="preserve"> set on tariff class level, such as the side constraints. </w:t>
      </w:r>
    </w:p>
    <w:p w14:paraId="55BEC0BA" w14:textId="77777777" w:rsidR="00601712" w:rsidRPr="00601712" w:rsidRDefault="00601712" w:rsidP="00601712">
      <w:pPr>
        <w:pStyle w:val="AERbodytext"/>
      </w:pPr>
    </w:p>
    <w:p w14:paraId="11F4772A" w14:textId="77777777" w:rsidR="00835B18" w:rsidRPr="00835B18" w:rsidRDefault="00835B18" w:rsidP="00835B18">
      <w:pPr>
        <w:pStyle w:val="AERbodytext"/>
      </w:pPr>
    </w:p>
    <w:p w14:paraId="6A8C46B2" w14:textId="77777777" w:rsidR="00835B18" w:rsidRDefault="00C17156" w:rsidP="003C5786">
      <w:pPr>
        <w:pStyle w:val="Heading1"/>
        <w:spacing w:before="40" w:after="200"/>
      </w:pPr>
      <w:bookmarkStart w:id="18" w:name="_Toc375143046"/>
      <w:r>
        <w:lastRenderedPageBreak/>
        <w:t>New framework for tariff setting</w:t>
      </w:r>
      <w:bookmarkEnd w:id="18"/>
      <w:r w:rsidR="00DC56CA">
        <w:t xml:space="preserve"> </w:t>
      </w:r>
    </w:p>
    <w:p w14:paraId="65B87ADD" w14:textId="08369726" w:rsidR="00A60ECC" w:rsidRDefault="00352B4D" w:rsidP="003C5786">
      <w:pPr>
        <w:pStyle w:val="AERbodytext"/>
        <w:numPr>
          <w:ilvl w:val="0"/>
          <w:numId w:val="0"/>
        </w:numPr>
        <w:spacing w:after="200"/>
      </w:pPr>
      <w:r>
        <w:t>SCER’s proposal requiring</w:t>
      </w:r>
      <w:r w:rsidR="00AE5164">
        <w:t xml:space="preserve"> DNSPs to prepare </w:t>
      </w:r>
      <w:r w:rsidR="00A91365">
        <w:t>a PSS</w:t>
      </w:r>
      <w:r w:rsidR="00477BEF">
        <w:t xml:space="preserve"> can</w:t>
      </w:r>
      <w:r w:rsidR="00872451">
        <w:t xml:space="preserve"> improve the process by which they</w:t>
      </w:r>
      <w:r w:rsidR="00AE5164">
        <w:t xml:space="preserve"> desig</w:t>
      </w:r>
      <w:r w:rsidR="00872451">
        <w:t xml:space="preserve">n, apply and modify tariffs. </w:t>
      </w:r>
      <w:r w:rsidR="00C009A9">
        <w:t xml:space="preserve">All stakeholders would benefit </w:t>
      </w:r>
      <w:r w:rsidR="00C93A78">
        <w:t xml:space="preserve">by way of greater engagement, visibility and certainty. </w:t>
      </w:r>
      <w:r w:rsidR="00A91365">
        <w:t>We support the proposal</w:t>
      </w:r>
      <w:r w:rsidR="00AE5164">
        <w:t xml:space="preserve"> </w:t>
      </w:r>
      <w:r w:rsidR="00A60ECC">
        <w:t>but make the following recommendations on its implementation:</w:t>
      </w:r>
    </w:p>
    <w:p w14:paraId="0C6F170A" w14:textId="706B01A3" w:rsidR="00A60ECC" w:rsidRDefault="00A60ECC" w:rsidP="003C5786">
      <w:pPr>
        <w:pStyle w:val="AERbulletlistfirststyle"/>
        <w:spacing w:after="160"/>
        <w:ind w:left="714" w:hanging="357"/>
      </w:pPr>
      <w:r>
        <w:t>DNSPs should be required to consult with a broad range of stakeholders on a PSS before submitting it to us for review.</w:t>
      </w:r>
    </w:p>
    <w:p w14:paraId="556B15F7" w14:textId="1DAD9645" w:rsidR="00A60ECC" w:rsidRDefault="00A60ECC" w:rsidP="003C5786">
      <w:pPr>
        <w:pStyle w:val="AERbulletlistfirststyle"/>
        <w:spacing w:after="160"/>
        <w:ind w:left="714" w:hanging="357"/>
      </w:pPr>
      <w:r>
        <w:t xml:space="preserve">If the PSS is to provide certainty at least in tariff structures, it should be binding on DNSPs for the regulatory control period. DNSPs should be allowed to propose mid-period amendments, </w:t>
      </w:r>
      <w:r w:rsidR="00A91425">
        <w:t>via</w:t>
      </w:r>
      <w:r>
        <w:t xml:space="preserve"> a suitable threshold </w:t>
      </w:r>
      <w:r w:rsidR="00A91425">
        <w:t xml:space="preserve">allowing only </w:t>
      </w:r>
      <w:r>
        <w:t xml:space="preserve">significant changes resulting in a more compliant PSS. </w:t>
      </w:r>
    </w:p>
    <w:p w14:paraId="0B1252ED" w14:textId="42A3A8E9" w:rsidR="00A60ECC" w:rsidRDefault="00A60ECC" w:rsidP="00C45968">
      <w:pPr>
        <w:pStyle w:val="AERbulletlistfirststyle"/>
        <w:spacing w:after="160"/>
        <w:ind w:left="714" w:hanging="357"/>
      </w:pPr>
      <w:r>
        <w:t>In addition to SCER’s suggested coverage, the PSS should provide an overall tariff strategy, setting out expected network challenges, why tariff options are the best solutions, expect</w:t>
      </w:r>
      <w:r w:rsidR="00532B49">
        <w:t>ed stakeholder impacts and</w:t>
      </w:r>
      <w:r>
        <w:t xml:space="preserve"> tariff evolutions. This strategy should be forward looking and cover at least the regulatory period. Also, specific additions to the PSS should be considered—such as customer assignment procedures and other matters raised in section 3.</w:t>
      </w:r>
    </w:p>
    <w:p w14:paraId="6C379E70" w14:textId="2CC61617" w:rsidR="00A60ECC" w:rsidRDefault="00A60ECC" w:rsidP="00A60ECC">
      <w:pPr>
        <w:pStyle w:val="AERbulletlistfirststyle"/>
      </w:pPr>
      <w:r>
        <w:t xml:space="preserve">The required coverage of the PSS should be flexible over time, and there should be discretion for us to adapt its requirements—best dealt with as part of an AER guideline. </w:t>
      </w:r>
    </w:p>
    <w:p w14:paraId="7E1F4653" w14:textId="1B93B841" w:rsidR="00C15D71" w:rsidRDefault="006C243F" w:rsidP="003C5786">
      <w:pPr>
        <w:pStyle w:val="Heading2"/>
        <w:spacing w:after="200"/>
      </w:pPr>
      <w:bookmarkStart w:id="19" w:name="_Toc375143047"/>
      <w:r>
        <w:t xml:space="preserve">Consultation on </w:t>
      </w:r>
      <w:r w:rsidR="00532B49">
        <w:t xml:space="preserve">the </w:t>
      </w:r>
      <w:r>
        <w:t>PSS</w:t>
      </w:r>
      <w:bookmarkEnd w:id="19"/>
    </w:p>
    <w:p w14:paraId="2F252C25" w14:textId="66389AF7" w:rsidR="00352232" w:rsidRDefault="00352232" w:rsidP="001F303D">
      <w:pPr>
        <w:pStyle w:val="AERbodytext"/>
        <w:numPr>
          <w:ilvl w:val="0"/>
          <w:numId w:val="0"/>
        </w:numPr>
        <w:spacing w:after="160"/>
      </w:pPr>
      <w:r>
        <w:t>The introduction of more efficient tariffs could raise various uncertainties for stakeholders, on how new tariffs operate, how to respond, and possible volatilities—all of which need to be managed. The new tariff setting framework proposed by SCER</w:t>
      </w:r>
      <w:r w:rsidR="003826FB" w:rsidRPr="003826FB">
        <w:rPr>
          <w:rFonts w:eastAsia="Calibri"/>
          <w:szCs w:val="20"/>
          <w:vertAlign w:val="superscript"/>
        </w:rPr>
        <w:footnoteReference w:id="20"/>
      </w:r>
      <w:r>
        <w:t xml:space="preserve"> has the potential to improve stakeholder engagement and information. In particular, the PSS should provide a focal point for guiding these discussions, but regard is needed on how this might practically occur. </w:t>
      </w:r>
    </w:p>
    <w:p w14:paraId="7DFC308D" w14:textId="358B028A" w:rsidR="003D3708" w:rsidRPr="000B5138" w:rsidRDefault="003D3708" w:rsidP="003C5786">
      <w:pPr>
        <w:pStyle w:val="Heading4"/>
        <w:spacing w:before="160" w:after="160"/>
        <w:rPr>
          <w:rStyle w:val="Strong"/>
          <w:b/>
        </w:rPr>
      </w:pPr>
      <w:r w:rsidRPr="000B5138">
        <w:rPr>
          <w:rStyle w:val="Strong"/>
          <w:b/>
        </w:rPr>
        <w:t>Parties to consultation</w:t>
      </w:r>
    </w:p>
    <w:p w14:paraId="478A0777" w14:textId="34F487C8" w:rsidR="0061627A" w:rsidRDefault="00127D89" w:rsidP="003C5786">
      <w:pPr>
        <w:pStyle w:val="AERbodytext"/>
        <w:numPr>
          <w:ilvl w:val="0"/>
          <w:numId w:val="0"/>
        </w:numPr>
        <w:spacing w:after="180"/>
      </w:pPr>
      <w:r>
        <w:t>There is</w:t>
      </w:r>
      <w:r w:rsidR="00EF5237">
        <w:t xml:space="preserve"> </w:t>
      </w:r>
      <w:r w:rsidR="009661C4">
        <w:t>differing language th</w:t>
      </w:r>
      <w:r w:rsidR="00FD4354">
        <w:t>r</w:t>
      </w:r>
      <w:r w:rsidR="009661C4">
        <w:t>ough</w:t>
      </w:r>
      <w:r w:rsidR="000350C4">
        <w:t>out</w:t>
      </w:r>
      <w:r w:rsidR="00EF5237">
        <w:t xml:space="preserve"> SCER’s rule</w:t>
      </w:r>
      <w:r w:rsidR="001157EC">
        <w:t xml:space="preserve"> change proposal as to</w:t>
      </w:r>
      <w:r w:rsidR="00EF5237">
        <w:t xml:space="preserve"> </w:t>
      </w:r>
      <w:r w:rsidR="000350C4">
        <w:t xml:space="preserve">which </w:t>
      </w:r>
      <w:r w:rsidR="001157EC">
        <w:t xml:space="preserve">parties </w:t>
      </w:r>
      <w:r w:rsidR="009661C4">
        <w:t>DNSPs need to consult with on tariffs</w:t>
      </w:r>
      <w:r w:rsidR="001157EC">
        <w:t xml:space="preserve">. </w:t>
      </w:r>
      <w:r w:rsidR="0061627A">
        <w:t xml:space="preserve">Our view is that consultation should cover the following: </w:t>
      </w:r>
    </w:p>
    <w:p w14:paraId="0E14FEC3" w14:textId="142D2500" w:rsidR="00EF5237" w:rsidRDefault="0061627A" w:rsidP="003C5786">
      <w:pPr>
        <w:pStyle w:val="AERbulletlistfirststyle"/>
        <w:spacing w:after="180"/>
        <w:ind w:left="714" w:hanging="357"/>
      </w:pPr>
      <w:r w:rsidRPr="00880B20">
        <w:rPr>
          <w:u w:val="single"/>
        </w:rPr>
        <w:t>Retailers</w:t>
      </w:r>
      <w:r w:rsidR="000350C4">
        <w:t>—</w:t>
      </w:r>
      <w:r w:rsidR="00D3316E">
        <w:t>as the key in the process of packaging network tariffs for consumers</w:t>
      </w:r>
      <w:r w:rsidR="003826FB">
        <w:t>.</w:t>
      </w:r>
      <w:r w:rsidR="00D3316E">
        <w:t xml:space="preserve"> </w:t>
      </w:r>
      <w:r w:rsidR="001157EC">
        <w:t>D</w:t>
      </w:r>
      <w:r w:rsidR="00EF5237">
        <w:t>iscus</w:t>
      </w:r>
      <w:r w:rsidR="009661C4">
        <w:t>sions on</w:t>
      </w:r>
      <w:r w:rsidR="001157EC">
        <w:t xml:space="preserve"> network tariffs lack meaning without some engagement on</w:t>
      </w:r>
      <w:r w:rsidR="00EF5237">
        <w:t xml:space="preserve"> what retai</w:t>
      </w:r>
      <w:r w:rsidR="001157EC">
        <w:t>lers might do with these</w:t>
      </w:r>
      <w:r w:rsidR="00EF5237">
        <w:t xml:space="preserve">. </w:t>
      </w:r>
      <w:r w:rsidR="00C50CB6">
        <w:t xml:space="preserve">Retailers are also the </w:t>
      </w:r>
      <w:r w:rsidR="000B29AD">
        <w:t xml:space="preserve">consumer </w:t>
      </w:r>
      <w:r w:rsidR="00C50CB6">
        <w:t>interaction point</w:t>
      </w:r>
      <w:r w:rsidR="006A4BA1">
        <w:t xml:space="preserve"> and currently perform the role of managing risks</w:t>
      </w:r>
      <w:r w:rsidR="005A2896">
        <w:t xml:space="preserve"> from volatility in wholesale market prices</w:t>
      </w:r>
      <w:r w:rsidR="006A4BA1">
        <w:t xml:space="preserve"> for consumers. </w:t>
      </w:r>
      <w:r w:rsidR="005A2896">
        <w:t>O</w:t>
      </w:r>
      <w:r w:rsidR="006A4BA1">
        <w:t xml:space="preserve">ver time </w:t>
      </w:r>
      <w:r w:rsidR="005A2896">
        <w:t xml:space="preserve">this role </w:t>
      </w:r>
      <w:r w:rsidR="006A4BA1">
        <w:t xml:space="preserve">could extent to the management of network price volatility from more dynamic distribution tariffs. Further, retailers </w:t>
      </w:r>
      <w:r w:rsidR="00EF5237">
        <w:t xml:space="preserve">could </w:t>
      </w:r>
      <w:r w:rsidR="005A2896">
        <w:t xml:space="preserve">also </w:t>
      </w:r>
      <w:r w:rsidR="00EF5237">
        <w:t>b</w:t>
      </w:r>
      <w:r w:rsidR="001157EC">
        <w:t>e</w:t>
      </w:r>
      <w:r w:rsidR="005A2896">
        <w:t>come</w:t>
      </w:r>
      <w:r w:rsidR="001157EC">
        <w:t xml:space="preserve"> a focal point for various demand-side participation</w:t>
      </w:r>
      <w:r w:rsidR="000350C4">
        <w:t xml:space="preserve"> and </w:t>
      </w:r>
      <w:r w:rsidR="00EF5237">
        <w:t xml:space="preserve">management services </w:t>
      </w:r>
      <w:r w:rsidR="000350C4">
        <w:t xml:space="preserve">that </w:t>
      </w:r>
      <w:r w:rsidR="00D3316E">
        <w:t xml:space="preserve">could </w:t>
      </w:r>
      <w:r w:rsidR="000350C4">
        <w:t>help</w:t>
      </w:r>
      <w:r w:rsidR="00EF5237">
        <w:t xml:space="preserve"> consumers manage their responses</w:t>
      </w:r>
      <w:r w:rsidR="000B29AD">
        <w:t xml:space="preserve"> to price signals. We </w:t>
      </w:r>
      <w:r w:rsidR="00C50CB6">
        <w:t>expect tha</w:t>
      </w:r>
      <w:r w:rsidR="001157EC">
        <w:t xml:space="preserve">t retailers might be interested in </w:t>
      </w:r>
      <w:r w:rsidR="00C50CB6">
        <w:t xml:space="preserve">the intended design and likely magnitude of network tariffs, </w:t>
      </w:r>
      <w:r w:rsidR="001157EC">
        <w:t>and the</w:t>
      </w:r>
      <w:r w:rsidR="00C50CB6">
        <w:t xml:space="preserve"> strategy with respect to any transition to these tariffs. </w:t>
      </w:r>
    </w:p>
    <w:p w14:paraId="567E3397" w14:textId="309D3FD2" w:rsidR="00C50CB6" w:rsidRDefault="0061627A" w:rsidP="003C5786">
      <w:pPr>
        <w:pStyle w:val="AERbulletlistfirststyle"/>
        <w:spacing w:after="180"/>
        <w:ind w:left="714" w:hanging="357"/>
      </w:pPr>
      <w:r w:rsidRPr="00880B20">
        <w:rPr>
          <w:u w:val="single"/>
        </w:rPr>
        <w:t>Consumers</w:t>
      </w:r>
      <w:r w:rsidR="000350C4">
        <w:t>—</w:t>
      </w:r>
      <w:r w:rsidR="00C50CB6">
        <w:t xml:space="preserve">discussions on tariff design and implementation strategy will </w:t>
      </w:r>
      <w:r w:rsidR="0049765A">
        <w:t xml:space="preserve">be </w:t>
      </w:r>
      <w:r w:rsidR="00C50CB6">
        <w:t>impor</w:t>
      </w:r>
      <w:r w:rsidR="001157EC">
        <w:t>tant</w:t>
      </w:r>
      <w:r w:rsidR="000B29AD">
        <w:t xml:space="preserve">. Consumers and </w:t>
      </w:r>
      <w:r w:rsidR="000350C4">
        <w:t xml:space="preserve">their </w:t>
      </w:r>
      <w:r w:rsidR="000B29AD">
        <w:t xml:space="preserve">representatives </w:t>
      </w:r>
      <w:r w:rsidR="000350C4">
        <w:t xml:space="preserve">will </w:t>
      </w:r>
      <w:r w:rsidR="00D3316E">
        <w:t>have interest in whether tariffs are designed appropriately for their circumstances.</w:t>
      </w:r>
      <w:r w:rsidR="000350C4">
        <w:t xml:space="preserve"> This includes understanding tariff assignment or reassignment and</w:t>
      </w:r>
      <w:r w:rsidR="009661C4">
        <w:t xml:space="preserve"> certainty on</w:t>
      </w:r>
      <w:r w:rsidR="001157EC">
        <w:t xml:space="preserve"> changes to</w:t>
      </w:r>
      <w:r w:rsidR="00C50CB6">
        <w:t xml:space="preserve"> </w:t>
      </w:r>
      <w:r w:rsidR="009661C4">
        <w:t>tariff structure</w:t>
      </w:r>
      <w:r w:rsidR="000350C4">
        <w:t>s</w:t>
      </w:r>
      <w:r w:rsidR="009661C4">
        <w:t xml:space="preserve"> or levels</w:t>
      </w:r>
      <w:r w:rsidR="000350C4">
        <w:t xml:space="preserve"> over time</w:t>
      </w:r>
      <w:r w:rsidR="009661C4">
        <w:t xml:space="preserve">. Consumer difficulties will arise given that it is the retailer who </w:t>
      </w:r>
      <w:r w:rsidR="00C50CB6">
        <w:t>ultimately decide</w:t>
      </w:r>
      <w:r w:rsidR="009661C4">
        <w:t xml:space="preserve">s how to pass on </w:t>
      </w:r>
      <w:r w:rsidR="00C50CB6">
        <w:t xml:space="preserve">network </w:t>
      </w:r>
      <w:r w:rsidR="00C50CB6">
        <w:lastRenderedPageBreak/>
        <w:t>ta</w:t>
      </w:r>
      <w:r w:rsidR="000B29AD">
        <w:t>riff</w:t>
      </w:r>
      <w:r w:rsidR="002A78FD">
        <w:t>s</w:t>
      </w:r>
      <w:r w:rsidR="009661C4">
        <w:t>. Further, as</w:t>
      </w:r>
      <w:r w:rsidR="000B29AD">
        <w:t xml:space="preserve"> </w:t>
      </w:r>
      <w:r w:rsidR="00CF018C">
        <w:t>not all consumers are</w:t>
      </w:r>
      <w:r w:rsidR="000B29AD">
        <w:t xml:space="preserve"> homogenous</w:t>
      </w:r>
      <w:r w:rsidR="00C50CB6">
        <w:t>, this rule change will need to c</w:t>
      </w:r>
      <w:r w:rsidR="009661C4">
        <w:t>onsider how DNSPs might practically engage</w:t>
      </w:r>
      <w:r w:rsidR="00C50CB6">
        <w:t xml:space="preserve"> with consumers</w:t>
      </w:r>
      <w:r w:rsidR="003826FB">
        <w:t>.</w:t>
      </w:r>
    </w:p>
    <w:p w14:paraId="370AE816" w14:textId="1BA62745" w:rsidR="0061627A" w:rsidRDefault="005A2896" w:rsidP="003C6E96">
      <w:pPr>
        <w:pStyle w:val="AERbulletlistfirststyle"/>
        <w:spacing w:after="120"/>
        <w:ind w:left="714" w:hanging="357"/>
      </w:pPr>
      <w:r w:rsidRPr="00880B20">
        <w:rPr>
          <w:u w:val="single"/>
        </w:rPr>
        <w:t>Other</w:t>
      </w:r>
      <w:r w:rsidR="0061627A" w:rsidRPr="00880B20">
        <w:rPr>
          <w:u w:val="single"/>
        </w:rPr>
        <w:t xml:space="preserve"> parties</w:t>
      </w:r>
      <w:r w:rsidR="000350C4">
        <w:t>—</w:t>
      </w:r>
      <w:r w:rsidR="00911361">
        <w:t>t</w:t>
      </w:r>
      <w:r w:rsidR="002D3F40">
        <w:t>hese c</w:t>
      </w:r>
      <w:r w:rsidR="0061627A">
        <w:t xml:space="preserve">ould include </w:t>
      </w:r>
      <w:r w:rsidR="00911361">
        <w:t>organisations</w:t>
      </w:r>
      <w:r w:rsidR="0061627A">
        <w:t xml:space="preserve"> providing demand-side management services </w:t>
      </w:r>
      <w:r w:rsidR="005C708C">
        <w:t>to the market, such as demand aggregation or direct load control</w:t>
      </w:r>
      <w:r w:rsidR="00911361">
        <w:t xml:space="preserve">, </w:t>
      </w:r>
      <w:r w:rsidR="00D3316E">
        <w:t>which might either be alternatives to, or interact with</w:t>
      </w:r>
      <w:r w:rsidR="003826FB">
        <w:t>,</w:t>
      </w:r>
      <w:r w:rsidR="00D3316E">
        <w:t xml:space="preserve"> tariff based options. </w:t>
      </w:r>
    </w:p>
    <w:p w14:paraId="5D681FE9" w14:textId="3C83EEB7" w:rsidR="007C384B" w:rsidRPr="000B5138" w:rsidRDefault="007C384B" w:rsidP="003C5786">
      <w:pPr>
        <w:pStyle w:val="Heading4"/>
        <w:spacing w:after="180"/>
        <w:rPr>
          <w:rStyle w:val="Strong"/>
          <w:b/>
        </w:rPr>
      </w:pPr>
      <w:r w:rsidRPr="000B5138">
        <w:rPr>
          <w:rStyle w:val="Strong"/>
          <w:b/>
        </w:rPr>
        <w:t>Timing of consultation</w:t>
      </w:r>
    </w:p>
    <w:p w14:paraId="428DFCE6" w14:textId="141E2793" w:rsidR="00A01F6A" w:rsidRDefault="00CA30C6" w:rsidP="003C5786">
      <w:pPr>
        <w:pStyle w:val="AERbodytext"/>
        <w:numPr>
          <w:ilvl w:val="0"/>
          <w:numId w:val="0"/>
        </w:numPr>
        <w:spacing w:after="200"/>
      </w:pPr>
      <w:r>
        <w:t xml:space="preserve">We are keen to explore stakeholder views on how to streamline consultation, given the potential for consultative burden and practical limits on interaction points in the tariff setting process. We consider that a </w:t>
      </w:r>
      <w:r w:rsidR="000963B7">
        <w:t>key</w:t>
      </w:r>
      <w:r w:rsidR="001C187D">
        <w:t xml:space="preserve"> aspect of the </w:t>
      </w:r>
      <w:r w:rsidR="00B74E73">
        <w:t>PSS’ operation is</w:t>
      </w:r>
      <w:r w:rsidR="001C187D">
        <w:t xml:space="preserve"> </w:t>
      </w:r>
      <w:r w:rsidR="002A78FD">
        <w:t>placing</w:t>
      </w:r>
      <w:r w:rsidR="001C187D">
        <w:t xml:space="preserve"> the </w:t>
      </w:r>
      <w:r w:rsidR="00B83CAD">
        <w:t xml:space="preserve">consultative onus </w:t>
      </w:r>
      <w:r w:rsidR="0086385F">
        <w:t>on DNSPs</w:t>
      </w:r>
      <w:r w:rsidR="002A78FD">
        <w:t xml:space="preserve">. This </w:t>
      </w:r>
      <w:r w:rsidR="00B83CAD">
        <w:t>r</w:t>
      </w:r>
      <w:r w:rsidR="001C187D">
        <w:t>ecognise</w:t>
      </w:r>
      <w:r w:rsidR="002A78FD">
        <w:t>s</w:t>
      </w:r>
      <w:r w:rsidR="001C187D">
        <w:t xml:space="preserve"> that </w:t>
      </w:r>
      <w:r w:rsidR="009661C4">
        <w:t xml:space="preserve">stakeholder interactions </w:t>
      </w:r>
      <w:r w:rsidR="00B83CAD">
        <w:t>in tariff setting</w:t>
      </w:r>
      <w:r w:rsidR="000963B7">
        <w:t xml:space="preserve"> should be </w:t>
      </w:r>
      <w:r w:rsidR="009661C4">
        <w:t>a more central part of</w:t>
      </w:r>
      <w:r w:rsidR="001C187D">
        <w:t xml:space="preserve"> business </w:t>
      </w:r>
      <w:r w:rsidR="00B83CAD">
        <w:t>practices. Such</w:t>
      </w:r>
      <w:r w:rsidR="00714023">
        <w:t xml:space="preserve"> interactions are </w:t>
      </w:r>
      <w:r w:rsidR="00632627">
        <w:t>now</w:t>
      </w:r>
      <w:r w:rsidR="00F92DBC">
        <w:t>, following recent network regulation rule changes,</w:t>
      </w:r>
      <w:r w:rsidR="00680282">
        <w:t xml:space="preserve"> </w:t>
      </w:r>
      <w:r w:rsidR="00714023">
        <w:t>expe</w:t>
      </w:r>
      <w:r w:rsidR="0086385F">
        <w:t>cted</w:t>
      </w:r>
      <w:r w:rsidR="00632627">
        <w:t xml:space="preserve"> </w:t>
      </w:r>
      <w:r w:rsidR="004E6485">
        <w:t>of DNSPs in preparing revenue proposals</w:t>
      </w:r>
      <w:r w:rsidR="00D3316E">
        <w:t xml:space="preserve"> before submission to us</w:t>
      </w:r>
      <w:r w:rsidR="00780E03">
        <w:rPr>
          <w:rStyle w:val="FootnoteReference"/>
        </w:rPr>
        <w:footnoteReference w:id="21"/>
      </w:r>
      <w:r w:rsidR="00B83CAD">
        <w:t xml:space="preserve"> and </w:t>
      </w:r>
      <w:r w:rsidR="0086385F">
        <w:t xml:space="preserve">in interacting </w:t>
      </w:r>
      <w:r w:rsidR="00714023">
        <w:t xml:space="preserve">with </w:t>
      </w:r>
      <w:r w:rsidR="000963B7">
        <w:t>other</w:t>
      </w:r>
      <w:r w:rsidR="004E6485">
        <w:t xml:space="preserve">s </w:t>
      </w:r>
      <w:r w:rsidR="000963B7">
        <w:t>via</w:t>
      </w:r>
      <w:r w:rsidR="00B83CAD">
        <w:t xml:space="preserve"> their Demand-Side E</w:t>
      </w:r>
      <w:r w:rsidR="00714023">
        <w:t xml:space="preserve">ngagement </w:t>
      </w:r>
      <w:r w:rsidR="00B83CAD">
        <w:t>S</w:t>
      </w:r>
      <w:r w:rsidR="00714023">
        <w:t>trategies and stakeholder registers</w:t>
      </w:r>
      <w:r w:rsidR="0037125E">
        <w:t>.</w:t>
      </w:r>
      <w:r w:rsidR="00780E03">
        <w:rPr>
          <w:rStyle w:val="FootnoteReference"/>
        </w:rPr>
        <w:footnoteReference w:id="22"/>
      </w:r>
      <w:r w:rsidR="00714023">
        <w:t xml:space="preserve"> </w:t>
      </w:r>
      <w:r w:rsidR="00283DEA">
        <w:t>As such, we consider that</w:t>
      </w:r>
      <w:r w:rsidR="00A01F6A">
        <w:t>:</w:t>
      </w:r>
    </w:p>
    <w:p w14:paraId="5C2BE39D" w14:textId="4038411C" w:rsidR="00472F13" w:rsidRDefault="00283DEA" w:rsidP="003C5786">
      <w:pPr>
        <w:pStyle w:val="AERbulletlistfirststyle"/>
        <w:spacing w:after="180"/>
        <w:ind w:left="714" w:hanging="357"/>
      </w:pPr>
      <w:r>
        <w:t xml:space="preserve">DNSPs </w:t>
      </w:r>
      <w:r w:rsidR="0037125E">
        <w:t>should be</w:t>
      </w:r>
      <w:r w:rsidR="00A01F6A">
        <w:t xml:space="preserve"> required </w:t>
      </w:r>
      <w:r w:rsidR="00B264FD">
        <w:t>to consult</w:t>
      </w:r>
      <w:r>
        <w:t xml:space="preserve"> </w:t>
      </w:r>
      <w:r w:rsidR="00B83CAD">
        <w:t xml:space="preserve">in </w:t>
      </w:r>
      <w:r w:rsidR="00A01F6A">
        <w:t>develo</w:t>
      </w:r>
      <w:r w:rsidR="009661C4">
        <w:t>ping an</w:t>
      </w:r>
      <w:r w:rsidR="00B83CAD">
        <w:t xml:space="preserve"> initial PSS prior to</w:t>
      </w:r>
      <w:r w:rsidR="00A01F6A">
        <w:t xml:space="preserve"> submission to us at the revenue proposal stage. </w:t>
      </w:r>
      <w:r w:rsidR="00B83CAD">
        <w:t>P</w:t>
      </w:r>
      <w:r w:rsidR="00472F13">
        <w:t xml:space="preserve">roposals </w:t>
      </w:r>
      <w:r w:rsidR="00B83CAD">
        <w:t xml:space="preserve">to amend the PSS </w:t>
      </w:r>
      <w:r w:rsidR="00B264FD">
        <w:t xml:space="preserve">mid-period </w:t>
      </w:r>
      <w:r w:rsidR="00B83CAD">
        <w:t xml:space="preserve">should also be made </w:t>
      </w:r>
      <w:r w:rsidR="0037125E">
        <w:t xml:space="preserve">only </w:t>
      </w:r>
      <w:r w:rsidR="00B83CAD">
        <w:t xml:space="preserve">after </w:t>
      </w:r>
      <w:r w:rsidR="00B264FD">
        <w:t>consultation. This</w:t>
      </w:r>
      <w:r w:rsidR="00B83CAD">
        <w:t xml:space="preserve"> better embed</w:t>
      </w:r>
      <w:r w:rsidR="00B264FD">
        <w:t>s</w:t>
      </w:r>
      <w:r w:rsidR="00B83CAD">
        <w:t xml:space="preserve"> </w:t>
      </w:r>
      <w:r w:rsidR="00B264FD">
        <w:t>consultation in DNSP business practices and</w:t>
      </w:r>
      <w:r w:rsidR="00472F13">
        <w:t xml:space="preserve"> provide</w:t>
      </w:r>
      <w:r w:rsidR="00B264FD">
        <w:t>s</w:t>
      </w:r>
      <w:r w:rsidR="00472F13">
        <w:t xml:space="preserve"> us </w:t>
      </w:r>
      <w:r w:rsidR="00B264FD">
        <w:t xml:space="preserve">greater assurance of appropriate testing of </w:t>
      </w:r>
      <w:r w:rsidR="00472F13">
        <w:t>tariff</w:t>
      </w:r>
      <w:r w:rsidR="00B264FD">
        <w:t xml:space="preserve"> strategies</w:t>
      </w:r>
      <w:r w:rsidR="00472F13">
        <w:t>.</w:t>
      </w:r>
    </w:p>
    <w:p w14:paraId="1AC7D2A2" w14:textId="61B2BD21" w:rsidR="00C50CB6" w:rsidRDefault="003E067E" w:rsidP="003C5786">
      <w:pPr>
        <w:pStyle w:val="AERbulletlistfirststyle"/>
        <w:spacing w:after="180"/>
        <w:ind w:left="714" w:hanging="357"/>
      </w:pPr>
      <w:r>
        <w:t>In reviewing an initial PSS in</w:t>
      </w:r>
      <w:r w:rsidR="002F3B64">
        <w:t xml:space="preserve"> the</w:t>
      </w:r>
      <w:r w:rsidR="00472F13">
        <w:t xml:space="preserve"> revenue determination process, we would assess</w:t>
      </w:r>
      <w:r w:rsidR="002F3B64">
        <w:t xml:space="preserve"> (in some way</w:t>
      </w:r>
      <w:r w:rsidR="00B83CAD">
        <w:t>) wheth</w:t>
      </w:r>
      <w:r>
        <w:t>er</w:t>
      </w:r>
      <w:r w:rsidR="0037125E">
        <w:t xml:space="preserve"> and </w:t>
      </w:r>
      <w:r w:rsidR="00B83CAD">
        <w:t>how DNSPs</w:t>
      </w:r>
      <w:r>
        <w:t xml:space="preserve"> consulted</w:t>
      </w:r>
      <w:r w:rsidR="00472F13">
        <w:t xml:space="preserve"> and resolved </w:t>
      </w:r>
      <w:r w:rsidR="00B83CAD">
        <w:t>concerns. T</w:t>
      </w:r>
      <w:r w:rsidR="00472F13">
        <w:t>his</w:t>
      </w:r>
      <w:r w:rsidR="002A78FD">
        <w:t xml:space="preserve"> exercise</w:t>
      </w:r>
      <w:r w:rsidR="00472F13">
        <w:t xml:space="preserve"> will not </w:t>
      </w:r>
      <w:r w:rsidR="002A78FD">
        <w:t>be</w:t>
      </w:r>
      <w:r w:rsidR="002F3B64">
        <w:t xml:space="preserve"> trivial, </w:t>
      </w:r>
      <w:r w:rsidR="00B83CAD">
        <w:t>given the potential</w:t>
      </w:r>
      <w:r w:rsidR="0037125E">
        <w:t xml:space="preserve"> </w:t>
      </w:r>
      <w:r w:rsidR="00472F13">
        <w:t>scope of the customer impacts pri</w:t>
      </w:r>
      <w:r w:rsidR="002F3B64">
        <w:t xml:space="preserve">nciple </w:t>
      </w:r>
      <w:r w:rsidR="0012301F">
        <w:t xml:space="preserve">that the </w:t>
      </w:r>
      <w:r>
        <w:t>PSS</w:t>
      </w:r>
      <w:r w:rsidR="0012301F">
        <w:t xml:space="preserve"> needs to </w:t>
      </w:r>
      <w:r w:rsidR="00CA30C6">
        <w:t>address</w:t>
      </w:r>
      <w:r w:rsidR="0012301F">
        <w:t xml:space="preserve">. </w:t>
      </w:r>
      <w:r w:rsidR="001B44CD">
        <w:t xml:space="preserve">During the </w:t>
      </w:r>
      <w:r w:rsidR="002F3B64">
        <w:t xml:space="preserve">revenue </w:t>
      </w:r>
      <w:r w:rsidR="001B44CD">
        <w:t xml:space="preserve">assessments </w:t>
      </w:r>
      <w:r w:rsidR="00472F13">
        <w:t xml:space="preserve">we </w:t>
      </w:r>
      <w:r w:rsidR="0037125E">
        <w:t xml:space="preserve">would likely </w:t>
      </w:r>
      <w:r w:rsidR="00B83CAD">
        <w:t>seek</w:t>
      </w:r>
      <w:r w:rsidR="00472F13">
        <w:t xml:space="preserve"> further stakeholder input</w:t>
      </w:r>
      <w:r w:rsidR="00B83CAD">
        <w:t>. We envisage</w:t>
      </w:r>
      <w:r w:rsidR="002F3B64">
        <w:t xml:space="preserve"> this </w:t>
      </w:r>
      <w:r w:rsidR="00472F13">
        <w:t>a</w:t>
      </w:r>
      <w:r w:rsidR="0037125E">
        <w:t>s a</w:t>
      </w:r>
      <w:r w:rsidR="00472F13">
        <w:t xml:space="preserve"> means of </w:t>
      </w:r>
      <w:r w:rsidR="00B83CAD">
        <w:t xml:space="preserve">addressing matters unresolved </w:t>
      </w:r>
      <w:r w:rsidR="003C6E39">
        <w:t>during the</w:t>
      </w:r>
      <w:r w:rsidR="00B83CAD">
        <w:t xml:space="preserve"> PSS consultation.</w:t>
      </w:r>
    </w:p>
    <w:p w14:paraId="1B0A5F74" w14:textId="38D0FFBF" w:rsidR="00F47EDF" w:rsidRDefault="00283DEA" w:rsidP="003C5786">
      <w:pPr>
        <w:pStyle w:val="AERbulletlistfirststyle"/>
        <w:spacing w:after="180"/>
        <w:ind w:left="714" w:hanging="357"/>
      </w:pPr>
      <w:r>
        <w:t xml:space="preserve">Requiring </w:t>
      </w:r>
      <w:r w:rsidR="00F47EDF">
        <w:t>consultation prior to submitting a PSS to us, and requiring its submission</w:t>
      </w:r>
      <w:r>
        <w:t xml:space="preserve"> with the revenue p</w:t>
      </w:r>
      <w:r w:rsidR="00F47EDF">
        <w:t>roposal, means that consultation</w:t>
      </w:r>
      <w:r>
        <w:t xml:space="preserve"> will not add to the </w:t>
      </w:r>
      <w:r w:rsidR="00D14777">
        <w:t>existing timing</w:t>
      </w:r>
      <w:r w:rsidR="00F47EDF">
        <w:t xml:space="preserve"> concerns around the</w:t>
      </w:r>
      <w:r>
        <w:t xml:space="preserve"> conclusion of tariff reviews (discussed </w:t>
      </w:r>
      <w:r w:rsidR="002A78FD">
        <w:t>in Section 6</w:t>
      </w:r>
      <w:r>
        <w:t xml:space="preserve">). </w:t>
      </w:r>
    </w:p>
    <w:p w14:paraId="7EE84719" w14:textId="3B717E9B" w:rsidR="006558FC" w:rsidRDefault="00F54E36" w:rsidP="00F54E36">
      <w:pPr>
        <w:pStyle w:val="AERbulletlistfirststyle"/>
      </w:pPr>
      <w:r>
        <w:t xml:space="preserve">An </w:t>
      </w:r>
      <w:r w:rsidR="00D14777">
        <w:t>issue needing</w:t>
      </w:r>
      <w:r w:rsidR="002D79BB">
        <w:t xml:space="preserve"> considera</w:t>
      </w:r>
      <w:r w:rsidR="00F47EDF">
        <w:t>tion is how to provide</w:t>
      </w:r>
      <w:r w:rsidR="002D79BB">
        <w:t xml:space="preserve"> consultati</w:t>
      </w:r>
      <w:r w:rsidR="002F3B64">
        <w:t>on/</w:t>
      </w:r>
      <w:r w:rsidR="002D79BB">
        <w:t>visibility on ta</w:t>
      </w:r>
      <w:r w:rsidR="00F47EDF">
        <w:t>riff levels. E</w:t>
      </w:r>
      <w:r w:rsidR="002D79BB">
        <w:t xml:space="preserve">ngagement </w:t>
      </w:r>
      <w:r w:rsidR="002F3B64">
        <w:t xml:space="preserve">on </w:t>
      </w:r>
      <w:r w:rsidR="00F47EDF">
        <w:t>tariff structure might not</w:t>
      </w:r>
      <w:r w:rsidR="00D14777">
        <w:t xml:space="preserve"> substitute for knowing</w:t>
      </w:r>
      <w:r w:rsidR="002D79BB">
        <w:t xml:space="preserve"> the likely trajectory and magnitude of </w:t>
      </w:r>
      <w:r w:rsidR="0037125E">
        <w:t xml:space="preserve">tariff </w:t>
      </w:r>
      <w:r w:rsidR="002D79BB">
        <w:t xml:space="preserve">levels. </w:t>
      </w:r>
      <w:r w:rsidR="0037125E">
        <w:t>This should not be undertaken during the annual pricing approval process</w:t>
      </w:r>
      <w:r w:rsidR="00F47EDF">
        <w:t xml:space="preserve">. </w:t>
      </w:r>
      <w:r w:rsidR="0037125E">
        <w:t xml:space="preserve">Rather, </w:t>
      </w:r>
      <w:r w:rsidR="00F47EDF">
        <w:t>DNSPs should consult on</w:t>
      </w:r>
      <w:r>
        <w:t xml:space="preserve"> </w:t>
      </w:r>
      <w:r w:rsidR="0037125E">
        <w:t xml:space="preserve">pricing </w:t>
      </w:r>
      <w:r>
        <w:t xml:space="preserve">structure and </w:t>
      </w:r>
      <w:r w:rsidR="00D14777">
        <w:t>levels prior to submitting</w:t>
      </w:r>
      <w:r>
        <w:t xml:space="preserve"> proposals. </w:t>
      </w:r>
      <w:r w:rsidR="001B44CD">
        <w:t>An</w:t>
      </w:r>
      <w:r>
        <w:t xml:space="preserve"> approach might be </w:t>
      </w:r>
      <w:r w:rsidR="002F3B64">
        <w:t xml:space="preserve">for DNSPs to use their </w:t>
      </w:r>
      <w:r>
        <w:t xml:space="preserve">revenue proposal figures </w:t>
      </w:r>
      <w:r w:rsidR="002F3B64">
        <w:t>in</w:t>
      </w:r>
      <w:r>
        <w:t xml:space="preserve"> setting price trend level</w:t>
      </w:r>
      <w:r w:rsidR="002F3B64">
        <w:t>s</w:t>
      </w:r>
      <w:r>
        <w:t xml:space="preserve"> in the initial PSS, </w:t>
      </w:r>
      <w:r w:rsidR="00FE696E">
        <w:t xml:space="preserve">to be </w:t>
      </w:r>
      <w:r w:rsidR="00D14777">
        <w:t>later replaced</w:t>
      </w:r>
      <w:r w:rsidR="002F3B64">
        <w:t xml:space="preserve"> with our draft revenue decision</w:t>
      </w:r>
      <w:r>
        <w:t xml:space="preserve">, </w:t>
      </w:r>
      <w:r w:rsidR="00F47EDF">
        <w:t>and</w:t>
      </w:r>
      <w:r>
        <w:t xml:space="preserve"> published to</w:t>
      </w:r>
      <w:r w:rsidR="00D14777">
        <w:t xml:space="preserve">gether with revised proposals. </w:t>
      </w:r>
    </w:p>
    <w:p w14:paraId="037D84DC" w14:textId="77777777" w:rsidR="00C15D71" w:rsidRDefault="006C243F" w:rsidP="006C243F">
      <w:pPr>
        <w:pStyle w:val="Heading2"/>
      </w:pPr>
      <w:bookmarkStart w:id="20" w:name="_Toc375143048"/>
      <w:r>
        <w:t>Scope of PSS</w:t>
      </w:r>
      <w:bookmarkEnd w:id="20"/>
    </w:p>
    <w:p w14:paraId="015EA89E" w14:textId="095C3458" w:rsidR="000F6428" w:rsidRDefault="00FE696E" w:rsidP="003C5786">
      <w:pPr>
        <w:pStyle w:val="AERbodytext"/>
        <w:numPr>
          <w:ilvl w:val="0"/>
          <w:numId w:val="0"/>
        </w:numPr>
        <w:spacing w:after="220"/>
      </w:pPr>
      <w:r>
        <w:t xml:space="preserve">The </w:t>
      </w:r>
      <w:r w:rsidR="00BE6CE1">
        <w:t xml:space="preserve">SCER proposes that the </w:t>
      </w:r>
      <w:r w:rsidR="001B44CD">
        <w:t xml:space="preserve">PSS’ </w:t>
      </w:r>
      <w:r w:rsidR="00BE6CE1">
        <w:t>scope be set out in the NER. It suggest</w:t>
      </w:r>
      <w:r>
        <w:t xml:space="preserve">ed </w:t>
      </w:r>
      <w:r w:rsidR="00BE6CE1">
        <w:t xml:space="preserve">specific matters to </w:t>
      </w:r>
      <w:r>
        <w:t>be addressed</w:t>
      </w:r>
      <w:r w:rsidR="00680282">
        <w:t xml:space="preserve">, including: listing of tariff classes and structures, elements of charging parameters, expected price trends and explanations of how the PSS addresses the pricing principles. </w:t>
      </w:r>
      <w:r w:rsidR="00BE6CE1">
        <w:t>We consider that</w:t>
      </w:r>
      <w:r w:rsidR="005C708C">
        <w:t xml:space="preserve"> the scope of the PSS </w:t>
      </w:r>
      <w:r w:rsidR="00BE6CE1">
        <w:t>should be adaptable over time as circumstances change. Th</w:t>
      </w:r>
      <w:r>
        <w:t xml:space="preserve">is is best achieved by </w:t>
      </w:r>
      <w:r w:rsidR="0012301F">
        <w:t xml:space="preserve">allowing AER </w:t>
      </w:r>
      <w:r w:rsidR="00BE6CE1">
        <w:t>discretion to determine PSS requirem</w:t>
      </w:r>
      <w:r w:rsidR="005C708C">
        <w:t>ents</w:t>
      </w:r>
      <w:r w:rsidR="00BE6CE1">
        <w:t xml:space="preserve"> by way of a guideline. W</w:t>
      </w:r>
      <w:r w:rsidR="00F47EDF">
        <w:t xml:space="preserve">hile </w:t>
      </w:r>
      <w:r w:rsidR="000F6428">
        <w:t>support</w:t>
      </w:r>
      <w:r w:rsidR="00F47EDF">
        <w:t>ing the specific information SCER proposes</w:t>
      </w:r>
      <w:r w:rsidR="000F6428">
        <w:t xml:space="preserve"> to require </w:t>
      </w:r>
      <w:r w:rsidR="00BE6CE1">
        <w:t>in a PSS w</w:t>
      </w:r>
      <w:r w:rsidR="00BF14A1">
        <w:t>e</w:t>
      </w:r>
      <w:r w:rsidR="00B5295F">
        <w:t xml:space="preserve"> consider that the PSS </w:t>
      </w:r>
      <w:r w:rsidR="00B5295F">
        <w:lastRenderedPageBreak/>
        <w:t xml:space="preserve">should </w:t>
      </w:r>
      <w:r w:rsidR="00BF14A1">
        <w:t xml:space="preserve">also </w:t>
      </w:r>
      <w:r w:rsidR="00BE6CE1">
        <w:t xml:space="preserve">comprehensively </w:t>
      </w:r>
      <w:r w:rsidR="00BF14A1">
        <w:t>explain</w:t>
      </w:r>
      <w:r w:rsidR="00FC324F">
        <w:t xml:space="preserve"> </w:t>
      </w:r>
      <w:r w:rsidR="00B5295F">
        <w:t xml:space="preserve">the </w:t>
      </w:r>
      <w:r w:rsidR="00FC324F">
        <w:t xml:space="preserve">intended </w:t>
      </w:r>
      <w:r w:rsidR="0083054D">
        <w:t xml:space="preserve">tariff </w:t>
      </w:r>
      <w:r w:rsidR="00FC324F">
        <w:t>strategy</w:t>
      </w:r>
      <w:r w:rsidR="001B44CD">
        <w:t>, which should also be forward looking, covering at least the regulatory period. Matters of strategy would include the following:</w:t>
      </w:r>
    </w:p>
    <w:p w14:paraId="01D4F0A7" w14:textId="3150D2C3" w:rsidR="00935ADB" w:rsidRPr="003C6E96" w:rsidRDefault="00935ADB" w:rsidP="003C5786">
      <w:pPr>
        <w:pStyle w:val="AERbulletlistfirststyle"/>
        <w:spacing w:after="160"/>
        <w:ind w:left="714" w:hanging="357"/>
        <w:rPr>
          <w:szCs w:val="20"/>
        </w:rPr>
      </w:pPr>
      <w:r w:rsidRPr="003C6E96">
        <w:rPr>
          <w:szCs w:val="20"/>
          <w:u w:val="single"/>
        </w:rPr>
        <w:t>Network challenges</w:t>
      </w:r>
      <w:r w:rsidRPr="003C6E96">
        <w:rPr>
          <w:szCs w:val="20"/>
        </w:rPr>
        <w:t>—envisaged challenges of demand on the network. DNSPs should be able to predict these</w:t>
      </w:r>
      <w:r w:rsidR="00B90C68" w:rsidRPr="003C6E96">
        <w:rPr>
          <w:szCs w:val="20"/>
        </w:rPr>
        <w:t>. They</w:t>
      </w:r>
      <w:r w:rsidR="005C708C" w:rsidRPr="003C6E96">
        <w:rPr>
          <w:szCs w:val="20"/>
        </w:rPr>
        <w:t xml:space="preserve"> form</w:t>
      </w:r>
      <w:r w:rsidRPr="003C6E96">
        <w:rPr>
          <w:szCs w:val="20"/>
        </w:rPr>
        <w:t xml:space="preserve"> the </w:t>
      </w:r>
      <w:r w:rsidR="0012301F" w:rsidRPr="003C6E96">
        <w:rPr>
          <w:szCs w:val="20"/>
        </w:rPr>
        <w:t>basis</w:t>
      </w:r>
      <w:r w:rsidR="00B90C68" w:rsidRPr="003C6E96">
        <w:rPr>
          <w:szCs w:val="20"/>
        </w:rPr>
        <w:t xml:space="preserve"> </w:t>
      </w:r>
      <w:r w:rsidRPr="003C6E96">
        <w:rPr>
          <w:szCs w:val="20"/>
        </w:rPr>
        <w:t xml:space="preserve">upon which revenue proposals are </w:t>
      </w:r>
      <w:r w:rsidR="00B90C68" w:rsidRPr="003C6E96">
        <w:rPr>
          <w:szCs w:val="20"/>
        </w:rPr>
        <w:t>established</w:t>
      </w:r>
      <w:r w:rsidRPr="003C6E96">
        <w:rPr>
          <w:szCs w:val="20"/>
        </w:rPr>
        <w:t xml:space="preserve"> and the basis upon which </w:t>
      </w:r>
      <w:r w:rsidR="00B90C68" w:rsidRPr="003C6E96">
        <w:rPr>
          <w:szCs w:val="20"/>
        </w:rPr>
        <w:t>DNSPs</w:t>
      </w:r>
      <w:r w:rsidRPr="003C6E96">
        <w:rPr>
          <w:szCs w:val="20"/>
        </w:rPr>
        <w:t xml:space="preserve"> comply with annual planning reporting requirements.</w:t>
      </w:r>
      <w:r w:rsidRPr="003C6E96">
        <w:rPr>
          <w:rFonts w:eastAsia="Calibri"/>
          <w:szCs w:val="20"/>
          <w:vertAlign w:val="superscript"/>
        </w:rPr>
        <w:footnoteReference w:id="23"/>
      </w:r>
    </w:p>
    <w:p w14:paraId="084A9D0A" w14:textId="3AD80464" w:rsidR="00FA7E21" w:rsidRPr="003C6E96" w:rsidRDefault="009D3EE5" w:rsidP="003C5786">
      <w:pPr>
        <w:pStyle w:val="AERbulletlistfirststyle"/>
        <w:spacing w:after="160"/>
        <w:ind w:left="714" w:hanging="357"/>
        <w:rPr>
          <w:szCs w:val="20"/>
        </w:rPr>
      </w:pPr>
      <w:r w:rsidRPr="003C6E96">
        <w:rPr>
          <w:szCs w:val="20"/>
          <w:u w:val="single"/>
        </w:rPr>
        <w:t>Solutions</w:t>
      </w:r>
      <w:r w:rsidR="00BF14A1" w:rsidRPr="003C6E96">
        <w:rPr>
          <w:szCs w:val="20"/>
        </w:rPr>
        <w:t>—</w:t>
      </w:r>
      <w:r w:rsidR="005C708C" w:rsidRPr="003C6E96">
        <w:rPr>
          <w:szCs w:val="20"/>
        </w:rPr>
        <w:t>e</w:t>
      </w:r>
      <w:r w:rsidR="000963B7" w:rsidRPr="003C6E96">
        <w:rPr>
          <w:szCs w:val="20"/>
        </w:rPr>
        <w:t>xplanations</w:t>
      </w:r>
      <w:r w:rsidRPr="003C6E96">
        <w:rPr>
          <w:szCs w:val="20"/>
        </w:rPr>
        <w:t xml:space="preserve"> why proposed tari</w:t>
      </w:r>
      <w:r w:rsidR="000963B7" w:rsidRPr="003C6E96">
        <w:rPr>
          <w:szCs w:val="20"/>
        </w:rPr>
        <w:t xml:space="preserve">ff structures </w:t>
      </w:r>
      <w:r w:rsidR="0012301F" w:rsidRPr="003C6E96">
        <w:rPr>
          <w:szCs w:val="20"/>
        </w:rPr>
        <w:t xml:space="preserve">can </w:t>
      </w:r>
      <w:r w:rsidR="00B90C68" w:rsidRPr="003C6E96">
        <w:rPr>
          <w:szCs w:val="20"/>
        </w:rPr>
        <w:t>overcome specific problems</w:t>
      </w:r>
      <w:r w:rsidRPr="003C6E96">
        <w:rPr>
          <w:szCs w:val="20"/>
        </w:rPr>
        <w:t xml:space="preserve">. </w:t>
      </w:r>
      <w:r w:rsidR="00BF14A1" w:rsidRPr="003C6E96">
        <w:rPr>
          <w:szCs w:val="20"/>
        </w:rPr>
        <w:t xml:space="preserve">This would help us </w:t>
      </w:r>
      <w:r w:rsidR="000963B7" w:rsidRPr="003C6E96">
        <w:rPr>
          <w:szCs w:val="20"/>
        </w:rPr>
        <w:t>assess a</w:t>
      </w:r>
      <w:r w:rsidRPr="003C6E96">
        <w:rPr>
          <w:szCs w:val="20"/>
        </w:rPr>
        <w:t xml:space="preserve"> PSS aga</w:t>
      </w:r>
      <w:r w:rsidR="00FB5C0B" w:rsidRPr="003C6E96">
        <w:rPr>
          <w:szCs w:val="20"/>
        </w:rPr>
        <w:t>inst the pricing principles, and</w:t>
      </w:r>
      <w:r w:rsidRPr="003C6E96">
        <w:rPr>
          <w:szCs w:val="20"/>
        </w:rPr>
        <w:t xml:space="preserve"> </w:t>
      </w:r>
      <w:r w:rsidR="00B00310" w:rsidRPr="003C6E96">
        <w:rPr>
          <w:szCs w:val="20"/>
        </w:rPr>
        <w:t xml:space="preserve">provide </w:t>
      </w:r>
      <w:r w:rsidRPr="003C6E96">
        <w:rPr>
          <w:szCs w:val="20"/>
        </w:rPr>
        <w:t xml:space="preserve">stakeholders </w:t>
      </w:r>
      <w:r w:rsidR="00B00310" w:rsidRPr="003C6E96">
        <w:rPr>
          <w:szCs w:val="20"/>
        </w:rPr>
        <w:t>with</w:t>
      </w:r>
      <w:r w:rsidRPr="003C6E96">
        <w:rPr>
          <w:szCs w:val="20"/>
        </w:rPr>
        <w:t xml:space="preserve"> a clearer picture </w:t>
      </w:r>
      <w:r w:rsidR="000963B7" w:rsidRPr="003C6E96">
        <w:rPr>
          <w:szCs w:val="20"/>
        </w:rPr>
        <w:t>on</w:t>
      </w:r>
      <w:r w:rsidR="008B5D5F" w:rsidRPr="003C6E96">
        <w:rPr>
          <w:szCs w:val="20"/>
        </w:rPr>
        <w:t xml:space="preserve"> why certain tarif</w:t>
      </w:r>
      <w:r w:rsidR="00B00310" w:rsidRPr="003C6E96">
        <w:rPr>
          <w:szCs w:val="20"/>
        </w:rPr>
        <w:t>fs are to be</w:t>
      </w:r>
      <w:r w:rsidR="00BF14A1" w:rsidRPr="003C6E96">
        <w:rPr>
          <w:szCs w:val="20"/>
        </w:rPr>
        <w:t xml:space="preserve"> introduced.</w:t>
      </w:r>
      <w:r w:rsidRPr="003C6E96">
        <w:rPr>
          <w:szCs w:val="20"/>
        </w:rPr>
        <w:t xml:space="preserve"> </w:t>
      </w:r>
    </w:p>
    <w:p w14:paraId="31773182" w14:textId="4BB1CF11" w:rsidR="009D3EE5" w:rsidRPr="003C6E96" w:rsidRDefault="009D3EE5" w:rsidP="003C5786">
      <w:pPr>
        <w:pStyle w:val="AERbulletlistfirststyle"/>
        <w:spacing w:after="160"/>
        <w:ind w:left="714" w:hanging="357"/>
        <w:rPr>
          <w:szCs w:val="20"/>
        </w:rPr>
      </w:pPr>
      <w:r w:rsidRPr="003C6E96">
        <w:rPr>
          <w:szCs w:val="20"/>
          <w:u w:val="single"/>
        </w:rPr>
        <w:t>Impacts</w:t>
      </w:r>
      <w:r w:rsidR="00BF14A1" w:rsidRPr="003C6E96">
        <w:rPr>
          <w:szCs w:val="20"/>
        </w:rPr>
        <w:t>—</w:t>
      </w:r>
      <w:r w:rsidR="000963B7" w:rsidRPr="003C6E96">
        <w:rPr>
          <w:szCs w:val="20"/>
        </w:rPr>
        <w:t xml:space="preserve"> issues</w:t>
      </w:r>
      <w:r w:rsidR="00B720D5" w:rsidRPr="003C6E96">
        <w:rPr>
          <w:szCs w:val="20"/>
        </w:rPr>
        <w:t xml:space="preserve"> DNSP</w:t>
      </w:r>
      <w:r w:rsidR="000963B7" w:rsidRPr="003C6E96">
        <w:rPr>
          <w:szCs w:val="20"/>
        </w:rPr>
        <w:t>s</w:t>
      </w:r>
      <w:r w:rsidR="00B720D5" w:rsidRPr="003C6E96">
        <w:rPr>
          <w:szCs w:val="20"/>
        </w:rPr>
        <w:t xml:space="preserve"> anticipate</w:t>
      </w:r>
      <w:r w:rsidR="00FB5C0B" w:rsidRPr="003C6E96">
        <w:rPr>
          <w:szCs w:val="20"/>
        </w:rPr>
        <w:t xml:space="preserve"> </w:t>
      </w:r>
      <w:r w:rsidRPr="003C6E96">
        <w:rPr>
          <w:szCs w:val="20"/>
        </w:rPr>
        <w:t xml:space="preserve">needing to manage. </w:t>
      </w:r>
      <w:r w:rsidR="00B720D5" w:rsidRPr="003C6E96">
        <w:rPr>
          <w:szCs w:val="20"/>
        </w:rPr>
        <w:t>P</w:t>
      </w:r>
      <w:r w:rsidRPr="003C6E96">
        <w:rPr>
          <w:szCs w:val="20"/>
        </w:rPr>
        <w:t>articularly relevant with regard to its consideration</w:t>
      </w:r>
      <w:r w:rsidR="00FB5C0B" w:rsidRPr="003C6E96">
        <w:rPr>
          <w:szCs w:val="20"/>
        </w:rPr>
        <w:t xml:space="preserve"> of the customer impacts</w:t>
      </w:r>
      <w:r w:rsidRPr="003C6E96">
        <w:rPr>
          <w:szCs w:val="20"/>
        </w:rPr>
        <w:t xml:space="preserve"> principle. </w:t>
      </w:r>
    </w:p>
    <w:p w14:paraId="0DCF7251" w14:textId="552186E5" w:rsidR="00F65ADB" w:rsidRPr="003C6E96" w:rsidRDefault="00F65ADB" w:rsidP="00F65ADB">
      <w:pPr>
        <w:pStyle w:val="AERbulletlistfirststyle"/>
        <w:rPr>
          <w:szCs w:val="20"/>
        </w:rPr>
      </w:pPr>
      <w:r w:rsidRPr="003C6E96">
        <w:rPr>
          <w:szCs w:val="20"/>
          <w:u w:val="single"/>
        </w:rPr>
        <w:t>Evolutions</w:t>
      </w:r>
      <w:r w:rsidRPr="003C6E96">
        <w:rPr>
          <w:szCs w:val="20"/>
        </w:rPr>
        <w:t>—intended tariff rebalancing. For example, whether DNSPs intend to gradually recover higher revenue proportions from certain charging parameters, tariff classes, or customer types or to gradually phase out certain tariffs over the regulatory period. It should also include (non-binding) information on expected trends in actual tariff levels.</w:t>
      </w:r>
    </w:p>
    <w:p w14:paraId="44B31225" w14:textId="64F87C09" w:rsidR="00BF06C6" w:rsidRPr="003C6E96" w:rsidRDefault="00935ADB" w:rsidP="003C5786">
      <w:pPr>
        <w:pStyle w:val="AERbodytext"/>
        <w:numPr>
          <w:ilvl w:val="0"/>
          <w:numId w:val="0"/>
        </w:numPr>
        <w:spacing w:after="200"/>
        <w:rPr>
          <w:szCs w:val="20"/>
        </w:rPr>
      </w:pPr>
      <w:r w:rsidRPr="003C6E96">
        <w:rPr>
          <w:szCs w:val="20"/>
        </w:rPr>
        <w:t>Further, more s</w:t>
      </w:r>
      <w:r w:rsidR="00BF06C6" w:rsidRPr="003C6E96">
        <w:rPr>
          <w:szCs w:val="20"/>
        </w:rPr>
        <w:t xml:space="preserve">pecific </w:t>
      </w:r>
      <w:r w:rsidR="00351DEC" w:rsidRPr="003C6E96">
        <w:rPr>
          <w:szCs w:val="20"/>
        </w:rPr>
        <w:t xml:space="preserve">information not featured </w:t>
      </w:r>
      <w:r w:rsidR="00BF06C6" w:rsidRPr="003C6E96">
        <w:rPr>
          <w:szCs w:val="20"/>
        </w:rPr>
        <w:t>in SCER</w:t>
      </w:r>
      <w:r w:rsidR="000963B7" w:rsidRPr="003C6E96">
        <w:rPr>
          <w:szCs w:val="20"/>
        </w:rPr>
        <w:t>’s proposal</w:t>
      </w:r>
      <w:r w:rsidR="00351DEC" w:rsidRPr="003C6E96">
        <w:rPr>
          <w:szCs w:val="20"/>
        </w:rPr>
        <w:t xml:space="preserve"> </w:t>
      </w:r>
      <w:r w:rsidR="000E6999" w:rsidRPr="003C6E96">
        <w:rPr>
          <w:szCs w:val="20"/>
        </w:rPr>
        <w:t>concern</w:t>
      </w:r>
      <w:r w:rsidR="00351DEC" w:rsidRPr="003C6E96">
        <w:rPr>
          <w:szCs w:val="20"/>
        </w:rPr>
        <w:t xml:space="preserve"> procedures for customer assignments </w:t>
      </w:r>
      <w:r w:rsidR="00B90C68" w:rsidRPr="003C6E96">
        <w:rPr>
          <w:szCs w:val="20"/>
        </w:rPr>
        <w:t xml:space="preserve">and </w:t>
      </w:r>
      <w:r w:rsidR="00351DEC" w:rsidRPr="003C6E96">
        <w:rPr>
          <w:szCs w:val="20"/>
        </w:rPr>
        <w:t>reassignments.</w:t>
      </w:r>
      <w:r w:rsidR="008B5D5F" w:rsidRPr="003C6E96">
        <w:rPr>
          <w:szCs w:val="20"/>
        </w:rPr>
        <w:t xml:space="preserve"> </w:t>
      </w:r>
      <w:r w:rsidR="00351DEC" w:rsidRPr="003C6E96">
        <w:rPr>
          <w:szCs w:val="20"/>
        </w:rPr>
        <w:t>These are important areas</w:t>
      </w:r>
      <w:r w:rsidR="00BF06C6" w:rsidRPr="003C6E96">
        <w:rPr>
          <w:szCs w:val="20"/>
        </w:rPr>
        <w:t xml:space="preserve"> </w:t>
      </w:r>
      <w:r w:rsidR="000E6999" w:rsidRPr="003C6E96">
        <w:rPr>
          <w:szCs w:val="20"/>
        </w:rPr>
        <w:t>where</w:t>
      </w:r>
      <w:r w:rsidR="00BF06C6" w:rsidRPr="003C6E96">
        <w:rPr>
          <w:szCs w:val="20"/>
        </w:rPr>
        <w:t xml:space="preserve"> greater </w:t>
      </w:r>
      <w:r w:rsidR="00351DEC" w:rsidRPr="003C6E96">
        <w:rPr>
          <w:szCs w:val="20"/>
        </w:rPr>
        <w:t xml:space="preserve">stakeholder </w:t>
      </w:r>
      <w:r w:rsidR="000E6999" w:rsidRPr="003C6E96">
        <w:rPr>
          <w:szCs w:val="20"/>
        </w:rPr>
        <w:t xml:space="preserve">clarity </w:t>
      </w:r>
      <w:r w:rsidR="00BF06C6" w:rsidRPr="003C6E96">
        <w:rPr>
          <w:szCs w:val="20"/>
        </w:rPr>
        <w:t xml:space="preserve">is required. The NER </w:t>
      </w:r>
      <w:r w:rsidR="00351DEC" w:rsidRPr="003C6E96">
        <w:rPr>
          <w:szCs w:val="20"/>
        </w:rPr>
        <w:t xml:space="preserve">currently provide principles </w:t>
      </w:r>
      <w:r w:rsidR="00B720D5" w:rsidRPr="003C6E96">
        <w:rPr>
          <w:szCs w:val="20"/>
        </w:rPr>
        <w:t xml:space="preserve">for our </w:t>
      </w:r>
      <w:r w:rsidR="00BF06C6" w:rsidRPr="003C6E96">
        <w:rPr>
          <w:szCs w:val="20"/>
        </w:rPr>
        <w:t>consider</w:t>
      </w:r>
      <w:r w:rsidR="00B720D5" w:rsidRPr="003C6E96">
        <w:rPr>
          <w:szCs w:val="20"/>
        </w:rPr>
        <w:t>ation</w:t>
      </w:r>
      <w:r w:rsidR="00BF06C6" w:rsidRPr="003C6E96">
        <w:rPr>
          <w:szCs w:val="20"/>
        </w:rPr>
        <w:t xml:space="preserve"> in </w:t>
      </w:r>
      <w:r w:rsidR="00351DEC" w:rsidRPr="003C6E96">
        <w:rPr>
          <w:szCs w:val="20"/>
        </w:rPr>
        <w:t>formulating provisions for</w:t>
      </w:r>
      <w:r w:rsidR="00BF06C6" w:rsidRPr="003C6E96">
        <w:rPr>
          <w:szCs w:val="20"/>
        </w:rPr>
        <w:t xml:space="preserve"> </w:t>
      </w:r>
      <w:r w:rsidR="000963B7" w:rsidRPr="003C6E96">
        <w:rPr>
          <w:szCs w:val="20"/>
        </w:rPr>
        <w:t xml:space="preserve">assignments </w:t>
      </w:r>
      <w:r w:rsidR="00B90C68" w:rsidRPr="003C6E96">
        <w:rPr>
          <w:szCs w:val="20"/>
        </w:rPr>
        <w:t>and</w:t>
      </w:r>
      <w:r w:rsidR="000963B7" w:rsidRPr="003C6E96">
        <w:rPr>
          <w:szCs w:val="20"/>
        </w:rPr>
        <w:t xml:space="preserve"> </w:t>
      </w:r>
      <w:r w:rsidR="00351DEC" w:rsidRPr="003C6E96">
        <w:rPr>
          <w:szCs w:val="20"/>
        </w:rPr>
        <w:t xml:space="preserve">reassignments </w:t>
      </w:r>
      <w:r w:rsidR="001D74BB" w:rsidRPr="003C6E96">
        <w:rPr>
          <w:szCs w:val="20"/>
        </w:rPr>
        <w:t>between tariff classes, as part of our distribution determinations.</w:t>
      </w:r>
      <w:r w:rsidR="001D74BB" w:rsidRPr="003C6E96">
        <w:rPr>
          <w:rStyle w:val="FootnoteReference"/>
          <w:szCs w:val="20"/>
        </w:rPr>
        <w:footnoteReference w:id="24"/>
      </w:r>
      <w:r w:rsidR="00351DEC" w:rsidRPr="003C6E96">
        <w:rPr>
          <w:szCs w:val="20"/>
        </w:rPr>
        <w:t xml:space="preserve"> </w:t>
      </w:r>
      <w:r w:rsidR="00B720D5" w:rsidRPr="003C6E96">
        <w:rPr>
          <w:szCs w:val="20"/>
        </w:rPr>
        <w:t>They should be included in a PSS, with</w:t>
      </w:r>
      <w:r w:rsidR="000963B7" w:rsidRPr="003C6E96">
        <w:rPr>
          <w:szCs w:val="20"/>
        </w:rPr>
        <w:t xml:space="preserve"> a guideline elaborating on </w:t>
      </w:r>
      <w:r w:rsidR="00B720D5" w:rsidRPr="003C6E96">
        <w:rPr>
          <w:szCs w:val="20"/>
        </w:rPr>
        <w:t>necessary information</w:t>
      </w:r>
      <w:r w:rsidR="00417548" w:rsidRPr="003C6E96">
        <w:rPr>
          <w:szCs w:val="20"/>
        </w:rPr>
        <w:t>.</w:t>
      </w:r>
      <w:r w:rsidR="001D74BB" w:rsidRPr="003C6E96">
        <w:rPr>
          <w:szCs w:val="20"/>
        </w:rPr>
        <w:t xml:space="preserve"> </w:t>
      </w:r>
    </w:p>
    <w:p w14:paraId="24CBE355" w14:textId="77777777" w:rsidR="006C243F" w:rsidRPr="003C6E96" w:rsidRDefault="006C243F" w:rsidP="003C5786">
      <w:pPr>
        <w:pStyle w:val="Heading2"/>
        <w:spacing w:after="200"/>
        <w:rPr>
          <w:szCs w:val="28"/>
        </w:rPr>
      </w:pPr>
      <w:bookmarkStart w:id="21" w:name="_Toc375143049"/>
      <w:r w:rsidRPr="003C6E96">
        <w:rPr>
          <w:szCs w:val="28"/>
        </w:rPr>
        <w:t xml:space="preserve">PSS </w:t>
      </w:r>
      <w:r w:rsidR="006150A5" w:rsidRPr="003C6E96">
        <w:rPr>
          <w:szCs w:val="28"/>
        </w:rPr>
        <w:t xml:space="preserve">&amp; tariff proposal </w:t>
      </w:r>
      <w:r w:rsidRPr="003C6E96">
        <w:rPr>
          <w:szCs w:val="28"/>
        </w:rPr>
        <w:t>assessments</w:t>
      </w:r>
      <w:bookmarkEnd w:id="21"/>
    </w:p>
    <w:p w14:paraId="3CDCF36B" w14:textId="18636070" w:rsidR="00465E88" w:rsidRPr="003C6E96" w:rsidRDefault="00417548" w:rsidP="00EB19F7">
      <w:pPr>
        <w:pStyle w:val="AERbodytext"/>
        <w:numPr>
          <w:ilvl w:val="0"/>
          <w:numId w:val="0"/>
        </w:numPr>
        <w:spacing w:after="160"/>
        <w:rPr>
          <w:szCs w:val="20"/>
        </w:rPr>
      </w:pPr>
      <w:r w:rsidRPr="003C6E96">
        <w:rPr>
          <w:szCs w:val="20"/>
        </w:rPr>
        <w:t>To provide</w:t>
      </w:r>
      <w:r w:rsidR="00C17156" w:rsidRPr="003C6E96">
        <w:rPr>
          <w:szCs w:val="20"/>
        </w:rPr>
        <w:t xml:space="preserve"> </w:t>
      </w:r>
      <w:r w:rsidR="00AF2AE4" w:rsidRPr="003C6E96">
        <w:rPr>
          <w:szCs w:val="20"/>
        </w:rPr>
        <w:t>some</w:t>
      </w:r>
      <w:r w:rsidRPr="003C6E96">
        <w:rPr>
          <w:szCs w:val="20"/>
        </w:rPr>
        <w:t xml:space="preserve"> </w:t>
      </w:r>
      <w:r w:rsidR="00C17156" w:rsidRPr="003C6E96">
        <w:rPr>
          <w:szCs w:val="20"/>
        </w:rPr>
        <w:t xml:space="preserve">certainty </w:t>
      </w:r>
      <w:r w:rsidRPr="003C6E96">
        <w:rPr>
          <w:szCs w:val="20"/>
        </w:rPr>
        <w:t>on the tariff structures</w:t>
      </w:r>
      <w:r w:rsidR="00C17156" w:rsidRPr="003C6E96">
        <w:rPr>
          <w:szCs w:val="20"/>
        </w:rPr>
        <w:t xml:space="preserve"> DNSPs intend to offer over a regulatory control period, it i</w:t>
      </w:r>
      <w:r w:rsidR="00FB414C" w:rsidRPr="003C6E96">
        <w:rPr>
          <w:szCs w:val="20"/>
        </w:rPr>
        <w:t>s important that</w:t>
      </w:r>
      <w:r w:rsidRPr="003C6E96">
        <w:rPr>
          <w:szCs w:val="20"/>
        </w:rPr>
        <w:t xml:space="preserve"> structures</w:t>
      </w:r>
      <w:r w:rsidR="00C17156" w:rsidRPr="003C6E96">
        <w:rPr>
          <w:szCs w:val="20"/>
        </w:rPr>
        <w:t xml:space="preserve"> do not differ to those </w:t>
      </w:r>
      <w:r w:rsidRPr="003C6E96">
        <w:rPr>
          <w:szCs w:val="20"/>
        </w:rPr>
        <w:t>set out in a</w:t>
      </w:r>
      <w:r w:rsidR="00C17156" w:rsidRPr="003C6E96">
        <w:rPr>
          <w:szCs w:val="20"/>
        </w:rPr>
        <w:t xml:space="preserve"> PSS. We consider SCER’s proposal for the PSS to be binding on the DNS</w:t>
      </w:r>
      <w:r w:rsidRPr="003C6E96">
        <w:rPr>
          <w:szCs w:val="20"/>
        </w:rPr>
        <w:t xml:space="preserve">P </w:t>
      </w:r>
      <w:r w:rsidR="00AF2AE4" w:rsidRPr="003C6E96">
        <w:rPr>
          <w:szCs w:val="20"/>
        </w:rPr>
        <w:t>of key importance</w:t>
      </w:r>
      <w:r w:rsidR="00C17156" w:rsidRPr="003C6E96">
        <w:rPr>
          <w:szCs w:val="20"/>
        </w:rPr>
        <w:t>. Binding DNSPs in this way wo</w:t>
      </w:r>
      <w:r w:rsidR="00AF2AE4" w:rsidRPr="003C6E96">
        <w:rPr>
          <w:szCs w:val="20"/>
        </w:rPr>
        <w:t>uld mean that in preparing</w:t>
      </w:r>
      <w:r w:rsidR="00C17156" w:rsidRPr="003C6E96">
        <w:rPr>
          <w:szCs w:val="20"/>
        </w:rPr>
        <w:t xml:space="preserve"> initial tariff pr</w:t>
      </w:r>
      <w:r w:rsidR="00FB414C" w:rsidRPr="003C6E96">
        <w:rPr>
          <w:szCs w:val="20"/>
        </w:rPr>
        <w:t>oposals (after</w:t>
      </w:r>
      <w:r w:rsidR="00C17156" w:rsidRPr="003C6E96">
        <w:rPr>
          <w:szCs w:val="20"/>
        </w:rPr>
        <w:t xml:space="preserve"> our r</w:t>
      </w:r>
      <w:r w:rsidR="00AF2AE4" w:rsidRPr="003C6E96">
        <w:rPr>
          <w:szCs w:val="20"/>
        </w:rPr>
        <w:t xml:space="preserve">evenue determinations) and </w:t>
      </w:r>
      <w:r w:rsidR="00C17156" w:rsidRPr="003C6E96">
        <w:rPr>
          <w:szCs w:val="20"/>
        </w:rPr>
        <w:t xml:space="preserve">annual tariff proposals, </w:t>
      </w:r>
      <w:r w:rsidR="00B720D5" w:rsidRPr="003C6E96">
        <w:rPr>
          <w:szCs w:val="20"/>
        </w:rPr>
        <w:t xml:space="preserve">they </w:t>
      </w:r>
      <w:r w:rsidR="00C17156" w:rsidRPr="003C6E96">
        <w:rPr>
          <w:szCs w:val="20"/>
        </w:rPr>
        <w:t>w</w:t>
      </w:r>
      <w:r w:rsidR="00AF2AE4" w:rsidRPr="003C6E96">
        <w:rPr>
          <w:szCs w:val="20"/>
        </w:rPr>
        <w:t xml:space="preserve">ould need to offer tariffs </w:t>
      </w:r>
      <w:r w:rsidRPr="003C6E96">
        <w:rPr>
          <w:szCs w:val="20"/>
        </w:rPr>
        <w:t>comply</w:t>
      </w:r>
      <w:r w:rsidR="00AF2AE4" w:rsidRPr="003C6E96">
        <w:rPr>
          <w:szCs w:val="20"/>
        </w:rPr>
        <w:t>ing</w:t>
      </w:r>
      <w:r w:rsidRPr="003C6E96">
        <w:rPr>
          <w:szCs w:val="20"/>
        </w:rPr>
        <w:t xml:space="preserve"> structural</w:t>
      </w:r>
      <w:r w:rsidR="00AF2AE4" w:rsidRPr="003C6E96">
        <w:rPr>
          <w:szCs w:val="20"/>
        </w:rPr>
        <w:t xml:space="preserve">ly to </w:t>
      </w:r>
      <w:r w:rsidR="00C17156" w:rsidRPr="003C6E96">
        <w:rPr>
          <w:szCs w:val="20"/>
        </w:rPr>
        <w:t xml:space="preserve">those in the PSS. </w:t>
      </w:r>
    </w:p>
    <w:p w14:paraId="03732AEA" w14:textId="76CEC651" w:rsidR="00C17156" w:rsidRPr="003C6E96" w:rsidRDefault="00C17156" w:rsidP="00EB19F7">
      <w:pPr>
        <w:pStyle w:val="AERbodytext"/>
        <w:numPr>
          <w:ilvl w:val="0"/>
          <w:numId w:val="0"/>
        </w:numPr>
        <w:spacing w:after="160"/>
        <w:rPr>
          <w:szCs w:val="20"/>
        </w:rPr>
      </w:pPr>
      <w:r w:rsidRPr="003C6E96">
        <w:rPr>
          <w:szCs w:val="20"/>
        </w:rPr>
        <w:t>DNS</w:t>
      </w:r>
      <w:r w:rsidR="00EB19F7" w:rsidRPr="003C6E96">
        <w:rPr>
          <w:szCs w:val="20"/>
        </w:rPr>
        <w:t xml:space="preserve">Ps should be able to </w:t>
      </w:r>
      <w:r w:rsidRPr="003C6E96">
        <w:rPr>
          <w:szCs w:val="20"/>
        </w:rPr>
        <w:t>pre</w:t>
      </w:r>
      <w:r w:rsidR="00AF2AE4" w:rsidRPr="003C6E96">
        <w:rPr>
          <w:szCs w:val="20"/>
        </w:rPr>
        <w:t xml:space="preserve">dict the nature of tariffs </w:t>
      </w:r>
      <w:r w:rsidRPr="003C6E96">
        <w:rPr>
          <w:szCs w:val="20"/>
        </w:rPr>
        <w:t>they intend to im</w:t>
      </w:r>
      <w:r w:rsidR="00AF2AE4" w:rsidRPr="003C6E96">
        <w:rPr>
          <w:szCs w:val="20"/>
        </w:rPr>
        <w:t>plement for a regulatory</w:t>
      </w:r>
      <w:r w:rsidRPr="003C6E96">
        <w:rPr>
          <w:szCs w:val="20"/>
        </w:rPr>
        <w:t xml:space="preserve"> period, with respect to network challenges they f</w:t>
      </w:r>
      <w:r w:rsidR="00417548" w:rsidRPr="003C6E96">
        <w:rPr>
          <w:szCs w:val="20"/>
        </w:rPr>
        <w:t xml:space="preserve">oresee. </w:t>
      </w:r>
      <w:r w:rsidR="00AF2AE4" w:rsidRPr="003C6E96">
        <w:rPr>
          <w:szCs w:val="20"/>
        </w:rPr>
        <w:t>However,</w:t>
      </w:r>
      <w:r w:rsidRPr="003C6E96">
        <w:rPr>
          <w:szCs w:val="20"/>
        </w:rPr>
        <w:t xml:space="preserve"> </w:t>
      </w:r>
      <w:r w:rsidR="00417548" w:rsidRPr="003C6E96">
        <w:rPr>
          <w:szCs w:val="20"/>
        </w:rPr>
        <w:t>we</w:t>
      </w:r>
      <w:r w:rsidR="00465E88" w:rsidRPr="003C6E96">
        <w:rPr>
          <w:szCs w:val="20"/>
        </w:rPr>
        <w:t xml:space="preserve"> </w:t>
      </w:r>
      <w:r w:rsidR="00417548" w:rsidRPr="003C6E96">
        <w:rPr>
          <w:szCs w:val="20"/>
        </w:rPr>
        <w:t>recognise</w:t>
      </w:r>
      <w:r w:rsidR="00465E88" w:rsidRPr="003C6E96">
        <w:rPr>
          <w:szCs w:val="20"/>
        </w:rPr>
        <w:t xml:space="preserve"> </w:t>
      </w:r>
      <w:r w:rsidR="00FB414C" w:rsidRPr="003C6E96">
        <w:rPr>
          <w:szCs w:val="20"/>
        </w:rPr>
        <w:t xml:space="preserve">that </w:t>
      </w:r>
      <w:r w:rsidR="00465E88" w:rsidRPr="003C6E96">
        <w:rPr>
          <w:szCs w:val="20"/>
        </w:rPr>
        <w:t>e</w:t>
      </w:r>
      <w:r w:rsidR="00EB19F7" w:rsidRPr="003C6E96">
        <w:rPr>
          <w:szCs w:val="20"/>
        </w:rPr>
        <w:t xml:space="preserve">xceptional circumstances </w:t>
      </w:r>
      <w:r w:rsidR="00FB414C" w:rsidRPr="003C6E96">
        <w:rPr>
          <w:szCs w:val="20"/>
        </w:rPr>
        <w:t xml:space="preserve">could arise, </w:t>
      </w:r>
      <w:r w:rsidR="00EB19F7" w:rsidRPr="003C6E96">
        <w:rPr>
          <w:szCs w:val="20"/>
        </w:rPr>
        <w:t>like</w:t>
      </w:r>
      <w:r w:rsidR="00465E88" w:rsidRPr="003C6E96">
        <w:rPr>
          <w:szCs w:val="20"/>
        </w:rPr>
        <w:t xml:space="preserve"> significant unexpected </w:t>
      </w:r>
      <w:r w:rsidR="00417548" w:rsidRPr="003C6E96">
        <w:rPr>
          <w:szCs w:val="20"/>
        </w:rPr>
        <w:t xml:space="preserve">demand </w:t>
      </w:r>
      <w:r w:rsidR="00465E88" w:rsidRPr="003C6E96">
        <w:rPr>
          <w:szCs w:val="20"/>
        </w:rPr>
        <w:t xml:space="preserve">changes. </w:t>
      </w:r>
      <w:r w:rsidR="00417548" w:rsidRPr="003C6E96">
        <w:rPr>
          <w:szCs w:val="20"/>
        </w:rPr>
        <w:t xml:space="preserve">It is </w:t>
      </w:r>
      <w:r w:rsidR="00465E88" w:rsidRPr="003C6E96">
        <w:rPr>
          <w:szCs w:val="20"/>
        </w:rPr>
        <w:t>appropriate that DNSP</w:t>
      </w:r>
      <w:r w:rsidR="00EB19F7" w:rsidRPr="003C6E96">
        <w:rPr>
          <w:szCs w:val="20"/>
        </w:rPr>
        <w:t>s</w:t>
      </w:r>
      <w:r w:rsidR="00417548" w:rsidRPr="003C6E96">
        <w:rPr>
          <w:szCs w:val="20"/>
        </w:rPr>
        <w:t xml:space="preserve"> </w:t>
      </w:r>
      <w:r w:rsidR="00EB19F7" w:rsidRPr="003C6E96">
        <w:rPr>
          <w:szCs w:val="20"/>
        </w:rPr>
        <w:t xml:space="preserve">can propose amendments to </w:t>
      </w:r>
      <w:r w:rsidR="00465E88" w:rsidRPr="003C6E96">
        <w:rPr>
          <w:szCs w:val="20"/>
        </w:rPr>
        <w:t>structure</w:t>
      </w:r>
      <w:r w:rsidR="00417548" w:rsidRPr="003C6E96">
        <w:rPr>
          <w:szCs w:val="20"/>
        </w:rPr>
        <w:t>s</w:t>
      </w:r>
      <w:r w:rsidR="00465E88" w:rsidRPr="003C6E96">
        <w:rPr>
          <w:szCs w:val="20"/>
        </w:rPr>
        <w:t xml:space="preserve"> set out in their PSS</w:t>
      </w:r>
      <w:r w:rsidR="00B720D5" w:rsidRPr="003C6E96">
        <w:rPr>
          <w:szCs w:val="20"/>
        </w:rPr>
        <w:t xml:space="preserve"> to cover these contingencies</w:t>
      </w:r>
      <w:r w:rsidR="00465E88" w:rsidRPr="003C6E96">
        <w:rPr>
          <w:szCs w:val="20"/>
        </w:rPr>
        <w:t xml:space="preserve">, providing there is </w:t>
      </w:r>
      <w:r w:rsidR="00AF2AE4" w:rsidRPr="003C6E96">
        <w:rPr>
          <w:szCs w:val="20"/>
        </w:rPr>
        <w:t>a</w:t>
      </w:r>
      <w:r w:rsidR="00465E88" w:rsidRPr="003C6E96">
        <w:rPr>
          <w:szCs w:val="20"/>
        </w:rPr>
        <w:t xml:space="preserve"> threshold. </w:t>
      </w:r>
      <w:r w:rsidR="00F8387D" w:rsidRPr="003C6E96">
        <w:rPr>
          <w:szCs w:val="20"/>
        </w:rPr>
        <w:t>On this matter, w</w:t>
      </w:r>
      <w:r w:rsidR="00F45FB6" w:rsidRPr="003C6E96">
        <w:rPr>
          <w:szCs w:val="20"/>
        </w:rPr>
        <w:t>e</w:t>
      </w:r>
      <w:r w:rsidR="00465E88" w:rsidRPr="003C6E96">
        <w:rPr>
          <w:szCs w:val="20"/>
        </w:rPr>
        <w:t xml:space="preserve"> believe the drafting of </w:t>
      </w:r>
      <w:r w:rsidR="00AF2AE4" w:rsidRPr="003C6E96">
        <w:rPr>
          <w:szCs w:val="20"/>
        </w:rPr>
        <w:t>SCER’s rule change needs</w:t>
      </w:r>
      <w:r w:rsidR="00465E88" w:rsidRPr="003C6E96">
        <w:rPr>
          <w:szCs w:val="20"/>
        </w:rPr>
        <w:t xml:space="preserve"> examining, given</w:t>
      </w:r>
      <w:r w:rsidR="00417548" w:rsidRPr="003C6E96">
        <w:rPr>
          <w:szCs w:val="20"/>
        </w:rPr>
        <w:t xml:space="preserve"> some sections suggest</w:t>
      </w:r>
      <w:r w:rsidR="00465E88" w:rsidRPr="003C6E96">
        <w:rPr>
          <w:szCs w:val="20"/>
        </w:rPr>
        <w:t xml:space="preserve"> a PSS would be approved if it is consistent with the pricing principles, and in other sections, that</w:t>
      </w:r>
      <w:r w:rsidR="00417548" w:rsidRPr="003C6E96">
        <w:rPr>
          <w:szCs w:val="20"/>
        </w:rPr>
        <w:t xml:space="preserve"> PSS</w:t>
      </w:r>
      <w:r w:rsidR="00465E88" w:rsidRPr="003C6E96">
        <w:rPr>
          <w:szCs w:val="20"/>
        </w:rPr>
        <w:t xml:space="preserve"> amendments only be approved</w:t>
      </w:r>
      <w:r w:rsidR="00F45FB6" w:rsidRPr="003C6E96">
        <w:rPr>
          <w:szCs w:val="20"/>
        </w:rPr>
        <w:t xml:space="preserve"> if</w:t>
      </w:r>
      <w:r w:rsidR="00465E88" w:rsidRPr="003C6E96">
        <w:rPr>
          <w:szCs w:val="20"/>
        </w:rPr>
        <w:t xml:space="preserve"> </w:t>
      </w:r>
      <w:r w:rsidR="00417548" w:rsidRPr="003C6E96">
        <w:rPr>
          <w:szCs w:val="20"/>
        </w:rPr>
        <w:t>they better reflect</w:t>
      </w:r>
      <w:r w:rsidR="00FB414C" w:rsidRPr="003C6E96">
        <w:rPr>
          <w:szCs w:val="20"/>
        </w:rPr>
        <w:t xml:space="preserve"> these</w:t>
      </w:r>
      <w:r w:rsidR="00AF2AE4" w:rsidRPr="003C6E96">
        <w:rPr>
          <w:szCs w:val="20"/>
        </w:rPr>
        <w:t xml:space="preserve"> principles. In our view, proposals need to demonstrate why amendments</w:t>
      </w:r>
      <w:r w:rsidR="00465E88" w:rsidRPr="003C6E96">
        <w:rPr>
          <w:szCs w:val="20"/>
        </w:rPr>
        <w:t xml:space="preserve"> </w:t>
      </w:r>
      <w:r w:rsidR="00417548" w:rsidRPr="003C6E96">
        <w:rPr>
          <w:szCs w:val="20"/>
        </w:rPr>
        <w:t xml:space="preserve">would result in </w:t>
      </w:r>
      <w:r w:rsidR="00AF2AE4" w:rsidRPr="003C6E96">
        <w:rPr>
          <w:szCs w:val="20"/>
        </w:rPr>
        <w:t>a more compliant PSS.</w:t>
      </w:r>
    </w:p>
    <w:p w14:paraId="7441FAB8" w14:textId="69A51796" w:rsidR="00465E88" w:rsidRPr="003C6E96" w:rsidRDefault="00465E88" w:rsidP="003C5786">
      <w:pPr>
        <w:pStyle w:val="AERbodytext"/>
        <w:numPr>
          <w:ilvl w:val="0"/>
          <w:numId w:val="0"/>
        </w:numPr>
        <w:spacing w:after="200"/>
        <w:rPr>
          <w:szCs w:val="20"/>
        </w:rPr>
      </w:pPr>
      <w:r w:rsidRPr="003C6E96">
        <w:rPr>
          <w:szCs w:val="20"/>
        </w:rPr>
        <w:t xml:space="preserve">SCER also proposes that </w:t>
      </w:r>
      <w:r w:rsidR="00AF2AE4" w:rsidRPr="003C6E96">
        <w:rPr>
          <w:szCs w:val="20"/>
        </w:rPr>
        <w:t xml:space="preserve">if we reject a proposed PSS, the PSS </w:t>
      </w:r>
      <w:r w:rsidRPr="003C6E96">
        <w:rPr>
          <w:szCs w:val="20"/>
        </w:rPr>
        <w:t>i</w:t>
      </w:r>
      <w:r w:rsidR="00417548" w:rsidRPr="003C6E96">
        <w:rPr>
          <w:szCs w:val="20"/>
        </w:rPr>
        <w:t>n force for a regulatory</w:t>
      </w:r>
      <w:r w:rsidRPr="003C6E96">
        <w:rPr>
          <w:szCs w:val="20"/>
        </w:rPr>
        <w:t xml:space="preserve"> period</w:t>
      </w:r>
      <w:r w:rsidR="00AF2AE4" w:rsidRPr="003C6E96">
        <w:rPr>
          <w:szCs w:val="20"/>
        </w:rPr>
        <w:t xml:space="preserve"> should be that which </w:t>
      </w:r>
      <w:r w:rsidR="00EC6729" w:rsidRPr="003C6E96">
        <w:rPr>
          <w:szCs w:val="20"/>
        </w:rPr>
        <w:t xml:space="preserve">was </w:t>
      </w:r>
      <w:r w:rsidRPr="003C6E96">
        <w:rPr>
          <w:szCs w:val="20"/>
        </w:rPr>
        <w:t xml:space="preserve">in force in the last year of the earlier period. </w:t>
      </w:r>
      <w:r w:rsidR="00F45FB6" w:rsidRPr="003C6E96">
        <w:rPr>
          <w:szCs w:val="20"/>
        </w:rPr>
        <w:t>T</w:t>
      </w:r>
      <w:r w:rsidR="00FB414C" w:rsidRPr="003C6E96">
        <w:rPr>
          <w:szCs w:val="20"/>
        </w:rPr>
        <w:t>his could be unworkable</w:t>
      </w:r>
      <w:r w:rsidR="00AF2AE4" w:rsidRPr="003C6E96">
        <w:rPr>
          <w:szCs w:val="20"/>
        </w:rPr>
        <w:t xml:space="preserve"> where</w:t>
      </w:r>
      <w:r w:rsidR="0052490B" w:rsidRPr="003C6E96">
        <w:rPr>
          <w:szCs w:val="20"/>
        </w:rPr>
        <w:t>:</w:t>
      </w:r>
    </w:p>
    <w:p w14:paraId="223C4906" w14:textId="7827D196" w:rsidR="0052490B" w:rsidRPr="003C6E96" w:rsidRDefault="00AF2AE4" w:rsidP="003C5786">
      <w:pPr>
        <w:pStyle w:val="AERbulletlistfirststyle"/>
        <w:spacing w:after="180"/>
        <w:ind w:left="714" w:hanging="357"/>
        <w:rPr>
          <w:szCs w:val="20"/>
        </w:rPr>
      </w:pPr>
      <w:r w:rsidRPr="003C6E96">
        <w:rPr>
          <w:szCs w:val="20"/>
        </w:rPr>
        <w:t>W</w:t>
      </w:r>
      <w:r w:rsidR="0052490B" w:rsidRPr="003C6E96">
        <w:rPr>
          <w:szCs w:val="20"/>
        </w:rPr>
        <w:t xml:space="preserve">e refuse to approve </w:t>
      </w:r>
      <w:r w:rsidR="00F45FB6" w:rsidRPr="003C6E96">
        <w:rPr>
          <w:szCs w:val="20"/>
        </w:rPr>
        <w:t>a</w:t>
      </w:r>
      <w:r w:rsidR="00FB414C" w:rsidRPr="003C6E96">
        <w:rPr>
          <w:szCs w:val="20"/>
        </w:rPr>
        <w:t>n</w:t>
      </w:r>
      <w:r w:rsidR="00F45FB6" w:rsidRPr="003C6E96">
        <w:rPr>
          <w:szCs w:val="20"/>
        </w:rPr>
        <w:t xml:space="preserve"> inaugural </w:t>
      </w:r>
      <w:r w:rsidR="0052490B" w:rsidRPr="003C6E96">
        <w:rPr>
          <w:szCs w:val="20"/>
        </w:rPr>
        <w:t>PSS</w:t>
      </w:r>
      <w:r w:rsidR="00643DE2" w:rsidRPr="003C6E96">
        <w:rPr>
          <w:szCs w:val="20"/>
        </w:rPr>
        <w:t>—</w:t>
      </w:r>
      <w:r w:rsidR="0052490B" w:rsidRPr="003C6E96">
        <w:rPr>
          <w:szCs w:val="20"/>
        </w:rPr>
        <w:t>there would be no PSS in place</w:t>
      </w:r>
      <w:r w:rsidR="00F45FB6" w:rsidRPr="003C6E96">
        <w:rPr>
          <w:szCs w:val="20"/>
        </w:rPr>
        <w:t xml:space="preserve"> as a default</w:t>
      </w:r>
      <w:r w:rsidR="0052490B" w:rsidRPr="003C6E96">
        <w:rPr>
          <w:szCs w:val="20"/>
        </w:rPr>
        <w:t>.</w:t>
      </w:r>
    </w:p>
    <w:p w14:paraId="7DCA3F78" w14:textId="0BC8C311" w:rsidR="0052490B" w:rsidRPr="003C6E96" w:rsidRDefault="00F45FB6" w:rsidP="003C5786">
      <w:pPr>
        <w:pStyle w:val="AERbulletlistfirststyle"/>
        <w:spacing w:after="180"/>
        <w:ind w:left="714" w:hanging="357"/>
        <w:rPr>
          <w:szCs w:val="20"/>
        </w:rPr>
      </w:pPr>
      <w:r w:rsidRPr="003C6E96">
        <w:rPr>
          <w:szCs w:val="20"/>
        </w:rPr>
        <w:t xml:space="preserve">An existing approved </w:t>
      </w:r>
      <w:r w:rsidR="008B5D5F" w:rsidRPr="003C6E96">
        <w:rPr>
          <w:szCs w:val="20"/>
        </w:rPr>
        <w:t xml:space="preserve">PSS </w:t>
      </w:r>
      <w:r w:rsidR="0052490B" w:rsidRPr="003C6E96">
        <w:rPr>
          <w:szCs w:val="20"/>
        </w:rPr>
        <w:t xml:space="preserve">becomes no longer adequate. </w:t>
      </w:r>
      <w:r w:rsidRPr="003C6E96">
        <w:rPr>
          <w:szCs w:val="20"/>
        </w:rPr>
        <w:t xml:space="preserve">This </w:t>
      </w:r>
      <w:r w:rsidR="0052490B" w:rsidRPr="003C6E96">
        <w:rPr>
          <w:szCs w:val="20"/>
        </w:rPr>
        <w:t>could relate to changes in demand, network use</w:t>
      </w:r>
      <w:r w:rsidR="00880B20">
        <w:rPr>
          <w:szCs w:val="20"/>
        </w:rPr>
        <w:t>,</w:t>
      </w:r>
      <w:r w:rsidRPr="003C6E96">
        <w:rPr>
          <w:szCs w:val="20"/>
        </w:rPr>
        <w:t xml:space="preserve"> or</w:t>
      </w:r>
      <w:r w:rsidR="0052490B" w:rsidRPr="003C6E96">
        <w:rPr>
          <w:szCs w:val="20"/>
        </w:rPr>
        <w:t xml:space="preserve"> emergence of new technologies, </w:t>
      </w:r>
      <w:r w:rsidRPr="003C6E96">
        <w:rPr>
          <w:szCs w:val="20"/>
        </w:rPr>
        <w:t>which</w:t>
      </w:r>
      <w:r w:rsidR="0052490B" w:rsidRPr="003C6E96">
        <w:rPr>
          <w:szCs w:val="20"/>
        </w:rPr>
        <w:t xml:space="preserve"> might suggest that existing tariff options are not addressing these matters in a cost reflective way.</w:t>
      </w:r>
    </w:p>
    <w:p w14:paraId="52F1EC0F" w14:textId="67EF1E4A" w:rsidR="00C15D71" w:rsidRPr="003C6E96" w:rsidRDefault="00E11F2D" w:rsidP="003C5786">
      <w:pPr>
        <w:pStyle w:val="AERbodytext"/>
        <w:numPr>
          <w:ilvl w:val="0"/>
          <w:numId w:val="0"/>
        </w:numPr>
        <w:spacing w:after="180"/>
        <w:rPr>
          <w:szCs w:val="20"/>
        </w:rPr>
      </w:pPr>
      <w:r w:rsidRPr="003C6E96">
        <w:rPr>
          <w:szCs w:val="20"/>
        </w:rPr>
        <w:lastRenderedPageBreak/>
        <w:t>We recommend</w:t>
      </w:r>
      <w:r w:rsidR="00417548" w:rsidRPr="003C6E96">
        <w:rPr>
          <w:szCs w:val="20"/>
        </w:rPr>
        <w:t xml:space="preserve"> </w:t>
      </w:r>
      <w:r w:rsidRPr="003C6E96">
        <w:rPr>
          <w:szCs w:val="20"/>
        </w:rPr>
        <w:t xml:space="preserve">that </w:t>
      </w:r>
      <w:r w:rsidR="0052490B" w:rsidRPr="003C6E96">
        <w:rPr>
          <w:szCs w:val="20"/>
        </w:rPr>
        <w:t xml:space="preserve">the NER </w:t>
      </w:r>
      <w:r w:rsidR="00563D88" w:rsidRPr="003C6E96">
        <w:rPr>
          <w:szCs w:val="20"/>
        </w:rPr>
        <w:t xml:space="preserve">be amended to </w:t>
      </w:r>
      <w:r w:rsidR="0052490B" w:rsidRPr="003C6E96">
        <w:rPr>
          <w:szCs w:val="20"/>
        </w:rPr>
        <w:t>allow us the discretion to set</w:t>
      </w:r>
      <w:r w:rsidR="00417548" w:rsidRPr="003C6E96">
        <w:rPr>
          <w:szCs w:val="20"/>
        </w:rPr>
        <w:t xml:space="preserve"> a</w:t>
      </w:r>
      <w:r w:rsidR="0052490B" w:rsidRPr="003C6E96">
        <w:rPr>
          <w:szCs w:val="20"/>
        </w:rPr>
        <w:t xml:space="preserve"> </w:t>
      </w:r>
      <w:r w:rsidR="00AF2AE4" w:rsidRPr="003C6E96">
        <w:rPr>
          <w:szCs w:val="20"/>
        </w:rPr>
        <w:t>compliant</w:t>
      </w:r>
      <w:r w:rsidRPr="003C6E96">
        <w:rPr>
          <w:szCs w:val="20"/>
        </w:rPr>
        <w:t xml:space="preserve"> </w:t>
      </w:r>
      <w:r w:rsidR="0052490B" w:rsidRPr="003C6E96">
        <w:rPr>
          <w:szCs w:val="20"/>
        </w:rPr>
        <w:t>PSS</w:t>
      </w:r>
      <w:r w:rsidR="00AF2AE4" w:rsidRPr="003C6E96">
        <w:rPr>
          <w:szCs w:val="20"/>
        </w:rPr>
        <w:t>, noting</w:t>
      </w:r>
      <w:r w:rsidR="0052490B" w:rsidRPr="003C6E96">
        <w:rPr>
          <w:szCs w:val="20"/>
        </w:rPr>
        <w:t>:</w:t>
      </w:r>
    </w:p>
    <w:p w14:paraId="25F9D2E4" w14:textId="27D7B511" w:rsidR="00B24B85" w:rsidRPr="003C6E96" w:rsidRDefault="00B24B85" w:rsidP="003C5786">
      <w:pPr>
        <w:pStyle w:val="AERbulletlistfirststyle"/>
        <w:spacing w:after="180"/>
        <w:ind w:left="714" w:hanging="357"/>
        <w:rPr>
          <w:szCs w:val="20"/>
        </w:rPr>
      </w:pPr>
      <w:r w:rsidRPr="003C6E96">
        <w:rPr>
          <w:szCs w:val="20"/>
        </w:rPr>
        <w:t>A similar arrangement is already refl</w:t>
      </w:r>
      <w:r w:rsidR="00417548" w:rsidRPr="003C6E96">
        <w:rPr>
          <w:szCs w:val="20"/>
        </w:rPr>
        <w:t xml:space="preserve">ected in the current NER, </w:t>
      </w:r>
      <w:r w:rsidRPr="003C6E96">
        <w:rPr>
          <w:szCs w:val="20"/>
        </w:rPr>
        <w:t>allow</w:t>
      </w:r>
      <w:r w:rsidR="00417548" w:rsidRPr="003C6E96">
        <w:rPr>
          <w:szCs w:val="20"/>
        </w:rPr>
        <w:t>ing</w:t>
      </w:r>
      <w:r w:rsidRPr="003C6E96">
        <w:rPr>
          <w:szCs w:val="20"/>
        </w:rPr>
        <w:t xml:space="preserve"> us to make necessary amendments to a pricing proposal</w:t>
      </w:r>
      <w:r w:rsidR="001F303D" w:rsidRPr="003C6E96">
        <w:rPr>
          <w:szCs w:val="20"/>
        </w:rPr>
        <w:t xml:space="preserve"> </w:t>
      </w:r>
      <w:r w:rsidR="00EC6729" w:rsidRPr="003C6E96">
        <w:rPr>
          <w:szCs w:val="20"/>
        </w:rPr>
        <w:t>or a</w:t>
      </w:r>
      <w:r w:rsidR="00632627" w:rsidRPr="003C6E96">
        <w:rPr>
          <w:szCs w:val="20"/>
        </w:rPr>
        <w:t xml:space="preserve"> </w:t>
      </w:r>
      <w:r w:rsidR="003E1BF7" w:rsidRPr="003C6E96">
        <w:rPr>
          <w:szCs w:val="20"/>
        </w:rPr>
        <w:t>Negotiating Framework,</w:t>
      </w:r>
      <w:r w:rsidR="00632627" w:rsidRPr="003C6E96">
        <w:rPr>
          <w:szCs w:val="20"/>
        </w:rPr>
        <w:t xml:space="preserve"> </w:t>
      </w:r>
      <w:r w:rsidRPr="003C6E96">
        <w:rPr>
          <w:szCs w:val="20"/>
        </w:rPr>
        <w:t>to rectify any deficiencies.</w:t>
      </w:r>
      <w:r w:rsidR="001F303D" w:rsidRPr="003C6E96">
        <w:rPr>
          <w:rStyle w:val="FootnoteReference"/>
          <w:szCs w:val="20"/>
        </w:rPr>
        <w:footnoteReference w:id="25"/>
      </w:r>
    </w:p>
    <w:p w14:paraId="64DD6979" w14:textId="1353743B" w:rsidR="00B2309B" w:rsidRPr="003C6E96" w:rsidRDefault="00653A01" w:rsidP="00EB19F7">
      <w:pPr>
        <w:pStyle w:val="AERbulletlistfirststyle"/>
        <w:spacing w:after="0"/>
        <w:ind w:left="714" w:hanging="357"/>
        <w:rPr>
          <w:szCs w:val="20"/>
        </w:rPr>
      </w:pPr>
      <w:r w:rsidRPr="003C6E96">
        <w:rPr>
          <w:szCs w:val="20"/>
        </w:rPr>
        <w:t xml:space="preserve">For the initial PSS, we would have time to set out amendments necessary for a proposed PSS to be NER compliant. </w:t>
      </w:r>
      <w:r w:rsidR="00AF2AE4" w:rsidRPr="003C6E96">
        <w:rPr>
          <w:szCs w:val="20"/>
        </w:rPr>
        <w:t>T</w:t>
      </w:r>
      <w:r w:rsidR="00B24B85" w:rsidRPr="003C6E96">
        <w:rPr>
          <w:szCs w:val="20"/>
        </w:rPr>
        <w:t xml:space="preserve">here might </w:t>
      </w:r>
      <w:r w:rsidR="00417548" w:rsidRPr="003C6E96">
        <w:rPr>
          <w:szCs w:val="20"/>
        </w:rPr>
        <w:t xml:space="preserve">not </w:t>
      </w:r>
      <w:r w:rsidR="00AF2AE4" w:rsidRPr="003C6E96">
        <w:rPr>
          <w:szCs w:val="20"/>
        </w:rPr>
        <w:t>be an</w:t>
      </w:r>
      <w:r w:rsidR="00B24B85" w:rsidRPr="003C6E96">
        <w:rPr>
          <w:szCs w:val="20"/>
        </w:rPr>
        <w:t xml:space="preserve"> ideal solution to </w:t>
      </w:r>
      <w:r w:rsidR="00AF2AE4" w:rsidRPr="003C6E96">
        <w:rPr>
          <w:szCs w:val="20"/>
        </w:rPr>
        <w:t>a</w:t>
      </w:r>
      <w:r w:rsidR="00417548" w:rsidRPr="003C6E96">
        <w:rPr>
          <w:szCs w:val="20"/>
        </w:rPr>
        <w:t xml:space="preserve"> situation</w:t>
      </w:r>
      <w:r w:rsidR="00EB19F7" w:rsidRPr="003C6E96">
        <w:rPr>
          <w:szCs w:val="20"/>
        </w:rPr>
        <w:t xml:space="preserve"> (possibly rare)</w:t>
      </w:r>
      <w:r w:rsidR="00417548" w:rsidRPr="003C6E96">
        <w:rPr>
          <w:szCs w:val="20"/>
        </w:rPr>
        <w:t xml:space="preserve"> where we find</w:t>
      </w:r>
      <w:r w:rsidR="00EB19F7" w:rsidRPr="003C6E96">
        <w:rPr>
          <w:szCs w:val="20"/>
        </w:rPr>
        <w:t xml:space="preserve"> during the regulatory</w:t>
      </w:r>
      <w:r w:rsidR="00B24B85" w:rsidRPr="003C6E96">
        <w:rPr>
          <w:szCs w:val="20"/>
        </w:rPr>
        <w:t xml:space="preserve"> period that the PSS is no longer appropria</w:t>
      </w:r>
      <w:r w:rsidR="00EB19F7" w:rsidRPr="003C6E96">
        <w:rPr>
          <w:szCs w:val="20"/>
        </w:rPr>
        <w:t>te.</w:t>
      </w:r>
    </w:p>
    <w:p w14:paraId="1D242FA2" w14:textId="77777777" w:rsidR="00835B18" w:rsidRDefault="00835B18" w:rsidP="00835B18">
      <w:pPr>
        <w:pStyle w:val="Heading1"/>
      </w:pPr>
      <w:bookmarkStart w:id="22" w:name="_Toc375143050"/>
      <w:r>
        <w:lastRenderedPageBreak/>
        <w:t>Timing of price reviews</w:t>
      </w:r>
      <w:bookmarkEnd w:id="22"/>
    </w:p>
    <w:p w14:paraId="67608782" w14:textId="3FD4F2C3" w:rsidR="00CC62E5" w:rsidRDefault="00506662" w:rsidP="0000784B">
      <w:pPr>
        <w:pStyle w:val="AERbodytext"/>
      </w:pPr>
      <w:r>
        <w:t>The</w:t>
      </w:r>
      <w:r w:rsidR="00673475">
        <w:t xml:space="preserve"> curr</w:t>
      </w:r>
      <w:r w:rsidR="00606FC7">
        <w:t xml:space="preserve">ent timeframes of when </w:t>
      </w:r>
      <w:r w:rsidR="00673475">
        <w:t xml:space="preserve">network prices take effect each year often </w:t>
      </w:r>
      <w:r w:rsidR="00606FC7">
        <w:t xml:space="preserve">create difficulties for </w:t>
      </w:r>
      <w:r w:rsidR="00673475">
        <w:t xml:space="preserve">stakeholders, including retailers, consumers and jurisdictional </w:t>
      </w:r>
      <w:r w:rsidR="00673475">
        <w:rPr>
          <w:rFonts w:hint="eastAsia"/>
        </w:rPr>
        <w:t>regulators</w:t>
      </w:r>
      <w:r w:rsidR="00673475">
        <w:t xml:space="preserve"> (where price </w:t>
      </w:r>
      <w:r w:rsidR="00673475">
        <w:rPr>
          <w:rFonts w:hint="eastAsia"/>
        </w:rPr>
        <w:t>regulation</w:t>
      </w:r>
      <w:r w:rsidR="00606FC7">
        <w:t xml:space="preserve"> exists).</w:t>
      </w:r>
      <w:r w:rsidR="0000784B">
        <w:t xml:space="preserve"> </w:t>
      </w:r>
      <w:r w:rsidR="00606FC7">
        <w:t>Many</w:t>
      </w:r>
      <w:r w:rsidR="00673475">
        <w:t xml:space="preserve"> groups have sought earlier notification of changes in the level</w:t>
      </w:r>
      <w:r w:rsidR="00CB353D">
        <w:t xml:space="preserve"> </w:t>
      </w:r>
      <w:r w:rsidR="0000784B">
        <w:t>(</w:t>
      </w:r>
      <w:r w:rsidR="00673475">
        <w:t>quantum</w:t>
      </w:r>
      <w:r w:rsidR="0000784B">
        <w:t>)</w:t>
      </w:r>
      <w:r w:rsidR="00673475">
        <w:t xml:space="preserve"> of network tariffs to </w:t>
      </w:r>
      <w:r w:rsidR="00673475">
        <w:rPr>
          <w:rFonts w:hint="eastAsia"/>
        </w:rPr>
        <w:t>facilitate</w:t>
      </w:r>
      <w:r w:rsidR="00673475">
        <w:t xml:space="preserve"> their own processes. These include the setting of retail</w:t>
      </w:r>
      <w:r w:rsidR="00606FC7">
        <w:t xml:space="preserve"> offers, financial year budgeting, or setting </w:t>
      </w:r>
      <w:r w:rsidR="00673475">
        <w:t xml:space="preserve">regulated retail prices. </w:t>
      </w:r>
      <w:r w:rsidR="00606FC7">
        <w:t>IPART’s</w:t>
      </w:r>
      <w:r w:rsidR="0056530A">
        <w:t xml:space="preserve"> rule change proposal sought to address this concern by bringing forward the timing of when Transmission Network Service Providers (TNSPs</w:t>
      </w:r>
      <w:r>
        <w:t>) and DNSPs need to submit</w:t>
      </w:r>
      <w:r w:rsidR="0056530A">
        <w:t xml:space="preserve"> pricing proposals, and for there to be a fixed </w:t>
      </w:r>
      <w:r w:rsidR="00880B20">
        <w:t>timeframe for our annual price</w:t>
      </w:r>
      <w:r w:rsidR="0056530A">
        <w:t xml:space="preserve"> reviews.</w:t>
      </w:r>
    </w:p>
    <w:p w14:paraId="21E2C56D" w14:textId="48190F35" w:rsidR="00CB353D" w:rsidRDefault="00CC62E5" w:rsidP="006C7158">
      <w:pPr>
        <w:pStyle w:val="AERbodytext"/>
      </w:pPr>
      <w:r>
        <w:t>Our submission to the AEMC’s earlier consultation paper (IPART’s proposal), supported bringing forw</w:t>
      </w:r>
      <w:r w:rsidR="00880B20">
        <w:t>ard the timing of network price</w:t>
      </w:r>
      <w:r>
        <w:t xml:space="preserve"> proposals, subject to resolution of various data input issues.</w:t>
      </w:r>
      <w:r w:rsidRPr="00CC62E5">
        <w:rPr>
          <w:vertAlign w:val="superscript"/>
        </w:rPr>
        <w:footnoteReference w:id="26"/>
      </w:r>
      <w:r>
        <w:t xml:space="preserve"> While IPART’s proposals are now consolidated with SCER’s, the AEMC is yet to advance recommendations on achieving more timely outcomes. To provide certainty and streamlined reviews, resolving the timing concern needs to ensure as practical that information submit</w:t>
      </w:r>
      <w:r w:rsidR="007D4DAA">
        <w:t>ted in pricing proposals</w:t>
      </w:r>
      <w:r w:rsidR="00EC6729">
        <w:t xml:space="preserve"> is based on</w:t>
      </w:r>
      <w:r>
        <w:t xml:space="preserve"> actual</w:t>
      </w:r>
      <w:r w:rsidR="00CB353D">
        <w:t xml:space="preserve"> data,</w:t>
      </w:r>
      <w:r>
        <w:t xml:space="preserve"> </w:t>
      </w:r>
      <w:r w:rsidR="00EC6729">
        <w:t>not</w:t>
      </w:r>
      <w:r>
        <w:t xml:space="preserve"> forecasts. </w:t>
      </w:r>
      <w:r w:rsidR="00EC6729">
        <w:rPr>
          <w:lang w:val="en-US"/>
        </w:rPr>
        <w:t xml:space="preserve">There </w:t>
      </w:r>
      <w:r w:rsidR="003855D7">
        <w:rPr>
          <w:lang w:val="en-US"/>
        </w:rPr>
        <w:t>are</w:t>
      </w:r>
      <w:r w:rsidR="00EC6729">
        <w:rPr>
          <w:lang w:val="en-US"/>
        </w:rPr>
        <w:t xml:space="preserve"> inevitabl</w:t>
      </w:r>
      <w:r w:rsidR="003855D7">
        <w:rPr>
          <w:lang w:val="en-US"/>
        </w:rPr>
        <w:t>e</w:t>
      </w:r>
      <w:r w:rsidR="00EC6729">
        <w:rPr>
          <w:lang w:val="en-US"/>
        </w:rPr>
        <w:t xml:space="preserve"> t</w:t>
      </w:r>
      <w:r w:rsidRPr="00CC62E5">
        <w:rPr>
          <w:lang w:val="en-US"/>
        </w:rPr>
        <w:t>rade-off</w:t>
      </w:r>
      <w:r w:rsidR="00EC6729">
        <w:rPr>
          <w:lang w:val="en-US"/>
        </w:rPr>
        <w:t>s</w:t>
      </w:r>
      <w:r w:rsidRPr="00CC62E5">
        <w:rPr>
          <w:lang w:val="en-US"/>
        </w:rPr>
        <w:t xml:space="preserve"> between precision on</w:t>
      </w:r>
      <w:r w:rsidR="00EC6729">
        <w:rPr>
          <w:lang w:val="en-US"/>
        </w:rPr>
        <w:t xml:space="preserve"> inputs to pricing and</w:t>
      </w:r>
      <w:r w:rsidRPr="00CC62E5">
        <w:rPr>
          <w:lang w:val="en-US"/>
        </w:rPr>
        <w:t xml:space="preserve"> timely tariff outcomes.</w:t>
      </w:r>
    </w:p>
    <w:p w14:paraId="5C83F9ED" w14:textId="39B96113" w:rsidR="00CC62E5" w:rsidRDefault="00CC62E5" w:rsidP="006C7158">
      <w:pPr>
        <w:pStyle w:val="AERbodytext"/>
      </w:pPr>
      <w:r>
        <w:t>From submissions to the AEMC’s earlier paper</w:t>
      </w:r>
      <w:r w:rsidR="007D4DAA">
        <w:rPr>
          <w:rStyle w:val="FootnoteReference"/>
        </w:rPr>
        <w:footnoteReference w:id="27"/>
      </w:r>
      <w:r>
        <w:t>, it appears that concerns on the impacts on transmission pricing might be alleviated by still bringing forward timeframes but not by as much as IPART intends. This option needs careful explor</w:t>
      </w:r>
      <w:r w:rsidR="00CB353D">
        <w:t>ation</w:t>
      </w:r>
      <w:r>
        <w:t xml:space="preserve">. </w:t>
      </w:r>
      <w:r w:rsidRPr="00CC62E5">
        <w:rPr>
          <w:lang w:val="en-US"/>
        </w:rPr>
        <w:t xml:space="preserve">If this can be achieved, bringing forward timing appears the only potential solution, as we do not consider that the new pricing framework with a PSS will provide for earlier </w:t>
      </w:r>
      <w:r w:rsidRPr="00CC62E5">
        <w:rPr>
          <w:rFonts w:hint="eastAsia"/>
          <w:lang w:val="en-US"/>
        </w:rPr>
        <w:t>resolution</w:t>
      </w:r>
      <w:r w:rsidRPr="00CC62E5">
        <w:rPr>
          <w:lang w:val="en-US"/>
        </w:rPr>
        <w:t xml:space="preserve"> of tariff reviews.</w:t>
      </w:r>
    </w:p>
    <w:p w14:paraId="46AB47BB" w14:textId="38F01B7C" w:rsidR="006150ED" w:rsidRDefault="002E429D" w:rsidP="006150ED">
      <w:pPr>
        <w:pStyle w:val="Heading2"/>
      </w:pPr>
      <w:bookmarkStart w:id="23" w:name="_Toc375143051"/>
      <w:r>
        <w:t>Timing effect of new framework</w:t>
      </w:r>
      <w:bookmarkEnd w:id="23"/>
    </w:p>
    <w:p w14:paraId="5F401846" w14:textId="535ABD95" w:rsidR="002E429D" w:rsidRDefault="00111992" w:rsidP="00D210BB">
      <w:pPr>
        <w:pStyle w:val="AERbodytext"/>
        <w:numPr>
          <w:ilvl w:val="0"/>
          <w:numId w:val="0"/>
        </w:numPr>
        <w:rPr>
          <w:lang w:val="en-US"/>
        </w:rPr>
      </w:pPr>
      <w:r>
        <w:t xml:space="preserve">SCER’s </w:t>
      </w:r>
      <w:r w:rsidR="00D210BB">
        <w:t>new p</w:t>
      </w:r>
      <w:r w:rsidR="00864DA6">
        <w:t>ricing framework would shift</w:t>
      </w:r>
      <w:r w:rsidR="00D210BB">
        <w:t xml:space="preserve"> </w:t>
      </w:r>
      <w:r w:rsidR="00880B20">
        <w:t xml:space="preserve">to the revenue determination, </w:t>
      </w:r>
      <w:r w:rsidR="00D210BB">
        <w:t xml:space="preserve">tariff structure </w:t>
      </w:r>
      <w:r w:rsidR="00864DA6">
        <w:t>reviews</w:t>
      </w:r>
      <w:r>
        <w:t xml:space="preserve"> </w:t>
      </w:r>
      <w:r w:rsidR="00D210BB">
        <w:t>against the pricing principles</w:t>
      </w:r>
      <w:r w:rsidR="00864DA6">
        <w:t xml:space="preserve">. Further, as </w:t>
      </w:r>
      <w:r w:rsidR="00D210BB">
        <w:t>SCER</w:t>
      </w:r>
      <w:r w:rsidR="00864DA6">
        <w:t xml:space="preserve"> intends, any proposed</w:t>
      </w:r>
      <w:r w:rsidR="00D210BB">
        <w:t xml:space="preserve"> annual </w:t>
      </w:r>
      <w:r>
        <w:t xml:space="preserve">PSS </w:t>
      </w:r>
      <w:r w:rsidR="00D210BB">
        <w:t>amen</w:t>
      </w:r>
      <w:r>
        <w:t xml:space="preserve">dments </w:t>
      </w:r>
      <w:r w:rsidR="00864DA6">
        <w:t>would be made</w:t>
      </w:r>
      <w:r w:rsidR="00D210BB">
        <w:t>, six months prior to tariffs needing to take effect.</w:t>
      </w:r>
      <w:r w:rsidR="0000784B">
        <w:t xml:space="preserve"> </w:t>
      </w:r>
      <w:r w:rsidR="00CB353D">
        <w:t>The</w:t>
      </w:r>
      <w:r w:rsidR="00D210BB">
        <w:rPr>
          <w:rFonts w:hint="eastAsia"/>
        </w:rPr>
        <w:t xml:space="preserve"> AEMC has now queried whether this framework will </w:t>
      </w:r>
      <w:r w:rsidR="00CB353D">
        <w:t>actually</w:t>
      </w:r>
      <w:r w:rsidR="00CB353D">
        <w:rPr>
          <w:rFonts w:hint="eastAsia"/>
        </w:rPr>
        <w:t xml:space="preserve"> </w:t>
      </w:r>
      <w:r w:rsidR="00D210BB">
        <w:rPr>
          <w:rFonts w:hint="eastAsia"/>
        </w:rPr>
        <w:t>help address the time</w:t>
      </w:r>
      <w:r>
        <w:rPr>
          <w:rFonts w:hint="eastAsia"/>
        </w:rPr>
        <w:t>liness concern</w:t>
      </w:r>
      <w:r w:rsidR="00D210BB">
        <w:rPr>
          <w:lang w:val="en-US"/>
        </w:rPr>
        <w:t xml:space="preserve">. We </w:t>
      </w:r>
      <w:r w:rsidR="00D210BB">
        <w:rPr>
          <w:rFonts w:hint="eastAsia"/>
          <w:lang w:val="en-US"/>
        </w:rPr>
        <w:t>consider</w:t>
      </w:r>
      <w:r>
        <w:rPr>
          <w:lang w:val="en-US"/>
        </w:rPr>
        <w:t xml:space="preserve"> </w:t>
      </w:r>
      <w:r w:rsidR="00864DA6">
        <w:rPr>
          <w:lang w:val="en-US"/>
        </w:rPr>
        <w:t>this</w:t>
      </w:r>
      <w:r w:rsidR="00EC6729">
        <w:rPr>
          <w:lang w:val="en-US"/>
        </w:rPr>
        <w:t xml:space="preserve"> won’</w:t>
      </w:r>
      <w:r w:rsidR="00D210BB">
        <w:rPr>
          <w:lang w:val="en-US"/>
        </w:rPr>
        <w:t xml:space="preserve">t of itself </w:t>
      </w:r>
      <w:r>
        <w:rPr>
          <w:lang w:val="en-US"/>
        </w:rPr>
        <w:t xml:space="preserve">address the concern, but </w:t>
      </w:r>
      <w:r w:rsidR="00D210BB">
        <w:rPr>
          <w:lang w:val="en-US"/>
        </w:rPr>
        <w:t>wil</w:t>
      </w:r>
      <w:r w:rsidR="00EC6729">
        <w:rPr>
          <w:lang w:val="en-US"/>
        </w:rPr>
        <w:t>l ensure that</w:t>
      </w:r>
      <w:r>
        <w:rPr>
          <w:lang w:val="en-US"/>
        </w:rPr>
        <w:t xml:space="preserve"> tariff reviews do not become</w:t>
      </w:r>
      <w:r w:rsidR="00864DA6">
        <w:rPr>
          <w:lang w:val="en-US"/>
        </w:rPr>
        <w:t xml:space="preserve"> longer</w:t>
      </w:r>
      <w:r>
        <w:rPr>
          <w:lang w:val="en-US"/>
        </w:rPr>
        <w:t>. This is</w:t>
      </w:r>
      <w:r w:rsidR="00864DA6">
        <w:rPr>
          <w:lang w:val="en-US"/>
        </w:rPr>
        <w:t xml:space="preserve"> given that</w:t>
      </w:r>
      <w:r w:rsidR="00D210BB">
        <w:rPr>
          <w:lang w:val="en-US"/>
        </w:rPr>
        <w:t xml:space="preserve"> SCER</w:t>
      </w:r>
      <w:r w:rsidR="00D210BB">
        <w:rPr>
          <w:rFonts w:hint="eastAsia"/>
          <w:lang w:val="en-US"/>
        </w:rPr>
        <w:t>’</w:t>
      </w:r>
      <w:r w:rsidR="00D210BB">
        <w:rPr>
          <w:lang w:val="en-US"/>
        </w:rPr>
        <w:t>s proposal w</w:t>
      </w:r>
      <w:r w:rsidR="00864DA6">
        <w:rPr>
          <w:lang w:val="en-US"/>
        </w:rPr>
        <w:t>ould require more detailed reviews</w:t>
      </w:r>
      <w:r>
        <w:rPr>
          <w:lang w:val="en-US"/>
        </w:rPr>
        <w:t xml:space="preserve"> of compliance against pricing principles (LRMC, customer impacts </w:t>
      </w:r>
      <w:r w:rsidR="00B90C68">
        <w:rPr>
          <w:lang w:val="en-US"/>
        </w:rPr>
        <w:t>etc.</w:t>
      </w:r>
      <w:r>
        <w:rPr>
          <w:lang w:val="en-US"/>
        </w:rPr>
        <w:t xml:space="preserve">), </w:t>
      </w:r>
      <w:r w:rsidR="008B1A12">
        <w:rPr>
          <w:lang w:val="en-US"/>
        </w:rPr>
        <w:t xml:space="preserve">the PSS </w:t>
      </w:r>
      <w:r>
        <w:rPr>
          <w:lang w:val="en-US"/>
        </w:rPr>
        <w:t>and demonstration of</w:t>
      </w:r>
      <w:r w:rsidR="00D210BB">
        <w:rPr>
          <w:lang w:val="en-US"/>
        </w:rPr>
        <w:t xml:space="preserve"> </w:t>
      </w:r>
      <w:r>
        <w:rPr>
          <w:lang w:val="en-US"/>
        </w:rPr>
        <w:t xml:space="preserve">effective </w:t>
      </w:r>
      <w:r w:rsidR="007D4DAA">
        <w:rPr>
          <w:lang w:val="en-US"/>
        </w:rPr>
        <w:t>consultative processes.</w:t>
      </w:r>
      <w:r w:rsidR="00D210BB">
        <w:rPr>
          <w:lang w:val="en-US"/>
        </w:rPr>
        <w:t xml:space="preserve"> </w:t>
      </w:r>
    </w:p>
    <w:p w14:paraId="40757D42" w14:textId="2C7CC738" w:rsidR="008B1A12" w:rsidRDefault="00864DA6" w:rsidP="00C6421F">
      <w:pPr>
        <w:pStyle w:val="AERbodytext"/>
        <w:numPr>
          <w:ilvl w:val="0"/>
          <w:numId w:val="0"/>
        </w:numPr>
        <w:rPr>
          <w:lang w:val="en-US"/>
        </w:rPr>
      </w:pPr>
      <w:r>
        <w:rPr>
          <w:lang w:val="en-US"/>
        </w:rPr>
        <w:t>Reviewing</w:t>
      </w:r>
      <w:r w:rsidR="00EC6729">
        <w:rPr>
          <w:lang w:val="en-US"/>
        </w:rPr>
        <w:t xml:space="preserve"> </w:t>
      </w:r>
      <w:r w:rsidR="00CB353D">
        <w:rPr>
          <w:lang w:val="en-US"/>
        </w:rPr>
        <w:t xml:space="preserve">tariff </w:t>
      </w:r>
      <w:r w:rsidR="00EC6729">
        <w:rPr>
          <w:lang w:val="en-US"/>
        </w:rPr>
        <w:t>structures against</w:t>
      </w:r>
      <w:r w:rsidR="00D210BB">
        <w:rPr>
          <w:lang w:val="en-US"/>
        </w:rPr>
        <w:t xml:space="preserve"> pricing principles and other </w:t>
      </w:r>
      <w:r w:rsidR="00741290">
        <w:rPr>
          <w:lang w:val="en-US"/>
        </w:rPr>
        <w:t xml:space="preserve">related </w:t>
      </w:r>
      <w:r w:rsidR="00D210BB">
        <w:rPr>
          <w:lang w:val="en-US"/>
        </w:rPr>
        <w:t xml:space="preserve">matters </w:t>
      </w:r>
      <w:r>
        <w:rPr>
          <w:lang w:val="en-US"/>
        </w:rPr>
        <w:t>(</w:t>
      </w:r>
      <w:r w:rsidR="00D210BB">
        <w:rPr>
          <w:lang w:val="en-US"/>
        </w:rPr>
        <w:t xml:space="preserve">tariff class </w:t>
      </w:r>
      <w:r w:rsidR="00741290">
        <w:rPr>
          <w:lang w:val="en-US"/>
        </w:rPr>
        <w:t>and a</w:t>
      </w:r>
      <w:r w:rsidR="00111992">
        <w:rPr>
          <w:lang w:val="en-US"/>
        </w:rPr>
        <w:t>ssignment provisions</w:t>
      </w:r>
      <w:r>
        <w:rPr>
          <w:lang w:val="en-US"/>
        </w:rPr>
        <w:t>) are</w:t>
      </w:r>
      <w:r w:rsidR="00CB353D">
        <w:rPr>
          <w:lang w:val="en-US"/>
        </w:rPr>
        <w:t xml:space="preserve"> only part</w:t>
      </w:r>
      <w:r>
        <w:rPr>
          <w:lang w:val="en-US"/>
        </w:rPr>
        <w:t xml:space="preserve"> </w:t>
      </w:r>
      <w:r w:rsidR="00EC6729">
        <w:rPr>
          <w:lang w:val="en-US"/>
        </w:rPr>
        <w:t>of current tariff reviews. O</w:t>
      </w:r>
      <w:r w:rsidR="00741290">
        <w:rPr>
          <w:lang w:val="en-US"/>
        </w:rPr>
        <w:t>ther core aspect</w:t>
      </w:r>
      <w:r>
        <w:rPr>
          <w:lang w:val="en-US"/>
        </w:rPr>
        <w:t>s</w:t>
      </w:r>
      <w:r w:rsidR="00741290">
        <w:rPr>
          <w:lang w:val="en-US"/>
        </w:rPr>
        <w:t>, not directly subject of SCER</w:t>
      </w:r>
      <w:r w:rsidR="00741290">
        <w:rPr>
          <w:rFonts w:hint="eastAsia"/>
          <w:lang w:val="en-US"/>
        </w:rPr>
        <w:t>’</w:t>
      </w:r>
      <w:r>
        <w:rPr>
          <w:lang w:val="en-US"/>
        </w:rPr>
        <w:t>s proposal, concern</w:t>
      </w:r>
      <w:r w:rsidR="00741290">
        <w:rPr>
          <w:lang w:val="en-US"/>
        </w:rPr>
        <w:t xml:space="preserve"> quan</w:t>
      </w:r>
      <w:r>
        <w:rPr>
          <w:lang w:val="en-US"/>
        </w:rPr>
        <w:t>titative assessments of</w:t>
      </w:r>
      <w:r w:rsidR="00741290">
        <w:rPr>
          <w:lang w:val="en-US"/>
        </w:rPr>
        <w:t xml:space="preserve"> the reasonable</w:t>
      </w:r>
      <w:r w:rsidR="00111992">
        <w:rPr>
          <w:lang w:val="en-US"/>
        </w:rPr>
        <w:t>ness of</w:t>
      </w:r>
      <w:r w:rsidR="00741290">
        <w:rPr>
          <w:lang w:val="en-US"/>
        </w:rPr>
        <w:t xml:space="preserve"> </w:t>
      </w:r>
      <w:r>
        <w:rPr>
          <w:lang w:val="en-US"/>
        </w:rPr>
        <w:t xml:space="preserve">any data input </w:t>
      </w:r>
      <w:r w:rsidR="00111992">
        <w:rPr>
          <w:lang w:val="en-US"/>
        </w:rPr>
        <w:t>to pricing</w:t>
      </w:r>
      <w:r w:rsidR="008B1A12">
        <w:rPr>
          <w:lang w:val="en-US"/>
        </w:rPr>
        <w:t xml:space="preserve"> (so called reasonable estimates)</w:t>
      </w:r>
      <w:r w:rsidR="00111992">
        <w:rPr>
          <w:lang w:val="en-US"/>
        </w:rPr>
        <w:t xml:space="preserve"> and </w:t>
      </w:r>
      <w:r>
        <w:rPr>
          <w:lang w:val="en-US"/>
        </w:rPr>
        <w:t>compliance with</w:t>
      </w:r>
      <w:r w:rsidR="00EC6729">
        <w:rPr>
          <w:lang w:val="en-US"/>
        </w:rPr>
        <w:t xml:space="preserve"> caps set</w:t>
      </w:r>
      <w:r w:rsidR="00741290">
        <w:rPr>
          <w:lang w:val="en-US"/>
        </w:rPr>
        <w:t xml:space="preserve"> in our revenue determinations and side constraints.</w:t>
      </w:r>
      <w:r w:rsidR="0000784B">
        <w:rPr>
          <w:lang w:val="en-US"/>
        </w:rPr>
        <w:t xml:space="preserve"> </w:t>
      </w:r>
      <w:r w:rsidR="00741290">
        <w:rPr>
          <w:lang w:val="en-US"/>
        </w:rPr>
        <w:t>As set out in our earlier submission to the AEMC,</w:t>
      </w:r>
      <w:r>
        <w:rPr>
          <w:lang w:val="en-US"/>
        </w:rPr>
        <w:t xml:space="preserve"> circumstances often lead</w:t>
      </w:r>
      <w:r w:rsidR="0052623D">
        <w:rPr>
          <w:lang w:val="en-US"/>
        </w:rPr>
        <w:t xml:space="preserve"> to our</w:t>
      </w:r>
      <w:r>
        <w:rPr>
          <w:lang w:val="en-US"/>
        </w:rPr>
        <w:t xml:space="preserve"> reviews</w:t>
      </w:r>
      <w:r w:rsidR="00111992">
        <w:rPr>
          <w:lang w:val="en-US"/>
        </w:rPr>
        <w:t xml:space="preserve"> being delayed</w:t>
      </w:r>
      <w:r>
        <w:rPr>
          <w:lang w:val="en-US"/>
        </w:rPr>
        <w:t>,</w:t>
      </w:r>
      <w:r w:rsidR="00111992">
        <w:rPr>
          <w:lang w:val="en-US"/>
        </w:rPr>
        <w:t xml:space="preserve"> mostly </w:t>
      </w:r>
      <w:r>
        <w:rPr>
          <w:lang w:val="en-US"/>
        </w:rPr>
        <w:t>due to</w:t>
      </w:r>
      <w:r w:rsidR="0052623D">
        <w:rPr>
          <w:lang w:val="en-US"/>
        </w:rPr>
        <w:t xml:space="preserve"> aspects of these </w:t>
      </w:r>
      <w:r w:rsidR="0052623D">
        <w:rPr>
          <w:rFonts w:hint="eastAsia"/>
          <w:lang w:val="en-US"/>
        </w:rPr>
        <w:t>quantitative</w:t>
      </w:r>
      <w:r w:rsidR="00111992">
        <w:rPr>
          <w:lang w:val="en-US"/>
        </w:rPr>
        <w:t xml:space="preserve"> control and estimation matters</w:t>
      </w:r>
      <w:r w:rsidR="00EC6729">
        <w:rPr>
          <w:lang w:val="en-US"/>
        </w:rPr>
        <w:t>.</w:t>
      </w:r>
      <w:r w:rsidR="007D4DAA">
        <w:rPr>
          <w:rStyle w:val="FootnoteReference"/>
          <w:lang w:val="en-US"/>
        </w:rPr>
        <w:footnoteReference w:id="28"/>
      </w:r>
      <w:r w:rsidR="00EC6729">
        <w:rPr>
          <w:lang w:val="en-US"/>
        </w:rPr>
        <w:t xml:space="preserve"> These </w:t>
      </w:r>
      <w:r w:rsidR="00B74C55">
        <w:rPr>
          <w:lang w:val="en-US"/>
        </w:rPr>
        <w:t xml:space="preserve">aspects </w:t>
      </w:r>
      <w:r w:rsidR="00EC6729">
        <w:rPr>
          <w:lang w:val="en-US"/>
        </w:rPr>
        <w:t>could</w:t>
      </w:r>
      <w:r w:rsidR="008B1A12">
        <w:rPr>
          <w:lang w:val="en-US"/>
        </w:rPr>
        <w:t xml:space="preserve"> become more significant as pricing structures become more complex</w:t>
      </w:r>
      <w:r w:rsidR="00111992">
        <w:rPr>
          <w:lang w:val="en-US"/>
        </w:rPr>
        <w:t xml:space="preserve">. </w:t>
      </w:r>
      <w:r w:rsidR="00B74C55">
        <w:rPr>
          <w:lang w:val="en-US"/>
        </w:rPr>
        <w:t xml:space="preserve">As such, </w:t>
      </w:r>
      <w:r w:rsidR="0052623D">
        <w:rPr>
          <w:lang w:val="en-US"/>
        </w:rPr>
        <w:t>should the AEMC seek to fix the timeframes</w:t>
      </w:r>
      <w:r w:rsidR="00111992">
        <w:rPr>
          <w:lang w:val="en-US"/>
        </w:rPr>
        <w:t xml:space="preserve"> for our annual reviews,</w:t>
      </w:r>
      <w:r>
        <w:rPr>
          <w:lang w:val="en-US"/>
        </w:rPr>
        <w:t xml:space="preserve"> this</w:t>
      </w:r>
      <w:r w:rsidR="00B74C55">
        <w:rPr>
          <w:lang w:val="en-US"/>
        </w:rPr>
        <w:t xml:space="preserve"> should consider including</w:t>
      </w:r>
      <w:r w:rsidR="0052623D">
        <w:rPr>
          <w:lang w:val="en-US"/>
        </w:rPr>
        <w:t xml:space="preserve"> </w:t>
      </w:r>
      <w:r w:rsidR="00880B20">
        <w:rPr>
          <w:lang w:val="en-US"/>
        </w:rPr>
        <w:t>‘</w:t>
      </w:r>
      <w:r w:rsidR="0052623D">
        <w:rPr>
          <w:lang w:val="en-US"/>
        </w:rPr>
        <w:t>stop t</w:t>
      </w:r>
      <w:r>
        <w:rPr>
          <w:lang w:val="en-US"/>
        </w:rPr>
        <w:t>he clock</w:t>
      </w:r>
      <w:r w:rsidR="00880B20">
        <w:rPr>
          <w:lang w:val="en-US"/>
        </w:rPr>
        <w:t>’</w:t>
      </w:r>
      <w:r>
        <w:rPr>
          <w:lang w:val="en-US"/>
        </w:rPr>
        <w:t xml:space="preserve"> provisions. These should allow</w:t>
      </w:r>
      <w:r w:rsidR="0052623D">
        <w:rPr>
          <w:lang w:val="en-US"/>
        </w:rPr>
        <w:t xml:space="preserve"> </w:t>
      </w:r>
      <w:r w:rsidR="00111992">
        <w:rPr>
          <w:lang w:val="en-US"/>
        </w:rPr>
        <w:t>timeframe extensions</w:t>
      </w:r>
      <w:r w:rsidR="00B74C55">
        <w:rPr>
          <w:lang w:val="en-US"/>
        </w:rPr>
        <w:t>, if</w:t>
      </w:r>
      <w:r w:rsidR="0052623D">
        <w:rPr>
          <w:lang w:val="en-US"/>
        </w:rPr>
        <w:t xml:space="preserve"> certain circumstances arise. </w:t>
      </w:r>
      <w:r w:rsidR="00685A62">
        <w:rPr>
          <w:lang w:val="en-US"/>
        </w:rPr>
        <w:t>To date, these circumstances have related to:</w:t>
      </w:r>
    </w:p>
    <w:p w14:paraId="10E8A421" w14:textId="045D0926" w:rsidR="0052623D" w:rsidRDefault="00E8668E" w:rsidP="00066F65">
      <w:pPr>
        <w:pStyle w:val="AERbulletlistfirststyle"/>
        <w:spacing w:after="120"/>
        <w:ind w:left="714" w:hanging="357"/>
        <w:rPr>
          <w:lang w:val="en-US"/>
        </w:rPr>
      </w:pPr>
      <w:r>
        <w:rPr>
          <w:lang w:val="en-US"/>
        </w:rPr>
        <w:lastRenderedPageBreak/>
        <w:t>Non-compliance of pricing proposals with the NER, such as late submissions</w:t>
      </w:r>
      <w:r w:rsidR="003855D7">
        <w:rPr>
          <w:lang w:val="en-US"/>
        </w:rPr>
        <w:t>.</w:t>
      </w:r>
    </w:p>
    <w:p w14:paraId="39C981C8" w14:textId="22653005" w:rsidR="00D210BB" w:rsidRDefault="00E8668E" w:rsidP="00066F65">
      <w:pPr>
        <w:pStyle w:val="AERbulletlistfirststyle"/>
        <w:spacing w:after="120"/>
        <w:ind w:left="714" w:hanging="357"/>
        <w:rPr>
          <w:lang w:val="en-US"/>
        </w:rPr>
      </w:pPr>
      <w:r>
        <w:rPr>
          <w:lang w:val="en-US"/>
        </w:rPr>
        <w:t xml:space="preserve">Changes in circumstances </w:t>
      </w:r>
      <w:r>
        <w:rPr>
          <w:rFonts w:hint="eastAsia"/>
          <w:lang w:val="en-US"/>
        </w:rPr>
        <w:t>following</w:t>
      </w:r>
      <w:r>
        <w:rPr>
          <w:lang w:val="en-US"/>
        </w:rPr>
        <w:t xml:space="preserve"> the initial pricing proposal submission, such as decisions by the Australian Competition Tribunal or jurisdictional Government directives.</w:t>
      </w:r>
      <w:r>
        <w:rPr>
          <w:rStyle w:val="FootnoteReference"/>
          <w:lang w:val="en-US"/>
        </w:rPr>
        <w:footnoteReference w:id="29"/>
      </w:r>
    </w:p>
    <w:p w14:paraId="6EEDF2A1" w14:textId="7DEFB5F4" w:rsidR="008B1A12" w:rsidRPr="00111992" w:rsidRDefault="00685A62" w:rsidP="00111992">
      <w:pPr>
        <w:pStyle w:val="AERbulletlistfirststyle"/>
        <w:rPr>
          <w:lang w:val="en-US"/>
        </w:rPr>
      </w:pPr>
      <w:r>
        <w:rPr>
          <w:lang w:val="en-US"/>
        </w:rPr>
        <w:t>Insufficiently substantiated r</w:t>
      </w:r>
      <w:r w:rsidR="008B1A12">
        <w:rPr>
          <w:lang w:val="en-US"/>
        </w:rPr>
        <w:t>easonable estimates associated with th</w:t>
      </w:r>
      <w:r w:rsidR="00881AD2">
        <w:rPr>
          <w:lang w:val="en-US"/>
        </w:rPr>
        <w:t>e introduction of flexible time of use</w:t>
      </w:r>
      <w:r w:rsidR="008B1A12">
        <w:rPr>
          <w:lang w:val="en-US"/>
        </w:rPr>
        <w:t xml:space="preserve"> tariffs in Victoria</w:t>
      </w:r>
      <w:r w:rsidR="00066F65">
        <w:rPr>
          <w:lang w:val="en-US"/>
        </w:rPr>
        <w:t>.</w:t>
      </w:r>
    </w:p>
    <w:p w14:paraId="30382090" w14:textId="0DB0CFAC" w:rsidR="00115BE7" w:rsidRDefault="00881AD2" w:rsidP="00115BE7">
      <w:pPr>
        <w:pStyle w:val="Heading2"/>
      </w:pPr>
      <w:bookmarkStart w:id="24" w:name="_Toc375143052"/>
      <w:r>
        <w:t>Bringing forward price</w:t>
      </w:r>
      <w:r w:rsidR="00115BE7">
        <w:t xml:space="preserve"> reviews</w:t>
      </w:r>
      <w:bookmarkEnd w:id="24"/>
    </w:p>
    <w:p w14:paraId="7446084E" w14:textId="531BA312" w:rsidR="00CD471E" w:rsidRDefault="00CF2BEE" w:rsidP="0000784B">
      <w:pPr>
        <w:pStyle w:val="AERbodytext"/>
      </w:pPr>
      <w:r>
        <w:t xml:space="preserve">Consistent with our earlier submission, we support attempting to bring forward the date of DNSP pricing proposals but consider that various data </w:t>
      </w:r>
      <w:r>
        <w:rPr>
          <w:rFonts w:hint="eastAsia"/>
        </w:rPr>
        <w:t>input</w:t>
      </w:r>
      <w:r>
        <w:t xml:space="preserve"> issues need to be effectively addressed to the extent practicable.</w:t>
      </w:r>
      <w:r>
        <w:rPr>
          <w:rStyle w:val="FootnoteReference"/>
        </w:rPr>
        <w:footnoteReference w:id="30"/>
      </w:r>
      <w:r w:rsidR="00881AD2">
        <w:t xml:space="preserve"> </w:t>
      </w:r>
      <w:r w:rsidR="00CB353D">
        <w:t>As</w:t>
      </w:r>
      <w:r w:rsidR="00617FC7">
        <w:t xml:space="preserve"> far as possible, network businesses should </w:t>
      </w:r>
      <w:r w:rsidR="00CB353D">
        <w:t xml:space="preserve">use actual data, not </w:t>
      </w:r>
      <w:r w:rsidR="00066F65">
        <w:t>forecasts</w:t>
      </w:r>
      <w:r w:rsidR="00617FC7">
        <w:t xml:space="preserve"> </w:t>
      </w:r>
      <w:r w:rsidR="00CA1127">
        <w:t>of relevant variables</w:t>
      </w:r>
      <w:r w:rsidR="00CB353D">
        <w:t>,</w:t>
      </w:r>
      <w:r w:rsidR="00CA1127">
        <w:t xml:space="preserve"> when submitting pricing proposals. </w:t>
      </w:r>
      <w:r w:rsidR="00CB353D">
        <w:t xml:space="preserve">Otherwise the risk </w:t>
      </w:r>
      <w:r w:rsidR="00CA1127">
        <w:t>of inaccurate prices being</w:t>
      </w:r>
      <w:r w:rsidR="00617FC7">
        <w:t xml:space="preserve"> set</w:t>
      </w:r>
      <w:r w:rsidR="00CB353D">
        <w:t xml:space="preserve"> increases</w:t>
      </w:r>
      <w:r w:rsidR="00617FC7">
        <w:t xml:space="preserve">. </w:t>
      </w:r>
      <w:r w:rsidR="00CC62E5">
        <w:t xml:space="preserve">The significance of these risks need </w:t>
      </w:r>
      <w:r w:rsidR="006C7158">
        <w:t>examining and evaluation</w:t>
      </w:r>
      <w:r w:rsidR="00CC62E5">
        <w:t xml:space="preserve"> against the benefits of more timely outcomes of tariff reviews</w:t>
      </w:r>
      <w:r w:rsidR="003855D7">
        <w:t>—</w:t>
      </w:r>
      <w:r w:rsidR="00CC62E5">
        <w:t>no</w:t>
      </w:r>
      <w:r w:rsidR="006C7158">
        <w:t xml:space="preserve">ting there will inevitably be </w:t>
      </w:r>
      <w:r w:rsidR="00CC62E5">
        <w:t>trade-off</w:t>
      </w:r>
      <w:r w:rsidR="006C7158">
        <w:t>s</w:t>
      </w:r>
      <w:r w:rsidR="00CC62E5">
        <w:t xml:space="preserve"> here. </w:t>
      </w:r>
      <w:r w:rsidR="00617FC7">
        <w:t>Data input issues include</w:t>
      </w:r>
      <w:r w:rsidR="00CA1127">
        <w:t>:</w:t>
      </w:r>
    </w:p>
    <w:p w14:paraId="3DB989ED" w14:textId="4237026D" w:rsidR="00CD471E" w:rsidRDefault="00CD471E" w:rsidP="00CD471E">
      <w:pPr>
        <w:pStyle w:val="AERbulletlistfirststyle"/>
      </w:pPr>
      <w:r>
        <w:t>Changing the CPI used in AER regulatory determinations</w:t>
      </w:r>
      <w:r w:rsidR="00CA1127">
        <w:t xml:space="preserve"> from March-to-March to D</w:t>
      </w:r>
      <w:r w:rsidR="00EC28B2">
        <w:t xml:space="preserve">ecember-to-December. This </w:t>
      </w:r>
      <w:r w:rsidR="007E73D5">
        <w:t>is</w:t>
      </w:r>
      <w:r w:rsidR="00CA1127">
        <w:t xml:space="preserve"> </w:t>
      </w:r>
      <w:r w:rsidR="00CA1127">
        <w:rPr>
          <w:rFonts w:hint="eastAsia"/>
        </w:rPr>
        <w:t>preferable</w:t>
      </w:r>
      <w:r w:rsidR="00CA1127">
        <w:t xml:space="preserve"> to using CPI estimates in pricing</w:t>
      </w:r>
      <w:r w:rsidR="00C55408">
        <w:t>, then needing</w:t>
      </w:r>
      <w:r w:rsidR="00CA1127">
        <w:t xml:space="preserve"> reconciliation.</w:t>
      </w:r>
    </w:p>
    <w:p w14:paraId="11ED3107" w14:textId="77777777" w:rsidR="00CD471E" w:rsidRDefault="00CD471E" w:rsidP="00CD471E">
      <w:pPr>
        <w:pStyle w:val="AERbulletlistfirststyle"/>
      </w:pPr>
      <w:r>
        <w:t>The extent of revenue or cash flow risks resulting from requiring distributors to rely, in their pricing proposals, on forecasts made earlier in the year</w:t>
      </w:r>
    </w:p>
    <w:p w14:paraId="537E8A8C" w14:textId="65C581B7" w:rsidR="00CD471E" w:rsidRDefault="00CD471E" w:rsidP="00CD471E">
      <w:pPr>
        <w:pStyle w:val="AERbulletlistfirststyle"/>
      </w:pPr>
      <w:r>
        <w:t xml:space="preserve">The impact on </w:t>
      </w:r>
      <w:r w:rsidR="007E73D5">
        <w:t>TNSPs</w:t>
      </w:r>
      <w:r>
        <w:t xml:space="preserve"> of requiring prices to be finalised earlier, which may require</w:t>
      </w:r>
      <w:r w:rsidR="00542C9B">
        <w:t>:</w:t>
      </w:r>
    </w:p>
    <w:p w14:paraId="4BEA4A47" w14:textId="54313672" w:rsidR="00EF6557" w:rsidRDefault="00542C9B" w:rsidP="00EF6557">
      <w:pPr>
        <w:pStyle w:val="AERbulletlistfirststyle"/>
        <w:numPr>
          <w:ilvl w:val="1"/>
          <w:numId w:val="4"/>
        </w:numPr>
      </w:pPr>
      <w:r>
        <w:t>Relying on forecasts of intra</w:t>
      </w:r>
      <w:r w:rsidR="003855D7">
        <w:t>-</w:t>
      </w:r>
      <w:r>
        <w:t>regional settlement residues</w:t>
      </w:r>
      <w:r w:rsidR="00EF6557">
        <w:t xml:space="preserve"> and inter-regional TUOS charges. We note from Grid Australia</w:t>
      </w:r>
      <w:r w:rsidR="00EF6557">
        <w:rPr>
          <w:rFonts w:hint="eastAsia"/>
        </w:rPr>
        <w:t>’</w:t>
      </w:r>
      <w:r w:rsidR="00EF6557">
        <w:t>s submission to the AEMC</w:t>
      </w:r>
      <w:r w:rsidR="00EF6557">
        <w:rPr>
          <w:rFonts w:hint="eastAsia"/>
        </w:rPr>
        <w:t>’</w:t>
      </w:r>
      <w:r w:rsidR="00EF6557">
        <w:t>s earlier consultation paper, that this concern might be alleviated to some extent if transmi</w:t>
      </w:r>
      <w:r w:rsidR="00C55408">
        <w:t>ssion prices were</w:t>
      </w:r>
      <w:r w:rsidR="00EF6557">
        <w:t xml:space="preserve"> brought</w:t>
      </w:r>
      <w:r w:rsidR="00C55408">
        <w:t xml:space="preserve"> forward by one month (</w:t>
      </w:r>
      <w:r w:rsidR="00685A62">
        <w:t>that is, submitted on</w:t>
      </w:r>
      <w:r w:rsidR="00EF6557">
        <w:t xml:space="preserve"> 15 April) r</w:t>
      </w:r>
      <w:r w:rsidR="007E73D5">
        <w:t>ather than two (</w:t>
      </w:r>
      <w:r w:rsidR="00685A62">
        <w:t xml:space="preserve">submitted on </w:t>
      </w:r>
      <w:r w:rsidR="00881AD2">
        <w:t>15 March)—</w:t>
      </w:r>
      <w:r w:rsidR="00685A62">
        <w:t>as proposed by IPART.</w:t>
      </w:r>
      <w:r w:rsidR="00685A62">
        <w:rPr>
          <w:rStyle w:val="FootnoteReference"/>
        </w:rPr>
        <w:footnoteReference w:id="31"/>
      </w:r>
    </w:p>
    <w:p w14:paraId="601A8E01" w14:textId="436DFE96" w:rsidR="00542C9B" w:rsidRDefault="007E73D5" w:rsidP="00EF6557">
      <w:pPr>
        <w:pStyle w:val="AERbulletlistfirststyle"/>
        <w:numPr>
          <w:ilvl w:val="1"/>
          <w:numId w:val="4"/>
        </w:numPr>
      </w:pPr>
      <w:r>
        <w:t>Bringing forward AER S-factor approvals</w:t>
      </w:r>
      <w:r w:rsidR="00602DD3">
        <w:t>.</w:t>
      </w:r>
      <w:r>
        <w:t xml:space="preserve"> This might be</w:t>
      </w:r>
      <w:r w:rsidR="00EF6557">
        <w:t xml:space="preserve"> a lesser co</w:t>
      </w:r>
      <w:r>
        <w:t xml:space="preserve">ncern than other matters </w:t>
      </w:r>
      <w:r w:rsidR="00EF6557">
        <w:t xml:space="preserve">here. As set out in our earlier submission we have been looking at ways of streamlining our assessments. However, our ability to conclude S-factor assessments can often be delayed for reasons </w:t>
      </w:r>
      <w:r w:rsidR="00EF6557">
        <w:rPr>
          <w:rFonts w:hint="eastAsia"/>
        </w:rPr>
        <w:t>similar</w:t>
      </w:r>
      <w:r w:rsidR="00EF6557">
        <w:t xml:space="preserve"> to those for DNSP tariff reviews.</w:t>
      </w:r>
    </w:p>
    <w:p w14:paraId="75C6AFAD" w14:textId="0150B26C" w:rsidR="00542C9B" w:rsidRDefault="004A7F90" w:rsidP="004A7F90">
      <w:pPr>
        <w:pStyle w:val="AERbodytext"/>
      </w:pPr>
      <w:r>
        <w:t>These factors could influence the stability of prices over time. Generally, for network businesses under a revenue cap, relying on forecasts further out than otherwise neces</w:t>
      </w:r>
      <w:r w:rsidR="00C55408">
        <w:t>sary can increase risks of over</w:t>
      </w:r>
      <w:r>
        <w:t xml:space="preserve"> or under-recovery of revenues</w:t>
      </w:r>
      <w:r w:rsidR="0014298E">
        <w:t xml:space="preserve"> in a single year</w:t>
      </w:r>
      <w:r>
        <w:t>, leading to more year-to-year pricing volatility.</w:t>
      </w:r>
      <w:r w:rsidR="00D04657">
        <w:t xml:space="preserve"> </w:t>
      </w:r>
      <w:r>
        <w:t>For businesses under a weighted average price cap, relying on forecasts made further out than otherwise necessary places greater risk of under-recovery onto them, while customers would risk over-recovery of network business revenues.</w:t>
      </w:r>
      <w:r w:rsidR="00CA1127">
        <w:t xml:space="preserve"> </w:t>
      </w:r>
    </w:p>
    <w:p w14:paraId="02A93A2B" w14:textId="77777777" w:rsidR="00091CF5" w:rsidRPr="00115BE7" w:rsidRDefault="00091CF5" w:rsidP="004A7F90">
      <w:pPr>
        <w:pStyle w:val="AERbodytext"/>
      </w:pPr>
    </w:p>
    <w:p w14:paraId="3129385F" w14:textId="77777777" w:rsidR="00835B18" w:rsidRDefault="00C867C4" w:rsidP="003E4F16">
      <w:pPr>
        <w:pStyle w:val="Heading1"/>
        <w:spacing w:before="0" w:after="60"/>
      </w:pPr>
      <w:bookmarkStart w:id="25" w:name="_Toc375143053"/>
      <w:r>
        <w:lastRenderedPageBreak/>
        <w:t>Tariff transition / volatility</w:t>
      </w:r>
      <w:bookmarkEnd w:id="25"/>
    </w:p>
    <w:p w14:paraId="70BDECB5" w14:textId="15494DDB" w:rsidR="00563D88" w:rsidRDefault="00C55408" w:rsidP="0054354C">
      <w:pPr>
        <w:pStyle w:val="AERbodytext"/>
        <w:spacing w:after="160"/>
      </w:pPr>
      <w:r>
        <w:t>While supporting</w:t>
      </w:r>
      <w:r w:rsidR="00C867C4" w:rsidRPr="00C867C4">
        <w:t xml:space="preserve"> network</w:t>
      </w:r>
      <w:r w:rsidR="00AC4B6E">
        <w:t xml:space="preserve"> tariffs</w:t>
      </w:r>
      <w:r w:rsidR="008733FB">
        <w:t xml:space="preserve"> increasingly</w:t>
      </w:r>
      <w:r w:rsidR="00C867C4" w:rsidRPr="00C867C4">
        <w:t xml:space="preserve"> reflect</w:t>
      </w:r>
      <w:r w:rsidR="008733FB">
        <w:t>ing</w:t>
      </w:r>
      <w:r w:rsidR="00C867C4" w:rsidRPr="00C867C4">
        <w:t xml:space="preserve"> netw</w:t>
      </w:r>
      <w:r>
        <w:t>ork cost drivers,</w:t>
      </w:r>
      <w:r w:rsidR="00C867C4" w:rsidRPr="00C867C4">
        <w:t xml:space="preserve"> the shift from largely flat consumption volume based tariffs to more time or location varying efficient tariffs will </w:t>
      </w:r>
      <w:r w:rsidR="00DC1B13">
        <w:t>likely have</w:t>
      </w:r>
      <w:r w:rsidR="00DC1B13" w:rsidRPr="00C867C4">
        <w:t xml:space="preserve"> </w:t>
      </w:r>
      <w:r w:rsidR="00C867C4" w:rsidRPr="00C867C4">
        <w:t>various impacts.</w:t>
      </w:r>
      <w:r w:rsidR="008B5D5F">
        <w:t xml:space="preserve"> </w:t>
      </w:r>
      <w:r w:rsidR="00C867C4" w:rsidRPr="00C867C4">
        <w:t>There might be</w:t>
      </w:r>
      <w:r w:rsidR="008733FB">
        <w:t xml:space="preserve"> price level</w:t>
      </w:r>
      <w:r w:rsidR="00C867C4" w:rsidRPr="00C867C4">
        <w:t xml:space="preserve"> movements purely in shifting to new tariffs</w:t>
      </w:r>
      <w:r w:rsidR="008733FB">
        <w:t>, and over time as these vary in different ways. SCER’s</w:t>
      </w:r>
      <w:r w:rsidR="00C867C4" w:rsidRPr="00C867C4">
        <w:t xml:space="preserve"> rule chang</w:t>
      </w:r>
      <w:r w:rsidR="0028134F">
        <w:t>e is somewhat unclear on the intention</w:t>
      </w:r>
      <w:r w:rsidR="00C867C4" w:rsidRPr="00C867C4">
        <w:t xml:space="preserve"> with regard to the management of these </w:t>
      </w:r>
      <w:r w:rsidR="0028134F">
        <w:t>issues</w:t>
      </w:r>
      <w:r w:rsidR="00FD40B5">
        <w:t xml:space="preserve">, and whether these are to be directly considered in this rule change. </w:t>
      </w:r>
      <w:r w:rsidR="002A27D2">
        <w:t>In our view,</w:t>
      </w:r>
      <w:r w:rsidR="00FD40B5">
        <w:t xml:space="preserve"> broader consideration is needed, and approaches to managing tariff </w:t>
      </w:r>
      <w:r w:rsidR="00B90C68">
        <w:t>transition and</w:t>
      </w:r>
      <w:r w:rsidR="000F56AF">
        <w:t xml:space="preserve"> </w:t>
      </w:r>
      <w:r w:rsidR="00FD40B5">
        <w:t>volatility should be conceived in terms of the NEO and applied in a na</w:t>
      </w:r>
      <w:r w:rsidR="002A27D2">
        <w:t>tionally consistent way</w:t>
      </w:r>
      <w:r w:rsidR="00FD40B5">
        <w:t>:</w:t>
      </w:r>
    </w:p>
    <w:p w14:paraId="243A6BFA" w14:textId="0D69C86B" w:rsidR="00FD40B5" w:rsidRDefault="002A27D2" w:rsidP="00FD40B5">
      <w:pPr>
        <w:pStyle w:val="AERbulletlistfirststyle"/>
      </w:pPr>
      <w:r>
        <w:t>Having regard to</w:t>
      </w:r>
      <w:r w:rsidR="00FD40B5">
        <w:t xml:space="preserve"> possible stakeholder conc</w:t>
      </w:r>
      <w:r w:rsidR="0090462C">
        <w:t xml:space="preserve">erns </w:t>
      </w:r>
      <w:r w:rsidR="00B90C68">
        <w:t>about</w:t>
      </w:r>
      <w:r w:rsidR="0090462C">
        <w:t xml:space="preserve"> tariff volat</w:t>
      </w:r>
      <w:r w:rsidR="00FD40B5">
        <w:t>i</w:t>
      </w:r>
      <w:r w:rsidR="0090462C">
        <w:t>li</w:t>
      </w:r>
      <w:r w:rsidR="00FD40B5">
        <w:t xml:space="preserve">ty </w:t>
      </w:r>
      <w:r w:rsidR="00B24516">
        <w:t>is</w:t>
      </w:r>
      <w:r>
        <w:t xml:space="preserve"> relevant to the</w:t>
      </w:r>
      <w:r w:rsidR="006E77FE">
        <w:t xml:space="preserve"> NEO considerations of</w:t>
      </w:r>
      <w:r>
        <w:t xml:space="preserve"> </w:t>
      </w:r>
      <w:r w:rsidR="00FD40B5">
        <w:t>economic efficiency and long term interest</w:t>
      </w:r>
      <w:r w:rsidR="006E77FE">
        <w:t>s</w:t>
      </w:r>
      <w:r w:rsidR="00FD40B5">
        <w:t xml:space="preserve"> of consumer</w:t>
      </w:r>
      <w:r w:rsidR="006E77FE">
        <w:t xml:space="preserve">s. </w:t>
      </w:r>
    </w:p>
    <w:p w14:paraId="15646990" w14:textId="42189DA9" w:rsidR="00C867C4" w:rsidRPr="00C867C4" w:rsidRDefault="00FD40B5" w:rsidP="000661DB">
      <w:pPr>
        <w:pStyle w:val="AERbulletlistfirststyle"/>
      </w:pPr>
      <w:r>
        <w:t>SCER’s new pricing framework might be put to man</w:t>
      </w:r>
      <w:r w:rsidR="0090462C">
        <w:t>aging tariff transition and vol</w:t>
      </w:r>
      <w:r>
        <w:t>atility. These options also need broad consideration as to whether</w:t>
      </w:r>
      <w:r w:rsidR="00F010C7">
        <w:t xml:space="preserve"> they substitute, </w:t>
      </w:r>
      <w:r>
        <w:t>complement</w:t>
      </w:r>
      <w:r w:rsidR="00F010C7">
        <w:t xml:space="preserve"> or are preferable to</w:t>
      </w:r>
      <w:r>
        <w:t xml:space="preserve"> other options like numeric</w:t>
      </w:r>
      <w:r w:rsidR="00F010C7">
        <w:t xml:space="preserve">al </w:t>
      </w:r>
      <w:r w:rsidR="00B90C68">
        <w:t>side-constraint limits</w:t>
      </w:r>
      <w:r w:rsidR="00F010C7">
        <w:t>. The latter would</w:t>
      </w:r>
      <w:r>
        <w:t xml:space="preserve"> allow less flexibility for adaptation over time and depending on their design, could constrain innovation toward more efficient pricing. </w:t>
      </w:r>
      <w:r w:rsidR="003E35D2">
        <w:t xml:space="preserve">  </w:t>
      </w:r>
    </w:p>
    <w:p w14:paraId="483263A6" w14:textId="77777777" w:rsidR="00835B18" w:rsidRDefault="00C867C4" w:rsidP="00835B18">
      <w:pPr>
        <w:pStyle w:val="Heading2"/>
      </w:pPr>
      <w:bookmarkStart w:id="26" w:name="_Toc375143054"/>
      <w:r>
        <w:t>Framework for managing transition / volatility</w:t>
      </w:r>
      <w:bookmarkEnd w:id="26"/>
    </w:p>
    <w:p w14:paraId="5025A2D5" w14:textId="7B68AEEE" w:rsidR="00C867C4" w:rsidRDefault="00F010C7" w:rsidP="007A1D13">
      <w:pPr>
        <w:pStyle w:val="AERbodytext"/>
        <w:spacing w:after="160"/>
      </w:pPr>
      <w:r>
        <w:t xml:space="preserve">Issues of tariff volatility and transition </w:t>
      </w:r>
      <w:r w:rsidR="00C867C4">
        <w:t xml:space="preserve">have historically been </w:t>
      </w:r>
      <w:r w:rsidR="007A1D13">
        <w:t>viewed</w:t>
      </w:r>
      <w:r w:rsidR="00563D88">
        <w:t xml:space="preserve"> </w:t>
      </w:r>
      <w:r w:rsidR="00C867C4">
        <w:t>in terms of social equity and approach</w:t>
      </w:r>
      <w:r w:rsidR="007A1D13">
        <w:t>es to their management</w:t>
      </w:r>
      <w:r w:rsidR="00C867C4">
        <w:t xml:space="preserve"> </w:t>
      </w:r>
      <w:r w:rsidR="00DC1B13">
        <w:t xml:space="preserve">have </w:t>
      </w:r>
      <w:r w:rsidR="00C867C4">
        <w:t>applied to particular jurisdictions via the NER</w:t>
      </w:r>
      <w:r w:rsidR="005B3B08">
        <w:t>/NEL</w:t>
      </w:r>
      <w:r w:rsidR="001865AC">
        <w:t>, which operate under the NEO’s economic framework</w:t>
      </w:r>
      <w:r w:rsidR="007A1D13">
        <w:t>.</w:t>
      </w:r>
      <w:r w:rsidR="00F30EA2">
        <w:rPr>
          <w:rStyle w:val="FootnoteReference"/>
        </w:rPr>
        <w:footnoteReference w:id="32"/>
      </w:r>
      <w:r w:rsidR="007A1D13">
        <w:t xml:space="preserve"> </w:t>
      </w:r>
      <w:r w:rsidR="00664D9F">
        <w:t>These</w:t>
      </w:r>
      <w:r w:rsidR="00680282">
        <w:t xml:space="preserve"> issues can be </w:t>
      </w:r>
      <w:r w:rsidR="007A1D13">
        <w:t xml:space="preserve">addressed more directly as </w:t>
      </w:r>
      <w:r w:rsidR="00C867C4">
        <w:t xml:space="preserve">consistent with the NEO and </w:t>
      </w:r>
      <w:r w:rsidR="007A1D13">
        <w:t>in</w:t>
      </w:r>
      <w:r w:rsidR="00C867C4">
        <w:t xml:space="preserve"> a nationally consistent </w:t>
      </w:r>
      <w:r w:rsidR="007A1D13">
        <w:t>way</w:t>
      </w:r>
      <w:r w:rsidR="00C867C4">
        <w:t>. As we see it, tariff volatility and transition can probabl</w:t>
      </w:r>
      <w:r w:rsidR="008B5D5F">
        <w:t xml:space="preserve">y be </w:t>
      </w:r>
      <w:r w:rsidR="00664D9F">
        <w:t xml:space="preserve">understood </w:t>
      </w:r>
      <w:r w:rsidR="008B5D5F">
        <w:t>in various ways</w:t>
      </w:r>
      <w:r w:rsidR="00C867C4">
        <w:t>:</w:t>
      </w:r>
    </w:p>
    <w:p w14:paraId="4EE4A2D0" w14:textId="7D22A5CC" w:rsidR="00C867C4" w:rsidRDefault="009A7C99" w:rsidP="001865AC">
      <w:pPr>
        <w:pStyle w:val="AERbulletlistfirststyle"/>
        <w:spacing w:after="160"/>
        <w:ind w:left="714" w:hanging="357"/>
      </w:pPr>
      <w:r w:rsidRPr="006C7158">
        <w:rPr>
          <w:u w:val="single"/>
        </w:rPr>
        <w:t>N</w:t>
      </w:r>
      <w:r w:rsidR="00C867C4" w:rsidRPr="006C7158">
        <w:rPr>
          <w:u w:val="single"/>
        </w:rPr>
        <w:t>o</w:t>
      </w:r>
      <w:r w:rsidR="007A1D13" w:rsidRPr="006C7158">
        <w:rPr>
          <w:u w:val="single"/>
        </w:rPr>
        <w:t>tice</w:t>
      </w:r>
      <w:r w:rsidR="00664D9F">
        <w:rPr>
          <w:u w:val="single"/>
        </w:rPr>
        <w:t xml:space="preserve"> and </w:t>
      </w:r>
      <w:r w:rsidR="007A1D13" w:rsidRPr="006C7158">
        <w:rPr>
          <w:u w:val="single"/>
        </w:rPr>
        <w:t>expectations</w:t>
      </w:r>
      <w:r w:rsidR="007A1D13">
        <w:t xml:space="preserve">. </w:t>
      </w:r>
      <w:r w:rsidR="005B3B08">
        <w:t>SCER’s reforms intend providing</w:t>
      </w:r>
      <w:r w:rsidR="00C867C4">
        <w:t xml:space="preserve"> effic</w:t>
      </w:r>
      <w:r w:rsidR="005B3B08">
        <w:t xml:space="preserve">ient signals for </w:t>
      </w:r>
      <w:r w:rsidR="006E77FE">
        <w:t xml:space="preserve">stakeholders </w:t>
      </w:r>
      <w:r w:rsidR="005B3B08">
        <w:t>to</w:t>
      </w:r>
      <w:r w:rsidR="00C867C4">
        <w:t xml:space="preserve"> respond to</w:t>
      </w:r>
      <w:r w:rsidR="007A1D13">
        <w:t>. I</w:t>
      </w:r>
      <w:r w:rsidR="00C867C4">
        <w:t>mplementing fundamentally d</w:t>
      </w:r>
      <w:r w:rsidR="005B3B08">
        <w:t xml:space="preserve">ifferent ways of pricing </w:t>
      </w:r>
      <w:r w:rsidR="00C867C4">
        <w:t xml:space="preserve">via </w:t>
      </w:r>
      <w:r w:rsidR="00F30EA2">
        <w:t xml:space="preserve">significant changes to </w:t>
      </w:r>
      <w:r w:rsidR="00C867C4">
        <w:t xml:space="preserve">structure or </w:t>
      </w:r>
      <w:r w:rsidR="001865AC">
        <w:t>level</w:t>
      </w:r>
      <w:r w:rsidR="00F30EA2">
        <w:t xml:space="preserve">s </w:t>
      </w:r>
      <w:r w:rsidR="005B3B08">
        <w:t xml:space="preserve">without adequate information and </w:t>
      </w:r>
      <w:r w:rsidR="00C867C4">
        <w:t xml:space="preserve">notice might </w:t>
      </w:r>
      <w:r w:rsidR="005B3B08">
        <w:t xml:space="preserve">allow insufficient </w:t>
      </w:r>
      <w:r w:rsidR="007A1D13">
        <w:t xml:space="preserve">preparation </w:t>
      </w:r>
      <w:r w:rsidR="001865AC">
        <w:t xml:space="preserve">time </w:t>
      </w:r>
      <w:r w:rsidR="007A1D13">
        <w:t>for stakeholder responses</w:t>
      </w:r>
      <w:r w:rsidR="005B3B08">
        <w:t xml:space="preserve">. </w:t>
      </w:r>
      <w:r w:rsidR="008B5D5F">
        <w:t>This</w:t>
      </w:r>
      <w:r w:rsidR="005B3B08">
        <w:t xml:space="preserve"> might involve</w:t>
      </w:r>
      <w:r w:rsidR="00C867C4">
        <w:t xml:space="preserve"> more </w:t>
      </w:r>
      <w:r w:rsidR="007A1D13">
        <w:t>information for consumers on tariff design</w:t>
      </w:r>
      <w:r w:rsidR="00651777">
        <w:t xml:space="preserve">, </w:t>
      </w:r>
      <w:r w:rsidR="005B3B08">
        <w:t>expected</w:t>
      </w:r>
      <w:r w:rsidR="007A1D13">
        <w:t xml:space="preserve"> level trajectory</w:t>
      </w:r>
      <w:r w:rsidR="00881AD2">
        <w:t>, and perhaps</w:t>
      </w:r>
      <w:r w:rsidR="00DC1B13">
        <w:t xml:space="preserve"> </w:t>
      </w:r>
      <w:r w:rsidR="000600BE">
        <w:t>smoothing tariffs over time.</w:t>
      </w:r>
    </w:p>
    <w:p w14:paraId="3446F2CF" w14:textId="0FE8B73F" w:rsidR="00C867C4" w:rsidRDefault="005B3B08" w:rsidP="00C867C4">
      <w:pPr>
        <w:pStyle w:val="AERbulletlistfirststyle"/>
      </w:pPr>
      <w:r w:rsidRPr="006C7158">
        <w:rPr>
          <w:u w:val="single"/>
        </w:rPr>
        <w:t>P</w:t>
      </w:r>
      <w:r w:rsidR="00651777" w:rsidRPr="006C7158">
        <w:rPr>
          <w:u w:val="single"/>
        </w:rPr>
        <w:t>rotecting</w:t>
      </w:r>
      <w:r w:rsidRPr="006C7158">
        <w:rPr>
          <w:u w:val="single"/>
        </w:rPr>
        <w:t xml:space="preserve"> sunk investments</w:t>
      </w:r>
      <w:r>
        <w:t xml:space="preserve">. </w:t>
      </w:r>
      <w:r w:rsidR="00664D9F">
        <w:t>A</w:t>
      </w:r>
      <w:r w:rsidR="00F30EA2">
        <w:t xml:space="preserve"> shift to</w:t>
      </w:r>
      <w:r w:rsidR="00C867C4">
        <w:t xml:space="preserve"> fundamentally different </w:t>
      </w:r>
      <w:r>
        <w:t xml:space="preserve">tariff structures </w:t>
      </w:r>
      <w:r w:rsidR="00C867C4">
        <w:t>overnight could cause</w:t>
      </w:r>
      <w:r w:rsidR="00881AD2">
        <w:t xml:space="preserve"> economic harm to consumers who have</w:t>
      </w:r>
      <w:r>
        <w:t xml:space="preserve"> </w:t>
      </w:r>
      <w:r w:rsidR="00C867C4">
        <w:t>m</w:t>
      </w:r>
      <w:r>
        <w:t>ade investments (</w:t>
      </w:r>
      <w:r w:rsidR="00C867C4">
        <w:t xml:space="preserve">appliances or choice of business location) on the basis of earlier expectations </w:t>
      </w:r>
      <w:r>
        <w:t>of tariff structures.</w:t>
      </w:r>
      <w:r w:rsidR="00CC62E5" w:rsidRPr="00CC62E5">
        <w:rPr>
          <w:rFonts w:eastAsia="Calibri"/>
          <w:szCs w:val="20"/>
          <w:vertAlign w:val="superscript"/>
        </w:rPr>
        <w:footnoteReference w:id="33"/>
      </w:r>
      <w:r w:rsidR="00CC62E5" w:rsidRPr="00CC62E5">
        <w:rPr>
          <w:rFonts w:eastAsia="Calibri"/>
          <w:szCs w:val="20"/>
        </w:rPr>
        <w:t xml:space="preserve"> </w:t>
      </w:r>
      <w:r w:rsidR="008B5D5F">
        <w:t>This issue might be overcome by smoothing</w:t>
      </w:r>
      <w:r w:rsidR="00651777">
        <w:t xml:space="preserve"> </w:t>
      </w:r>
      <w:r w:rsidR="00664D9F">
        <w:t xml:space="preserve">the introduction of </w:t>
      </w:r>
      <w:r w:rsidR="00651777">
        <w:t>new tariff</w:t>
      </w:r>
      <w:r w:rsidR="00664D9F">
        <w:t xml:space="preserve"> structures</w:t>
      </w:r>
      <w:r w:rsidR="008B5D5F">
        <w:t xml:space="preserve">. </w:t>
      </w:r>
    </w:p>
    <w:p w14:paraId="20DDC299" w14:textId="0354843D" w:rsidR="00835B18" w:rsidRDefault="00C867C4" w:rsidP="001865AC">
      <w:pPr>
        <w:pStyle w:val="AERbodytext"/>
        <w:numPr>
          <w:ilvl w:val="0"/>
          <w:numId w:val="0"/>
        </w:numPr>
        <w:spacing w:after="160"/>
      </w:pPr>
      <w:r>
        <w:t xml:space="preserve">Implementing new tariffs in a </w:t>
      </w:r>
      <w:r w:rsidR="005B3B08">
        <w:t xml:space="preserve">way that neglects </w:t>
      </w:r>
      <w:r>
        <w:t>these above</w:t>
      </w:r>
      <w:r w:rsidR="00050E8B">
        <w:t>-</w:t>
      </w:r>
      <w:r>
        <w:t>mentioned issues</w:t>
      </w:r>
      <w:r w:rsidR="008B5D5F">
        <w:t xml:space="preserve"> might</w:t>
      </w:r>
      <w:r w:rsidR="00563D88">
        <w:t xml:space="preserve"> not</w:t>
      </w:r>
      <w:r w:rsidR="008B5D5F">
        <w:t xml:space="preserve"> </w:t>
      </w:r>
      <w:r w:rsidR="00F010C7">
        <w:t xml:space="preserve">lead to more efficient outcomes and also not </w:t>
      </w:r>
      <w:r w:rsidR="008B5D5F">
        <w:t>be</w:t>
      </w:r>
      <w:r w:rsidR="00563D88">
        <w:t xml:space="preserve"> in</w:t>
      </w:r>
      <w:r w:rsidR="00F30EA2">
        <w:t xml:space="preserve"> the</w:t>
      </w:r>
      <w:r w:rsidR="00563D88">
        <w:t xml:space="preserve"> </w:t>
      </w:r>
      <w:r>
        <w:t>long term interest of consumer</w:t>
      </w:r>
      <w:r w:rsidR="00563D88">
        <w:t>s</w:t>
      </w:r>
      <w:r>
        <w:t xml:space="preserve">. We acknowledge that approaching these issues </w:t>
      </w:r>
      <w:r w:rsidR="006E77FE">
        <w:t xml:space="preserve">on a per customer basis </w:t>
      </w:r>
      <w:r>
        <w:t>will be</w:t>
      </w:r>
      <w:r w:rsidR="006E77FE">
        <w:t xml:space="preserve"> impossible</w:t>
      </w:r>
      <w:r w:rsidR="008E72C1">
        <w:t xml:space="preserve">. </w:t>
      </w:r>
      <w:r w:rsidR="005B3B08">
        <w:t xml:space="preserve">DNSPs cannot </w:t>
      </w:r>
      <w:r w:rsidR="002E1D49">
        <w:t>gauge</w:t>
      </w:r>
      <w:r>
        <w:t xml:space="preserve"> whether every </w:t>
      </w:r>
      <w:r w:rsidR="006E77FE">
        <w:t>stakeholder</w:t>
      </w:r>
      <w:r>
        <w:t xml:space="preserve"> sufficiently understands the tariffs</w:t>
      </w:r>
      <w:r w:rsidR="005B3B08">
        <w:t xml:space="preserve"> it proposes</w:t>
      </w:r>
      <w:r w:rsidR="00F30EA2">
        <w:t>,</w:t>
      </w:r>
      <w:r w:rsidR="008B5D5F">
        <w:t xml:space="preserve"> </w:t>
      </w:r>
      <w:r w:rsidR="00CE088F">
        <w:t>hence the importance of the PSS</w:t>
      </w:r>
      <w:r>
        <w:t>.</w:t>
      </w:r>
    </w:p>
    <w:p w14:paraId="767F216C" w14:textId="77777777" w:rsidR="00835B18" w:rsidRDefault="00C867C4" w:rsidP="00835B18">
      <w:pPr>
        <w:pStyle w:val="Heading2"/>
      </w:pPr>
      <w:bookmarkStart w:id="27" w:name="_Toc375143055"/>
      <w:r>
        <w:t>Management options</w:t>
      </w:r>
      <w:bookmarkEnd w:id="27"/>
    </w:p>
    <w:p w14:paraId="3E1D8658" w14:textId="7DA6614D" w:rsidR="00270E60" w:rsidRPr="00270E60" w:rsidRDefault="003E4F16" w:rsidP="001865AC">
      <w:pPr>
        <w:spacing w:after="160"/>
      </w:pPr>
      <w:r>
        <w:t>The</w:t>
      </w:r>
      <w:r w:rsidR="000E28BF">
        <w:t xml:space="preserve"> rule change should explore the intended role of SCER’s proposed new framewor</w:t>
      </w:r>
      <w:r>
        <w:t>k with respect to managing</w:t>
      </w:r>
      <w:r w:rsidR="000E28BF">
        <w:t xml:space="preserve"> tariff transition and volatility issues. We consider that it might be put to this role, by requiring DNSPs to do the </w:t>
      </w:r>
      <w:r w:rsidR="00270E60">
        <w:t>following:</w:t>
      </w:r>
    </w:p>
    <w:p w14:paraId="1DB96577" w14:textId="600906CE" w:rsidR="005B3B08" w:rsidRDefault="00270E60" w:rsidP="001865AC">
      <w:pPr>
        <w:pStyle w:val="AERbulletlistfirststyle"/>
        <w:spacing w:after="160"/>
        <w:ind w:left="714" w:hanging="357"/>
      </w:pPr>
      <w:r>
        <w:lastRenderedPageBreak/>
        <w:t>P</w:t>
      </w:r>
      <w:r w:rsidR="002755BF">
        <w:t>repare and consult on a PSS</w:t>
      </w:r>
      <w:r w:rsidR="00187DA8">
        <w:t>—</w:t>
      </w:r>
      <w:r>
        <w:t>providing</w:t>
      </w:r>
      <w:r w:rsidR="002755BF">
        <w:t xml:space="preserve"> c</w:t>
      </w:r>
      <w:r w:rsidR="003E4F16">
        <w:t>lear expectations and information so</w:t>
      </w:r>
      <w:r w:rsidR="002755BF">
        <w:t xml:space="preserve"> re</w:t>
      </w:r>
      <w:r w:rsidR="003E4F16">
        <w:t>tailers and consumers</w:t>
      </w:r>
      <w:r w:rsidR="002755BF">
        <w:t xml:space="preserve"> understand any new tariffs or </w:t>
      </w:r>
      <w:r w:rsidR="003E4F16">
        <w:t xml:space="preserve">strategy intended </w:t>
      </w:r>
      <w:r w:rsidR="002755BF">
        <w:t xml:space="preserve">over the regulatory control period. </w:t>
      </w:r>
    </w:p>
    <w:p w14:paraId="520C51CC" w14:textId="28409FF5" w:rsidR="005B3B08" w:rsidRDefault="00270E60" w:rsidP="005B3B08">
      <w:pPr>
        <w:pStyle w:val="AERbulletlistfirststyle"/>
      </w:pPr>
      <w:r>
        <w:t>B</w:t>
      </w:r>
      <w:r w:rsidR="003E4F16">
        <w:t xml:space="preserve">e bound to </w:t>
      </w:r>
      <w:r w:rsidR="002755BF">
        <w:t>structures i</w:t>
      </w:r>
      <w:r w:rsidR="003E4F16">
        <w:t>n the</w:t>
      </w:r>
      <w:r w:rsidR="00E55D96">
        <w:t xml:space="preserve"> PSS for the</w:t>
      </w:r>
      <w:r w:rsidR="003E4F16">
        <w:t xml:space="preserve"> regulatory period (unless </w:t>
      </w:r>
      <w:r w:rsidR="002755BF">
        <w:t>propos</w:t>
      </w:r>
      <w:r w:rsidR="00E55D96">
        <w:t xml:space="preserve">ed modifications are </w:t>
      </w:r>
      <w:r w:rsidR="002755BF">
        <w:t>more efficient)</w:t>
      </w:r>
      <w:r w:rsidR="00187DA8">
        <w:t>—</w:t>
      </w:r>
      <w:r w:rsidR="00E55D96">
        <w:t>providing</w:t>
      </w:r>
      <w:r w:rsidR="003E4F16">
        <w:t xml:space="preserve"> </w:t>
      </w:r>
      <w:r w:rsidR="002755BF">
        <w:t>greater certainty with regard to</w:t>
      </w:r>
      <w:r w:rsidR="003E4F16">
        <w:t xml:space="preserve"> stakeholder investments.</w:t>
      </w:r>
      <w:r w:rsidR="002755BF">
        <w:t xml:space="preserve"> </w:t>
      </w:r>
    </w:p>
    <w:p w14:paraId="3C27C659" w14:textId="3F55692B" w:rsidR="002915B8" w:rsidRDefault="00E55D96" w:rsidP="002915B8">
      <w:pPr>
        <w:pStyle w:val="AERbulletlistfirststyle"/>
      </w:pPr>
      <w:r>
        <w:t>C</w:t>
      </w:r>
      <w:r w:rsidR="002755BF">
        <w:t>onsider consumer impacts in designing tariffs</w:t>
      </w:r>
      <w:r w:rsidR="003E4F16">
        <w:t>—providing</w:t>
      </w:r>
      <w:r w:rsidR="002755BF">
        <w:t xml:space="preserve"> </w:t>
      </w:r>
      <w:r w:rsidR="007A1D13">
        <w:t>a means of</w:t>
      </w:r>
      <w:r w:rsidR="002755BF">
        <w:t xml:space="preserve"> re</w:t>
      </w:r>
      <w:r w:rsidR="007A1D13">
        <w:t>quiring</w:t>
      </w:r>
      <w:r>
        <w:t xml:space="preserve"> </w:t>
      </w:r>
      <w:r w:rsidR="007A1D13">
        <w:t>consideration of</w:t>
      </w:r>
      <w:r>
        <w:t xml:space="preserve"> how to</w:t>
      </w:r>
      <w:r w:rsidR="003E4F16">
        <w:t xml:space="preserve"> approach </w:t>
      </w:r>
      <w:r w:rsidR="007A1D13">
        <w:t>volatility, and</w:t>
      </w:r>
      <w:r w:rsidR="000E28BF">
        <w:t xml:space="preserve"> a </w:t>
      </w:r>
      <w:r w:rsidR="007A1D13">
        <w:t xml:space="preserve">stakeholder dialogue </w:t>
      </w:r>
      <w:r w:rsidR="000E28BF">
        <w:t>framework</w:t>
      </w:r>
      <w:r>
        <w:t xml:space="preserve">. </w:t>
      </w:r>
    </w:p>
    <w:p w14:paraId="2813FBAF" w14:textId="7A0BD918" w:rsidR="002915B8" w:rsidRDefault="002915B8" w:rsidP="002915B8">
      <w:pPr>
        <w:pStyle w:val="AERbodytext"/>
      </w:pPr>
      <w:r>
        <w:t>This framework would place the onus of managing tariff transition</w:t>
      </w:r>
      <w:r w:rsidR="007C31CB">
        <w:t xml:space="preserve"> and</w:t>
      </w:r>
      <w:r>
        <w:t xml:space="preserve"> </w:t>
      </w:r>
      <w:r w:rsidR="007C31CB">
        <w:t xml:space="preserve">volatility </w:t>
      </w:r>
      <w:r w:rsidR="00F620A6">
        <w:t xml:space="preserve">upon a </w:t>
      </w:r>
      <w:r w:rsidR="007C31CB">
        <w:t xml:space="preserve">DNSP–stakeholder </w:t>
      </w:r>
      <w:r>
        <w:t xml:space="preserve">dialogue (with our oversight). In doing so, it could provide for management approaches that are more adaptable and customised to particular network circumstances. As noted earlier, efficient tariffs </w:t>
      </w:r>
      <w:r w:rsidR="007C31CB">
        <w:t xml:space="preserve">represent an </w:t>
      </w:r>
      <w:r>
        <w:t xml:space="preserve">option to address specific network challenges. </w:t>
      </w:r>
      <w:r w:rsidR="007C31CB">
        <w:t>Therefore</w:t>
      </w:r>
      <w:r w:rsidR="00F620A6">
        <w:t>,</w:t>
      </w:r>
      <w:r>
        <w:t xml:space="preserve"> decisions on the speed by which greater cost </w:t>
      </w:r>
      <w:r w:rsidR="007C31CB">
        <w:t>reflectivity</w:t>
      </w:r>
      <w:r>
        <w:t xml:space="preserve"> in tariffs </w:t>
      </w:r>
      <w:r w:rsidR="00052977">
        <w:t>is</w:t>
      </w:r>
      <w:r>
        <w:t xml:space="preserve"> introduced would depend somewhat on the nature and timing of expected network challenges. </w:t>
      </w:r>
    </w:p>
    <w:p w14:paraId="6B888135" w14:textId="2F099450" w:rsidR="002755BF" w:rsidRDefault="00CF2BEE" w:rsidP="0054354C">
      <w:pPr>
        <w:pStyle w:val="AERbodytext"/>
        <w:spacing w:after="160"/>
      </w:pPr>
      <w:r>
        <w:t>We recognise that approaching transition issues vi</w:t>
      </w:r>
      <w:r w:rsidR="008E72C1">
        <w:t xml:space="preserve">a the customer impacts principle, might cause </w:t>
      </w:r>
      <w:r>
        <w:t xml:space="preserve">tension between compliance with mandatory requirements like pricing on the basis of LRMC. </w:t>
      </w:r>
      <w:r w:rsidR="00DC1B13">
        <w:t>One approach is</w:t>
      </w:r>
      <w:r w:rsidR="00E55D96">
        <w:t xml:space="preserve"> </w:t>
      </w:r>
      <w:r w:rsidR="00187DA8">
        <w:t xml:space="preserve">where </w:t>
      </w:r>
      <w:r w:rsidR="00E55D96">
        <w:t>a DNSP</w:t>
      </w:r>
      <w:r w:rsidR="00187DA8">
        <w:t>,</w:t>
      </w:r>
      <w:r w:rsidR="002755BF">
        <w:t xml:space="preserve"> </w:t>
      </w:r>
      <w:r w:rsidR="000E28BF">
        <w:t xml:space="preserve">after </w:t>
      </w:r>
      <w:r w:rsidR="00187DA8">
        <w:t xml:space="preserve">consulting </w:t>
      </w:r>
      <w:r w:rsidR="00E55D96">
        <w:t>with stakeholders, determine</w:t>
      </w:r>
      <w:r w:rsidR="00187DA8">
        <w:t>s</w:t>
      </w:r>
      <w:r w:rsidR="008E72C1">
        <w:t xml:space="preserve"> a suitable transition path to implement</w:t>
      </w:r>
      <w:r w:rsidR="002755BF">
        <w:t xml:space="preserve"> more cost reflective ta</w:t>
      </w:r>
      <w:r w:rsidR="00F30EA2">
        <w:t>riff structures—</w:t>
      </w:r>
      <w:r w:rsidR="00E55D96">
        <w:t>this could</w:t>
      </w:r>
      <w:r w:rsidR="002755BF">
        <w:t xml:space="preserve"> be seen as an objective to achie</w:t>
      </w:r>
      <w:r w:rsidR="00E55D96">
        <w:t>ve</w:t>
      </w:r>
      <w:r w:rsidR="008E72C1">
        <w:t xml:space="preserve"> over the course of a</w:t>
      </w:r>
      <w:r w:rsidR="002755BF">
        <w:t xml:space="preserve"> r</w:t>
      </w:r>
      <w:r w:rsidR="008E72C1">
        <w:t>egulatory</w:t>
      </w:r>
      <w:r w:rsidR="00E55D96">
        <w:t xml:space="preserve"> period. T</w:t>
      </w:r>
      <w:r w:rsidR="002755BF">
        <w:t>he current wor</w:t>
      </w:r>
      <w:r w:rsidR="00E55D96">
        <w:t>ding of the pricing principles might suggest that DNSPs are to implement new tariffs immediately</w:t>
      </w:r>
      <w:r w:rsidR="00187DA8">
        <w:t xml:space="preserve">, which </w:t>
      </w:r>
      <w:r w:rsidR="000E28BF">
        <w:t>could result in concerns as set out above</w:t>
      </w:r>
      <w:r w:rsidR="00E55D96">
        <w:t>.</w:t>
      </w:r>
      <w:r w:rsidR="002755BF">
        <w:t xml:space="preserve"> </w:t>
      </w:r>
    </w:p>
    <w:p w14:paraId="6ED1B401" w14:textId="77777777" w:rsidR="002755BF" w:rsidRPr="000B5138" w:rsidRDefault="002755BF" w:rsidP="0054354C">
      <w:pPr>
        <w:pStyle w:val="Heading4"/>
        <w:spacing w:before="160"/>
        <w:rPr>
          <w:rStyle w:val="Strong"/>
          <w:b/>
        </w:rPr>
      </w:pPr>
      <w:r w:rsidRPr="000B5138">
        <w:rPr>
          <w:rStyle w:val="Strong"/>
          <w:b/>
        </w:rPr>
        <w:t>Numerical limits</w:t>
      </w:r>
    </w:p>
    <w:p w14:paraId="591FEDFD" w14:textId="0FD97735" w:rsidR="003E35D2" w:rsidRDefault="006C7158" w:rsidP="000E28BF">
      <w:pPr>
        <w:pStyle w:val="AERbodytext"/>
      </w:pPr>
      <w:r>
        <w:t>Managing tariff transition</w:t>
      </w:r>
      <w:r w:rsidR="00D1450D">
        <w:t xml:space="preserve"> and</w:t>
      </w:r>
      <w:r w:rsidR="00D04657">
        <w:t xml:space="preserve"> </w:t>
      </w:r>
      <w:r>
        <w:t>volatility issues via SCER’s framework as set out above, might negate the need for other alternatives. An alternative that currently exists in the NER is</w:t>
      </w:r>
      <w:r w:rsidR="00187DA8">
        <w:t xml:space="preserve"> apply</w:t>
      </w:r>
      <w:r>
        <w:t>ing</w:t>
      </w:r>
      <w:r w:rsidR="000E28BF">
        <w:t xml:space="preserve"> </w:t>
      </w:r>
      <w:r w:rsidR="00187DA8">
        <w:t>numeric</w:t>
      </w:r>
      <w:r w:rsidR="000E28BF">
        <w:t>al</w:t>
      </w:r>
      <w:r w:rsidR="002755BF">
        <w:t xml:space="preserve"> side-constraints.</w:t>
      </w:r>
      <w:r w:rsidR="00EF3F2B">
        <w:t xml:space="preserve"> </w:t>
      </w:r>
      <w:r>
        <w:t>These</w:t>
      </w:r>
      <w:r w:rsidR="000661DB">
        <w:t xml:space="preserve"> </w:t>
      </w:r>
      <w:r w:rsidR="002755BF">
        <w:t xml:space="preserve">limit the expected weighted average revenue to be raised from a tariff class from a particular year to another </w:t>
      </w:r>
      <w:r w:rsidR="001170DC">
        <w:t xml:space="preserve">by no more than CPI-X plus </w:t>
      </w:r>
      <w:r w:rsidR="00187DA8">
        <w:t>2 per cent.</w:t>
      </w:r>
      <w:r w:rsidR="00F30EA2">
        <w:rPr>
          <w:rStyle w:val="FootnoteReference"/>
        </w:rPr>
        <w:footnoteReference w:id="34"/>
      </w:r>
      <w:r w:rsidR="00187DA8">
        <w:t xml:space="preserve"> </w:t>
      </w:r>
      <w:r w:rsidR="003E35D2">
        <w:t xml:space="preserve">These options that ‘hard-wire’ one set numerical approach in the NER to manage transition and volatility, would be less flexible than using SCER’s DNSP/stakeholder dialogue based framework. Further, determining a numerical limit would need to allow sufficient flexibility for DNSPs to progress toward greater cost reflectivity in tariffs.   </w:t>
      </w:r>
    </w:p>
    <w:p w14:paraId="7DF37DF9" w14:textId="3394587E" w:rsidR="002755BF" w:rsidRDefault="003E35D2" w:rsidP="003E35D2">
      <w:pPr>
        <w:pStyle w:val="AERbodytext"/>
      </w:pPr>
      <w:r>
        <w:t xml:space="preserve">While the </w:t>
      </w:r>
      <w:r w:rsidR="00052977">
        <w:t xml:space="preserve">NER </w:t>
      </w:r>
      <w:r>
        <w:t xml:space="preserve">side-constraints </w:t>
      </w:r>
      <w:r w:rsidR="001170DC">
        <w:t>appear</w:t>
      </w:r>
      <w:r w:rsidR="00DC5EAE">
        <w:t xml:space="preserve"> designed to target</w:t>
      </w:r>
      <w:r w:rsidR="002755BF">
        <w:t xml:space="preserve"> price volatility</w:t>
      </w:r>
      <w:r w:rsidR="008E72C1">
        <w:t>, in practice they provide</w:t>
      </w:r>
      <w:r w:rsidR="002755BF">
        <w:t xml:space="preserve"> little constraint</w:t>
      </w:r>
      <w:r w:rsidR="00DC1B13">
        <w:t xml:space="preserve"> on</w:t>
      </w:r>
      <w:r w:rsidR="002755BF">
        <w:t xml:space="preserve"> </w:t>
      </w:r>
      <w:r w:rsidR="00FA26CB">
        <w:t>i</w:t>
      </w:r>
      <w:r w:rsidR="008E72C1">
        <w:t xml:space="preserve">ndividual tariff movements </w:t>
      </w:r>
      <w:r w:rsidR="00302554">
        <w:t xml:space="preserve">because </w:t>
      </w:r>
      <w:r w:rsidR="008E72C1">
        <w:t>they</w:t>
      </w:r>
      <w:r w:rsidR="00FA26CB">
        <w:t xml:space="preserve"> </w:t>
      </w:r>
      <w:r w:rsidR="008E72C1">
        <w:t>only apply</w:t>
      </w:r>
      <w:r w:rsidR="002755BF">
        <w:t xml:space="preserve"> to tariff classes</w:t>
      </w:r>
      <w:r w:rsidR="00302554">
        <w:t xml:space="preserve">. </w:t>
      </w:r>
      <w:r w:rsidR="002755BF">
        <w:t>Individual tariff components within tariff classes can</w:t>
      </w:r>
      <w:r w:rsidR="00187DA8">
        <w:t xml:space="preserve"> (and do) </w:t>
      </w:r>
      <w:r w:rsidR="002755BF">
        <w:t xml:space="preserve">vary by large amounts year-on-year, as long as the revenue collected from that class remains within the </w:t>
      </w:r>
      <w:r w:rsidR="00DC1B13">
        <w:t xml:space="preserve">overall </w:t>
      </w:r>
      <w:r w:rsidR="002755BF">
        <w:t>constraint. We note that a large part of recent price volatility has been due to DNSPs shifting the weight of variable charge</w:t>
      </w:r>
      <w:r w:rsidR="001170DC">
        <w:t>s</w:t>
      </w:r>
      <w:r w:rsidR="002755BF">
        <w:t xml:space="preserve"> relative to fixed charges within tariffs. There are no restrictions on changes to </w:t>
      </w:r>
      <w:r w:rsidR="008E72C1">
        <w:t>individual tariff components.</w:t>
      </w:r>
    </w:p>
    <w:p w14:paraId="0134C427" w14:textId="49027D60" w:rsidR="002755BF" w:rsidRDefault="001170DC" w:rsidP="002755BF">
      <w:pPr>
        <w:pStyle w:val="AERbodytext"/>
      </w:pPr>
      <w:r>
        <w:t xml:space="preserve">Should the aspects of SCER’s </w:t>
      </w:r>
      <w:r w:rsidR="002755BF">
        <w:t>prop</w:t>
      </w:r>
      <w:r w:rsidR="00FA26CB">
        <w:t xml:space="preserve">osed </w:t>
      </w:r>
      <w:r w:rsidR="006B6014">
        <w:t xml:space="preserve">PSS and engagement </w:t>
      </w:r>
      <w:r w:rsidR="00FA26CB">
        <w:t xml:space="preserve">framework not be </w:t>
      </w:r>
      <w:r w:rsidR="006B6014">
        <w:t>adequate</w:t>
      </w:r>
      <w:r>
        <w:t xml:space="preserve"> to address</w:t>
      </w:r>
      <w:r w:rsidR="002755BF">
        <w:t xml:space="preserve"> tariff volatility, </w:t>
      </w:r>
      <w:r w:rsidR="00187DA8">
        <w:t>there may be a</w:t>
      </w:r>
      <w:r w:rsidR="002755BF">
        <w:t xml:space="preserve"> need to tighte</w:t>
      </w:r>
      <w:r w:rsidR="00187DA8">
        <w:t>n</w:t>
      </w:r>
      <w:r>
        <w:t xml:space="preserve"> </w:t>
      </w:r>
      <w:r w:rsidR="00187DA8">
        <w:t>the side</w:t>
      </w:r>
      <w:r w:rsidR="002755BF">
        <w:t xml:space="preserve"> constraint, by applying </w:t>
      </w:r>
      <w:r w:rsidR="00187DA8">
        <w:t xml:space="preserve">it to </w:t>
      </w:r>
      <w:r w:rsidR="002755BF">
        <w:t>tariffs rathe</w:t>
      </w:r>
      <w:r>
        <w:t>r than tariff classes. T</w:t>
      </w:r>
      <w:r w:rsidR="002755BF">
        <w:t xml:space="preserve">he challenge would then be to </w:t>
      </w:r>
      <w:r w:rsidR="00146E54">
        <w:t>still</w:t>
      </w:r>
      <w:r w:rsidR="002755BF">
        <w:t xml:space="preserve"> provide sufficient flexibility so as to not constrain the ability of DNSPs to innovate and introduce more cost reflective network tariffs. </w:t>
      </w:r>
    </w:p>
    <w:p w14:paraId="55E7E021" w14:textId="49A325AC" w:rsidR="002755BF" w:rsidRDefault="000E28BF" w:rsidP="00A015DC">
      <w:pPr>
        <w:pStyle w:val="AERbodytext"/>
        <w:spacing w:after="200"/>
      </w:pPr>
      <w:r>
        <w:t>Side constraints are only one option for addressing volatility, and they might interact with other</w:t>
      </w:r>
      <w:r w:rsidR="00FA26CB">
        <w:t>s</w:t>
      </w:r>
      <w:r w:rsidR="00A015DC">
        <w:t>. As such, they</w:t>
      </w:r>
      <w:r w:rsidR="002755BF">
        <w:t xml:space="preserve"> should be subject to </w:t>
      </w:r>
      <w:r w:rsidR="00146E54">
        <w:t>broader review. This should consider</w:t>
      </w:r>
      <w:r w:rsidR="002755BF">
        <w:t xml:space="preserve"> </w:t>
      </w:r>
      <w:r w:rsidR="00475581">
        <w:t>their</w:t>
      </w:r>
      <w:r w:rsidR="002755BF">
        <w:t xml:space="preserve"> o</w:t>
      </w:r>
      <w:r>
        <w:t xml:space="preserve">bjective, ongoing relevance, </w:t>
      </w:r>
      <w:r w:rsidR="002755BF">
        <w:t>composition</w:t>
      </w:r>
      <w:r>
        <w:t xml:space="preserve"> and interaction with other rules</w:t>
      </w:r>
      <w:r w:rsidR="00A015DC">
        <w:t>. I</w:t>
      </w:r>
      <w:r w:rsidR="002755BF">
        <w:t xml:space="preserve">t is unfortunate </w:t>
      </w:r>
      <w:r w:rsidR="0054354C">
        <w:t>that the AEMC considers that</w:t>
      </w:r>
      <w:r w:rsidR="00146E54">
        <w:t xml:space="preserve"> </w:t>
      </w:r>
      <w:r w:rsidR="002755BF">
        <w:t>a b</w:t>
      </w:r>
      <w:r w:rsidR="0054354C">
        <w:t xml:space="preserve">road review of side constraints, outside of SCER’s minor proposed amendments is out of scope. </w:t>
      </w:r>
      <w:r w:rsidR="002755BF">
        <w:t>With respect to</w:t>
      </w:r>
      <w:r w:rsidR="00146E54">
        <w:t xml:space="preserve"> </w:t>
      </w:r>
      <w:r w:rsidR="0054354C">
        <w:t>these</w:t>
      </w:r>
      <w:r w:rsidR="00146E54">
        <w:t xml:space="preserve"> mino</w:t>
      </w:r>
      <w:r w:rsidR="0054354C">
        <w:t>r amendments</w:t>
      </w:r>
      <w:r w:rsidR="00146E54">
        <w:t xml:space="preserve">, </w:t>
      </w:r>
      <w:r w:rsidR="0054354C">
        <w:t>we accept</w:t>
      </w:r>
      <w:r w:rsidR="002755BF">
        <w:t>:</w:t>
      </w:r>
    </w:p>
    <w:p w14:paraId="3B8E35A5" w14:textId="5556F56F" w:rsidR="002755BF" w:rsidRDefault="00A015DC" w:rsidP="00A015DC">
      <w:pPr>
        <w:pStyle w:val="AERbulletlistfirststyle"/>
        <w:spacing w:after="160"/>
        <w:ind w:left="714" w:hanging="357"/>
      </w:pPr>
      <w:r>
        <w:lastRenderedPageBreak/>
        <w:t>Applying them</w:t>
      </w:r>
      <w:r w:rsidR="002755BF">
        <w:t xml:space="preserve"> across regulatory control per</w:t>
      </w:r>
      <w:r>
        <w:t>iods, not just within</w:t>
      </w:r>
      <w:r w:rsidR="00052977">
        <w:t>—</w:t>
      </w:r>
      <w:r>
        <w:t xml:space="preserve">providing </w:t>
      </w:r>
      <w:r w:rsidR="002755BF">
        <w:t xml:space="preserve">continuous </w:t>
      </w:r>
      <w:r w:rsidR="00146E54">
        <w:t>smoothing</w:t>
      </w:r>
      <w:r>
        <w:t xml:space="preserve"> of</w:t>
      </w:r>
      <w:r w:rsidR="00146E54">
        <w:t xml:space="preserve"> impacts. </w:t>
      </w:r>
      <w:r w:rsidR="00427FCE">
        <w:t>However, w</w:t>
      </w:r>
      <w:r>
        <w:t>hile SCER suggests</w:t>
      </w:r>
      <w:r w:rsidR="002E1D49">
        <w:t xml:space="preserve"> this might addre</w:t>
      </w:r>
      <w:r w:rsidR="0054354C">
        <w:t>ss the consumer expectation for</w:t>
      </w:r>
      <w:r w:rsidR="002E1D49">
        <w:t xml:space="preserve"> tariff classes prevailing at the end of a regulatory period </w:t>
      </w:r>
      <w:r w:rsidR="00881AD2">
        <w:t xml:space="preserve">to </w:t>
      </w:r>
      <w:r w:rsidR="002E1D49">
        <w:t xml:space="preserve">form the basis of those at the beginning of </w:t>
      </w:r>
      <w:r>
        <w:t>the next, in practice</w:t>
      </w:r>
      <w:r w:rsidR="002E1D49">
        <w:t xml:space="preserve"> side constraints pro</w:t>
      </w:r>
      <w:r>
        <w:t>vide little constraint on</w:t>
      </w:r>
      <w:r w:rsidR="002E1D49">
        <w:t xml:space="preserve"> structures. </w:t>
      </w:r>
    </w:p>
    <w:p w14:paraId="59ACC4BF" w14:textId="3BFC07F3" w:rsidR="002755BF" w:rsidRDefault="0054354C" w:rsidP="002755BF">
      <w:pPr>
        <w:pStyle w:val="AERbulletlistfirststyle"/>
      </w:pPr>
      <w:r>
        <w:t xml:space="preserve">Removing the </w:t>
      </w:r>
      <w:r w:rsidR="00146E54">
        <w:t>clause suggesting that</w:t>
      </w:r>
      <w:r w:rsidR="002755BF">
        <w:t xml:space="preserve"> side constraints do not limit the exte</w:t>
      </w:r>
      <w:r w:rsidR="00146E54">
        <w:t xml:space="preserve">nt to which a tariff for </w:t>
      </w:r>
      <w:r w:rsidR="002755BF">
        <w:t>customers with remote interval metering may vary according to time or other circumstances of the</w:t>
      </w:r>
      <w:r w:rsidR="00146E54">
        <w:t xml:space="preserve">ir usage. We agree </w:t>
      </w:r>
      <w:r w:rsidR="002755BF">
        <w:t xml:space="preserve">this clause appears redundant and would lack clarity on whether consumers with interval meters were exempt from the side constraint. </w:t>
      </w:r>
    </w:p>
    <w:p w14:paraId="5404AA01" w14:textId="77777777" w:rsidR="00C867C4" w:rsidRPr="000B5138" w:rsidRDefault="00BC643E" w:rsidP="00881AD2">
      <w:pPr>
        <w:pStyle w:val="Heading4"/>
        <w:spacing w:after="160"/>
        <w:rPr>
          <w:rStyle w:val="Strong"/>
          <w:b/>
        </w:rPr>
      </w:pPr>
      <w:r w:rsidRPr="000B5138">
        <w:rPr>
          <w:rStyle w:val="Strong"/>
          <w:b/>
        </w:rPr>
        <w:t>Other options</w:t>
      </w:r>
    </w:p>
    <w:p w14:paraId="12967504" w14:textId="123883DC" w:rsidR="002F43E4" w:rsidRDefault="0054354C" w:rsidP="002F43E4">
      <w:pPr>
        <w:pStyle w:val="AERbodytext"/>
        <w:numPr>
          <w:ilvl w:val="0"/>
          <w:numId w:val="0"/>
        </w:numPr>
      </w:pPr>
      <w:r>
        <w:t>There might be quite different alternatives</w:t>
      </w:r>
      <w:r w:rsidR="00146E54">
        <w:t xml:space="preserve"> to managing volatility</w:t>
      </w:r>
      <w:r w:rsidR="00D1450D">
        <w:t xml:space="preserve"> and transition</w:t>
      </w:r>
      <w:r>
        <w:t>. T</w:t>
      </w:r>
      <w:r w:rsidR="00BC643E">
        <w:t>he AEMC</w:t>
      </w:r>
      <w:r w:rsidR="00D1450D">
        <w:t>’s</w:t>
      </w:r>
      <w:r w:rsidR="00BC643E">
        <w:t xml:space="preserve"> Power of</w:t>
      </w:r>
      <w:r>
        <w:t xml:space="preserve"> Choice review</w:t>
      </w:r>
      <w:r w:rsidR="00BC643E">
        <w:t xml:space="preserve"> recommended a gradual phasing-in approach </w:t>
      </w:r>
      <w:r>
        <w:t>to</w:t>
      </w:r>
      <w:r w:rsidR="00BC643E">
        <w:t xml:space="preserve"> more efficient tariffs and advanced metering. That is, by segmenting con</w:t>
      </w:r>
      <w:r w:rsidR="00146E54">
        <w:t>sumers, and determining opt-in /</w:t>
      </w:r>
      <w:r w:rsidR="00BC643E">
        <w:t xml:space="preserve"> </w:t>
      </w:r>
      <w:r w:rsidR="00146E54">
        <w:t>opt-</w:t>
      </w:r>
      <w:r w:rsidR="00BC643E">
        <w:t xml:space="preserve">out arrangements, and situations where smart </w:t>
      </w:r>
      <w:r>
        <w:t>meter</w:t>
      </w:r>
      <w:r w:rsidR="00BC643E">
        <w:t xml:space="preserve"> </w:t>
      </w:r>
      <w:r w:rsidR="00146E54">
        <w:t xml:space="preserve">installation </w:t>
      </w:r>
      <w:r>
        <w:t xml:space="preserve">would be required. </w:t>
      </w:r>
      <w:r w:rsidR="00BC643E">
        <w:t xml:space="preserve">SCER opted </w:t>
      </w:r>
      <w:r w:rsidR="00146E54">
        <w:t>for jurisdictional governments determining</w:t>
      </w:r>
      <w:r w:rsidR="00BC643E">
        <w:t xml:space="preserve"> how to implement any such ref</w:t>
      </w:r>
      <w:r>
        <w:t>orms in their</w:t>
      </w:r>
      <w:r w:rsidR="00146E54">
        <w:t xml:space="preserve"> areas. </w:t>
      </w:r>
      <w:r w:rsidR="000E28BF">
        <w:t>Not knowing how jurisdiction</w:t>
      </w:r>
      <w:r>
        <w:t>s might respond to these matters could make it</w:t>
      </w:r>
      <w:r w:rsidR="000E28BF">
        <w:t xml:space="preserve"> difficult for DNSPs to anticipat</w:t>
      </w:r>
      <w:r>
        <w:t>e what might be expected. It also makes it</w:t>
      </w:r>
      <w:r w:rsidR="000E28BF">
        <w:t xml:space="preserve"> difficult for us to comment on required </w:t>
      </w:r>
      <w:r>
        <w:t xml:space="preserve">NER </w:t>
      </w:r>
      <w:r w:rsidR="000E28BF">
        <w:t>reforms to manage volatility and transition.</w:t>
      </w:r>
    </w:p>
    <w:p w14:paraId="3113E42F" w14:textId="77777777" w:rsidR="002F43E4" w:rsidRDefault="002F43E4" w:rsidP="002F43E4">
      <w:pPr>
        <w:pStyle w:val="Heading1"/>
      </w:pPr>
      <w:bookmarkStart w:id="28" w:name="_Toc375143056"/>
      <w:r>
        <w:lastRenderedPageBreak/>
        <w:t>AER guidelines</w:t>
      </w:r>
      <w:bookmarkEnd w:id="28"/>
    </w:p>
    <w:p w14:paraId="4702FC66" w14:textId="10678053" w:rsidR="00EF3F2B" w:rsidRDefault="00D211D4" w:rsidP="00683B57">
      <w:pPr>
        <w:pStyle w:val="AERbodytext"/>
        <w:numPr>
          <w:ilvl w:val="0"/>
          <w:numId w:val="0"/>
        </w:numPr>
      </w:pPr>
      <w:r>
        <w:t xml:space="preserve">SCER proposes to require us to publish a guideline </w:t>
      </w:r>
      <w:r w:rsidR="00052977">
        <w:t>on</w:t>
      </w:r>
      <w:r>
        <w:t xml:space="preserve"> stakeholder consultation, and leaves to our discretion whether to publish a guideline dealing with the economic as</w:t>
      </w:r>
      <w:r w:rsidR="00160C7D">
        <w:t>pects of pricing.</w:t>
      </w:r>
      <w:r w:rsidR="00302554">
        <w:t xml:space="preserve"> </w:t>
      </w:r>
      <w:r w:rsidR="00160C7D">
        <w:t>We will need to</w:t>
      </w:r>
      <w:r>
        <w:t xml:space="preserve"> observe how various components of this rule change such as the exact wo</w:t>
      </w:r>
      <w:r w:rsidR="00160C7D">
        <w:t>rding of the pricing principles</w:t>
      </w:r>
      <w:r w:rsidR="00095BCB">
        <w:t xml:space="preserve"> progress before </w:t>
      </w:r>
      <w:r w:rsidR="00160C7D">
        <w:t>definitively identify</w:t>
      </w:r>
      <w:r w:rsidR="00095BCB">
        <w:t>ing</w:t>
      </w:r>
      <w:r w:rsidR="00160C7D">
        <w:t xml:space="preserve"> </w:t>
      </w:r>
      <w:r w:rsidR="00095BCB">
        <w:t>the scope of any AER</w:t>
      </w:r>
      <w:r>
        <w:t xml:space="preserve"> guidelines. In doing so, we </w:t>
      </w:r>
      <w:r w:rsidR="00160C7D">
        <w:t>are</w:t>
      </w:r>
      <w:r>
        <w:t xml:space="preserve"> keen to avoid excessive burden or prescription where this is </w:t>
      </w:r>
      <w:r w:rsidR="00052977">
        <w:t>un</w:t>
      </w:r>
      <w:r>
        <w:t xml:space="preserve">justified. </w:t>
      </w:r>
      <w:r w:rsidR="006C7158">
        <w:t>This submission ident</w:t>
      </w:r>
      <w:r w:rsidR="00D435B4">
        <w:t xml:space="preserve">ifies </w:t>
      </w:r>
      <w:r w:rsidR="006C7158">
        <w:t>areas where there might be need for further explanation as to the interpr</w:t>
      </w:r>
      <w:r w:rsidR="002F409E">
        <w:t>et</w:t>
      </w:r>
      <w:r w:rsidR="006C7158">
        <w:t xml:space="preserve">ations of rules or procedural </w:t>
      </w:r>
      <w:r w:rsidR="002F409E">
        <w:t>or justification expectations.</w:t>
      </w:r>
      <w:r w:rsidR="00EF3F2B">
        <w:t xml:space="preserve"> These cover issues of an economic, procedural or consultative nature, including:</w:t>
      </w:r>
    </w:p>
    <w:p w14:paraId="650F3ED4" w14:textId="77777777" w:rsidR="00EF3F2B" w:rsidRDefault="00EF3F2B" w:rsidP="00EF3F2B">
      <w:pPr>
        <w:pStyle w:val="AERbulletlistfirststyle"/>
      </w:pPr>
      <w:r>
        <w:t>Interpretations:</w:t>
      </w:r>
    </w:p>
    <w:p w14:paraId="14EA4A2C" w14:textId="77777777" w:rsidR="00EF3F2B" w:rsidRDefault="00EF3F2B" w:rsidP="00EF3F2B">
      <w:pPr>
        <w:pStyle w:val="AERbulletlistfirststyle"/>
        <w:numPr>
          <w:ilvl w:val="1"/>
          <w:numId w:val="4"/>
        </w:numPr>
      </w:pPr>
      <w:r>
        <w:t>any reference to LRMC, and how it might be viewed in light of an overall objective for tariffs to reflect underlying drivers of network costs which vary by time and location.</w:t>
      </w:r>
    </w:p>
    <w:p w14:paraId="7B2C36D3" w14:textId="5B9CE6A1" w:rsidR="00EF3F2B" w:rsidRDefault="00EF3F2B" w:rsidP="00EF3F2B">
      <w:pPr>
        <w:pStyle w:val="AERbulletlistfirststyle"/>
        <w:numPr>
          <w:ilvl w:val="1"/>
          <w:numId w:val="4"/>
        </w:numPr>
      </w:pPr>
      <w:r>
        <w:t>the scope of matters to consider with respect to customer impacts</w:t>
      </w:r>
      <w:r w:rsidR="00052977">
        <w:t>.</w:t>
      </w:r>
      <w:r>
        <w:t xml:space="preserve"> </w:t>
      </w:r>
    </w:p>
    <w:p w14:paraId="6A40295F" w14:textId="77777777" w:rsidR="00EF3F2B" w:rsidRDefault="00EF3F2B" w:rsidP="00EF3F2B">
      <w:pPr>
        <w:pStyle w:val="AERbulletlistfirststyle"/>
        <w:numPr>
          <w:ilvl w:val="1"/>
          <w:numId w:val="4"/>
        </w:numPr>
      </w:pPr>
      <w:r>
        <w:t xml:space="preserve">the various matters that DNSPs are to consider in defining tariff classes and in assigning and reassigning customers. </w:t>
      </w:r>
    </w:p>
    <w:p w14:paraId="3A8010EE" w14:textId="77777777" w:rsidR="00EF3F2B" w:rsidRDefault="00EF3F2B" w:rsidP="00EF3F2B">
      <w:pPr>
        <w:pStyle w:val="AERbulletlistfirststyle"/>
        <w:numPr>
          <w:ilvl w:val="1"/>
          <w:numId w:val="4"/>
        </w:numPr>
      </w:pPr>
      <w:r>
        <w:t xml:space="preserve">the approach to be used to recover costs residual to LRMC. </w:t>
      </w:r>
    </w:p>
    <w:p w14:paraId="5E16581F" w14:textId="77777777" w:rsidR="00EF3F2B" w:rsidRDefault="00EF3F2B" w:rsidP="00EF3F2B">
      <w:pPr>
        <w:pStyle w:val="AERbulletlistfirststyle"/>
      </w:pPr>
      <w:r>
        <w:t>Expectations :</w:t>
      </w:r>
    </w:p>
    <w:p w14:paraId="1A3F790D" w14:textId="77777777" w:rsidR="00EF3F2B" w:rsidRDefault="00EF3F2B" w:rsidP="00EF3F2B">
      <w:pPr>
        <w:pStyle w:val="AERbulletlistfirststyle"/>
        <w:numPr>
          <w:ilvl w:val="1"/>
          <w:numId w:val="4"/>
        </w:numPr>
      </w:pPr>
      <w:r>
        <w:t xml:space="preserve">on justifications that should be made to show how DNSPs have approached the pricing principles, including the need to explain matters concerning LRMC qualitatively and quantitatively. </w:t>
      </w:r>
    </w:p>
    <w:p w14:paraId="1013AEC2" w14:textId="7D8C290F" w:rsidR="00EF3F2B" w:rsidRDefault="00052977" w:rsidP="00EF3F2B">
      <w:pPr>
        <w:pStyle w:val="AERbulletlistfirststyle"/>
        <w:numPr>
          <w:ilvl w:val="1"/>
          <w:numId w:val="4"/>
        </w:numPr>
      </w:pPr>
      <w:r>
        <w:t>o</w:t>
      </w:r>
      <w:r w:rsidR="00EF3F2B">
        <w:t>n how DNSP</w:t>
      </w:r>
      <w:r w:rsidR="00881AD2">
        <w:t>’s</w:t>
      </w:r>
      <w:r w:rsidR="00EF3F2B">
        <w:t xml:space="preserve"> are to indicate how they have consulted with stakeholders and dealt with any issues raised therein, as part of the development of their PSS.</w:t>
      </w:r>
    </w:p>
    <w:p w14:paraId="5C61D30D" w14:textId="419E69BD" w:rsidR="00050E8B" w:rsidRDefault="00050E8B" w:rsidP="00EF3F2B">
      <w:pPr>
        <w:pStyle w:val="AERbulletlistfirststyle"/>
        <w:numPr>
          <w:ilvl w:val="1"/>
          <w:numId w:val="4"/>
        </w:numPr>
      </w:pPr>
      <w:r>
        <w:t>Role and scope of PSS and how this may need to evolve/change over time</w:t>
      </w:r>
    </w:p>
    <w:p w14:paraId="1D780DD8" w14:textId="245AAC83" w:rsidR="00EF3F2B" w:rsidRDefault="002F409E" w:rsidP="00683B57">
      <w:pPr>
        <w:pStyle w:val="AERbodytext"/>
        <w:numPr>
          <w:ilvl w:val="0"/>
          <w:numId w:val="0"/>
        </w:numPr>
      </w:pPr>
      <w:r>
        <w:t>With respect to consultation we are unclear on the need to set out expectations that are more spe</w:t>
      </w:r>
      <w:r w:rsidR="00F10CFC">
        <w:t>cific or customised for pricing</w:t>
      </w:r>
      <w:r>
        <w:t xml:space="preserve"> than the broad principles</w:t>
      </w:r>
      <w:r w:rsidR="00052977">
        <w:t xml:space="preserve"> </w:t>
      </w:r>
      <w:r>
        <w:t xml:space="preserve">based approach used in our current Consumer Engagement Guideline </w:t>
      </w:r>
      <w:r w:rsidR="00EF3F2B">
        <w:t xml:space="preserve">(CEG) </w:t>
      </w:r>
      <w:r>
        <w:t>for NSPs.</w:t>
      </w:r>
      <w:r w:rsidR="00F10CFC">
        <w:rPr>
          <w:rStyle w:val="FootnoteReference"/>
        </w:rPr>
        <w:footnoteReference w:id="35"/>
      </w:r>
      <w:r>
        <w:t xml:space="preserve"> </w:t>
      </w:r>
      <w:r w:rsidR="00D1450D">
        <w:t xml:space="preserve">We </w:t>
      </w:r>
      <w:r>
        <w:t xml:space="preserve">note though that this guideline implemented under our Better Regulation program only targets consumers, and other parties like retailers will </w:t>
      </w:r>
      <w:r w:rsidR="00052977">
        <w:t xml:space="preserve">also </w:t>
      </w:r>
      <w:r>
        <w:t xml:space="preserve">have a core interest in distribution pricing. </w:t>
      </w:r>
      <w:r w:rsidR="00EF3F2B">
        <w:t xml:space="preserve">If there is need for more extensive guidance here, this could be achieved by way of a revision to the </w:t>
      </w:r>
      <w:r w:rsidR="00CF2BEE">
        <w:t>CEG rather</w:t>
      </w:r>
      <w:r w:rsidR="00EF3F2B">
        <w:t xml:space="preserve"> than a separate pricing consultation guideline.</w:t>
      </w:r>
    </w:p>
    <w:p w14:paraId="2C4197AD" w14:textId="77777777" w:rsidR="007F42D9" w:rsidRDefault="007F42D9" w:rsidP="007F42D9">
      <w:pPr>
        <w:pStyle w:val="Heading1"/>
      </w:pPr>
      <w:bookmarkStart w:id="29" w:name="_Toc375143057"/>
      <w:r>
        <w:lastRenderedPageBreak/>
        <w:t>Timing of reforms</w:t>
      </w:r>
      <w:bookmarkEnd w:id="29"/>
    </w:p>
    <w:p w14:paraId="19AF2C1F" w14:textId="589CDDEE" w:rsidR="007207EA" w:rsidRDefault="00E767D0" w:rsidP="008611F6">
      <w:pPr>
        <w:pStyle w:val="AERbodytext"/>
        <w:numPr>
          <w:ilvl w:val="0"/>
          <w:numId w:val="0"/>
        </w:numPr>
      </w:pPr>
      <w:r>
        <w:t>As identified in the AEMC’s consultation paper the expected conclusion date for this r</w:t>
      </w:r>
      <w:r w:rsidR="00160C7D">
        <w:t xml:space="preserve">ule change (November 2014) </w:t>
      </w:r>
      <w:r>
        <w:t>create</w:t>
      </w:r>
      <w:r w:rsidR="00160C7D">
        <w:t>s</w:t>
      </w:r>
      <w:r>
        <w:t xml:space="preserve"> diff</w:t>
      </w:r>
      <w:r w:rsidR="00160C7D">
        <w:t>iculties for</w:t>
      </w:r>
      <w:r>
        <w:t xml:space="preserve"> upcoming </w:t>
      </w:r>
      <w:r w:rsidR="00160C7D">
        <w:t xml:space="preserve">distribution </w:t>
      </w:r>
      <w:r>
        <w:t>revenue determinations</w:t>
      </w:r>
      <w:r w:rsidR="00160C7D">
        <w:t>.</w:t>
      </w:r>
      <w:r w:rsidR="0000784B">
        <w:t xml:space="preserve"> </w:t>
      </w:r>
      <w:r>
        <w:t xml:space="preserve">Given the staggered timeframes for these </w:t>
      </w:r>
      <w:r w:rsidR="007853F9">
        <w:t>reviews</w:t>
      </w:r>
      <w:r>
        <w:t xml:space="preserve">, </w:t>
      </w:r>
      <w:r w:rsidR="00B06188">
        <w:t xml:space="preserve">decisions are </w:t>
      </w:r>
      <w:r w:rsidR="007853F9">
        <w:t xml:space="preserve">required </w:t>
      </w:r>
      <w:r w:rsidR="00B06188">
        <w:t>on the speed by which the reforms in the rule change</w:t>
      </w:r>
      <w:r w:rsidR="00881AD2">
        <w:t xml:space="preserve"> package</w:t>
      </w:r>
      <w:r w:rsidR="00B06188">
        <w:t xml:space="preserve"> should be introduced. </w:t>
      </w:r>
      <w:r w:rsidR="00F10CFC">
        <w:t>These</w:t>
      </w:r>
      <w:r w:rsidR="008611F6">
        <w:t xml:space="preserve"> are substantial reforms and it is important that they be introduced carefully and appropriately.</w:t>
      </w:r>
    </w:p>
    <w:p w14:paraId="4378239E" w14:textId="5E12039C" w:rsidR="001D60CA" w:rsidRDefault="00B06188" w:rsidP="008611F6">
      <w:pPr>
        <w:pStyle w:val="AERbodytext"/>
        <w:numPr>
          <w:ilvl w:val="0"/>
          <w:numId w:val="0"/>
        </w:numPr>
      </w:pPr>
      <w:r>
        <w:t xml:space="preserve">Other than potential improvements to the timing of tariff reviews (pending resolution of the matters proposed by IPART), most aspects of these reforms are probably matters for which the benefits might be gradual. In light of the questions set out in the AEMC’s consultation paper concerning when the reforms should be introduced, </w:t>
      </w:r>
      <w:r w:rsidR="001D60CA">
        <w:t>we would prefer that matters such as developing a PSS be undertaken when an AER guideline is in place:</w:t>
      </w:r>
    </w:p>
    <w:p w14:paraId="2ECD65A8" w14:textId="10EFD329" w:rsidR="00BF3AE2" w:rsidRDefault="00B06188" w:rsidP="00B06188">
      <w:pPr>
        <w:pStyle w:val="AERbulletlistfirststyle"/>
      </w:pPr>
      <w:r>
        <w:t>Whil</w:t>
      </w:r>
      <w:r w:rsidR="00160C7D">
        <w:t>e we are</w:t>
      </w:r>
      <w:r>
        <w:t xml:space="preserve"> uncertain as to the complete scope of a pricing guideline, we have identified a number of important aspects in the pricing principles, tariff class and assignment provisions that </w:t>
      </w:r>
      <w:r w:rsidR="00C30C41">
        <w:t xml:space="preserve">will </w:t>
      </w:r>
      <w:r>
        <w:t xml:space="preserve">require further explanation. Furthermore, we have suggested that the full scope of a PSS should be something that we would set out in a guideline. </w:t>
      </w:r>
    </w:p>
    <w:p w14:paraId="18C19C39" w14:textId="77777777" w:rsidR="00B06188" w:rsidRDefault="00BF3AE2" w:rsidP="00B06188">
      <w:pPr>
        <w:pStyle w:val="AERbulletlistfirststyle"/>
      </w:pPr>
      <w:r>
        <w:t xml:space="preserve">The first PSS will likely be the most difficult to implement given its novelty. It is therefore important that there be a strong consultative process in developing and reviewing this PSS. </w:t>
      </w:r>
    </w:p>
    <w:p w14:paraId="56930767" w14:textId="6AA7CAF1" w:rsidR="00E767D0" w:rsidRDefault="00160C7D" w:rsidP="007F42D9">
      <w:pPr>
        <w:pStyle w:val="AERbodytext"/>
      </w:pPr>
      <w:r>
        <w:t>We are keen to hear</w:t>
      </w:r>
      <w:r w:rsidR="00BF3AE2">
        <w:t xml:space="preserve"> stakeholder views on this issue as part of the rule change process, and whether there might be a </w:t>
      </w:r>
      <w:r w:rsidR="00C30C41">
        <w:t xml:space="preserve">better </w:t>
      </w:r>
      <w:r w:rsidR="00BF3AE2">
        <w:t>process by way of any transitional rule provisions</w:t>
      </w:r>
      <w:r w:rsidR="008611F6">
        <w:t>:</w:t>
      </w:r>
      <w:r w:rsidR="00BF3AE2">
        <w:t xml:space="preserve"> </w:t>
      </w:r>
    </w:p>
    <w:p w14:paraId="618FEC4F" w14:textId="622733A4" w:rsidR="00683B57" w:rsidRDefault="00BF3AE2" w:rsidP="00BF3AE2">
      <w:pPr>
        <w:pStyle w:val="AERbulletlistfirststyle"/>
      </w:pPr>
      <w:r>
        <w:t>For NSW/ACT</w:t>
      </w:r>
      <w:r w:rsidR="00160C7D">
        <w:t xml:space="preserve"> DNSPs</w:t>
      </w:r>
      <w:r>
        <w:t xml:space="preserve">, </w:t>
      </w:r>
      <w:r w:rsidR="00160C7D">
        <w:t>this rule change’s completion</w:t>
      </w:r>
      <w:r w:rsidR="00683B57">
        <w:t xml:space="preserve"> will be </w:t>
      </w:r>
      <w:r w:rsidR="00493C50">
        <w:t xml:space="preserve">well </w:t>
      </w:r>
      <w:r w:rsidR="00683B57">
        <w:t>after they have s</w:t>
      </w:r>
      <w:r w:rsidR="00160C7D">
        <w:t>ubmitted revenue proposals</w:t>
      </w:r>
      <w:r w:rsidR="00683B57">
        <w:t xml:space="preserve"> (31 May 2014 for the full determination). Even wit</w:t>
      </w:r>
      <w:r w:rsidR="00160C7D">
        <w:t>h transitional rules allowing PSS submission</w:t>
      </w:r>
      <w:r w:rsidR="00683B57">
        <w:t xml:space="preserve"> after the revenue proposal stage, it would appear difficult for us to develop a new pricing guideline by the time we are required to publish our final determination (</w:t>
      </w:r>
      <w:r w:rsidR="00175B0E">
        <w:t xml:space="preserve">30 </w:t>
      </w:r>
      <w:r w:rsidR="00683B57">
        <w:t>April 2015) and to require consultation on the PSS after completion of a guideline.</w:t>
      </w:r>
      <w:r w:rsidR="008611F6">
        <w:t xml:space="preserve"> </w:t>
      </w:r>
    </w:p>
    <w:p w14:paraId="69697022" w14:textId="03AA82E3" w:rsidR="00BF3AE2" w:rsidRDefault="00683B57" w:rsidP="00BF3AE2">
      <w:pPr>
        <w:pStyle w:val="AERbulletlistfirststyle"/>
      </w:pPr>
      <w:r>
        <w:t>Similarly, for</w:t>
      </w:r>
      <w:r w:rsidR="00BF3AE2">
        <w:t xml:space="preserve"> SA/QLD DNSPs, the completion of this rule change will be after they have submitted revenue proposals to us (31 October</w:t>
      </w:r>
      <w:r>
        <w:t xml:space="preserve"> 2014). With our draft decisions due on 30 April 2015 and final decisions on 31 October 2015, there could be some scope to develop a guideline by the time our fi</w:t>
      </w:r>
      <w:r w:rsidR="00F10CFC">
        <w:t>nal decisions are due, but</w:t>
      </w:r>
      <w:r>
        <w:t xml:space="preserve"> the consultation problems would still r</w:t>
      </w:r>
      <w:r w:rsidR="00881AD2">
        <w:t>emain as per the NSW/ACT case</w:t>
      </w:r>
      <w:r>
        <w:t>.</w:t>
      </w:r>
    </w:p>
    <w:p w14:paraId="79DFB55F" w14:textId="42B3F499" w:rsidR="00175B0E" w:rsidRDefault="00175B0E" w:rsidP="00BF3AE2">
      <w:pPr>
        <w:pStyle w:val="AERbulletlistfirststyle"/>
      </w:pPr>
      <w:r>
        <w:t>For VIC DNSPs, the completion of this rule change will be before they submit revenue proposals to us (30 April 2015) and before we release our draft decisions (31 October 2015). It might be difficult for a guideline to be finalised by the time these DNSPs submit revenue proposals</w:t>
      </w:r>
      <w:r w:rsidR="000661DB">
        <w:t xml:space="preserve"> but</w:t>
      </w:r>
      <w:r>
        <w:t xml:space="preserve"> they might be able to be guided say by a draft </w:t>
      </w:r>
      <w:r w:rsidR="000661DB">
        <w:t>guideline.</w:t>
      </w:r>
      <w:r>
        <w:t xml:space="preserve"> </w:t>
      </w:r>
    </w:p>
    <w:p w14:paraId="0CFFB59A" w14:textId="4B74BEDF" w:rsidR="00E767D0" w:rsidRDefault="008611F6" w:rsidP="007F42D9">
      <w:pPr>
        <w:pStyle w:val="AERbodytext"/>
      </w:pPr>
      <w:r>
        <w:t>As an alternative, particularly for NSW/ACT/SA/QLD DNSPs, this rule change could explore the option of allowing DNSPs to submit a higher level document for their inaugural PSS which could later be made firmer upon completion of an AER guideline. This higher level document could be guided by the AEMC’s draft or final rule change determinations:</w:t>
      </w:r>
    </w:p>
    <w:p w14:paraId="48E681FA" w14:textId="1E12FCBE" w:rsidR="00CB2E05" w:rsidRPr="007F42D9" w:rsidRDefault="008611F6" w:rsidP="00175B0E">
      <w:pPr>
        <w:pStyle w:val="AERbulletlistfirststyle"/>
      </w:pPr>
      <w:r>
        <w:t xml:space="preserve">For NSW/ACT DNSPs this option would still mean that they would be submitting their inaugural PSS </w:t>
      </w:r>
      <w:r w:rsidR="00175B0E">
        <w:t>after the first year of the regulatory period.</w:t>
      </w:r>
    </w:p>
    <w:sectPr w:rsidR="00CB2E05" w:rsidRPr="007F42D9" w:rsidSect="000277FD">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18D83" w14:textId="77777777" w:rsidR="00957D51" w:rsidRDefault="00957D51" w:rsidP="009D7C1D">
      <w:pPr>
        <w:spacing w:after="0" w:line="240" w:lineRule="auto"/>
      </w:pPr>
      <w:r>
        <w:separator/>
      </w:r>
    </w:p>
  </w:endnote>
  <w:endnote w:type="continuationSeparator" w:id="0">
    <w:p w14:paraId="1C7B5D9B" w14:textId="77777777" w:rsidR="00957D51" w:rsidRDefault="00957D51" w:rsidP="009D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70250" w14:textId="77777777" w:rsidR="00957D51" w:rsidRDefault="00957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4CD3A" w14:textId="77777777" w:rsidR="00957D51" w:rsidRDefault="00957D51">
    <w:pPr>
      <w:pStyle w:val="Footer"/>
    </w:pPr>
    <w:r>
      <w:rPr>
        <w:rStyle w:val="AERtextblue"/>
      </w:rPr>
      <w:tab/>
    </w:r>
    <w:r>
      <w:tab/>
    </w:r>
    <w:r w:rsidRPr="00D25317">
      <w:rPr>
        <w:rStyle w:val="AERtextblue"/>
      </w:rPr>
      <w:fldChar w:fldCharType="begin"/>
    </w:r>
    <w:r w:rsidRPr="00AB5BD7">
      <w:rPr>
        <w:rStyle w:val="AERtextblue"/>
      </w:rPr>
      <w:instrText xml:space="preserve"> PAGE   \* MERGEFORMAT </w:instrText>
    </w:r>
    <w:r w:rsidRPr="00D25317">
      <w:rPr>
        <w:rStyle w:val="AERtextblue"/>
      </w:rPr>
      <w:fldChar w:fldCharType="separate"/>
    </w:r>
    <w:r w:rsidR="00A1647D">
      <w:rPr>
        <w:rStyle w:val="AERtextblue"/>
        <w:noProof/>
      </w:rPr>
      <w:t>ii</w:t>
    </w:r>
    <w:r w:rsidRPr="00D25317">
      <w:rPr>
        <w:rStyle w:val="AERtextblu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50107" w14:textId="31A904C5" w:rsidR="00957D51" w:rsidRDefault="00957D51" w:rsidP="003C6E96">
    <w:pPr>
      <w:pStyle w:val="Footer"/>
      <w:spacing w:after="40"/>
    </w:pPr>
    <w:r>
      <w:rPr>
        <w:rStyle w:val="AERtextorange"/>
      </w:rPr>
      <w:t>AER Submission to AEMC consu</w:t>
    </w:r>
    <w:r w:rsidR="00532B49">
      <w:rPr>
        <w:rStyle w:val="AERtextorange"/>
      </w:rPr>
      <w:t>ltation paper:  Rule changes – d</w:t>
    </w:r>
    <w:r>
      <w:rPr>
        <w:rStyle w:val="AERtextorange"/>
      </w:rPr>
      <w:t>istribution network pricing</w:t>
    </w:r>
    <w:r>
      <w:rPr>
        <w:rStyle w:val="AERtextblue"/>
      </w:rPr>
      <w:tab/>
    </w:r>
    <w:r>
      <w:tab/>
    </w:r>
    <w:r w:rsidRPr="00D25317">
      <w:rPr>
        <w:rStyle w:val="AERtextblue"/>
      </w:rPr>
      <w:fldChar w:fldCharType="begin"/>
    </w:r>
    <w:r w:rsidRPr="00AB5BD7">
      <w:rPr>
        <w:rStyle w:val="AERtextblue"/>
      </w:rPr>
      <w:instrText xml:space="preserve"> PAGE   \* MERGEFORMAT </w:instrText>
    </w:r>
    <w:r w:rsidRPr="00D25317">
      <w:rPr>
        <w:rStyle w:val="AERtextblue"/>
      </w:rPr>
      <w:fldChar w:fldCharType="separate"/>
    </w:r>
    <w:r w:rsidR="00A1647D">
      <w:rPr>
        <w:rStyle w:val="AERtextblue"/>
        <w:noProof/>
      </w:rPr>
      <w:t>21</w:t>
    </w:r>
    <w:r w:rsidRPr="00D25317">
      <w:rPr>
        <w:rStyle w:val="AERtextblu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9D313" w14:textId="77777777" w:rsidR="00957D51" w:rsidRDefault="00957D51" w:rsidP="009D7C1D">
      <w:pPr>
        <w:spacing w:after="0" w:line="240" w:lineRule="auto"/>
      </w:pPr>
      <w:r>
        <w:separator/>
      </w:r>
    </w:p>
  </w:footnote>
  <w:footnote w:type="continuationSeparator" w:id="0">
    <w:p w14:paraId="0EE4C924" w14:textId="77777777" w:rsidR="00957D51" w:rsidRDefault="00957D51" w:rsidP="009D7C1D">
      <w:pPr>
        <w:spacing w:after="0" w:line="240" w:lineRule="auto"/>
      </w:pPr>
      <w:r>
        <w:continuationSeparator/>
      </w:r>
    </w:p>
  </w:footnote>
  <w:footnote w:id="1">
    <w:p w14:paraId="52CC196F" w14:textId="2880234D" w:rsidR="00957D51" w:rsidRDefault="00957D51" w:rsidP="00F917E0">
      <w:pPr>
        <w:pStyle w:val="FootnoteText"/>
      </w:pPr>
      <w:r>
        <w:rPr>
          <w:rStyle w:val="FootnoteReference"/>
        </w:rPr>
        <w:footnoteRef/>
      </w:r>
      <w:r>
        <w:t xml:space="preserve"> </w:t>
      </w:r>
      <w:r>
        <w:tab/>
        <w:t>Clause 6.18.5 of the NER.</w:t>
      </w:r>
    </w:p>
  </w:footnote>
  <w:footnote w:id="2">
    <w:p w14:paraId="01C0A70A" w14:textId="616149DF" w:rsidR="00957D51" w:rsidRDefault="00957D51" w:rsidP="007007E8">
      <w:pPr>
        <w:pStyle w:val="FootnoteText"/>
      </w:pPr>
      <w:r>
        <w:rPr>
          <w:rStyle w:val="FootnoteReference"/>
        </w:rPr>
        <w:footnoteRef/>
      </w:r>
      <w:r>
        <w:t xml:space="preserve"> </w:t>
      </w:r>
      <w:r>
        <w:tab/>
        <w:t>For example, it’s increasingly important for consumers to know when to: use technologies that might export energy to the grid—photo-voltaic units, battery storage; use demand-side options—direct load control or other similar automated demand management systems; or, when to use peaky technologies—recharging electric vehicles, using air conditioners.</w:t>
      </w:r>
    </w:p>
  </w:footnote>
  <w:footnote w:id="3">
    <w:p w14:paraId="4B9C7AFA" w14:textId="2B66DE83" w:rsidR="00957D51" w:rsidRDefault="00957D51" w:rsidP="007007E8">
      <w:pPr>
        <w:pStyle w:val="FootnoteText"/>
      </w:pPr>
      <w:r>
        <w:rPr>
          <w:rStyle w:val="FootnoteReference"/>
        </w:rPr>
        <w:footnoteRef/>
      </w:r>
      <w:r>
        <w:t xml:space="preserve"> </w:t>
      </w:r>
      <w:r>
        <w:tab/>
        <w:t>For consumers this refers to decisions on which appliances to invest in, with respect to their energy use.</w:t>
      </w:r>
    </w:p>
  </w:footnote>
  <w:footnote w:id="4">
    <w:p w14:paraId="1255AD33" w14:textId="2A221BCB" w:rsidR="00957D51" w:rsidRDefault="00957D51" w:rsidP="00851EF0">
      <w:pPr>
        <w:pStyle w:val="FootnoteText"/>
      </w:pPr>
      <w:r>
        <w:rPr>
          <w:rStyle w:val="FootnoteReference"/>
        </w:rPr>
        <w:footnoteRef/>
      </w:r>
      <w:r>
        <w:t xml:space="preserve"> </w:t>
      </w:r>
      <w:r>
        <w:tab/>
        <w:t xml:space="preserve">Marsden Jacob Associates, </w:t>
      </w:r>
      <w:r w:rsidRPr="00851EF0">
        <w:rPr>
          <w:i/>
        </w:rPr>
        <w:t>Estimation of Long Run Marginal Cost (LRMC),</w:t>
      </w:r>
      <w:r>
        <w:t xml:space="preserve"> November 2004, p.36</w:t>
      </w:r>
    </w:p>
  </w:footnote>
  <w:footnote w:id="5">
    <w:p w14:paraId="73544B39" w14:textId="47F37808" w:rsidR="00957D51" w:rsidRDefault="00957D51" w:rsidP="002D71DC">
      <w:pPr>
        <w:pStyle w:val="FootnoteText"/>
      </w:pPr>
      <w:r>
        <w:rPr>
          <w:rStyle w:val="FootnoteReference"/>
        </w:rPr>
        <w:footnoteRef/>
      </w:r>
      <w:r>
        <w:t xml:space="preserve"> </w:t>
      </w:r>
      <w:r>
        <w:tab/>
        <w:t xml:space="preserve">It would possibly involve some form of centralised system of constraint equations and optimisation algorithms. It could also result </w:t>
      </w:r>
      <w:r w:rsidR="00532B49">
        <w:t>in significant instability in</w:t>
      </w:r>
      <w:r>
        <w:t xml:space="preserve"> prices or in revenues for DNSPs–although there might be a role for various hedging instruments in managing this instability, and an extension of the retailer’s role which is already to manage volatility on behalf of consumers. </w:t>
      </w:r>
    </w:p>
  </w:footnote>
  <w:footnote w:id="6">
    <w:p w14:paraId="4AEDDBB9" w14:textId="2BF21E07" w:rsidR="00957D51" w:rsidRDefault="00957D51" w:rsidP="00423869">
      <w:pPr>
        <w:pStyle w:val="FootnoteText"/>
      </w:pPr>
      <w:r>
        <w:rPr>
          <w:rStyle w:val="FootnoteReference"/>
        </w:rPr>
        <w:footnoteRef/>
      </w:r>
      <w:r>
        <w:t xml:space="preserve"> </w:t>
      </w:r>
      <w:r>
        <w:tab/>
        <w:t>Currently, the vast majority of residential consumers in the NEM face flat tariffs that depend on consumption volumes and do not vary by time of day or location.</w:t>
      </w:r>
    </w:p>
  </w:footnote>
  <w:footnote w:id="7">
    <w:p w14:paraId="1F15473C" w14:textId="12AB6F5E" w:rsidR="00957D51" w:rsidRDefault="00957D51" w:rsidP="00104EBC">
      <w:pPr>
        <w:pStyle w:val="FootnoteText"/>
      </w:pPr>
      <w:r>
        <w:rPr>
          <w:rStyle w:val="FootnoteReference"/>
        </w:rPr>
        <w:footnoteRef/>
      </w:r>
      <w:r>
        <w:t xml:space="preserve"> </w:t>
      </w:r>
      <w:r>
        <w:tab/>
        <w:t xml:space="preserve">While advanced metering would facilitate more dynamic/efficient tariff options, it’s also possible that SCER’s proposal to require distribution tariffs to be efficient and cost reflective could provide for more rapid deployment of advanced meters. </w:t>
      </w:r>
    </w:p>
  </w:footnote>
  <w:footnote w:id="8">
    <w:p w14:paraId="77219BC9" w14:textId="77777777" w:rsidR="00957D51" w:rsidRPr="007F2A72" w:rsidRDefault="00957D51" w:rsidP="007F2A72">
      <w:pPr>
        <w:pStyle w:val="FootnoteText"/>
      </w:pPr>
      <w:r>
        <w:rPr>
          <w:rStyle w:val="FootnoteReference"/>
        </w:rPr>
        <w:footnoteRef/>
      </w:r>
      <w:r>
        <w:t xml:space="preserve"> </w:t>
      </w:r>
      <w:r>
        <w:tab/>
        <w:t xml:space="preserve">Mann, Saunders &amp; Warford, </w:t>
      </w:r>
      <w:r>
        <w:rPr>
          <w:i/>
        </w:rPr>
        <w:t xml:space="preserve">A note on capital indivisibility and the definition of marginal cost, </w:t>
      </w:r>
      <w:r>
        <w:t>Water Resources Research, Vol.16 no.3, June 1980, pp.602-604.</w:t>
      </w:r>
    </w:p>
  </w:footnote>
  <w:footnote w:id="9">
    <w:p w14:paraId="1129826D" w14:textId="77777777" w:rsidR="00957D51" w:rsidRPr="007F2A72" w:rsidRDefault="00957D51" w:rsidP="007F2A72">
      <w:pPr>
        <w:pStyle w:val="FootnoteText"/>
      </w:pPr>
      <w:r>
        <w:rPr>
          <w:rStyle w:val="FootnoteReference"/>
        </w:rPr>
        <w:footnoteRef/>
      </w:r>
      <w:r>
        <w:t xml:space="preserve"> </w:t>
      </w:r>
      <w:r>
        <w:tab/>
        <w:t>Turvey,</w:t>
      </w:r>
      <w:r>
        <w:rPr>
          <w:i/>
        </w:rPr>
        <w:t xml:space="preserve"> What are marginal costs and how to estimate them?, </w:t>
      </w:r>
      <w:r>
        <w:t>Technical Paper 13, Centre for the study of regulated industries/University of Bath School of Management, March 2000, pp.7-9.</w:t>
      </w:r>
    </w:p>
  </w:footnote>
  <w:footnote w:id="10">
    <w:p w14:paraId="31CE21E5" w14:textId="55FE9A98" w:rsidR="00957D51" w:rsidRDefault="00957D51" w:rsidP="000661DB">
      <w:pPr>
        <w:pStyle w:val="FootnoteText"/>
      </w:pPr>
      <w:r>
        <w:rPr>
          <w:rStyle w:val="FootnoteReference"/>
        </w:rPr>
        <w:footnoteRef/>
      </w:r>
      <w:r>
        <w:t xml:space="preserve"> </w:t>
      </w:r>
      <w:r>
        <w:tab/>
        <w:t>This might be relevant where a DNSP is under a form of control that might allow it to gain (maintain or increase rev</w:t>
      </w:r>
      <w:r w:rsidR="00532B49">
        <w:t>enues) by not reducing demand—an</w:t>
      </w:r>
      <w:r>
        <w:t xml:space="preserve"> issue that might be lessened if revenue caps are applied, as proposed for NSW/ACT networks. In such a case, declines in demand will not lower revenues.</w:t>
      </w:r>
    </w:p>
  </w:footnote>
  <w:footnote w:id="11">
    <w:p w14:paraId="6BC7C29F" w14:textId="77777777" w:rsidR="00957D51" w:rsidRPr="007F2A72" w:rsidRDefault="00957D51" w:rsidP="007F2A72">
      <w:pPr>
        <w:pStyle w:val="FootnoteText"/>
        <w:rPr>
          <w:i/>
        </w:rPr>
      </w:pPr>
      <w:r>
        <w:rPr>
          <w:rStyle w:val="FootnoteReference"/>
        </w:rPr>
        <w:footnoteRef/>
      </w:r>
      <w:r>
        <w:t xml:space="preserve"> </w:t>
      </w:r>
      <w:r>
        <w:tab/>
        <w:t xml:space="preserve">Marsden Jacob Associates, </w:t>
      </w:r>
      <w:r>
        <w:rPr>
          <w:i/>
        </w:rPr>
        <w:t xml:space="preserve">Estimation of Long Run Marginal Cost (LRMC), </w:t>
      </w:r>
      <w:r w:rsidRPr="007F2A72">
        <w:t>November 2004, pp.11-13</w:t>
      </w:r>
      <w:r>
        <w:rPr>
          <w:i/>
        </w:rPr>
        <w:t>.</w:t>
      </w:r>
    </w:p>
  </w:footnote>
  <w:footnote w:id="12">
    <w:p w14:paraId="49942817" w14:textId="7BDCE9D3" w:rsidR="00957D51" w:rsidRDefault="00957D51" w:rsidP="009A4C3B">
      <w:pPr>
        <w:pStyle w:val="FootnoteText"/>
      </w:pPr>
      <w:r>
        <w:rPr>
          <w:rStyle w:val="FootnoteReference"/>
        </w:rPr>
        <w:footnoteRef/>
      </w:r>
      <w:r>
        <w:t xml:space="preserve"> </w:t>
      </w:r>
      <w:r>
        <w:tab/>
        <w:t xml:space="preserve">All DNSPs that currently attempt to quantify LRMC in tariff proposals set revenues to recover from tariff classes above that which would be recovered from pricing at LRMC. See for example, Powercor, </w:t>
      </w:r>
      <w:r>
        <w:rPr>
          <w:i/>
        </w:rPr>
        <w:t xml:space="preserve">2014 Pricing </w:t>
      </w:r>
      <w:r w:rsidRPr="00EB451E">
        <w:rPr>
          <w:i/>
        </w:rPr>
        <w:t>Proposal</w:t>
      </w:r>
      <w:r>
        <w:t xml:space="preserve">, October 2013, </w:t>
      </w:r>
      <w:r w:rsidRPr="00EB451E">
        <w:t>pp</w:t>
      </w:r>
      <w:r>
        <w:t xml:space="preserve">. 51-52; SA Power Networks, </w:t>
      </w:r>
      <w:r>
        <w:rPr>
          <w:i/>
        </w:rPr>
        <w:t>Annual Pricing Proposal 2013-14</w:t>
      </w:r>
      <w:r>
        <w:t xml:space="preserve">, May 2013, pp. 60-62; Essential Energy, </w:t>
      </w:r>
      <w:r>
        <w:rPr>
          <w:i/>
        </w:rPr>
        <w:t>Annual network prices report</w:t>
      </w:r>
      <w:r>
        <w:t>, May 2013, pp. 37-42.</w:t>
      </w:r>
    </w:p>
  </w:footnote>
  <w:footnote w:id="13">
    <w:p w14:paraId="7205C399" w14:textId="61C9CD92" w:rsidR="00957D51" w:rsidRDefault="00957D51" w:rsidP="001612B8">
      <w:pPr>
        <w:pStyle w:val="FootnoteText"/>
      </w:pPr>
      <w:r>
        <w:rPr>
          <w:rStyle w:val="FootnoteReference"/>
        </w:rPr>
        <w:footnoteRef/>
      </w:r>
      <w:r>
        <w:t xml:space="preserve"> </w:t>
      </w:r>
      <w:r>
        <w:tab/>
        <w:t xml:space="preserve">Braeutigam, </w:t>
      </w:r>
      <w:r w:rsidRPr="001612B8">
        <w:rPr>
          <w:i/>
        </w:rPr>
        <w:t>Optimal policies for natural monopolies,</w:t>
      </w:r>
      <w:r>
        <w:t xml:space="preserve"> Chapter 23 of Handbook of Industrial Organisation, Vol II, p.1312.</w:t>
      </w:r>
    </w:p>
  </w:footnote>
  <w:footnote w:id="14">
    <w:p w14:paraId="1CEFD4B0" w14:textId="77777777" w:rsidR="00957D51" w:rsidRDefault="00957D51" w:rsidP="000870D0">
      <w:pPr>
        <w:pStyle w:val="FootnoteText"/>
      </w:pPr>
      <w:r>
        <w:rPr>
          <w:rStyle w:val="FootnoteReference"/>
        </w:rPr>
        <w:footnoteRef/>
      </w:r>
      <w:r>
        <w:t xml:space="preserve"> </w:t>
      </w:r>
      <w:r>
        <w:tab/>
        <w:t xml:space="preserve">This is also reflected in the current pricing principle (6.18.5(a)) requiring the revenue to recover from a tariff class should be above the avoidable cost of not serving those customers, but below the stand alone cost of serving those customers. </w:t>
      </w:r>
    </w:p>
  </w:footnote>
  <w:footnote w:id="15">
    <w:p w14:paraId="2D015E86" w14:textId="6C288F2F" w:rsidR="00957D51" w:rsidRPr="00685194" w:rsidRDefault="00957D51" w:rsidP="00C63F1C">
      <w:pPr>
        <w:pStyle w:val="FootnoteText"/>
      </w:pPr>
      <w:r>
        <w:rPr>
          <w:rStyle w:val="FootnoteReference"/>
        </w:rPr>
        <w:footnoteRef/>
      </w:r>
      <w:r>
        <w:t xml:space="preserve"> </w:t>
      </w:r>
      <w:r>
        <w:tab/>
        <w:t xml:space="preserve">See for example, Church and Ware, </w:t>
      </w:r>
      <w:r>
        <w:rPr>
          <w:i/>
        </w:rPr>
        <w:t>Industrial Organisation: A strategic approach</w:t>
      </w:r>
      <w:r>
        <w:t>, Irwin McGraw-Hill 2000, p. 789.</w:t>
      </w:r>
    </w:p>
  </w:footnote>
  <w:footnote w:id="16">
    <w:p w14:paraId="0D71DD1B" w14:textId="26471B2A" w:rsidR="00957D51" w:rsidRDefault="00957D51" w:rsidP="00A110B2">
      <w:pPr>
        <w:pStyle w:val="FootnoteText"/>
      </w:pPr>
      <w:r>
        <w:rPr>
          <w:rStyle w:val="FootnoteReference"/>
        </w:rPr>
        <w:footnoteRef/>
      </w:r>
      <w:r>
        <w:t xml:space="preserve"> </w:t>
      </w:r>
      <w:r>
        <w:tab/>
        <w:t xml:space="preserve">Similar concerns are raised in economic literature. For example, Laffont and Tirole argue that Ramsey pricing implies expropriation of sunk investments and would likely be rejected in practice. Laffont and Tirole, </w:t>
      </w:r>
      <w:r w:rsidRPr="00A110B2">
        <w:rPr>
          <w:i/>
        </w:rPr>
        <w:t>Competition in Telecommunications</w:t>
      </w:r>
      <w:r>
        <w:t>, The MIT Press, 2000, pp. 74-75</w:t>
      </w:r>
    </w:p>
  </w:footnote>
  <w:footnote w:id="17">
    <w:p w14:paraId="184C0444" w14:textId="449E916E" w:rsidR="00957D51" w:rsidRDefault="00957D51" w:rsidP="00C20AB0">
      <w:pPr>
        <w:pStyle w:val="FootnoteText"/>
      </w:pPr>
      <w:r>
        <w:rPr>
          <w:rStyle w:val="FootnoteReference"/>
        </w:rPr>
        <w:footnoteRef/>
      </w:r>
      <w:r>
        <w:t xml:space="preserve"> </w:t>
      </w:r>
      <w:r>
        <w:tab/>
        <w:t>Clause 6.18.3 of the NER.</w:t>
      </w:r>
    </w:p>
  </w:footnote>
  <w:footnote w:id="18">
    <w:p w14:paraId="6F7FC9D5" w14:textId="3BDC02CC" w:rsidR="00957D51" w:rsidRDefault="00957D51" w:rsidP="00C20AB0">
      <w:pPr>
        <w:pStyle w:val="FootnoteText"/>
      </w:pPr>
      <w:r>
        <w:rPr>
          <w:rStyle w:val="FootnoteReference"/>
        </w:rPr>
        <w:footnoteRef/>
      </w:r>
      <w:r>
        <w:t xml:space="preserve"> </w:t>
      </w:r>
      <w:r>
        <w:tab/>
        <w:t>Clause 6.18.4 of the NER.</w:t>
      </w:r>
    </w:p>
  </w:footnote>
  <w:footnote w:id="19">
    <w:p w14:paraId="1E1B4328" w14:textId="2A18C348" w:rsidR="00957D51" w:rsidRDefault="00957D51" w:rsidP="00C20AB0">
      <w:pPr>
        <w:pStyle w:val="FootnoteText"/>
      </w:pPr>
      <w:r>
        <w:rPr>
          <w:rStyle w:val="FootnoteReference"/>
        </w:rPr>
        <w:footnoteRef/>
      </w:r>
      <w:r>
        <w:t xml:space="preserve"> </w:t>
      </w:r>
      <w:r>
        <w:tab/>
        <w:t>This includes: clauses 6.18.4(a)(1)(i), 6.18.4(a)(2), 6.18.4(b) of the NER.</w:t>
      </w:r>
    </w:p>
  </w:footnote>
  <w:footnote w:id="20">
    <w:p w14:paraId="249DF5EF" w14:textId="14BD28DB" w:rsidR="00957D51" w:rsidRDefault="00957D51" w:rsidP="003826FB">
      <w:pPr>
        <w:pStyle w:val="FootnoteText"/>
      </w:pPr>
      <w:r>
        <w:rPr>
          <w:rStyle w:val="FootnoteReference"/>
        </w:rPr>
        <w:footnoteRef/>
      </w:r>
      <w:r>
        <w:t xml:space="preserve"> </w:t>
      </w:r>
      <w:r>
        <w:tab/>
        <w:t xml:space="preserve">SCER’s proposes DNSPs to consult on, and propose a PSS when submitting a revenue proposal. A PSS would also be submitted with annual pricing proposals. Mid-period PSS amendments would be proposed to us (after consultation) prior to annual tariff proposals. Tariff proposals would need to comply with revenue determinations and the PSS. </w:t>
      </w:r>
    </w:p>
  </w:footnote>
  <w:footnote w:id="21">
    <w:p w14:paraId="299BEDF0" w14:textId="0FF91BFC" w:rsidR="00957D51" w:rsidRDefault="00957D51" w:rsidP="00780E03">
      <w:pPr>
        <w:pStyle w:val="FootnoteText"/>
      </w:pPr>
      <w:r>
        <w:rPr>
          <w:rStyle w:val="FootnoteReference"/>
        </w:rPr>
        <w:footnoteRef/>
      </w:r>
      <w:r>
        <w:t xml:space="preserve"> </w:t>
      </w:r>
      <w:r>
        <w:tab/>
        <w:t xml:space="preserve">AEMC, </w:t>
      </w:r>
      <w:r w:rsidRPr="00780E03">
        <w:rPr>
          <w:i/>
        </w:rPr>
        <w:t>Rule Determination: National Electricity Amendments (Economic Regulation of Network Service Providers) Rule 2012</w:t>
      </w:r>
      <w:r>
        <w:t>, 29 November 2012, p.x.</w:t>
      </w:r>
    </w:p>
  </w:footnote>
  <w:footnote w:id="22">
    <w:p w14:paraId="052B22F9" w14:textId="62B34067" w:rsidR="00957D51" w:rsidRDefault="00957D51" w:rsidP="00780E03">
      <w:pPr>
        <w:pStyle w:val="FootnoteText"/>
      </w:pPr>
      <w:r>
        <w:rPr>
          <w:rStyle w:val="FootnoteReference"/>
        </w:rPr>
        <w:footnoteRef/>
      </w:r>
      <w:r>
        <w:t xml:space="preserve"> </w:t>
      </w:r>
      <w:r>
        <w:tab/>
        <w:t xml:space="preserve">AEMC, </w:t>
      </w:r>
      <w:r w:rsidRPr="00F8387D">
        <w:rPr>
          <w:i/>
        </w:rPr>
        <w:t>Rule Determination: National Electricity Amendment (Distribution Network Planning and Expansion Framework) Rule 2012</w:t>
      </w:r>
      <w:r>
        <w:t>, 11 October 2012, p.ii.</w:t>
      </w:r>
    </w:p>
  </w:footnote>
  <w:footnote w:id="23">
    <w:p w14:paraId="0D2D99F0" w14:textId="75EE75A7" w:rsidR="00957D51" w:rsidRDefault="00957D51" w:rsidP="00935ADB">
      <w:pPr>
        <w:pStyle w:val="FootnoteText"/>
      </w:pPr>
      <w:r>
        <w:rPr>
          <w:rStyle w:val="FootnoteReference"/>
        </w:rPr>
        <w:footnoteRef/>
      </w:r>
      <w:r>
        <w:t xml:space="preserve"> </w:t>
      </w:r>
      <w:r>
        <w:tab/>
        <w:t xml:space="preserve">DNSPs must carry out an annual planning review covering a minimum forward period of 5 years, and report on anticipated network challenges such as system limitations, capacity forecasting etc. AEMC, </w:t>
      </w:r>
      <w:r w:rsidRPr="00F8387D">
        <w:rPr>
          <w:i/>
        </w:rPr>
        <w:t>Rule Determination: National Electricity Amendment (Distribution Network Planning and Expansion Framework) Rule 2012</w:t>
      </w:r>
      <w:r>
        <w:t>, 11 October 2012, p.ii.</w:t>
      </w:r>
    </w:p>
  </w:footnote>
  <w:footnote w:id="24">
    <w:p w14:paraId="4F23F62C" w14:textId="77777777" w:rsidR="00957D51" w:rsidRDefault="00957D51" w:rsidP="001D74BB">
      <w:pPr>
        <w:pStyle w:val="FootnoteText"/>
      </w:pPr>
      <w:r>
        <w:rPr>
          <w:rStyle w:val="FootnoteReference"/>
        </w:rPr>
        <w:footnoteRef/>
      </w:r>
      <w:r>
        <w:t xml:space="preserve"> </w:t>
      </w:r>
      <w:r>
        <w:tab/>
        <w:t>Clause 6.18.4(a) of the current NER.</w:t>
      </w:r>
    </w:p>
  </w:footnote>
  <w:footnote w:id="25">
    <w:p w14:paraId="322CC93A" w14:textId="77777777" w:rsidR="00957D51" w:rsidRDefault="00957D51" w:rsidP="001F303D">
      <w:pPr>
        <w:pStyle w:val="FootnoteText"/>
      </w:pPr>
      <w:r>
        <w:rPr>
          <w:rStyle w:val="FootnoteReference"/>
        </w:rPr>
        <w:footnoteRef/>
      </w:r>
      <w:r>
        <w:t xml:space="preserve"> </w:t>
      </w:r>
      <w:r>
        <w:tab/>
        <w:t>Clauses 6.18.8(c) and 6.12.3(h)(2) of the current NER, respectively</w:t>
      </w:r>
    </w:p>
  </w:footnote>
  <w:footnote w:id="26">
    <w:p w14:paraId="3D899539" w14:textId="77777777" w:rsidR="00957D51" w:rsidRDefault="00957D51" w:rsidP="00CC62E5">
      <w:pPr>
        <w:pStyle w:val="FootnoteText"/>
      </w:pPr>
      <w:r>
        <w:rPr>
          <w:rStyle w:val="FootnoteReference"/>
        </w:rPr>
        <w:footnoteRef/>
      </w:r>
      <w:r>
        <w:t xml:space="preserve"> </w:t>
      </w:r>
      <w:r>
        <w:tab/>
        <w:t xml:space="preserve">AER, </w:t>
      </w:r>
      <w:r w:rsidRPr="003E1BF7">
        <w:rPr>
          <w:i/>
        </w:rPr>
        <w:t>Submission to AEMC consultation paper – Rule changes: annual network pricing arrangements</w:t>
      </w:r>
      <w:r>
        <w:t>. Accessible on http://www.aemc.gov.au/Electricity/Rule-changes/Open/annual-network-pricing-arrangements.html.</w:t>
      </w:r>
    </w:p>
  </w:footnote>
  <w:footnote w:id="27">
    <w:p w14:paraId="27DE15E3" w14:textId="117A912B" w:rsidR="00957D51" w:rsidRDefault="00957D51" w:rsidP="007D4DAA">
      <w:pPr>
        <w:pStyle w:val="FootnoteText"/>
      </w:pPr>
      <w:r>
        <w:rPr>
          <w:rStyle w:val="FootnoteReference"/>
        </w:rPr>
        <w:footnoteRef/>
      </w:r>
      <w:r>
        <w:t xml:space="preserve"> </w:t>
      </w:r>
      <w:r>
        <w:tab/>
        <w:t xml:space="preserve">See Grid Australia, </w:t>
      </w:r>
      <w:r w:rsidRPr="007D4DAA">
        <w:rPr>
          <w:i/>
        </w:rPr>
        <w:t>Submission to Annual Network Pricing Arrangements Rule 2013</w:t>
      </w:r>
      <w:r>
        <w:t>, 5 July 2013, p.2.</w:t>
      </w:r>
    </w:p>
  </w:footnote>
  <w:footnote w:id="28">
    <w:p w14:paraId="39AD9F11" w14:textId="0123958A" w:rsidR="00957D51" w:rsidRDefault="00957D51" w:rsidP="007D4DAA">
      <w:pPr>
        <w:pStyle w:val="FootnoteText"/>
      </w:pPr>
      <w:r>
        <w:rPr>
          <w:rStyle w:val="FootnoteReference"/>
        </w:rPr>
        <w:footnoteRef/>
      </w:r>
      <w:r>
        <w:t xml:space="preserve"> </w:t>
      </w:r>
      <w:r>
        <w:tab/>
        <w:t xml:space="preserve">AER, </w:t>
      </w:r>
      <w:r w:rsidRPr="003E1BF7">
        <w:rPr>
          <w:i/>
        </w:rPr>
        <w:t>Submission to AEMC consultation paper – Rule changes: annual network pricing arrangements</w:t>
      </w:r>
      <w:r>
        <w:t>, p.4. Accessible on http://www.aemc.gov.au/Electricity/Rule-changes/Open/annual-network-pricing-arrangements.html.</w:t>
      </w:r>
    </w:p>
  </w:footnote>
  <w:footnote w:id="29">
    <w:p w14:paraId="7421880D" w14:textId="3338D535" w:rsidR="00957D51" w:rsidRPr="00E8668E" w:rsidRDefault="00957D51">
      <w:pPr>
        <w:pStyle w:val="FootnoteText"/>
        <w:rPr>
          <w:lang w:val="en-US"/>
        </w:rPr>
      </w:pPr>
      <w:r>
        <w:rPr>
          <w:rStyle w:val="FootnoteReference"/>
        </w:rPr>
        <w:footnoteRef/>
      </w:r>
      <w:r>
        <w:t xml:space="preserve"> </w:t>
      </w:r>
      <w:r>
        <w:rPr>
          <w:lang w:val="en-US"/>
        </w:rPr>
        <w:tab/>
        <w:t xml:space="preserve">A recent example is APA GasNet transmission tariffs in Victoria. </w:t>
      </w:r>
      <w:r>
        <w:rPr>
          <w:rFonts w:hint="eastAsia"/>
          <w:lang w:val="en-US"/>
        </w:rPr>
        <w:t xml:space="preserve">These were to be submitted on 18 October 2013, however due to a decision of the Australian Competition Tribunal, we </w:t>
      </w:r>
      <w:r>
        <w:rPr>
          <w:lang w:val="en-US"/>
        </w:rPr>
        <w:t>needed</w:t>
      </w:r>
      <w:r>
        <w:rPr>
          <w:rFonts w:hint="eastAsia"/>
          <w:lang w:val="en-US"/>
        </w:rPr>
        <w:t xml:space="preserve"> to amend revenue requirement</w:t>
      </w:r>
      <w:r>
        <w:rPr>
          <w:lang w:val="en-US"/>
        </w:rPr>
        <w:t>s</w:t>
      </w:r>
      <w:r>
        <w:rPr>
          <w:rFonts w:hint="eastAsia"/>
          <w:lang w:val="en-US"/>
        </w:rPr>
        <w:t>, advise APA GasNet of same</w:t>
      </w:r>
      <w:r>
        <w:rPr>
          <w:lang w:val="en-US"/>
        </w:rPr>
        <w:t>,</w:t>
      </w:r>
      <w:r>
        <w:rPr>
          <w:rFonts w:hint="eastAsia"/>
          <w:lang w:val="en-US"/>
        </w:rPr>
        <w:t xml:space="preserve"> and seek their resubmission</w:t>
      </w:r>
      <w:r>
        <w:rPr>
          <w:lang w:val="en-US"/>
        </w:rPr>
        <w:t xml:space="preserve"> -</w:t>
      </w:r>
      <w:r>
        <w:rPr>
          <w:rFonts w:hint="eastAsia"/>
          <w:lang w:val="en-US"/>
        </w:rPr>
        <w:t xml:space="preserve"> provided on 22 November. This added 3 weeks to the process.</w:t>
      </w:r>
    </w:p>
  </w:footnote>
  <w:footnote w:id="30">
    <w:p w14:paraId="7E63F55F" w14:textId="77777777" w:rsidR="00957D51" w:rsidRDefault="00957D51" w:rsidP="00617FC7">
      <w:pPr>
        <w:pStyle w:val="FootnoteText"/>
      </w:pPr>
      <w:r>
        <w:rPr>
          <w:rStyle w:val="FootnoteReference"/>
        </w:rPr>
        <w:footnoteRef/>
      </w:r>
      <w:r>
        <w:t xml:space="preserve"> </w:t>
      </w:r>
      <w:r>
        <w:tab/>
        <w:t xml:space="preserve">AER, </w:t>
      </w:r>
      <w:r w:rsidRPr="00431D0D">
        <w:rPr>
          <w:i/>
        </w:rPr>
        <w:t>Submission to annual network pricing arrangements</w:t>
      </w:r>
      <w:r>
        <w:t>, July 2013, pp. 2-4.</w:t>
      </w:r>
    </w:p>
  </w:footnote>
  <w:footnote w:id="31">
    <w:p w14:paraId="1D1099DD" w14:textId="47254E49" w:rsidR="00957D51" w:rsidRDefault="00957D51" w:rsidP="00685A62">
      <w:pPr>
        <w:pStyle w:val="FootnoteText"/>
      </w:pPr>
      <w:r>
        <w:rPr>
          <w:rStyle w:val="FootnoteReference"/>
        </w:rPr>
        <w:footnoteRef/>
      </w:r>
      <w:r>
        <w:t xml:space="preserve"> </w:t>
      </w:r>
      <w:r>
        <w:tab/>
        <w:t xml:space="preserve">Grid Australia, </w:t>
      </w:r>
      <w:r w:rsidRPr="007D4DAA">
        <w:rPr>
          <w:i/>
        </w:rPr>
        <w:t>Submission to Annual Network Pricing Arrangements Rule 2013</w:t>
      </w:r>
      <w:r>
        <w:t>, 5 July 2013, p.2.</w:t>
      </w:r>
    </w:p>
  </w:footnote>
  <w:footnote w:id="32">
    <w:p w14:paraId="14657B26" w14:textId="352AF3CE" w:rsidR="00957D51" w:rsidRDefault="00957D51" w:rsidP="00F30EA2">
      <w:pPr>
        <w:pStyle w:val="FootnoteText"/>
      </w:pPr>
      <w:r>
        <w:rPr>
          <w:rStyle w:val="FootnoteReference"/>
        </w:rPr>
        <w:footnoteRef/>
      </w:r>
      <w:r>
        <w:t xml:space="preserve"> </w:t>
      </w:r>
      <w:r>
        <w:tab/>
        <w:t xml:space="preserve">This point was also made by the Productivity Commission’s (PC) report on network regulation frameworks. The PC cited various examples of jurisdictional governments intervening explicitly or implicitly to modify charging regimes for equity reasons, including for example, South Australian legislation setting out derogations from the Rules for the 2010 distribution determination, and requiring that fixed supply charges not increase by more than $10 per year. PC, </w:t>
      </w:r>
      <w:r w:rsidRPr="00F30EA2">
        <w:rPr>
          <w:i/>
        </w:rPr>
        <w:t>Electricity Network Regulation Frameworks</w:t>
      </w:r>
      <w:r>
        <w:t>, P.C Inquiry Report Vol.2.No.62, 9 April 2013, p.444.</w:t>
      </w:r>
    </w:p>
  </w:footnote>
  <w:footnote w:id="33">
    <w:p w14:paraId="315263A2" w14:textId="5A61410A" w:rsidR="00957D51" w:rsidRDefault="00957D51" w:rsidP="00CC62E5">
      <w:pPr>
        <w:pStyle w:val="FootnoteText"/>
      </w:pPr>
      <w:r>
        <w:rPr>
          <w:rStyle w:val="FootnoteReference"/>
        </w:rPr>
        <w:footnoteRef/>
      </w:r>
      <w:r>
        <w:t xml:space="preserve"> </w:t>
      </w:r>
      <w:r>
        <w:tab/>
        <w:t>There are common examples of this, including situations where consumers who have invested in PV units have been shifted onto demand based tariffs fr</w:t>
      </w:r>
      <w:r w:rsidR="00881AD2">
        <w:t>om consumption-volume tariffs—</w:t>
      </w:r>
      <w:r>
        <w:t>which operate in very different ways.</w:t>
      </w:r>
    </w:p>
  </w:footnote>
  <w:footnote w:id="34">
    <w:p w14:paraId="108B988A" w14:textId="79544C4F" w:rsidR="00957D51" w:rsidRDefault="00957D51" w:rsidP="00F30EA2">
      <w:pPr>
        <w:pStyle w:val="FootnoteText"/>
      </w:pPr>
      <w:r>
        <w:rPr>
          <w:rStyle w:val="FootnoteReference"/>
        </w:rPr>
        <w:footnoteRef/>
      </w:r>
      <w:r>
        <w:t xml:space="preserve"> </w:t>
      </w:r>
      <w:r>
        <w:tab/>
        <w:t>Clause 6.18.6 of the current NER.</w:t>
      </w:r>
    </w:p>
  </w:footnote>
  <w:footnote w:id="35">
    <w:p w14:paraId="50DE9605" w14:textId="1AB48D42" w:rsidR="00957D51" w:rsidRDefault="00957D51" w:rsidP="00F10CFC">
      <w:pPr>
        <w:pStyle w:val="FootnoteText"/>
      </w:pPr>
      <w:r>
        <w:rPr>
          <w:rStyle w:val="FootnoteReference"/>
        </w:rPr>
        <w:footnoteRef/>
      </w:r>
      <w:r>
        <w:t xml:space="preserve"> </w:t>
      </w:r>
      <w:r>
        <w:tab/>
        <w:t xml:space="preserve">AER, </w:t>
      </w:r>
      <w:r w:rsidRPr="00F10CFC">
        <w:rPr>
          <w:i/>
        </w:rPr>
        <w:t>Better Regulation – Consumer Engagement Guideline for Network Service Providers,</w:t>
      </w:r>
      <w:r>
        <w:t xml:space="preserve"> November 2013. Accessible on </w:t>
      </w:r>
      <w:hyperlink r:id="rId1" w:history="1">
        <w:r w:rsidRPr="00AC02BB">
          <w:rPr>
            <w:rStyle w:val="Hyperlink"/>
          </w:rPr>
          <w:t>http://www.aer.gov.au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C2CCF" w14:textId="4BA6393F" w:rsidR="00957D51" w:rsidRDefault="00957D51" w:rsidP="00972D59">
    <w:pPr>
      <w:pStyle w:val="Header"/>
      <w:jc w:val="right"/>
    </w:pPr>
    <w:r>
      <w:rPr>
        <w:noProof/>
        <w:lang w:eastAsia="en-AU"/>
      </w:rPr>
      <w:drawing>
        <wp:inline distT="0" distB="0" distL="0" distR="0" wp14:anchorId="33A00586" wp14:editId="5667153A">
          <wp:extent cx="3216910" cy="15500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6910" cy="15500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CEAA7" w14:textId="77777777" w:rsidR="00957D51" w:rsidRPr="009661C4" w:rsidRDefault="00957D51" w:rsidP="00972D59">
    <w:pPr>
      <w:pStyle w:val="Header"/>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87B01E1"/>
    <w:multiLevelType w:val="hybridMultilevel"/>
    <w:tmpl w:val="7C36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5615A4"/>
    <w:multiLevelType w:val="hybridMultilevel"/>
    <w:tmpl w:val="F63AC3D6"/>
    <w:lvl w:ilvl="0" w:tplc="0C090001">
      <w:start w:val="2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516046"/>
    <w:multiLevelType w:val="hybridMultilevel"/>
    <w:tmpl w:val="565C60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7B1358E"/>
    <w:multiLevelType w:val="hybridMultilevel"/>
    <w:tmpl w:val="90B4DCA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AF336BC"/>
    <w:multiLevelType w:val="hybridMultilevel"/>
    <w:tmpl w:val="955A02CC"/>
    <w:lvl w:ilvl="0" w:tplc="FFFFFFFF">
      <w:start w:val="1"/>
      <w:numFmt w:val="bullet"/>
      <w:pStyle w:val="AERbulletlistfirststyle"/>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C721288"/>
    <w:multiLevelType w:val="multilevel"/>
    <w:tmpl w:val="1492709C"/>
    <w:numStyleLink w:val="AERHeadings"/>
  </w:abstractNum>
  <w:abstractNum w:abstractNumId="9">
    <w:nsid w:val="443F74CB"/>
    <w:multiLevelType w:val="hybridMultilevel"/>
    <w:tmpl w:val="5FB40038"/>
    <w:lvl w:ilvl="0" w:tplc="FFFFFFFF">
      <w:start w:val="1"/>
      <w:numFmt w:val="decimal"/>
      <w:lvlText w:val="%1."/>
      <w:lvlJc w:val="left"/>
      <w:pPr>
        <w:tabs>
          <w:tab w:val="num" w:pos="357"/>
        </w:tabs>
        <w:ind w:left="357" w:hanging="357"/>
      </w:pPr>
      <w:rPr>
        <w:rFonts w:ascii="Gautami" w:hAnsi="Gautami" w:hint="default"/>
        <w:b w:val="0"/>
        <w:i w:val="0"/>
        <w:sz w:val="22"/>
      </w:rPr>
    </w:lvl>
    <w:lvl w:ilvl="1" w:tplc="FFFFFFFF">
      <w:start w:val="1"/>
      <w:numFmt w:val="bullet"/>
      <w:lvlText w:val=""/>
      <w:lvlJc w:val="left"/>
      <w:pPr>
        <w:tabs>
          <w:tab w:val="num" w:pos="4498"/>
        </w:tabs>
        <w:ind w:left="4498" w:hanging="358"/>
      </w:pPr>
      <w:rPr>
        <w:rFonts w:ascii="Wingdings" w:hAnsi="Wingdings" w:hint="default"/>
        <w:b w:val="0"/>
        <w:i w:val="0"/>
        <w:sz w:val="22"/>
      </w:rPr>
    </w:lvl>
    <w:lvl w:ilvl="2" w:tplc="FFFFFFFF" w:tentative="1">
      <w:start w:val="1"/>
      <w:numFmt w:val="lowerRoman"/>
      <w:lvlText w:val="%3."/>
      <w:lvlJc w:val="right"/>
      <w:pPr>
        <w:tabs>
          <w:tab w:val="num" w:pos="5220"/>
        </w:tabs>
        <w:ind w:left="5220" w:hanging="180"/>
      </w:pPr>
    </w:lvl>
    <w:lvl w:ilvl="3" w:tplc="FFFFFFFF" w:tentative="1">
      <w:start w:val="1"/>
      <w:numFmt w:val="decimal"/>
      <w:lvlText w:val="%4."/>
      <w:lvlJc w:val="left"/>
      <w:pPr>
        <w:tabs>
          <w:tab w:val="num" w:pos="5940"/>
        </w:tabs>
        <w:ind w:left="5940" w:hanging="360"/>
      </w:pPr>
    </w:lvl>
    <w:lvl w:ilvl="4" w:tplc="FFFFFFFF">
      <w:start w:val="1"/>
      <w:numFmt w:val="lowerLetter"/>
      <w:lvlText w:val="%5."/>
      <w:lvlJc w:val="left"/>
      <w:pPr>
        <w:tabs>
          <w:tab w:val="num" w:pos="6660"/>
        </w:tabs>
        <w:ind w:left="6660" w:hanging="360"/>
      </w:pPr>
    </w:lvl>
    <w:lvl w:ilvl="5" w:tplc="FFFFFFFF">
      <w:start w:val="1"/>
      <w:numFmt w:val="lowerRoman"/>
      <w:lvlText w:val="%6."/>
      <w:lvlJc w:val="right"/>
      <w:pPr>
        <w:tabs>
          <w:tab w:val="num" w:pos="7380"/>
        </w:tabs>
        <w:ind w:left="7380" w:hanging="180"/>
      </w:pPr>
    </w:lvl>
    <w:lvl w:ilvl="6" w:tplc="FFFFFFFF" w:tentative="1">
      <w:start w:val="1"/>
      <w:numFmt w:val="decimal"/>
      <w:lvlText w:val="%7."/>
      <w:lvlJc w:val="left"/>
      <w:pPr>
        <w:tabs>
          <w:tab w:val="num" w:pos="8100"/>
        </w:tabs>
        <w:ind w:left="8100" w:hanging="360"/>
      </w:pPr>
    </w:lvl>
    <w:lvl w:ilvl="7" w:tplc="FFFFFFFF" w:tentative="1">
      <w:start w:val="1"/>
      <w:numFmt w:val="lowerLetter"/>
      <w:lvlText w:val="%8."/>
      <w:lvlJc w:val="left"/>
      <w:pPr>
        <w:tabs>
          <w:tab w:val="num" w:pos="8820"/>
        </w:tabs>
        <w:ind w:left="8820" w:hanging="360"/>
      </w:pPr>
    </w:lvl>
    <w:lvl w:ilvl="8" w:tplc="FFFFFFFF" w:tentative="1">
      <w:start w:val="1"/>
      <w:numFmt w:val="lowerRoman"/>
      <w:lvlText w:val="%9."/>
      <w:lvlJc w:val="right"/>
      <w:pPr>
        <w:tabs>
          <w:tab w:val="num" w:pos="9540"/>
        </w:tabs>
        <w:ind w:left="9540" w:hanging="180"/>
      </w:pPr>
    </w:lvl>
  </w:abstractNum>
  <w:abstractNum w:abstractNumId="10">
    <w:nsid w:val="4BCA4DFD"/>
    <w:multiLevelType w:val="hybridMultilevel"/>
    <w:tmpl w:val="39C2288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1487971"/>
    <w:multiLevelType w:val="multilevel"/>
    <w:tmpl w:val="D8DA9C9E"/>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C6B4097"/>
    <w:multiLevelType w:val="hybridMultilevel"/>
    <w:tmpl w:val="6AF6F332"/>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4"/>
  </w:num>
  <w:num w:numId="2">
    <w:abstractNumId w:val="11"/>
  </w:num>
  <w:num w:numId="3">
    <w:abstractNumId w:val="8"/>
  </w:num>
  <w:num w:numId="4">
    <w:abstractNumId w:val="7"/>
  </w:num>
  <w:num w:numId="5">
    <w:abstractNumId w:val="12"/>
  </w:num>
  <w:num w:numId="6">
    <w:abstractNumId w:val="1"/>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10"/>
  </w:num>
  <w:num w:numId="12">
    <w:abstractNumId w:val="3"/>
  </w:num>
  <w:num w:numId="13">
    <w:abstractNumId w:val="6"/>
  </w:num>
  <w:num w:numId="14">
    <w:abstractNumId w:val="0"/>
  </w:num>
  <w:num w:numId="15">
    <w:abstractNumId w:val="7"/>
  </w:num>
  <w:num w:numId="16">
    <w:abstractNumId w:val="2"/>
  </w:num>
  <w:num w:numId="17">
    <w:abstractNumId w:val="7"/>
  </w:num>
  <w:num w:numId="18">
    <w:abstractNumId w:val="8"/>
  </w:num>
  <w:num w:numId="19">
    <w:abstractNumId w:val="8"/>
  </w:num>
  <w:num w:numId="20">
    <w:abstractNumId w:val="8"/>
  </w:num>
  <w:num w:numId="21">
    <w:abstractNumId w:val="8"/>
  </w:num>
  <w:num w:numId="22">
    <w:abstractNumId w:val="8"/>
  </w:num>
  <w:num w:numId="23">
    <w:abstractNumId w:val="7"/>
  </w:num>
  <w:num w:numId="24">
    <w:abstractNumId w:val="8"/>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7"/>
  </w:num>
  <w:num w:numId="31">
    <w:abstractNumId w:val="7"/>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812\D13 176177  AER submission to AEMC consultation paper - upload version.DOCX"/>
  </w:docVars>
  <w:rsids>
    <w:rsidRoot w:val="009D7C1D"/>
    <w:rsid w:val="00000C6D"/>
    <w:rsid w:val="000014E1"/>
    <w:rsid w:val="000021B8"/>
    <w:rsid w:val="00002815"/>
    <w:rsid w:val="00003009"/>
    <w:rsid w:val="0000312C"/>
    <w:rsid w:val="000044E9"/>
    <w:rsid w:val="000062AB"/>
    <w:rsid w:val="0000784B"/>
    <w:rsid w:val="000079CD"/>
    <w:rsid w:val="00007DC2"/>
    <w:rsid w:val="00012187"/>
    <w:rsid w:val="00013D01"/>
    <w:rsid w:val="00015611"/>
    <w:rsid w:val="00016ABC"/>
    <w:rsid w:val="00021996"/>
    <w:rsid w:val="000225CA"/>
    <w:rsid w:val="0002477B"/>
    <w:rsid w:val="00024A2A"/>
    <w:rsid w:val="00024DFE"/>
    <w:rsid w:val="00026B00"/>
    <w:rsid w:val="000273F2"/>
    <w:rsid w:val="000277FD"/>
    <w:rsid w:val="00031310"/>
    <w:rsid w:val="00031437"/>
    <w:rsid w:val="00033100"/>
    <w:rsid w:val="000350C4"/>
    <w:rsid w:val="00037164"/>
    <w:rsid w:val="00040BB9"/>
    <w:rsid w:val="0004162F"/>
    <w:rsid w:val="000422B7"/>
    <w:rsid w:val="00043FE2"/>
    <w:rsid w:val="00044150"/>
    <w:rsid w:val="000446C8"/>
    <w:rsid w:val="00044F8E"/>
    <w:rsid w:val="00045F83"/>
    <w:rsid w:val="000473E7"/>
    <w:rsid w:val="000479EA"/>
    <w:rsid w:val="00047A03"/>
    <w:rsid w:val="00050E8B"/>
    <w:rsid w:val="00051563"/>
    <w:rsid w:val="00051D29"/>
    <w:rsid w:val="00052161"/>
    <w:rsid w:val="00052977"/>
    <w:rsid w:val="0005379C"/>
    <w:rsid w:val="000600BE"/>
    <w:rsid w:val="0006230A"/>
    <w:rsid w:val="00062458"/>
    <w:rsid w:val="000624FC"/>
    <w:rsid w:val="000661DB"/>
    <w:rsid w:val="00066F65"/>
    <w:rsid w:val="00074251"/>
    <w:rsid w:val="00075E68"/>
    <w:rsid w:val="00076BC6"/>
    <w:rsid w:val="00085848"/>
    <w:rsid w:val="00085F7A"/>
    <w:rsid w:val="00086A2A"/>
    <w:rsid w:val="000870D0"/>
    <w:rsid w:val="00090CF4"/>
    <w:rsid w:val="00090F54"/>
    <w:rsid w:val="000915DC"/>
    <w:rsid w:val="00091CF5"/>
    <w:rsid w:val="00095BCB"/>
    <w:rsid w:val="00095CAD"/>
    <w:rsid w:val="00095FBA"/>
    <w:rsid w:val="000963B7"/>
    <w:rsid w:val="000A22BB"/>
    <w:rsid w:val="000A3163"/>
    <w:rsid w:val="000A406C"/>
    <w:rsid w:val="000A4E81"/>
    <w:rsid w:val="000A57C8"/>
    <w:rsid w:val="000A5DAC"/>
    <w:rsid w:val="000B0D3D"/>
    <w:rsid w:val="000B1158"/>
    <w:rsid w:val="000B29AD"/>
    <w:rsid w:val="000B29D1"/>
    <w:rsid w:val="000B41E9"/>
    <w:rsid w:val="000B5138"/>
    <w:rsid w:val="000B526D"/>
    <w:rsid w:val="000B7428"/>
    <w:rsid w:val="000C1122"/>
    <w:rsid w:val="000C130A"/>
    <w:rsid w:val="000C2258"/>
    <w:rsid w:val="000C598C"/>
    <w:rsid w:val="000D29F3"/>
    <w:rsid w:val="000D3F3A"/>
    <w:rsid w:val="000D535A"/>
    <w:rsid w:val="000D5CFD"/>
    <w:rsid w:val="000D62A2"/>
    <w:rsid w:val="000E0CEA"/>
    <w:rsid w:val="000E28BF"/>
    <w:rsid w:val="000E446F"/>
    <w:rsid w:val="000E4D0B"/>
    <w:rsid w:val="000E6999"/>
    <w:rsid w:val="000F1C9E"/>
    <w:rsid w:val="000F225F"/>
    <w:rsid w:val="000F56AF"/>
    <w:rsid w:val="000F580C"/>
    <w:rsid w:val="000F6428"/>
    <w:rsid w:val="000F6B88"/>
    <w:rsid w:val="000F7ABD"/>
    <w:rsid w:val="0010305E"/>
    <w:rsid w:val="00103AA4"/>
    <w:rsid w:val="00104EBC"/>
    <w:rsid w:val="00107A52"/>
    <w:rsid w:val="00107E35"/>
    <w:rsid w:val="00111992"/>
    <w:rsid w:val="0011225B"/>
    <w:rsid w:val="00113ACE"/>
    <w:rsid w:val="001157EC"/>
    <w:rsid w:val="00115BE7"/>
    <w:rsid w:val="001170DC"/>
    <w:rsid w:val="00120E86"/>
    <w:rsid w:val="0012301F"/>
    <w:rsid w:val="00124A84"/>
    <w:rsid w:val="00127D89"/>
    <w:rsid w:val="001356BC"/>
    <w:rsid w:val="00137BE5"/>
    <w:rsid w:val="0014298E"/>
    <w:rsid w:val="001439B2"/>
    <w:rsid w:val="00144010"/>
    <w:rsid w:val="00146393"/>
    <w:rsid w:val="001469B7"/>
    <w:rsid w:val="00146E54"/>
    <w:rsid w:val="001474B6"/>
    <w:rsid w:val="00150B05"/>
    <w:rsid w:val="001535AA"/>
    <w:rsid w:val="00153C8E"/>
    <w:rsid w:val="0015771D"/>
    <w:rsid w:val="00160C7D"/>
    <w:rsid w:val="001612B8"/>
    <w:rsid w:val="0016599E"/>
    <w:rsid w:val="00165B55"/>
    <w:rsid w:val="00166127"/>
    <w:rsid w:val="0016691A"/>
    <w:rsid w:val="001706C6"/>
    <w:rsid w:val="001718A4"/>
    <w:rsid w:val="00171945"/>
    <w:rsid w:val="00171E5E"/>
    <w:rsid w:val="00173D86"/>
    <w:rsid w:val="00175B0E"/>
    <w:rsid w:val="00175C7B"/>
    <w:rsid w:val="00184464"/>
    <w:rsid w:val="00185281"/>
    <w:rsid w:val="001865AC"/>
    <w:rsid w:val="00187DA8"/>
    <w:rsid w:val="00197FAC"/>
    <w:rsid w:val="001A1209"/>
    <w:rsid w:val="001A1CFF"/>
    <w:rsid w:val="001A2908"/>
    <w:rsid w:val="001A468B"/>
    <w:rsid w:val="001B10A9"/>
    <w:rsid w:val="001B1AAE"/>
    <w:rsid w:val="001B44CD"/>
    <w:rsid w:val="001C1672"/>
    <w:rsid w:val="001C187D"/>
    <w:rsid w:val="001C2B0A"/>
    <w:rsid w:val="001C4354"/>
    <w:rsid w:val="001C444E"/>
    <w:rsid w:val="001C5726"/>
    <w:rsid w:val="001C66FC"/>
    <w:rsid w:val="001C7961"/>
    <w:rsid w:val="001D0E8F"/>
    <w:rsid w:val="001D1C6D"/>
    <w:rsid w:val="001D2E4A"/>
    <w:rsid w:val="001D5CA6"/>
    <w:rsid w:val="001D60CA"/>
    <w:rsid w:val="001D6EB1"/>
    <w:rsid w:val="001D74BB"/>
    <w:rsid w:val="001D7E0A"/>
    <w:rsid w:val="001D7E5F"/>
    <w:rsid w:val="001E5B94"/>
    <w:rsid w:val="001E7C28"/>
    <w:rsid w:val="001F303D"/>
    <w:rsid w:val="001F3437"/>
    <w:rsid w:val="001F607B"/>
    <w:rsid w:val="001F6C73"/>
    <w:rsid w:val="00200704"/>
    <w:rsid w:val="0020098C"/>
    <w:rsid w:val="00202EBB"/>
    <w:rsid w:val="00203526"/>
    <w:rsid w:val="00203795"/>
    <w:rsid w:val="00204F09"/>
    <w:rsid w:val="00205F37"/>
    <w:rsid w:val="002071AA"/>
    <w:rsid w:val="0020726A"/>
    <w:rsid w:val="002115F3"/>
    <w:rsid w:val="00211D1D"/>
    <w:rsid w:val="002142B2"/>
    <w:rsid w:val="00220527"/>
    <w:rsid w:val="002208E8"/>
    <w:rsid w:val="00223F86"/>
    <w:rsid w:val="00233727"/>
    <w:rsid w:val="00236F5D"/>
    <w:rsid w:val="00237FA7"/>
    <w:rsid w:val="00240A84"/>
    <w:rsid w:val="00242817"/>
    <w:rsid w:val="00243AD1"/>
    <w:rsid w:val="00243ED3"/>
    <w:rsid w:val="00243F04"/>
    <w:rsid w:val="00243F51"/>
    <w:rsid w:val="00244F42"/>
    <w:rsid w:val="00246F77"/>
    <w:rsid w:val="00255438"/>
    <w:rsid w:val="00256588"/>
    <w:rsid w:val="00256E13"/>
    <w:rsid w:val="00260A82"/>
    <w:rsid w:val="00263F0D"/>
    <w:rsid w:val="00266C37"/>
    <w:rsid w:val="00266F7C"/>
    <w:rsid w:val="00270923"/>
    <w:rsid w:val="00270E60"/>
    <w:rsid w:val="00271CC0"/>
    <w:rsid w:val="002721F6"/>
    <w:rsid w:val="00273EAB"/>
    <w:rsid w:val="002755BF"/>
    <w:rsid w:val="00275E71"/>
    <w:rsid w:val="002775FF"/>
    <w:rsid w:val="0028134F"/>
    <w:rsid w:val="00281524"/>
    <w:rsid w:val="00281AA0"/>
    <w:rsid w:val="00283DEA"/>
    <w:rsid w:val="00287418"/>
    <w:rsid w:val="00287887"/>
    <w:rsid w:val="002915B8"/>
    <w:rsid w:val="00291807"/>
    <w:rsid w:val="00291965"/>
    <w:rsid w:val="00293FD4"/>
    <w:rsid w:val="00295F71"/>
    <w:rsid w:val="00297043"/>
    <w:rsid w:val="002A27D2"/>
    <w:rsid w:val="002A2B56"/>
    <w:rsid w:val="002A31FF"/>
    <w:rsid w:val="002A380C"/>
    <w:rsid w:val="002A4254"/>
    <w:rsid w:val="002A5021"/>
    <w:rsid w:val="002A509D"/>
    <w:rsid w:val="002A552F"/>
    <w:rsid w:val="002A5BEE"/>
    <w:rsid w:val="002A78FD"/>
    <w:rsid w:val="002B2281"/>
    <w:rsid w:val="002B2A8A"/>
    <w:rsid w:val="002B7709"/>
    <w:rsid w:val="002C0C33"/>
    <w:rsid w:val="002C1BA4"/>
    <w:rsid w:val="002C6D57"/>
    <w:rsid w:val="002C7059"/>
    <w:rsid w:val="002D1FA7"/>
    <w:rsid w:val="002D2394"/>
    <w:rsid w:val="002D3F40"/>
    <w:rsid w:val="002D46A0"/>
    <w:rsid w:val="002D71DC"/>
    <w:rsid w:val="002D766D"/>
    <w:rsid w:val="002D79BB"/>
    <w:rsid w:val="002E0581"/>
    <w:rsid w:val="002E0DFE"/>
    <w:rsid w:val="002E1D49"/>
    <w:rsid w:val="002E30E0"/>
    <w:rsid w:val="002E401C"/>
    <w:rsid w:val="002E429D"/>
    <w:rsid w:val="002E54FD"/>
    <w:rsid w:val="002E68E4"/>
    <w:rsid w:val="002E74C8"/>
    <w:rsid w:val="002E75DA"/>
    <w:rsid w:val="002E7F61"/>
    <w:rsid w:val="002F1740"/>
    <w:rsid w:val="002F2260"/>
    <w:rsid w:val="002F34E9"/>
    <w:rsid w:val="002F3B64"/>
    <w:rsid w:val="002F409E"/>
    <w:rsid w:val="002F43E4"/>
    <w:rsid w:val="002F4D30"/>
    <w:rsid w:val="002F5AAA"/>
    <w:rsid w:val="002F678D"/>
    <w:rsid w:val="00302554"/>
    <w:rsid w:val="0030414F"/>
    <w:rsid w:val="0030528C"/>
    <w:rsid w:val="0031105E"/>
    <w:rsid w:val="003126B2"/>
    <w:rsid w:val="00317560"/>
    <w:rsid w:val="003202E5"/>
    <w:rsid w:val="00322A86"/>
    <w:rsid w:val="00323E0A"/>
    <w:rsid w:val="00324772"/>
    <w:rsid w:val="00324B98"/>
    <w:rsid w:val="00324EAF"/>
    <w:rsid w:val="003262A4"/>
    <w:rsid w:val="003304FB"/>
    <w:rsid w:val="003346EE"/>
    <w:rsid w:val="00335A9C"/>
    <w:rsid w:val="00340270"/>
    <w:rsid w:val="003406A6"/>
    <w:rsid w:val="00341ABA"/>
    <w:rsid w:val="003459CC"/>
    <w:rsid w:val="00351DEC"/>
    <w:rsid w:val="00352232"/>
    <w:rsid w:val="00352B4D"/>
    <w:rsid w:val="003559CD"/>
    <w:rsid w:val="0035695E"/>
    <w:rsid w:val="00356EEB"/>
    <w:rsid w:val="00363655"/>
    <w:rsid w:val="0037125E"/>
    <w:rsid w:val="00373705"/>
    <w:rsid w:val="00374419"/>
    <w:rsid w:val="00375D91"/>
    <w:rsid w:val="00380025"/>
    <w:rsid w:val="00381375"/>
    <w:rsid w:val="003826FB"/>
    <w:rsid w:val="00382D0E"/>
    <w:rsid w:val="003840F2"/>
    <w:rsid w:val="00384699"/>
    <w:rsid w:val="00384908"/>
    <w:rsid w:val="00384AA1"/>
    <w:rsid w:val="003855D7"/>
    <w:rsid w:val="00385D16"/>
    <w:rsid w:val="0038620C"/>
    <w:rsid w:val="00387960"/>
    <w:rsid w:val="003911D2"/>
    <w:rsid w:val="0039135D"/>
    <w:rsid w:val="0039146F"/>
    <w:rsid w:val="0039169F"/>
    <w:rsid w:val="00393CFF"/>
    <w:rsid w:val="003967E5"/>
    <w:rsid w:val="00396D0F"/>
    <w:rsid w:val="003A2819"/>
    <w:rsid w:val="003A3FC9"/>
    <w:rsid w:val="003A4391"/>
    <w:rsid w:val="003A4DC0"/>
    <w:rsid w:val="003A5C51"/>
    <w:rsid w:val="003B0678"/>
    <w:rsid w:val="003B3D75"/>
    <w:rsid w:val="003B7261"/>
    <w:rsid w:val="003C0007"/>
    <w:rsid w:val="003C17B4"/>
    <w:rsid w:val="003C4D22"/>
    <w:rsid w:val="003C5786"/>
    <w:rsid w:val="003C6E39"/>
    <w:rsid w:val="003C6E96"/>
    <w:rsid w:val="003C725D"/>
    <w:rsid w:val="003C7799"/>
    <w:rsid w:val="003C7BD9"/>
    <w:rsid w:val="003D0E9D"/>
    <w:rsid w:val="003D1908"/>
    <w:rsid w:val="003D2C8C"/>
    <w:rsid w:val="003D3708"/>
    <w:rsid w:val="003D3D90"/>
    <w:rsid w:val="003D41DA"/>
    <w:rsid w:val="003D69E2"/>
    <w:rsid w:val="003D6B92"/>
    <w:rsid w:val="003D7141"/>
    <w:rsid w:val="003D7F4D"/>
    <w:rsid w:val="003E067E"/>
    <w:rsid w:val="003E1086"/>
    <w:rsid w:val="003E1BF7"/>
    <w:rsid w:val="003E35D2"/>
    <w:rsid w:val="003E3E93"/>
    <w:rsid w:val="003E4F16"/>
    <w:rsid w:val="003E58F8"/>
    <w:rsid w:val="003F17B3"/>
    <w:rsid w:val="003F1927"/>
    <w:rsid w:val="003F21EB"/>
    <w:rsid w:val="003F53FF"/>
    <w:rsid w:val="00401FE1"/>
    <w:rsid w:val="004023E8"/>
    <w:rsid w:val="00402E89"/>
    <w:rsid w:val="004050C2"/>
    <w:rsid w:val="00412D93"/>
    <w:rsid w:val="004168CF"/>
    <w:rsid w:val="00417548"/>
    <w:rsid w:val="00421179"/>
    <w:rsid w:val="00423869"/>
    <w:rsid w:val="00427EA3"/>
    <w:rsid w:val="00427FCE"/>
    <w:rsid w:val="004300A6"/>
    <w:rsid w:val="00431D0D"/>
    <w:rsid w:val="0043346F"/>
    <w:rsid w:val="0043367A"/>
    <w:rsid w:val="00434F39"/>
    <w:rsid w:val="004378FF"/>
    <w:rsid w:val="00441D65"/>
    <w:rsid w:val="00442050"/>
    <w:rsid w:val="004424D0"/>
    <w:rsid w:val="00442FFD"/>
    <w:rsid w:val="00443EC6"/>
    <w:rsid w:val="004444F2"/>
    <w:rsid w:val="00445402"/>
    <w:rsid w:val="004468F3"/>
    <w:rsid w:val="00447BAA"/>
    <w:rsid w:val="00455E59"/>
    <w:rsid w:val="004569B1"/>
    <w:rsid w:val="00464B76"/>
    <w:rsid w:val="00465A22"/>
    <w:rsid w:val="00465E88"/>
    <w:rsid w:val="00470AA0"/>
    <w:rsid w:val="004711B7"/>
    <w:rsid w:val="00471C45"/>
    <w:rsid w:val="00472F13"/>
    <w:rsid w:val="00475581"/>
    <w:rsid w:val="00476DA1"/>
    <w:rsid w:val="00477BEF"/>
    <w:rsid w:val="0048252B"/>
    <w:rsid w:val="00483756"/>
    <w:rsid w:val="00483CA0"/>
    <w:rsid w:val="00485093"/>
    <w:rsid w:val="0049109C"/>
    <w:rsid w:val="00491B17"/>
    <w:rsid w:val="00491FB3"/>
    <w:rsid w:val="0049384D"/>
    <w:rsid w:val="00493C50"/>
    <w:rsid w:val="0049626F"/>
    <w:rsid w:val="0049765A"/>
    <w:rsid w:val="004A21B5"/>
    <w:rsid w:val="004A2DB1"/>
    <w:rsid w:val="004A5770"/>
    <w:rsid w:val="004A5AFF"/>
    <w:rsid w:val="004A626B"/>
    <w:rsid w:val="004A7F90"/>
    <w:rsid w:val="004B1542"/>
    <w:rsid w:val="004B19A9"/>
    <w:rsid w:val="004B1DCD"/>
    <w:rsid w:val="004B2619"/>
    <w:rsid w:val="004B397F"/>
    <w:rsid w:val="004B3CB4"/>
    <w:rsid w:val="004B6200"/>
    <w:rsid w:val="004B63A8"/>
    <w:rsid w:val="004C1133"/>
    <w:rsid w:val="004C1FE0"/>
    <w:rsid w:val="004C316D"/>
    <w:rsid w:val="004C43AD"/>
    <w:rsid w:val="004C5DD5"/>
    <w:rsid w:val="004C714F"/>
    <w:rsid w:val="004C7A58"/>
    <w:rsid w:val="004C7A63"/>
    <w:rsid w:val="004D0416"/>
    <w:rsid w:val="004D05A0"/>
    <w:rsid w:val="004D3C37"/>
    <w:rsid w:val="004D5755"/>
    <w:rsid w:val="004D739C"/>
    <w:rsid w:val="004E0DD0"/>
    <w:rsid w:val="004E110A"/>
    <w:rsid w:val="004E1A6F"/>
    <w:rsid w:val="004E2710"/>
    <w:rsid w:val="004E3585"/>
    <w:rsid w:val="004E368A"/>
    <w:rsid w:val="004E4134"/>
    <w:rsid w:val="004E611C"/>
    <w:rsid w:val="004E640B"/>
    <w:rsid w:val="004E6485"/>
    <w:rsid w:val="004E69A2"/>
    <w:rsid w:val="004E702A"/>
    <w:rsid w:val="004F0084"/>
    <w:rsid w:val="004F13D3"/>
    <w:rsid w:val="004F39B1"/>
    <w:rsid w:val="004F4333"/>
    <w:rsid w:val="004F487F"/>
    <w:rsid w:val="004F5A52"/>
    <w:rsid w:val="004F6568"/>
    <w:rsid w:val="004F6D4D"/>
    <w:rsid w:val="004F7E13"/>
    <w:rsid w:val="00500446"/>
    <w:rsid w:val="00500660"/>
    <w:rsid w:val="00501DB3"/>
    <w:rsid w:val="00503080"/>
    <w:rsid w:val="00503855"/>
    <w:rsid w:val="00506662"/>
    <w:rsid w:val="0050782C"/>
    <w:rsid w:val="0051162C"/>
    <w:rsid w:val="00513D7D"/>
    <w:rsid w:val="00513F88"/>
    <w:rsid w:val="005155DC"/>
    <w:rsid w:val="00517719"/>
    <w:rsid w:val="00522020"/>
    <w:rsid w:val="005241B8"/>
    <w:rsid w:val="0052490B"/>
    <w:rsid w:val="0052623D"/>
    <w:rsid w:val="00527FA4"/>
    <w:rsid w:val="00532B49"/>
    <w:rsid w:val="00533251"/>
    <w:rsid w:val="00533375"/>
    <w:rsid w:val="00533550"/>
    <w:rsid w:val="00533B2A"/>
    <w:rsid w:val="00535A16"/>
    <w:rsid w:val="00535D41"/>
    <w:rsid w:val="00537675"/>
    <w:rsid w:val="00540D00"/>
    <w:rsid w:val="00542C9B"/>
    <w:rsid w:val="005430D7"/>
    <w:rsid w:val="005430FC"/>
    <w:rsid w:val="0054354C"/>
    <w:rsid w:val="0054637D"/>
    <w:rsid w:val="005517A6"/>
    <w:rsid w:val="00554A7A"/>
    <w:rsid w:val="005553B2"/>
    <w:rsid w:val="00555E33"/>
    <w:rsid w:val="005622C5"/>
    <w:rsid w:val="00563D88"/>
    <w:rsid w:val="00564C18"/>
    <w:rsid w:val="0056530A"/>
    <w:rsid w:val="00565513"/>
    <w:rsid w:val="0057075F"/>
    <w:rsid w:val="0057128B"/>
    <w:rsid w:val="005712EF"/>
    <w:rsid w:val="00571D0E"/>
    <w:rsid w:val="00572DEC"/>
    <w:rsid w:val="00573428"/>
    <w:rsid w:val="00573A5F"/>
    <w:rsid w:val="00575670"/>
    <w:rsid w:val="00576946"/>
    <w:rsid w:val="00577546"/>
    <w:rsid w:val="00580C4B"/>
    <w:rsid w:val="0058205D"/>
    <w:rsid w:val="00582111"/>
    <w:rsid w:val="0058751D"/>
    <w:rsid w:val="005924DC"/>
    <w:rsid w:val="005944DA"/>
    <w:rsid w:val="005975CD"/>
    <w:rsid w:val="005A2896"/>
    <w:rsid w:val="005A444D"/>
    <w:rsid w:val="005A5387"/>
    <w:rsid w:val="005B1701"/>
    <w:rsid w:val="005B3B08"/>
    <w:rsid w:val="005C0D0F"/>
    <w:rsid w:val="005C1C05"/>
    <w:rsid w:val="005C2C95"/>
    <w:rsid w:val="005C67D2"/>
    <w:rsid w:val="005C708C"/>
    <w:rsid w:val="005D1F0D"/>
    <w:rsid w:val="005D2386"/>
    <w:rsid w:val="005D3574"/>
    <w:rsid w:val="005D4E5A"/>
    <w:rsid w:val="005D6D89"/>
    <w:rsid w:val="005E395C"/>
    <w:rsid w:val="005E3D05"/>
    <w:rsid w:val="005E5FD6"/>
    <w:rsid w:val="005F0259"/>
    <w:rsid w:val="005F1762"/>
    <w:rsid w:val="005F26BD"/>
    <w:rsid w:val="005F2B49"/>
    <w:rsid w:val="005F515E"/>
    <w:rsid w:val="005F667B"/>
    <w:rsid w:val="00601712"/>
    <w:rsid w:val="00602DD3"/>
    <w:rsid w:val="0060596A"/>
    <w:rsid w:val="00606FC7"/>
    <w:rsid w:val="00607F53"/>
    <w:rsid w:val="0061421B"/>
    <w:rsid w:val="006148EA"/>
    <w:rsid w:val="006150A5"/>
    <w:rsid w:val="006150ED"/>
    <w:rsid w:val="00615664"/>
    <w:rsid w:val="0061627A"/>
    <w:rsid w:val="006168FF"/>
    <w:rsid w:val="00617FC7"/>
    <w:rsid w:val="006204A4"/>
    <w:rsid w:val="00621453"/>
    <w:rsid w:val="00622276"/>
    <w:rsid w:val="006228F3"/>
    <w:rsid w:val="00625F15"/>
    <w:rsid w:val="00630167"/>
    <w:rsid w:val="00630A24"/>
    <w:rsid w:val="00631823"/>
    <w:rsid w:val="006325E0"/>
    <w:rsid w:val="00632627"/>
    <w:rsid w:val="00632D6B"/>
    <w:rsid w:val="006333EC"/>
    <w:rsid w:val="00635D5E"/>
    <w:rsid w:val="0063630F"/>
    <w:rsid w:val="00637FFC"/>
    <w:rsid w:val="006409C8"/>
    <w:rsid w:val="00640A8C"/>
    <w:rsid w:val="00643DE2"/>
    <w:rsid w:val="00644643"/>
    <w:rsid w:val="006470E6"/>
    <w:rsid w:val="00650489"/>
    <w:rsid w:val="00651777"/>
    <w:rsid w:val="00653A01"/>
    <w:rsid w:val="006558FC"/>
    <w:rsid w:val="00660ABA"/>
    <w:rsid w:val="00662202"/>
    <w:rsid w:val="0066391D"/>
    <w:rsid w:val="00664D9F"/>
    <w:rsid w:val="006719BC"/>
    <w:rsid w:val="00673475"/>
    <w:rsid w:val="00675D50"/>
    <w:rsid w:val="00680282"/>
    <w:rsid w:val="00683B57"/>
    <w:rsid w:val="00683FB6"/>
    <w:rsid w:val="006841E7"/>
    <w:rsid w:val="00684CA6"/>
    <w:rsid w:val="00685194"/>
    <w:rsid w:val="00685A62"/>
    <w:rsid w:val="0069252C"/>
    <w:rsid w:val="0069297E"/>
    <w:rsid w:val="00694A3B"/>
    <w:rsid w:val="006A21D8"/>
    <w:rsid w:val="006A2901"/>
    <w:rsid w:val="006A4BA1"/>
    <w:rsid w:val="006A5143"/>
    <w:rsid w:val="006A7164"/>
    <w:rsid w:val="006B033A"/>
    <w:rsid w:val="006B3C37"/>
    <w:rsid w:val="006B44F1"/>
    <w:rsid w:val="006B51D8"/>
    <w:rsid w:val="006B600E"/>
    <w:rsid w:val="006B6014"/>
    <w:rsid w:val="006B7014"/>
    <w:rsid w:val="006B722F"/>
    <w:rsid w:val="006C05D2"/>
    <w:rsid w:val="006C19DC"/>
    <w:rsid w:val="006C243F"/>
    <w:rsid w:val="006C26D0"/>
    <w:rsid w:val="006C3FF5"/>
    <w:rsid w:val="006C4C12"/>
    <w:rsid w:val="006C59F4"/>
    <w:rsid w:val="006C7158"/>
    <w:rsid w:val="006D2BD1"/>
    <w:rsid w:val="006D3B4A"/>
    <w:rsid w:val="006E1247"/>
    <w:rsid w:val="006E1785"/>
    <w:rsid w:val="006E2481"/>
    <w:rsid w:val="006E3685"/>
    <w:rsid w:val="006E494E"/>
    <w:rsid w:val="006E6D3F"/>
    <w:rsid w:val="006E77FE"/>
    <w:rsid w:val="006E7ED5"/>
    <w:rsid w:val="006F01AE"/>
    <w:rsid w:val="006F0269"/>
    <w:rsid w:val="006F19E8"/>
    <w:rsid w:val="006F4B56"/>
    <w:rsid w:val="006F4E6D"/>
    <w:rsid w:val="006F764C"/>
    <w:rsid w:val="007007E8"/>
    <w:rsid w:val="00702A8C"/>
    <w:rsid w:val="00707942"/>
    <w:rsid w:val="007113EF"/>
    <w:rsid w:val="00714023"/>
    <w:rsid w:val="00716B6E"/>
    <w:rsid w:val="0071730F"/>
    <w:rsid w:val="0072059E"/>
    <w:rsid w:val="007207EA"/>
    <w:rsid w:val="0072132D"/>
    <w:rsid w:val="00723197"/>
    <w:rsid w:val="007324F6"/>
    <w:rsid w:val="007326AE"/>
    <w:rsid w:val="00733B38"/>
    <w:rsid w:val="00733E3D"/>
    <w:rsid w:val="00737EED"/>
    <w:rsid w:val="00741143"/>
    <w:rsid w:val="00741290"/>
    <w:rsid w:val="00750B54"/>
    <w:rsid w:val="00750DB2"/>
    <w:rsid w:val="00752F0D"/>
    <w:rsid w:val="00760D96"/>
    <w:rsid w:val="00762DD4"/>
    <w:rsid w:val="00764C13"/>
    <w:rsid w:val="007657F9"/>
    <w:rsid w:val="00770803"/>
    <w:rsid w:val="00772890"/>
    <w:rsid w:val="00773C3E"/>
    <w:rsid w:val="0078013D"/>
    <w:rsid w:val="00780D48"/>
    <w:rsid w:val="00780E03"/>
    <w:rsid w:val="007819B9"/>
    <w:rsid w:val="00781F07"/>
    <w:rsid w:val="007826CE"/>
    <w:rsid w:val="00782C28"/>
    <w:rsid w:val="007833C1"/>
    <w:rsid w:val="007853F9"/>
    <w:rsid w:val="00790DFB"/>
    <w:rsid w:val="007A003B"/>
    <w:rsid w:val="007A1D13"/>
    <w:rsid w:val="007A6176"/>
    <w:rsid w:val="007A70E8"/>
    <w:rsid w:val="007B0B7C"/>
    <w:rsid w:val="007B26E0"/>
    <w:rsid w:val="007B45EB"/>
    <w:rsid w:val="007B485B"/>
    <w:rsid w:val="007C31CB"/>
    <w:rsid w:val="007C384B"/>
    <w:rsid w:val="007C63D6"/>
    <w:rsid w:val="007D18FA"/>
    <w:rsid w:val="007D1D3B"/>
    <w:rsid w:val="007D4DAA"/>
    <w:rsid w:val="007D7E10"/>
    <w:rsid w:val="007E4558"/>
    <w:rsid w:val="007E48DB"/>
    <w:rsid w:val="007E53CE"/>
    <w:rsid w:val="007E579D"/>
    <w:rsid w:val="007E5D71"/>
    <w:rsid w:val="007E712F"/>
    <w:rsid w:val="007E73D5"/>
    <w:rsid w:val="007E7EAD"/>
    <w:rsid w:val="007F0665"/>
    <w:rsid w:val="007F1057"/>
    <w:rsid w:val="007F1891"/>
    <w:rsid w:val="007F22D0"/>
    <w:rsid w:val="007F25E7"/>
    <w:rsid w:val="007F2A72"/>
    <w:rsid w:val="007F42D9"/>
    <w:rsid w:val="007F77E0"/>
    <w:rsid w:val="00800CA5"/>
    <w:rsid w:val="008011F4"/>
    <w:rsid w:val="00801415"/>
    <w:rsid w:val="00801CD0"/>
    <w:rsid w:val="00802ED6"/>
    <w:rsid w:val="00802FDD"/>
    <w:rsid w:val="008044C5"/>
    <w:rsid w:val="00804B0B"/>
    <w:rsid w:val="008076D2"/>
    <w:rsid w:val="0081051E"/>
    <w:rsid w:val="0081060E"/>
    <w:rsid w:val="008109E6"/>
    <w:rsid w:val="0081104C"/>
    <w:rsid w:val="00814688"/>
    <w:rsid w:val="00814E7D"/>
    <w:rsid w:val="008162F3"/>
    <w:rsid w:val="00822211"/>
    <w:rsid w:val="0082314C"/>
    <w:rsid w:val="0083054D"/>
    <w:rsid w:val="00831B5C"/>
    <w:rsid w:val="00833C36"/>
    <w:rsid w:val="00834618"/>
    <w:rsid w:val="00835A8D"/>
    <w:rsid w:val="00835B18"/>
    <w:rsid w:val="008408FC"/>
    <w:rsid w:val="00841996"/>
    <w:rsid w:val="00843C06"/>
    <w:rsid w:val="00851EF0"/>
    <w:rsid w:val="008569C1"/>
    <w:rsid w:val="0086105C"/>
    <w:rsid w:val="00861089"/>
    <w:rsid w:val="008611F6"/>
    <w:rsid w:val="0086210A"/>
    <w:rsid w:val="0086371E"/>
    <w:rsid w:val="0086385F"/>
    <w:rsid w:val="00864BC8"/>
    <w:rsid w:val="00864DA6"/>
    <w:rsid w:val="008663CF"/>
    <w:rsid w:val="00872451"/>
    <w:rsid w:val="008733FB"/>
    <w:rsid w:val="0087561B"/>
    <w:rsid w:val="008779B7"/>
    <w:rsid w:val="00880B20"/>
    <w:rsid w:val="00881AD2"/>
    <w:rsid w:val="00883A4B"/>
    <w:rsid w:val="00890C00"/>
    <w:rsid w:val="00891D06"/>
    <w:rsid w:val="008944DF"/>
    <w:rsid w:val="008964A0"/>
    <w:rsid w:val="00896CD3"/>
    <w:rsid w:val="008A05AD"/>
    <w:rsid w:val="008A105E"/>
    <w:rsid w:val="008A13C9"/>
    <w:rsid w:val="008A17F2"/>
    <w:rsid w:val="008A1804"/>
    <w:rsid w:val="008A6751"/>
    <w:rsid w:val="008A6C6E"/>
    <w:rsid w:val="008B1A12"/>
    <w:rsid w:val="008B1FCA"/>
    <w:rsid w:val="008B59A1"/>
    <w:rsid w:val="008B5D5F"/>
    <w:rsid w:val="008B6AFD"/>
    <w:rsid w:val="008C3539"/>
    <w:rsid w:val="008C37E8"/>
    <w:rsid w:val="008D1519"/>
    <w:rsid w:val="008D1A9B"/>
    <w:rsid w:val="008D40FD"/>
    <w:rsid w:val="008D50D7"/>
    <w:rsid w:val="008E1CE5"/>
    <w:rsid w:val="008E1D8A"/>
    <w:rsid w:val="008E4E0B"/>
    <w:rsid w:val="008E6AB7"/>
    <w:rsid w:val="008E6B71"/>
    <w:rsid w:val="008E72C1"/>
    <w:rsid w:val="008E73A8"/>
    <w:rsid w:val="008F113A"/>
    <w:rsid w:val="008F16B4"/>
    <w:rsid w:val="008F68EC"/>
    <w:rsid w:val="009009B4"/>
    <w:rsid w:val="009022E9"/>
    <w:rsid w:val="00903C82"/>
    <w:rsid w:val="0090462C"/>
    <w:rsid w:val="00905040"/>
    <w:rsid w:val="00911361"/>
    <w:rsid w:val="0091211D"/>
    <w:rsid w:val="0091289C"/>
    <w:rsid w:val="00912D64"/>
    <w:rsid w:val="00916530"/>
    <w:rsid w:val="009216A6"/>
    <w:rsid w:val="00921A46"/>
    <w:rsid w:val="00921C43"/>
    <w:rsid w:val="0092572A"/>
    <w:rsid w:val="009269B1"/>
    <w:rsid w:val="00926CB3"/>
    <w:rsid w:val="00926F72"/>
    <w:rsid w:val="009328AE"/>
    <w:rsid w:val="00932A86"/>
    <w:rsid w:val="00932A94"/>
    <w:rsid w:val="009351AD"/>
    <w:rsid w:val="009356AF"/>
    <w:rsid w:val="00935ADB"/>
    <w:rsid w:val="00937590"/>
    <w:rsid w:val="00941D1E"/>
    <w:rsid w:val="00945776"/>
    <w:rsid w:val="00950B5F"/>
    <w:rsid w:val="00951CE8"/>
    <w:rsid w:val="00954663"/>
    <w:rsid w:val="00954F2A"/>
    <w:rsid w:val="00957D51"/>
    <w:rsid w:val="009609A8"/>
    <w:rsid w:val="00962BD5"/>
    <w:rsid w:val="00962D81"/>
    <w:rsid w:val="009661C4"/>
    <w:rsid w:val="00970E9C"/>
    <w:rsid w:val="0097190A"/>
    <w:rsid w:val="00972C19"/>
    <w:rsid w:val="00972D59"/>
    <w:rsid w:val="00973DDF"/>
    <w:rsid w:val="00974085"/>
    <w:rsid w:val="0097643F"/>
    <w:rsid w:val="00976603"/>
    <w:rsid w:val="00986C31"/>
    <w:rsid w:val="009938AA"/>
    <w:rsid w:val="0099390D"/>
    <w:rsid w:val="00996AAA"/>
    <w:rsid w:val="00996ADF"/>
    <w:rsid w:val="009A1806"/>
    <w:rsid w:val="009A30E0"/>
    <w:rsid w:val="009A3468"/>
    <w:rsid w:val="009A4C3B"/>
    <w:rsid w:val="009A7C99"/>
    <w:rsid w:val="009B05B6"/>
    <w:rsid w:val="009B0BF6"/>
    <w:rsid w:val="009B1F5F"/>
    <w:rsid w:val="009B325B"/>
    <w:rsid w:val="009B61F9"/>
    <w:rsid w:val="009B6F01"/>
    <w:rsid w:val="009C103E"/>
    <w:rsid w:val="009C30E1"/>
    <w:rsid w:val="009C460C"/>
    <w:rsid w:val="009C47CC"/>
    <w:rsid w:val="009D029E"/>
    <w:rsid w:val="009D0B9A"/>
    <w:rsid w:val="009D284B"/>
    <w:rsid w:val="009D3E7B"/>
    <w:rsid w:val="009D3EE5"/>
    <w:rsid w:val="009D4423"/>
    <w:rsid w:val="009D444A"/>
    <w:rsid w:val="009D5941"/>
    <w:rsid w:val="009D5EA8"/>
    <w:rsid w:val="009D7C1D"/>
    <w:rsid w:val="009E029F"/>
    <w:rsid w:val="009E3C90"/>
    <w:rsid w:val="009E53AB"/>
    <w:rsid w:val="009E72CF"/>
    <w:rsid w:val="009E7FA6"/>
    <w:rsid w:val="009F13A1"/>
    <w:rsid w:val="009F6694"/>
    <w:rsid w:val="00A00263"/>
    <w:rsid w:val="00A015AE"/>
    <w:rsid w:val="00A015DC"/>
    <w:rsid w:val="00A01803"/>
    <w:rsid w:val="00A01F6A"/>
    <w:rsid w:val="00A03FA5"/>
    <w:rsid w:val="00A06550"/>
    <w:rsid w:val="00A10039"/>
    <w:rsid w:val="00A10DDB"/>
    <w:rsid w:val="00A110B2"/>
    <w:rsid w:val="00A118BB"/>
    <w:rsid w:val="00A11B29"/>
    <w:rsid w:val="00A12C7F"/>
    <w:rsid w:val="00A12D0C"/>
    <w:rsid w:val="00A14BE2"/>
    <w:rsid w:val="00A15F4C"/>
    <w:rsid w:val="00A1647D"/>
    <w:rsid w:val="00A16BCF"/>
    <w:rsid w:val="00A179DC"/>
    <w:rsid w:val="00A20C6A"/>
    <w:rsid w:val="00A21446"/>
    <w:rsid w:val="00A23F6E"/>
    <w:rsid w:val="00A2740F"/>
    <w:rsid w:val="00A31932"/>
    <w:rsid w:val="00A3284D"/>
    <w:rsid w:val="00A34428"/>
    <w:rsid w:val="00A34E18"/>
    <w:rsid w:val="00A34EEF"/>
    <w:rsid w:val="00A372E3"/>
    <w:rsid w:val="00A37FF8"/>
    <w:rsid w:val="00A44111"/>
    <w:rsid w:val="00A46DF4"/>
    <w:rsid w:val="00A47590"/>
    <w:rsid w:val="00A51AFF"/>
    <w:rsid w:val="00A52390"/>
    <w:rsid w:val="00A5463C"/>
    <w:rsid w:val="00A55A07"/>
    <w:rsid w:val="00A57581"/>
    <w:rsid w:val="00A57A15"/>
    <w:rsid w:val="00A57B4B"/>
    <w:rsid w:val="00A60E5F"/>
    <w:rsid w:val="00A60ECC"/>
    <w:rsid w:val="00A615AB"/>
    <w:rsid w:val="00A615B9"/>
    <w:rsid w:val="00A61DA7"/>
    <w:rsid w:val="00A70869"/>
    <w:rsid w:val="00A71A8F"/>
    <w:rsid w:val="00A734EB"/>
    <w:rsid w:val="00A73522"/>
    <w:rsid w:val="00A742D5"/>
    <w:rsid w:val="00A7691D"/>
    <w:rsid w:val="00A809D4"/>
    <w:rsid w:val="00A8317F"/>
    <w:rsid w:val="00A84D2A"/>
    <w:rsid w:val="00A85BDA"/>
    <w:rsid w:val="00A868E5"/>
    <w:rsid w:val="00A902DB"/>
    <w:rsid w:val="00A91365"/>
    <w:rsid w:val="00A91425"/>
    <w:rsid w:val="00A9159C"/>
    <w:rsid w:val="00A91B11"/>
    <w:rsid w:val="00A920CD"/>
    <w:rsid w:val="00A927A6"/>
    <w:rsid w:val="00AA12CF"/>
    <w:rsid w:val="00AA2AFC"/>
    <w:rsid w:val="00AA3029"/>
    <w:rsid w:val="00AA47BE"/>
    <w:rsid w:val="00AA718C"/>
    <w:rsid w:val="00AB1ECB"/>
    <w:rsid w:val="00AB24DD"/>
    <w:rsid w:val="00AB2651"/>
    <w:rsid w:val="00AB531A"/>
    <w:rsid w:val="00AC05EA"/>
    <w:rsid w:val="00AC073D"/>
    <w:rsid w:val="00AC0B8E"/>
    <w:rsid w:val="00AC1371"/>
    <w:rsid w:val="00AC2504"/>
    <w:rsid w:val="00AC2C83"/>
    <w:rsid w:val="00AC339F"/>
    <w:rsid w:val="00AC368D"/>
    <w:rsid w:val="00AC3F54"/>
    <w:rsid w:val="00AC4B6E"/>
    <w:rsid w:val="00AD649D"/>
    <w:rsid w:val="00AD6719"/>
    <w:rsid w:val="00AD7614"/>
    <w:rsid w:val="00AE0254"/>
    <w:rsid w:val="00AE0D3C"/>
    <w:rsid w:val="00AE18C2"/>
    <w:rsid w:val="00AE2DF8"/>
    <w:rsid w:val="00AE4D71"/>
    <w:rsid w:val="00AE5164"/>
    <w:rsid w:val="00AF0430"/>
    <w:rsid w:val="00AF0D5D"/>
    <w:rsid w:val="00AF297D"/>
    <w:rsid w:val="00AF2AE4"/>
    <w:rsid w:val="00AF63B8"/>
    <w:rsid w:val="00B00310"/>
    <w:rsid w:val="00B02CAA"/>
    <w:rsid w:val="00B03035"/>
    <w:rsid w:val="00B03776"/>
    <w:rsid w:val="00B03C8C"/>
    <w:rsid w:val="00B06188"/>
    <w:rsid w:val="00B07D9B"/>
    <w:rsid w:val="00B11806"/>
    <w:rsid w:val="00B11D42"/>
    <w:rsid w:val="00B127BA"/>
    <w:rsid w:val="00B1528C"/>
    <w:rsid w:val="00B1664D"/>
    <w:rsid w:val="00B1790E"/>
    <w:rsid w:val="00B17BD5"/>
    <w:rsid w:val="00B20716"/>
    <w:rsid w:val="00B21807"/>
    <w:rsid w:val="00B2309B"/>
    <w:rsid w:val="00B24516"/>
    <w:rsid w:val="00B24B85"/>
    <w:rsid w:val="00B264FD"/>
    <w:rsid w:val="00B30897"/>
    <w:rsid w:val="00B3365F"/>
    <w:rsid w:val="00B33BFD"/>
    <w:rsid w:val="00B33D47"/>
    <w:rsid w:val="00B3421D"/>
    <w:rsid w:val="00B37124"/>
    <w:rsid w:val="00B3749C"/>
    <w:rsid w:val="00B402F0"/>
    <w:rsid w:val="00B41F71"/>
    <w:rsid w:val="00B43C88"/>
    <w:rsid w:val="00B447BD"/>
    <w:rsid w:val="00B47B73"/>
    <w:rsid w:val="00B505BD"/>
    <w:rsid w:val="00B50EF1"/>
    <w:rsid w:val="00B51385"/>
    <w:rsid w:val="00B51A17"/>
    <w:rsid w:val="00B523C6"/>
    <w:rsid w:val="00B5295F"/>
    <w:rsid w:val="00B52C5B"/>
    <w:rsid w:val="00B53C75"/>
    <w:rsid w:val="00B551B7"/>
    <w:rsid w:val="00B5575B"/>
    <w:rsid w:val="00B57663"/>
    <w:rsid w:val="00B57BD3"/>
    <w:rsid w:val="00B612BF"/>
    <w:rsid w:val="00B61BAB"/>
    <w:rsid w:val="00B63E88"/>
    <w:rsid w:val="00B6633B"/>
    <w:rsid w:val="00B720D5"/>
    <w:rsid w:val="00B7248F"/>
    <w:rsid w:val="00B74C55"/>
    <w:rsid w:val="00B74E73"/>
    <w:rsid w:val="00B75018"/>
    <w:rsid w:val="00B81E5C"/>
    <w:rsid w:val="00B81EA8"/>
    <w:rsid w:val="00B83CAD"/>
    <w:rsid w:val="00B85DE5"/>
    <w:rsid w:val="00B879D0"/>
    <w:rsid w:val="00B90C68"/>
    <w:rsid w:val="00B93316"/>
    <w:rsid w:val="00B95C23"/>
    <w:rsid w:val="00BA0D9E"/>
    <w:rsid w:val="00BA1E79"/>
    <w:rsid w:val="00BA409C"/>
    <w:rsid w:val="00BA758D"/>
    <w:rsid w:val="00BB1F11"/>
    <w:rsid w:val="00BB2F3D"/>
    <w:rsid w:val="00BB3381"/>
    <w:rsid w:val="00BB531A"/>
    <w:rsid w:val="00BB5DB7"/>
    <w:rsid w:val="00BB6979"/>
    <w:rsid w:val="00BB7C78"/>
    <w:rsid w:val="00BC1044"/>
    <w:rsid w:val="00BC141D"/>
    <w:rsid w:val="00BC1D53"/>
    <w:rsid w:val="00BC347C"/>
    <w:rsid w:val="00BC3BF5"/>
    <w:rsid w:val="00BC483F"/>
    <w:rsid w:val="00BC4E45"/>
    <w:rsid w:val="00BC4F81"/>
    <w:rsid w:val="00BC58BE"/>
    <w:rsid w:val="00BC6319"/>
    <w:rsid w:val="00BC643E"/>
    <w:rsid w:val="00BD2C8E"/>
    <w:rsid w:val="00BD69A4"/>
    <w:rsid w:val="00BE10BB"/>
    <w:rsid w:val="00BE3D6F"/>
    <w:rsid w:val="00BE6CE1"/>
    <w:rsid w:val="00BE71C9"/>
    <w:rsid w:val="00BF008E"/>
    <w:rsid w:val="00BF06C6"/>
    <w:rsid w:val="00BF14A1"/>
    <w:rsid w:val="00BF3AE2"/>
    <w:rsid w:val="00BF6944"/>
    <w:rsid w:val="00C009A9"/>
    <w:rsid w:val="00C03382"/>
    <w:rsid w:val="00C048A4"/>
    <w:rsid w:val="00C05C74"/>
    <w:rsid w:val="00C06F46"/>
    <w:rsid w:val="00C12010"/>
    <w:rsid w:val="00C15649"/>
    <w:rsid w:val="00C15C02"/>
    <w:rsid w:val="00C15D71"/>
    <w:rsid w:val="00C16184"/>
    <w:rsid w:val="00C16506"/>
    <w:rsid w:val="00C16E72"/>
    <w:rsid w:val="00C17156"/>
    <w:rsid w:val="00C20AB0"/>
    <w:rsid w:val="00C2223A"/>
    <w:rsid w:val="00C25E98"/>
    <w:rsid w:val="00C30C41"/>
    <w:rsid w:val="00C30EEF"/>
    <w:rsid w:val="00C313BE"/>
    <w:rsid w:val="00C34891"/>
    <w:rsid w:val="00C34BC9"/>
    <w:rsid w:val="00C35567"/>
    <w:rsid w:val="00C3688F"/>
    <w:rsid w:val="00C3695B"/>
    <w:rsid w:val="00C36FCA"/>
    <w:rsid w:val="00C401E7"/>
    <w:rsid w:val="00C40478"/>
    <w:rsid w:val="00C412EB"/>
    <w:rsid w:val="00C446E8"/>
    <w:rsid w:val="00C45968"/>
    <w:rsid w:val="00C46956"/>
    <w:rsid w:val="00C500BA"/>
    <w:rsid w:val="00C50ABD"/>
    <w:rsid w:val="00C50CB6"/>
    <w:rsid w:val="00C53016"/>
    <w:rsid w:val="00C5352E"/>
    <w:rsid w:val="00C540B9"/>
    <w:rsid w:val="00C55408"/>
    <w:rsid w:val="00C569A0"/>
    <w:rsid w:val="00C57F32"/>
    <w:rsid w:val="00C60135"/>
    <w:rsid w:val="00C628AC"/>
    <w:rsid w:val="00C62C54"/>
    <w:rsid w:val="00C633C6"/>
    <w:rsid w:val="00C63D84"/>
    <w:rsid w:val="00C63F1C"/>
    <w:rsid w:val="00C6421F"/>
    <w:rsid w:val="00C649DF"/>
    <w:rsid w:val="00C663CD"/>
    <w:rsid w:val="00C6655C"/>
    <w:rsid w:val="00C67F8C"/>
    <w:rsid w:val="00C70B86"/>
    <w:rsid w:val="00C75D57"/>
    <w:rsid w:val="00C816B9"/>
    <w:rsid w:val="00C845AE"/>
    <w:rsid w:val="00C857A4"/>
    <w:rsid w:val="00C86593"/>
    <w:rsid w:val="00C867C4"/>
    <w:rsid w:val="00C86F86"/>
    <w:rsid w:val="00C87FD3"/>
    <w:rsid w:val="00C906E1"/>
    <w:rsid w:val="00C916A1"/>
    <w:rsid w:val="00C91CDB"/>
    <w:rsid w:val="00C92A62"/>
    <w:rsid w:val="00C92CB0"/>
    <w:rsid w:val="00C93A78"/>
    <w:rsid w:val="00C9505D"/>
    <w:rsid w:val="00CA1030"/>
    <w:rsid w:val="00CA1127"/>
    <w:rsid w:val="00CA1B0E"/>
    <w:rsid w:val="00CA30C6"/>
    <w:rsid w:val="00CA3B1E"/>
    <w:rsid w:val="00CA4568"/>
    <w:rsid w:val="00CA6825"/>
    <w:rsid w:val="00CB2E05"/>
    <w:rsid w:val="00CB353D"/>
    <w:rsid w:val="00CB465C"/>
    <w:rsid w:val="00CB576C"/>
    <w:rsid w:val="00CB5A5A"/>
    <w:rsid w:val="00CB7619"/>
    <w:rsid w:val="00CB789A"/>
    <w:rsid w:val="00CB7B46"/>
    <w:rsid w:val="00CC45F5"/>
    <w:rsid w:val="00CC62E5"/>
    <w:rsid w:val="00CC7DB2"/>
    <w:rsid w:val="00CD0587"/>
    <w:rsid w:val="00CD2B7A"/>
    <w:rsid w:val="00CD471E"/>
    <w:rsid w:val="00CE088F"/>
    <w:rsid w:val="00CE0ADC"/>
    <w:rsid w:val="00CE2372"/>
    <w:rsid w:val="00CE28D9"/>
    <w:rsid w:val="00CE3CEA"/>
    <w:rsid w:val="00CE3E38"/>
    <w:rsid w:val="00CE4DB5"/>
    <w:rsid w:val="00CE635C"/>
    <w:rsid w:val="00CE7677"/>
    <w:rsid w:val="00CE7ABB"/>
    <w:rsid w:val="00CE7EF4"/>
    <w:rsid w:val="00CF016B"/>
    <w:rsid w:val="00CF018C"/>
    <w:rsid w:val="00CF192E"/>
    <w:rsid w:val="00CF2ABC"/>
    <w:rsid w:val="00CF2BEE"/>
    <w:rsid w:val="00CF37A2"/>
    <w:rsid w:val="00CF39CC"/>
    <w:rsid w:val="00CF3BAE"/>
    <w:rsid w:val="00CF41AC"/>
    <w:rsid w:val="00CF55F2"/>
    <w:rsid w:val="00CF772A"/>
    <w:rsid w:val="00D03491"/>
    <w:rsid w:val="00D044B5"/>
    <w:rsid w:val="00D04657"/>
    <w:rsid w:val="00D111A9"/>
    <w:rsid w:val="00D11471"/>
    <w:rsid w:val="00D117C3"/>
    <w:rsid w:val="00D11C08"/>
    <w:rsid w:val="00D1450D"/>
    <w:rsid w:val="00D14777"/>
    <w:rsid w:val="00D15E0C"/>
    <w:rsid w:val="00D201B5"/>
    <w:rsid w:val="00D210BB"/>
    <w:rsid w:val="00D211D4"/>
    <w:rsid w:val="00D23C4E"/>
    <w:rsid w:val="00D24494"/>
    <w:rsid w:val="00D266D9"/>
    <w:rsid w:val="00D268E7"/>
    <w:rsid w:val="00D26DDA"/>
    <w:rsid w:val="00D30C8C"/>
    <w:rsid w:val="00D319B0"/>
    <w:rsid w:val="00D31F90"/>
    <w:rsid w:val="00D32331"/>
    <w:rsid w:val="00D330FC"/>
    <w:rsid w:val="00D3316E"/>
    <w:rsid w:val="00D34154"/>
    <w:rsid w:val="00D35B95"/>
    <w:rsid w:val="00D3607F"/>
    <w:rsid w:val="00D360AF"/>
    <w:rsid w:val="00D3786D"/>
    <w:rsid w:val="00D41D59"/>
    <w:rsid w:val="00D435B4"/>
    <w:rsid w:val="00D45304"/>
    <w:rsid w:val="00D46271"/>
    <w:rsid w:val="00D4637C"/>
    <w:rsid w:val="00D46D14"/>
    <w:rsid w:val="00D4782A"/>
    <w:rsid w:val="00D535AC"/>
    <w:rsid w:val="00D5469A"/>
    <w:rsid w:val="00D555C0"/>
    <w:rsid w:val="00D56498"/>
    <w:rsid w:val="00D619A9"/>
    <w:rsid w:val="00D64B99"/>
    <w:rsid w:val="00D65296"/>
    <w:rsid w:val="00D65E1E"/>
    <w:rsid w:val="00D7065E"/>
    <w:rsid w:val="00D73009"/>
    <w:rsid w:val="00D74C82"/>
    <w:rsid w:val="00D77DB8"/>
    <w:rsid w:val="00D8065B"/>
    <w:rsid w:val="00D81DFE"/>
    <w:rsid w:val="00D86F58"/>
    <w:rsid w:val="00D91DF8"/>
    <w:rsid w:val="00D946A4"/>
    <w:rsid w:val="00D9555B"/>
    <w:rsid w:val="00D9619A"/>
    <w:rsid w:val="00D96D53"/>
    <w:rsid w:val="00D97492"/>
    <w:rsid w:val="00DA08F4"/>
    <w:rsid w:val="00DA1D79"/>
    <w:rsid w:val="00DA3973"/>
    <w:rsid w:val="00DA4DC9"/>
    <w:rsid w:val="00DA6054"/>
    <w:rsid w:val="00DB3620"/>
    <w:rsid w:val="00DB49D3"/>
    <w:rsid w:val="00DC01E5"/>
    <w:rsid w:val="00DC1B13"/>
    <w:rsid w:val="00DC5157"/>
    <w:rsid w:val="00DC56CA"/>
    <w:rsid w:val="00DC5EAE"/>
    <w:rsid w:val="00DD40CD"/>
    <w:rsid w:val="00DD6942"/>
    <w:rsid w:val="00DD6F45"/>
    <w:rsid w:val="00DD7CB2"/>
    <w:rsid w:val="00DD7DFF"/>
    <w:rsid w:val="00DE0647"/>
    <w:rsid w:val="00DE126B"/>
    <w:rsid w:val="00DE1E35"/>
    <w:rsid w:val="00DE1F1F"/>
    <w:rsid w:val="00DE2AF7"/>
    <w:rsid w:val="00DE4488"/>
    <w:rsid w:val="00DE5830"/>
    <w:rsid w:val="00DE620D"/>
    <w:rsid w:val="00DE63CD"/>
    <w:rsid w:val="00DE6EBD"/>
    <w:rsid w:val="00DE731C"/>
    <w:rsid w:val="00DF38E8"/>
    <w:rsid w:val="00DF41BA"/>
    <w:rsid w:val="00E0059C"/>
    <w:rsid w:val="00E011FE"/>
    <w:rsid w:val="00E02481"/>
    <w:rsid w:val="00E02B23"/>
    <w:rsid w:val="00E0690B"/>
    <w:rsid w:val="00E11F2D"/>
    <w:rsid w:val="00E121A7"/>
    <w:rsid w:val="00E13F63"/>
    <w:rsid w:val="00E1477F"/>
    <w:rsid w:val="00E15791"/>
    <w:rsid w:val="00E20675"/>
    <w:rsid w:val="00E20F0E"/>
    <w:rsid w:val="00E24224"/>
    <w:rsid w:val="00E24936"/>
    <w:rsid w:val="00E27076"/>
    <w:rsid w:val="00E31F0F"/>
    <w:rsid w:val="00E328CF"/>
    <w:rsid w:val="00E35A5F"/>
    <w:rsid w:val="00E43675"/>
    <w:rsid w:val="00E43BAE"/>
    <w:rsid w:val="00E44284"/>
    <w:rsid w:val="00E453AA"/>
    <w:rsid w:val="00E46A2B"/>
    <w:rsid w:val="00E47ED2"/>
    <w:rsid w:val="00E5205A"/>
    <w:rsid w:val="00E55D96"/>
    <w:rsid w:val="00E611F2"/>
    <w:rsid w:val="00E639CD"/>
    <w:rsid w:val="00E63C69"/>
    <w:rsid w:val="00E675B9"/>
    <w:rsid w:val="00E706F1"/>
    <w:rsid w:val="00E7081C"/>
    <w:rsid w:val="00E715D0"/>
    <w:rsid w:val="00E72329"/>
    <w:rsid w:val="00E734D5"/>
    <w:rsid w:val="00E73DA3"/>
    <w:rsid w:val="00E74C3E"/>
    <w:rsid w:val="00E76181"/>
    <w:rsid w:val="00E767D0"/>
    <w:rsid w:val="00E76A13"/>
    <w:rsid w:val="00E773D2"/>
    <w:rsid w:val="00E77D48"/>
    <w:rsid w:val="00E805FB"/>
    <w:rsid w:val="00E81559"/>
    <w:rsid w:val="00E83AD4"/>
    <w:rsid w:val="00E845FB"/>
    <w:rsid w:val="00E84769"/>
    <w:rsid w:val="00E854EE"/>
    <w:rsid w:val="00E86195"/>
    <w:rsid w:val="00E8668E"/>
    <w:rsid w:val="00E86CB3"/>
    <w:rsid w:val="00E87341"/>
    <w:rsid w:val="00E903DC"/>
    <w:rsid w:val="00E90CD2"/>
    <w:rsid w:val="00E92683"/>
    <w:rsid w:val="00E939A0"/>
    <w:rsid w:val="00E97EFE"/>
    <w:rsid w:val="00EA3034"/>
    <w:rsid w:val="00EB0034"/>
    <w:rsid w:val="00EB1762"/>
    <w:rsid w:val="00EB19F7"/>
    <w:rsid w:val="00EB451E"/>
    <w:rsid w:val="00EB5314"/>
    <w:rsid w:val="00EB5503"/>
    <w:rsid w:val="00EB5AB0"/>
    <w:rsid w:val="00EB6F11"/>
    <w:rsid w:val="00EC122E"/>
    <w:rsid w:val="00EC147B"/>
    <w:rsid w:val="00EC270A"/>
    <w:rsid w:val="00EC28B2"/>
    <w:rsid w:val="00EC5A3F"/>
    <w:rsid w:val="00EC5A4E"/>
    <w:rsid w:val="00EC6729"/>
    <w:rsid w:val="00ED533C"/>
    <w:rsid w:val="00ED5B81"/>
    <w:rsid w:val="00ED6CAD"/>
    <w:rsid w:val="00ED6E7F"/>
    <w:rsid w:val="00EE31A6"/>
    <w:rsid w:val="00EF1AD4"/>
    <w:rsid w:val="00EF1C64"/>
    <w:rsid w:val="00EF3ABE"/>
    <w:rsid w:val="00EF3F2B"/>
    <w:rsid w:val="00EF5237"/>
    <w:rsid w:val="00EF5FCD"/>
    <w:rsid w:val="00EF6557"/>
    <w:rsid w:val="00EF735D"/>
    <w:rsid w:val="00F00E41"/>
    <w:rsid w:val="00F00E56"/>
    <w:rsid w:val="00F010C7"/>
    <w:rsid w:val="00F03C44"/>
    <w:rsid w:val="00F04568"/>
    <w:rsid w:val="00F05F0A"/>
    <w:rsid w:val="00F10CFC"/>
    <w:rsid w:val="00F10E8D"/>
    <w:rsid w:val="00F15286"/>
    <w:rsid w:val="00F20062"/>
    <w:rsid w:val="00F20EB5"/>
    <w:rsid w:val="00F255A2"/>
    <w:rsid w:val="00F26151"/>
    <w:rsid w:val="00F26A18"/>
    <w:rsid w:val="00F30EA2"/>
    <w:rsid w:val="00F4211E"/>
    <w:rsid w:val="00F423F4"/>
    <w:rsid w:val="00F42920"/>
    <w:rsid w:val="00F44BBE"/>
    <w:rsid w:val="00F44F1B"/>
    <w:rsid w:val="00F45153"/>
    <w:rsid w:val="00F45FB6"/>
    <w:rsid w:val="00F46C3B"/>
    <w:rsid w:val="00F47EDF"/>
    <w:rsid w:val="00F50D3A"/>
    <w:rsid w:val="00F525FC"/>
    <w:rsid w:val="00F54E36"/>
    <w:rsid w:val="00F566A6"/>
    <w:rsid w:val="00F61407"/>
    <w:rsid w:val="00F620A6"/>
    <w:rsid w:val="00F63F9D"/>
    <w:rsid w:val="00F65ADB"/>
    <w:rsid w:val="00F663FB"/>
    <w:rsid w:val="00F67FA7"/>
    <w:rsid w:val="00F71405"/>
    <w:rsid w:val="00F71E5F"/>
    <w:rsid w:val="00F73CE3"/>
    <w:rsid w:val="00F745DC"/>
    <w:rsid w:val="00F74DC4"/>
    <w:rsid w:val="00F75F18"/>
    <w:rsid w:val="00F77FE6"/>
    <w:rsid w:val="00F81CE4"/>
    <w:rsid w:val="00F822B9"/>
    <w:rsid w:val="00F8387D"/>
    <w:rsid w:val="00F84DF6"/>
    <w:rsid w:val="00F861CD"/>
    <w:rsid w:val="00F87B46"/>
    <w:rsid w:val="00F917E0"/>
    <w:rsid w:val="00F92DBC"/>
    <w:rsid w:val="00F94626"/>
    <w:rsid w:val="00F96A43"/>
    <w:rsid w:val="00F96E88"/>
    <w:rsid w:val="00FA1BB9"/>
    <w:rsid w:val="00FA1F4C"/>
    <w:rsid w:val="00FA26CB"/>
    <w:rsid w:val="00FA2EDB"/>
    <w:rsid w:val="00FA3035"/>
    <w:rsid w:val="00FA77A2"/>
    <w:rsid w:val="00FA7E21"/>
    <w:rsid w:val="00FB04CD"/>
    <w:rsid w:val="00FB16C2"/>
    <w:rsid w:val="00FB22A6"/>
    <w:rsid w:val="00FB290A"/>
    <w:rsid w:val="00FB30A8"/>
    <w:rsid w:val="00FB3FC4"/>
    <w:rsid w:val="00FB414C"/>
    <w:rsid w:val="00FB4C2F"/>
    <w:rsid w:val="00FB5C0B"/>
    <w:rsid w:val="00FC0EEA"/>
    <w:rsid w:val="00FC324F"/>
    <w:rsid w:val="00FC370D"/>
    <w:rsid w:val="00FC3833"/>
    <w:rsid w:val="00FC5643"/>
    <w:rsid w:val="00FD0665"/>
    <w:rsid w:val="00FD0D39"/>
    <w:rsid w:val="00FD253E"/>
    <w:rsid w:val="00FD369C"/>
    <w:rsid w:val="00FD40B5"/>
    <w:rsid w:val="00FD4354"/>
    <w:rsid w:val="00FD4990"/>
    <w:rsid w:val="00FD4AF1"/>
    <w:rsid w:val="00FE1654"/>
    <w:rsid w:val="00FE2EED"/>
    <w:rsid w:val="00FE2F4C"/>
    <w:rsid w:val="00FE620E"/>
    <w:rsid w:val="00FE63E0"/>
    <w:rsid w:val="00FE696E"/>
    <w:rsid w:val="00FF0B12"/>
    <w:rsid w:val="00FF1457"/>
    <w:rsid w:val="00FF2BDA"/>
    <w:rsid w:val="00FF4920"/>
    <w:rsid w:val="00FF6CD4"/>
    <w:rsid w:val="00FF72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2313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1D"/>
    <w:pPr>
      <w:spacing w:after="240" w:line="288" w:lineRule="auto"/>
      <w:jc w:val="both"/>
    </w:pPr>
    <w:rPr>
      <w:rFonts w:ascii="Gautami" w:hAnsi="Gautami"/>
      <w:lang w:eastAsia="en-US"/>
    </w:rPr>
  </w:style>
  <w:style w:type="paragraph" w:styleId="Heading1">
    <w:name w:val="heading 1"/>
    <w:next w:val="AERbodytext"/>
    <w:link w:val="Heading1Char"/>
    <w:uiPriority w:val="9"/>
    <w:qFormat/>
    <w:rsid w:val="009D7C1D"/>
    <w:pPr>
      <w:keepNext/>
      <w:keepLines/>
      <w:pageBreakBefore/>
      <w:numPr>
        <w:ilvl w:val="1"/>
        <w:numId w:val="3"/>
      </w:numPr>
      <w:spacing w:before="120" w:after="120" w:line="288" w:lineRule="auto"/>
      <w:jc w:val="both"/>
      <w:outlineLvl w:val="0"/>
    </w:pPr>
    <w:rPr>
      <w:rFonts w:ascii="Gautami" w:eastAsia="Times New Roman" w:hAnsi="Gautami"/>
      <w:b/>
      <w:bCs/>
      <w:color w:val="E36C0A"/>
      <w:sz w:val="36"/>
      <w:szCs w:val="28"/>
      <w:lang w:eastAsia="en-US"/>
    </w:rPr>
  </w:style>
  <w:style w:type="paragraph" w:styleId="Heading2">
    <w:name w:val="heading 2"/>
    <w:basedOn w:val="Heading1"/>
    <w:next w:val="AERbodytext"/>
    <w:link w:val="Heading2Char"/>
    <w:uiPriority w:val="9"/>
    <w:qFormat/>
    <w:rsid w:val="009D7C1D"/>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9D7C1D"/>
    <w:pPr>
      <w:numPr>
        <w:ilvl w:val="3"/>
      </w:numPr>
      <w:outlineLvl w:val="2"/>
    </w:pPr>
    <w:rPr>
      <w:bCs/>
      <w:sz w:val="24"/>
    </w:rPr>
  </w:style>
  <w:style w:type="paragraph" w:styleId="Heading4">
    <w:name w:val="heading 4"/>
    <w:basedOn w:val="Normal"/>
    <w:next w:val="Normal"/>
    <w:link w:val="Heading4Char"/>
    <w:uiPriority w:val="9"/>
    <w:unhideWhenUsed/>
    <w:qFormat/>
    <w:rsid w:val="004F7E1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2755BF"/>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UnnumberedHeading"/>
    <w:next w:val="AERbodytext"/>
    <w:link w:val="Heading7Char"/>
    <w:uiPriority w:val="9"/>
    <w:qFormat/>
    <w:rsid w:val="009D7C1D"/>
    <w:pPr>
      <w:numPr>
        <w:ilvl w:val="4"/>
      </w:numPr>
      <w:outlineLvl w:val="6"/>
    </w:pPr>
    <w:rPr>
      <w:iCs/>
      <w:szCs w:val="24"/>
    </w:rPr>
  </w:style>
  <w:style w:type="paragraph" w:styleId="Heading8">
    <w:name w:val="heading 8"/>
    <w:basedOn w:val="Heading7"/>
    <w:next w:val="AERbodytext"/>
    <w:link w:val="Heading8Char"/>
    <w:uiPriority w:val="9"/>
    <w:qFormat/>
    <w:rsid w:val="009D7C1D"/>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9D7C1D"/>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C1D"/>
    <w:rPr>
      <w:rFonts w:ascii="Gautami" w:eastAsia="Times New Roman" w:hAnsi="Gautami"/>
      <w:b/>
      <w:bCs/>
      <w:color w:val="E36C0A"/>
      <w:sz w:val="36"/>
      <w:szCs w:val="28"/>
      <w:lang w:val="en-AU" w:eastAsia="en-US" w:bidi="ar-SA"/>
    </w:rPr>
  </w:style>
  <w:style w:type="character" w:customStyle="1" w:styleId="Heading2Char">
    <w:name w:val="Heading 2 Char"/>
    <w:basedOn w:val="DefaultParagraphFont"/>
    <w:link w:val="Heading2"/>
    <w:uiPriority w:val="9"/>
    <w:rsid w:val="009D7C1D"/>
    <w:rPr>
      <w:rFonts w:ascii="Gautami" w:eastAsia="Times New Roman" w:hAnsi="Gautami"/>
      <w:b/>
      <w:color w:val="E36C0A"/>
      <w:sz w:val="28"/>
      <w:szCs w:val="26"/>
      <w:lang w:eastAsia="en-US"/>
    </w:rPr>
  </w:style>
  <w:style w:type="character" w:customStyle="1" w:styleId="Heading3Char">
    <w:name w:val="Heading 3 Char"/>
    <w:basedOn w:val="DefaultParagraphFont"/>
    <w:link w:val="Heading3"/>
    <w:uiPriority w:val="9"/>
    <w:rsid w:val="009D7C1D"/>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9D7C1D"/>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9D7C1D"/>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9D7C1D"/>
    <w:rPr>
      <w:rFonts w:ascii="Gautami" w:eastAsia="Times New Roman" w:hAnsi="Gautami" w:cs="Times New Roman"/>
      <w:b/>
      <w:bCs/>
      <w:color w:val="E36C0A"/>
      <w:sz w:val="24"/>
      <w:szCs w:val="20"/>
    </w:rPr>
  </w:style>
  <w:style w:type="numbering" w:customStyle="1" w:styleId="AERHeadings">
    <w:name w:val="AER Headings"/>
    <w:uiPriority w:val="99"/>
    <w:rsid w:val="009D7C1D"/>
    <w:pPr>
      <w:numPr>
        <w:numId w:val="1"/>
      </w:numPr>
    </w:pPr>
  </w:style>
  <w:style w:type="paragraph" w:customStyle="1" w:styleId="AERbodytext">
    <w:name w:val="AER body text"/>
    <w:qFormat/>
    <w:rsid w:val="009D7C1D"/>
    <w:pPr>
      <w:numPr>
        <w:numId w:val="2"/>
      </w:numPr>
      <w:spacing w:after="240" w:line="288" w:lineRule="auto"/>
      <w:jc w:val="both"/>
    </w:pPr>
    <w:rPr>
      <w:rFonts w:ascii="Gautami" w:eastAsia="Times New Roman" w:hAnsi="Gautami"/>
      <w:szCs w:val="24"/>
      <w:lang w:eastAsia="en-US"/>
    </w:rPr>
  </w:style>
  <w:style w:type="paragraph" w:customStyle="1" w:styleId="AERnumberedlistfirststyle">
    <w:name w:val="AER numbered list (first style)"/>
    <w:basedOn w:val="AERbodytext"/>
    <w:qFormat/>
    <w:rsid w:val="009D7C1D"/>
    <w:pPr>
      <w:numPr>
        <w:ilvl w:val="1"/>
      </w:numPr>
      <w:spacing w:after="200"/>
    </w:pPr>
  </w:style>
  <w:style w:type="paragraph" w:customStyle="1" w:styleId="AERnumberedlistsecondstyle">
    <w:name w:val="AER numbered list (second style)"/>
    <w:basedOn w:val="AERnumberedlistfirststyle"/>
    <w:qFormat/>
    <w:rsid w:val="009D7C1D"/>
    <w:pPr>
      <w:numPr>
        <w:ilvl w:val="2"/>
      </w:numPr>
    </w:pPr>
  </w:style>
  <w:style w:type="paragraph" w:customStyle="1" w:styleId="AERnumberedlistthirdstyle">
    <w:name w:val="AER numbered list (third style)"/>
    <w:basedOn w:val="AERnumberedlistsecondstyle"/>
    <w:qFormat/>
    <w:rsid w:val="009D7C1D"/>
    <w:pPr>
      <w:numPr>
        <w:ilvl w:val="3"/>
      </w:numPr>
    </w:pPr>
  </w:style>
  <w:style w:type="paragraph" w:customStyle="1" w:styleId="UnnumberedHeading">
    <w:name w:val="Unnumbered Heading"/>
    <w:basedOn w:val="Heading1"/>
    <w:next w:val="AERbodytext"/>
    <w:link w:val="UnnumberedHeadingChar"/>
    <w:qFormat/>
    <w:rsid w:val="009D7C1D"/>
    <w:pPr>
      <w:numPr>
        <w:ilvl w:val="0"/>
      </w:numPr>
    </w:pPr>
  </w:style>
  <w:style w:type="numbering" w:customStyle="1" w:styleId="AERnumberedlist">
    <w:name w:val="AER numbered list"/>
    <w:uiPriority w:val="99"/>
    <w:rsid w:val="009D7C1D"/>
    <w:pPr>
      <w:numPr>
        <w:numId w:val="2"/>
      </w:numPr>
    </w:pPr>
  </w:style>
  <w:style w:type="character" w:styleId="CommentReference">
    <w:name w:val="annotation reference"/>
    <w:basedOn w:val="DefaultParagraphFont"/>
    <w:uiPriority w:val="99"/>
    <w:semiHidden/>
    <w:unhideWhenUsed/>
    <w:rsid w:val="009D7C1D"/>
    <w:rPr>
      <w:sz w:val="16"/>
      <w:szCs w:val="16"/>
    </w:rPr>
  </w:style>
  <w:style w:type="paragraph" w:styleId="CommentText">
    <w:name w:val="annotation text"/>
    <w:basedOn w:val="Normal"/>
    <w:link w:val="CommentTextChar"/>
    <w:uiPriority w:val="99"/>
    <w:unhideWhenUsed/>
    <w:rsid w:val="009D7C1D"/>
    <w:pPr>
      <w:spacing w:line="240" w:lineRule="auto"/>
    </w:pPr>
  </w:style>
  <w:style w:type="character" w:customStyle="1" w:styleId="CommentTextChar">
    <w:name w:val="Comment Text Char"/>
    <w:basedOn w:val="DefaultParagraphFont"/>
    <w:link w:val="CommentText"/>
    <w:uiPriority w:val="99"/>
    <w:rsid w:val="009D7C1D"/>
    <w:rPr>
      <w:rFonts w:ascii="Gautami" w:eastAsia="Calibri" w:hAnsi="Gautami" w:cs="Times New Roman"/>
      <w:sz w:val="20"/>
      <w:szCs w:val="20"/>
    </w:rPr>
  </w:style>
  <w:style w:type="paragraph" w:customStyle="1" w:styleId="AERbulletlistfirststyle">
    <w:name w:val="AER bullet list (first style)"/>
    <w:basedOn w:val="AERbodytext"/>
    <w:qFormat/>
    <w:rsid w:val="009D7C1D"/>
    <w:pPr>
      <w:numPr>
        <w:numId w:val="4"/>
      </w:numPr>
      <w:tabs>
        <w:tab w:val="left" w:pos="357"/>
      </w:tabs>
      <w:spacing w:after="200"/>
    </w:pPr>
  </w:style>
  <w:style w:type="paragraph" w:styleId="FootnoteText">
    <w:name w:val="footnote text"/>
    <w:basedOn w:val="AERbodytext"/>
    <w:link w:val="FootnoteTextChar"/>
    <w:uiPriority w:val="99"/>
    <w:qFormat/>
    <w:rsid w:val="009D7C1D"/>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9D7C1D"/>
    <w:rPr>
      <w:rFonts w:ascii="Gautami" w:eastAsia="Times New Roman" w:hAnsi="Gautami" w:cs="Times New Roman"/>
      <w:sz w:val="16"/>
      <w:szCs w:val="20"/>
    </w:rPr>
  </w:style>
  <w:style w:type="character" w:styleId="FootnoteReference">
    <w:name w:val="footnote reference"/>
    <w:basedOn w:val="DefaultParagraphFont"/>
    <w:uiPriority w:val="99"/>
    <w:unhideWhenUsed/>
    <w:rsid w:val="009D7C1D"/>
    <w:rPr>
      <w:vertAlign w:val="superscript"/>
    </w:rPr>
  </w:style>
  <w:style w:type="paragraph" w:styleId="BalloonText">
    <w:name w:val="Balloon Text"/>
    <w:basedOn w:val="Normal"/>
    <w:link w:val="BalloonTextChar"/>
    <w:uiPriority w:val="99"/>
    <w:semiHidden/>
    <w:unhideWhenUsed/>
    <w:rsid w:val="009D7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C1D"/>
    <w:rPr>
      <w:rFonts w:ascii="Tahoma" w:eastAsia="Calibri" w:hAnsi="Tahoma" w:cs="Tahoma"/>
      <w:sz w:val="16"/>
      <w:szCs w:val="16"/>
    </w:rPr>
  </w:style>
  <w:style w:type="character" w:customStyle="1" w:styleId="Heading4Char">
    <w:name w:val="Heading 4 Char"/>
    <w:basedOn w:val="DefaultParagraphFont"/>
    <w:link w:val="Heading4"/>
    <w:uiPriority w:val="9"/>
    <w:rsid w:val="004F7E13"/>
    <w:rPr>
      <w:rFonts w:ascii="Calibri" w:eastAsia="Times New Roman" w:hAnsi="Calibri" w:cs="Times New Roman"/>
      <w:b/>
      <w:bCs/>
      <w:sz w:val="28"/>
      <w:szCs w:val="28"/>
      <w:lang w:eastAsia="en-US"/>
    </w:rPr>
  </w:style>
  <w:style w:type="paragraph" w:styleId="ListParagraph">
    <w:name w:val="List Paragraph"/>
    <w:basedOn w:val="Normal"/>
    <w:uiPriority w:val="34"/>
    <w:qFormat/>
    <w:rsid w:val="002B2281"/>
    <w:pPr>
      <w:spacing w:after="200" w:line="276" w:lineRule="auto"/>
      <w:ind w:left="720"/>
      <w:contextualSpacing/>
      <w:jc w:val="left"/>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F822B9"/>
    <w:pPr>
      <w:spacing w:line="288" w:lineRule="auto"/>
    </w:pPr>
    <w:rPr>
      <w:b/>
      <w:bCs/>
    </w:rPr>
  </w:style>
  <w:style w:type="character" w:customStyle="1" w:styleId="CommentSubjectChar">
    <w:name w:val="Comment Subject Char"/>
    <w:basedOn w:val="CommentTextChar"/>
    <w:link w:val="CommentSubject"/>
    <w:uiPriority w:val="99"/>
    <w:semiHidden/>
    <w:rsid w:val="00F822B9"/>
    <w:rPr>
      <w:rFonts w:ascii="Gautami" w:eastAsia="Calibri" w:hAnsi="Gautami" w:cs="Times New Roman"/>
      <w:b/>
      <w:bCs/>
      <w:sz w:val="20"/>
      <w:szCs w:val="20"/>
      <w:lang w:eastAsia="en-US"/>
    </w:rPr>
  </w:style>
  <w:style w:type="paragraph" w:customStyle="1" w:styleId="AERbulletlistsecondstyle">
    <w:name w:val="AER bullet list (second style)"/>
    <w:basedOn w:val="AERbodytext"/>
    <w:qFormat/>
    <w:rsid w:val="00CB7619"/>
    <w:pPr>
      <w:numPr>
        <w:numId w:val="14"/>
      </w:numPr>
      <w:tabs>
        <w:tab w:val="left" w:pos="709"/>
      </w:tabs>
      <w:spacing w:after="200"/>
      <w:ind w:left="714" w:hanging="357"/>
    </w:pPr>
  </w:style>
  <w:style w:type="character" w:customStyle="1" w:styleId="AERtexthighlight">
    <w:name w:val="AER text highlight"/>
    <w:qFormat/>
    <w:rsid w:val="00CB7619"/>
    <w:rPr>
      <w:bdr w:val="none" w:sz="0" w:space="0" w:color="auto"/>
      <w:shd w:val="clear" w:color="auto" w:fill="FFFF00"/>
    </w:rPr>
  </w:style>
  <w:style w:type="paragraph" w:customStyle="1" w:styleId="AERtitle1">
    <w:name w:val="AER title 1"/>
    <w:qFormat/>
    <w:rsid w:val="00CB7619"/>
    <w:pPr>
      <w:spacing w:after="240" w:line="288" w:lineRule="auto"/>
      <w:jc w:val="center"/>
    </w:pPr>
    <w:rPr>
      <w:rFonts w:ascii="Gautami" w:eastAsia="Times New Roman" w:hAnsi="Gautami"/>
      <w:b/>
      <w:sz w:val="40"/>
      <w:szCs w:val="24"/>
    </w:rPr>
  </w:style>
  <w:style w:type="paragraph" w:customStyle="1" w:styleId="AERtitle2">
    <w:name w:val="AER title 2"/>
    <w:qFormat/>
    <w:rsid w:val="00CB7619"/>
    <w:pPr>
      <w:spacing w:after="240" w:line="288" w:lineRule="auto"/>
      <w:jc w:val="center"/>
    </w:pPr>
    <w:rPr>
      <w:rFonts w:ascii="Gautami" w:eastAsia="Times New Roman" w:hAnsi="Gautami"/>
      <w:sz w:val="32"/>
      <w:szCs w:val="24"/>
      <w:lang w:eastAsia="en-US"/>
    </w:rPr>
  </w:style>
  <w:style w:type="character" w:customStyle="1" w:styleId="UnnumberedHeadingChar">
    <w:name w:val="Unnumbered Heading Char"/>
    <w:basedOn w:val="Heading1Char"/>
    <w:link w:val="UnnumberedHeading"/>
    <w:rsid w:val="00CB7619"/>
    <w:rPr>
      <w:rFonts w:ascii="Gautami" w:eastAsia="Times New Roman" w:hAnsi="Gautami"/>
      <w:b/>
      <w:bCs/>
      <w:color w:val="E36C0A"/>
      <w:sz w:val="36"/>
      <w:szCs w:val="28"/>
      <w:lang w:val="en-AU" w:eastAsia="en-US" w:bidi="ar-SA"/>
    </w:rPr>
  </w:style>
  <w:style w:type="paragraph" w:styleId="TOC1">
    <w:name w:val="toc 1"/>
    <w:basedOn w:val="Normal"/>
    <w:next w:val="Normal"/>
    <w:autoRedefine/>
    <w:uiPriority w:val="39"/>
    <w:unhideWhenUsed/>
    <w:qFormat/>
    <w:rsid w:val="00CB7619"/>
    <w:pPr>
      <w:spacing w:before="240" w:after="120"/>
      <w:jc w:val="left"/>
    </w:pPr>
    <w:rPr>
      <w:b/>
      <w:bCs/>
    </w:rPr>
  </w:style>
  <w:style w:type="paragraph" w:styleId="TOC2">
    <w:name w:val="toc 2"/>
    <w:basedOn w:val="Normal"/>
    <w:next w:val="Normal"/>
    <w:autoRedefine/>
    <w:uiPriority w:val="39"/>
    <w:unhideWhenUsed/>
    <w:qFormat/>
    <w:rsid w:val="00CB7619"/>
    <w:pPr>
      <w:spacing w:before="120" w:after="0"/>
      <w:ind w:left="200"/>
      <w:jc w:val="left"/>
    </w:pPr>
    <w:rPr>
      <w:iCs/>
    </w:rPr>
  </w:style>
  <w:style w:type="character" w:styleId="Hyperlink">
    <w:name w:val="Hyperlink"/>
    <w:basedOn w:val="DefaultParagraphFont"/>
    <w:uiPriority w:val="99"/>
    <w:unhideWhenUsed/>
    <w:rsid w:val="00CB7619"/>
    <w:rPr>
      <w:color w:val="0000FF"/>
      <w:u w:val="single"/>
    </w:rPr>
  </w:style>
  <w:style w:type="character" w:customStyle="1" w:styleId="AERbody">
    <w:name w:val="AER body"/>
    <w:basedOn w:val="DefaultParagraphFont"/>
    <w:qFormat/>
    <w:rsid w:val="00996ADF"/>
    <w:rPr>
      <w:rFonts w:ascii="Gautami" w:hAnsi="Gautami"/>
      <w:color w:val="auto"/>
      <w:sz w:val="20"/>
    </w:rPr>
  </w:style>
  <w:style w:type="paragraph" w:customStyle="1" w:styleId="AERquote">
    <w:name w:val="AER quote"/>
    <w:next w:val="AERbodytext"/>
    <w:qFormat/>
    <w:rsid w:val="00FA2EDB"/>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styleId="EndnoteText">
    <w:name w:val="endnote text"/>
    <w:basedOn w:val="Normal"/>
    <w:link w:val="EndnoteTextChar"/>
    <w:uiPriority w:val="99"/>
    <w:semiHidden/>
    <w:unhideWhenUsed/>
    <w:rsid w:val="002A2B56"/>
  </w:style>
  <w:style w:type="character" w:customStyle="1" w:styleId="EndnoteTextChar">
    <w:name w:val="Endnote Text Char"/>
    <w:basedOn w:val="DefaultParagraphFont"/>
    <w:link w:val="EndnoteText"/>
    <w:uiPriority w:val="99"/>
    <w:semiHidden/>
    <w:rsid w:val="002A2B56"/>
    <w:rPr>
      <w:rFonts w:ascii="Gautami" w:hAnsi="Gautami"/>
      <w:lang w:eastAsia="en-US"/>
    </w:rPr>
  </w:style>
  <w:style w:type="character" w:styleId="EndnoteReference">
    <w:name w:val="endnote reference"/>
    <w:basedOn w:val="DefaultParagraphFont"/>
    <w:uiPriority w:val="99"/>
    <w:semiHidden/>
    <w:unhideWhenUsed/>
    <w:rsid w:val="002A2B56"/>
    <w:rPr>
      <w:vertAlign w:val="superscript"/>
    </w:rPr>
  </w:style>
  <w:style w:type="paragraph" w:styleId="Revision">
    <w:name w:val="Revision"/>
    <w:hidden/>
    <w:uiPriority w:val="99"/>
    <w:semiHidden/>
    <w:rsid w:val="004E69A2"/>
    <w:rPr>
      <w:rFonts w:ascii="Gautami" w:hAnsi="Gautami"/>
      <w:lang w:eastAsia="en-US"/>
    </w:rPr>
  </w:style>
  <w:style w:type="paragraph" w:styleId="Header">
    <w:name w:val="header"/>
    <w:basedOn w:val="Normal"/>
    <w:link w:val="HeaderChar"/>
    <w:uiPriority w:val="99"/>
    <w:unhideWhenUsed/>
    <w:rsid w:val="000277FD"/>
    <w:pPr>
      <w:tabs>
        <w:tab w:val="center" w:pos="4513"/>
        <w:tab w:val="right" w:pos="9026"/>
      </w:tabs>
    </w:pPr>
  </w:style>
  <w:style w:type="character" w:customStyle="1" w:styleId="HeaderChar">
    <w:name w:val="Header Char"/>
    <w:basedOn w:val="DefaultParagraphFont"/>
    <w:link w:val="Header"/>
    <w:uiPriority w:val="99"/>
    <w:rsid w:val="000277FD"/>
    <w:rPr>
      <w:rFonts w:ascii="Gautami" w:hAnsi="Gautami"/>
      <w:lang w:eastAsia="en-US"/>
    </w:rPr>
  </w:style>
  <w:style w:type="paragraph" w:styleId="Footer">
    <w:name w:val="footer"/>
    <w:basedOn w:val="Normal"/>
    <w:link w:val="FooterChar"/>
    <w:uiPriority w:val="99"/>
    <w:unhideWhenUsed/>
    <w:qFormat/>
    <w:rsid w:val="000277FD"/>
    <w:pPr>
      <w:tabs>
        <w:tab w:val="center" w:pos="4513"/>
        <w:tab w:val="right" w:pos="9026"/>
      </w:tabs>
    </w:pPr>
  </w:style>
  <w:style w:type="character" w:customStyle="1" w:styleId="FooterChar">
    <w:name w:val="Footer Char"/>
    <w:basedOn w:val="DefaultParagraphFont"/>
    <w:link w:val="Footer"/>
    <w:uiPriority w:val="99"/>
    <w:rsid w:val="000277FD"/>
    <w:rPr>
      <w:rFonts w:ascii="Gautami" w:hAnsi="Gautami"/>
      <w:lang w:eastAsia="en-US"/>
    </w:rPr>
  </w:style>
  <w:style w:type="character" w:customStyle="1" w:styleId="AERtextorange">
    <w:name w:val="AER text orange"/>
    <w:uiPriority w:val="1"/>
    <w:qFormat/>
    <w:rsid w:val="000277FD"/>
    <w:rPr>
      <w:color w:val="E36C0A"/>
    </w:rPr>
  </w:style>
  <w:style w:type="character" w:customStyle="1" w:styleId="AERtextblue">
    <w:name w:val="AER text blue"/>
    <w:uiPriority w:val="1"/>
    <w:qFormat/>
    <w:rsid w:val="000277FD"/>
    <w:rPr>
      <w:color w:val="365F91"/>
    </w:rPr>
  </w:style>
  <w:style w:type="character" w:customStyle="1" w:styleId="Heading5Char">
    <w:name w:val="Heading 5 Char"/>
    <w:basedOn w:val="DefaultParagraphFont"/>
    <w:link w:val="Heading5"/>
    <w:uiPriority w:val="9"/>
    <w:rsid w:val="002755BF"/>
    <w:rPr>
      <w:rFonts w:asciiTheme="minorHAnsi" w:eastAsiaTheme="minorEastAsia" w:hAnsiTheme="minorHAnsi" w:cstheme="minorBidi"/>
      <w:b/>
      <w:bCs/>
      <w:i/>
      <w:iCs/>
      <w:sz w:val="26"/>
      <w:szCs w:val="26"/>
      <w:lang w:eastAsia="en-US"/>
    </w:rPr>
  </w:style>
  <w:style w:type="paragraph" w:styleId="NormalWeb">
    <w:name w:val="Normal (Web)"/>
    <w:basedOn w:val="Normal"/>
    <w:uiPriority w:val="99"/>
    <w:semiHidden/>
    <w:unhideWhenUsed/>
    <w:rsid w:val="00673475"/>
    <w:pPr>
      <w:spacing w:before="100" w:beforeAutospacing="1" w:after="100" w:afterAutospacing="1" w:line="240" w:lineRule="auto"/>
      <w:jc w:val="left"/>
    </w:pPr>
    <w:rPr>
      <w:rFonts w:ascii="Times" w:hAnsi="Times"/>
    </w:rPr>
  </w:style>
  <w:style w:type="character" w:styleId="Strong">
    <w:name w:val="Strong"/>
    <w:basedOn w:val="DefaultParagraphFont"/>
    <w:uiPriority w:val="22"/>
    <w:qFormat/>
    <w:rsid w:val="00A85BDA"/>
    <w:rPr>
      <w:b/>
      <w:bCs/>
    </w:rPr>
  </w:style>
  <w:style w:type="numbering" w:customStyle="1" w:styleId="AERnumberedlist1">
    <w:name w:val="AER numbered list1"/>
    <w:uiPriority w:val="99"/>
    <w:rsid w:val="00113ACE"/>
  </w:style>
  <w:style w:type="numbering" w:customStyle="1" w:styleId="AERnumberedlist2">
    <w:name w:val="AER numbered list2"/>
    <w:uiPriority w:val="99"/>
    <w:rsid w:val="00CC62E5"/>
  </w:style>
  <w:style w:type="table" w:styleId="TableGrid">
    <w:name w:val="Table Grid"/>
    <w:basedOn w:val="TableNormal"/>
    <w:uiPriority w:val="59"/>
    <w:rsid w:val="009D5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1D"/>
    <w:pPr>
      <w:spacing w:after="240" w:line="288" w:lineRule="auto"/>
      <w:jc w:val="both"/>
    </w:pPr>
    <w:rPr>
      <w:rFonts w:ascii="Gautami" w:hAnsi="Gautami"/>
      <w:lang w:eastAsia="en-US"/>
    </w:rPr>
  </w:style>
  <w:style w:type="paragraph" w:styleId="Heading1">
    <w:name w:val="heading 1"/>
    <w:next w:val="AERbodytext"/>
    <w:link w:val="Heading1Char"/>
    <w:uiPriority w:val="9"/>
    <w:qFormat/>
    <w:rsid w:val="009D7C1D"/>
    <w:pPr>
      <w:keepNext/>
      <w:keepLines/>
      <w:pageBreakBefore/>
      <w:numPr>
        <w:ilvl w:val="1"/>
        <w:numId w:val="3"/>
      </w:numPr>
      <w:spacing w:before="120" w:after="120" w:line="288" w:lineRule="auto"/>
      <w:jc w:val="both"/>
      <w:outlineLvl w:val="0"/>
    </w:pPr>
    <w:rPr>
      <w:rFonts w:ascii="Gautami" w:eastAsia="Times New Roman" w:hAnsi="Gautami"/>
      <w:b/>
      <w:bCs/>
      <w:color w:val="E36C0A"/>
      <w:sz w:val="36"/>
      <w:szCs w:val="28"/>
      <w:lang w:eastAsia="en-US"/>
    </w:rPr>
  </w:style>
  <w:style w:type="paragraph" w:styleId="Heading2">
    <w:name w:val="heading 2"/>
    <w:basedOn w:val="Heading1"/>
    <w:next w:val="AERbodytext"/>
    <w:link w:val="Heading2Char"/>
    <w:uiPriority w:val="9"/>
    <w:qFormat/>
    <w:rsid w:val="009D7C1D"/>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9D7C1D"/>
    <w:pPr>
      <w:numPr>
        <w:ilvl w:val="3"/>
      </w:numPr>
      <w:outlineLvl w:val="2"/>
    </w:pPr>
    <w:rPr>
      <w:bCs/>
      <w:sz w:val="24"/>
    </w:rPr>
  </w:style>
  <w:style w:type="paragraph" w:styleId="Heading4">
    <w:name w:val="heading 4"/>
    <w:basedOn w:val="Normal"/>
    <w:next w:val="Normal"/>
    <w:link w:val="Heading4Char"/>
    <w:uiPriority w:val="9"/>
    <w:unhideWhenUsed/>
    <w:qFormat/>
    <w:rsid w:val="004F7E1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qFormat/>
    <w:rsid w:val="002755BF"/>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UnnumberedHeading"/>
    <w:next w:val="AERbodytext"/>
    <w:link w:val="Heading7Char"/>
    <w:uiPriority w:val="9"/>
    <w:qFormat/>
    <w:rsid w:val="009D7C1D"/>
    <w:pPr>
      <w:numPr>
        <w:ilvl w:val="4"/>
      </w:numPr>
      <w:outlineLvl w:val="6"/>
    </w:pPr>
    <w:rPr>
      <w:iCs/>
      <w:szCs w:val="24"/>
    </w:rPr>
  </w:style>
  <w:style w:type="paragraph" w:styleId="Heading8">
    <w:name w:val="heading 8"/>
    <w:basedOn w:val="Heading7"/>
    <w:next w:val="AERbodytext"/>
    <w:link w:val="Heading8Char"/>
    <w:uiPriority w:val="9"/>
    <w:qFormat/>
    <w:rsid w:val="009D7C1D"/>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9D7C1D"/>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C1D"/>
    <w:rPr>
      <w:rFonts w:ascii="Gautami" w:eastAsia="Times New Roman" w:hAnsi="Gautami"/>
      <w:b/>
      <w:bCs/>
      <w:color w:val="E36C0A"/>
      <w:sz w:val="36"/>
      <w:szCs w:val="28"/>
      <w:lang w:val="en-AU" w:eastAsia="en-US" w:bidi="ar-SA"/>
    </w:rPr>
  </w:style>
  <w:style w:type="character" w:customStyle="1" w:styleId="Heading2Char">
    <w:name w:val="Heading 2 Char"/>
    <w:basedOn w:val="DefaultParagraphFont"/>
    <w:link w:val="Heading2"/>
    <w:uiPriority w:val="9"/>
    <w:rsid w:val="009D7C1D"/>
    <w:rPr>
      <w:rFonts w:ascii="Gautami" w:eastAsia="Times New Roman" w:hAnsi="Gautami"/>
      <w:b/>
      <w:color w:val="E36C0A"/>
      <w:sz w:val="28"/>
      <w:szCs w:val="26"/>
      <w:lang w:eastAsia="en-US"/>
    </w:rPr>
  </w:style>
  <w:style w:type="character" w:customStyle="1" w:styleId="Heading3Char">
    <w:name w:val="Heading 3 Char"/>
    <w:basedOn w:val="DefaultParagraphFont"/>
    <w:link w:val="Heading3"/>
    <w:uiPriority w:val="9"/>
    <w:rsid w:val="009D7C1D"/>
    <w:rPr>
      <w:rFonts w:ascii="Gautami" w:eastAsia="Times New Roman" w:hAnsi="Gautami" w:cs="Times New Roman"/>
      <w:b/>
      <w:bCs/>
      <w:color w:val="E36C0A"/>
      <w:sz w:val="24"/>
      <w:szCs w:val="26"/>
    </w:rPr>
  </w:style>
  <w:style w:type="character" w:customStyle="1" w:styleId="Heading7Char">
    <w:name w:val="Heading 7 Char"/>
    <w:basedOn w:val="DefaultParagraphFont"/>
    <w:link w:val="Heading7"/>
    <w:uiPriority w:val="9"/>
    <w:rsid w:val="009D7C1D"/>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9D7C1D"/>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9D7C1D"/>
    <w:rPr>
      <w:rFonts w:ascii="Gautami" w:eastAsia="Times New Roman" w:hAnsi="Gautami" w:cs="Times New Roman"/>
      <w:b/>
      <w:bCs/>
      <w:color w:val="E36C0A"/>
      <w:sz w:val="24"/>
      <w:szCs w:val="20"/>
    </w:rPr>
  </w:style>
  <w:style w:type="numbering" w:customStyle="1" w:styleId="AERHeadings">
    <w:name w:val="AER Headings"/>
    <w:uiPriority w:val="99"/>
    <w:rsid w:val="009D7C1D"/>
    <w:pPr>
      <w:numPr>
        <w:numId w:val="1"/>
      </w:numPr>
    </w:pPr>
  </w:style>
  <w:style w:type="paragraph" w:customStyle="1" w:styleId="AERbodytext">
    <w:name w:val="AER body text"/>
    <w:qFormat/>
    <w:rsid w:val="009D7C1D"/>
    <w:pPr>
      <w:numPr>
        <w:numId w:val="2"/>
      </w:numPr>
      <w:spacing w:after="240" w:line="288" w:lineRule="auto"/>
      <w:jc w:val="both"/>
    </w:pPr>
    <w:rPr>
      <w:rFonts w:ascii="Gautami" w:eastAsia="Times New Roman" w:hAnsi="Gautami"/>
      <w:szCs w:val="24"/>
      <w:lang w:eastAsia="en-US"/>
    </w:rPr>
  </w:style>
  <w:style w:type="paragraph" w:customStyle="1" w:styleId="AERnumberedlistfirststyle">
    <w:name w:val="AER numbered list (first style)"/>
    <w:basedOn w:val="AERbodytext"/>
    <w:qFormat/>
    <w:rsid w:val="009D7C1D"/>
    <w:pPr>
      <w:numPr>
        <w:ilvl w:val="1"/>
      </w:numPr>
      <w:spacing w:after="200"/>
    </w:pPr>
  </w:style>
  <w:style w:type="paragraph" w:customStyle="1" w:styleId="AERnumberedlistsecondstyle">
    <w:name w:val="AER numbered list (second style)"/>
    <w:basedOn w:val="AERnumberedlistfirststyle"/>
    <w:qFormat/>
    <w:rsid w:val="009D7C1D"/>
    <w:pPr>
      <w:numPr>
        <w:ilvl w:val="2"/>
      </w:numPr>
    </w:pPr>
  </w:style>
  <w:style w:type="paragraph" w:customStyle="1" w:styleId="AERnumberedlistthirdstyle">
    <w:name w:val="AER numbered list (third style)"/>
    <w:basedOn w:val="AERnumberedlistsecondstyle"/>
    <w:qFormat/>
    <w:rsid w:val="009D7C1D"/>
    <w:pPr>
      <w:numPr>
        <w:ilvl w:val="3"/>
      </w:numPr>
    </w:pPr>
  </w:style>
  <w:style w:type="paragraph" w:customStyle="1" w:styleId="UnnumberedHeading">
    <w:name w:val="Unnumbered Heading"/>
    <w:basedOn w:val="Heading1"/>
    <w:next w:val="AERbodytext"/>
    <w:link w:val="UnnumberedHeadingChar"/>
    <w:qFormat/>
    <w:rsid w:val="009D7C1D"/>
    <w:pPr>
      <w:numPr>
        <w:ilvl w:val="0"/>
      </w:numPr>
    </w:pPr>
  </w:style>
  <w:style w:type="numbering" w:customStyle="1" w:styleId="AERnumberedlist">
    <w:name w:val="AER numbered list"/>
    <w:uiPriority w:val="99"/>
    <w:rsid w:val="009D7C1D"/>
    <w:pPr>
      <w:numPr>
        <w:numId w:val="2"/>
      </w:numPr>
    </w:pPr>
  </w:style>
  <w:style w:type="character" w:styleId="CommentReference">
    <w:name w:val="annotation reference"/>
    <w:basedOn w:val="DefaultParagraphFont"/>
    <w:uiPriority w:val="99"/>
    <w:semiHidden/>
    <w:unhideWhenUsed/>
    <w:rsid w:val="009D7C1D"/>
    <w:rPr>
      <w:sz w:val="16"/>
      <w:szCs w:val="16"/>
    </w:rPr>
  </w:style>
  <w:style w:type="paragraph" w:styleId="CommentText">
    <w:name w:val="annotation text"/>
    <w:basedOn w:val="Normal"/>
    <w:link w:val="CommentTextChar"/>
    <w:uiPriority w:val="99"/>
    <w:unhideWhenUsed/>
    <w:rsid w:val="009D7C1D"/>
    <w:pPr>
      <w:spacing w:line="240" w:lineRule="auto"/>
    </w:pPr>
  </w:style>
  <w:style w:type="character" w:customStyle="1" w:styleId="CommentTextChar">
    <w:name w:val="Comment Text Char"/>
    <w:basedOn w:val="DefaultParagraphFont"/>
    <w:link w:val="CommentText"/>
    <w:uiPriority w:val="99"/>
    <w:rsid w:val="009D7C1D"/>
    <w:rPr>
      <w:rFonts w:ascii="Gautami" w:eastAsia="Calibri" w:hAnsi="Gautami" w:cs="Times New Roman"/>
      <w:sz w:val="20"/>
      <w:szCs w:val="20"/>
    </w:rPr>
  </w:style>
  <w:style w:type="paragraph" w:customStyle="1" w:styleId="AERbulletlistfirststyle">
    <w:name w:val="AER bullet list (first style)"/>
    <w:basedOn w:val="AERbodytext"/>
    <w:qFormat/>
    <w:rsid w:val="009D7C1D"/>
    <w:pPr>
      <w:numPr>
        <w:numId w:val="4"/>
      </w:numPr>
      <w:tabs>
        <w:tab w:val="left" w:pos="357"/>
      </w:tabs>
      <w:spacing w:after="200"/>
    </w:pPr>
  </w:style>
  <w:style w:type="paragraph" w:styleId="FootnoteText">
    <w:name w:val="footnote text"/>
    <w:basedOn w:val="AERbodytext"/>
    <w:link w:val="FootnoteTextChar"/>
    <w:uiPriority w:val="99"/>
    <w:qFormat/>
    <w:rsid w:val="009D7C1D"/>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9D7C1D"/>
    <w:rPr>
      <w:rFonts w:ascii="Gautami" w:eastAsia="Times New Roman" w:hAnsi="Gautami" w:cs="Times New Roman"/>
      <w:sz w:val="16"/>
      <w:szCs w:val="20"/>
    </w:rPr>
  </w:style>
  <w:style w:type="character" w:styleId="FootnoteReference">
    <w:name w:val="footnote reference"/>
    <w:basedOn w:val="DefaultParagraphFont"/>
    <w:uiPriority w:val="99"/>
    <w:unhideWhenUsed/>
    <w:rsid w:val="009D7C1D"/>
    <w:rPr>
      <w:vertAlign w:val="superscript"/>
    </w:rPr>
  </w:style>
  <w:style w:type="paragraph" w:styleId="BalloonText">
    <w:name w:val="Balloon Text"/>
    <w:basedOn w:val="Normal"/>
    <w:link w:val="BalloonTextChar"/>
    <w:uiPriority w:val="99"/>
    <w:semiHidden/>
    <w:unhideWhenUsed/>
    <w:rsid w:val="009D7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C1D"/>
    <w:rPr>
      <w:rFonts w:ascii="Tahoma" w:eastAsia="Calibri" w:hAnsi="Tahoma" w:cs="Tahoma"/>
      <w:sz w:val="16"/>
      <w:szCs w:val="16"/>
    </w:rPr>
  </w:style>
  <w:style w:type="character" w:customStyle="1" w:styleId="Heading4Char">
    <w:name w:val="Heading 4 Char"/>
    <w:basedOn w:val="DefaultParagraphFont"/>
    <w:link w:val="Heading4"/>
    <w:uiPriority w:val="9"/>
    <w:rsid w:val="004F7E13"/>
    <w:rPr>
      <w:rFonts w:ascii="Calibri" w:eastAsia="Times New Roman" w:hAnsi="Calibri" w:cs="Times New Roman"/>
      <w:b/>
      <w:bCs/>
      <w:sz w:val="28"/>
      <w:szCs w:val="28"/>
      <w:lang w:eastAsia="en-US"/>
    </w:rPr>
  </w:style>
  <w:style w:type="paragraph" w:styleId="ListParagraph">
    <w:name w:val="List Paragraph"/>
    <w:basedOn w:val="Normal"/>
    <w:uiPriority w:val="34"/>
    <w:qFormat/>
    <w:rsid w:val="002B2281"/>
    <w:pPr>
      <w:spacing w:after="200" w:line="276" w:lineRule="auto"/>
      <w:ind w:left="720"/>
      <w:contextualSpacing/>
      <w:jc w:val="left"/>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F822B9"/>
    <w:pPr>
      <w:spacing w:line="288" w:lineRule="auto"/>
    </w:pPr>
    <w:rPr>
      <w:b/>
      <w:bCs/>
    </w:rPr>
  </w:style>
  <w:style w:type="character" w:customStyle="1" w:styleId="CommentSubjectChar">
    <w:name w:val="Comment Subject Char"/>
    <w:basedOn w:val="CommentTextChar"/>
    <w:link w:val="CommentSubject"/>
    <w:uiPriority w:val="99"/>
    <w:semiHidden/>
    <w:rsid w:val="00F822B9"/>
    <w:rPr>
      <w:rFonts w:ascii="Gautami" w:eastAsia="Calibri" w:hAnsi="Gautami" w:cs="Times New Roman"/>
      <w:b/>
      <w:bCs/>
      <w:sz w:val="20"/>
      <w:szCs w:val="20"/>
      <w:lang w:eastAsia="en-US"/>
    </w:rPr>
  </w:style>
  <w:style w:type="paragraph" w:customStyle="1" w:styleId="AERbulletlistsecondstyle">
    <w:name w:val="AER bullet list (second style)"/>
    <w:basedOn w:val="AERbodytext"/>
    <w:qFormat/>
    <w:rsid w:val="00CB7619"/>
    <w:pPr>
      <w:numPr>
        <w:numId w:val="14"/>
      </w:numPr>
      <w:tabs>
        <w:tab w:val="left" w:pos="709"/>
      </w:tabs>
      <w:spacing w:after="200"/>
      <w:ind w:left="714" w:hanging="357"/>
    </w:pPr>
  </w:style>
  <w:style w:type="character" w:customStyle="1" w:styleId="AERtexthighlight">
    <w:name w:val="AER text highlight"/>
    <w:qFormat/>
    <w:rsid w:val="00CB7619"/>
    <w:rPr>
      <w:bdr w:val="none" w:sz="0" w:space="0" w:color="auto"/>
      <w:shd w:val="clear" w:color="auto" w:fill="FFFF00"/>
    </w:rPr>
  </w:style>
  <w:style w:type="paragraph" w:customStyle="1" w:styleId="AERtitle1">
    <w:name w:val="AER title 1"/>
    <w:qFormat/>
    <w:rsid w:val="00CB7619"/>
    <w:pPr>
      <w:spacing w:after="240" w:line="288" w:lineRule="auto"/>
      <w:jc w:val="center"/>
    </w:pPr>
    <w:rPr>
      <w:rFonts w:ascii="Gautami" w:eastAsia="Times New Roman" w:hAnsi="Gautami"/>
      <w:b/>
      <w:sz w:val="40"/>
      <w:szCs w:val="24"/>
    </w:rPr>
  </w:style>
  <w:style w:type="paragraph" w:customStyle="1" w:styleId="AERtitle2">
    <w:name w:val="AER title 2"/>
    <w:qFormat/>
    <w:rsid w:val="00CB7619"/>
    <w:pPr>
      <w:spacing w:after="240" w:line="288" w:lineRule="auto"/>
      <w:jc w:val="center"/>
    </w:pPr>
    <w:rPr>
      <w:rFonts w:ascii="Gautami" w:eastAsia="Times New Roman" w:hAnsi="Gautami"/>
      <w:sz w:val="32"/>
      <w:szCs w:val="24"/>
      <w:lang w:eastAsia="en-US"/>
    </w:rPr>
  </w:style>
  <w:style w:type="character" w:customStyle="1" w:styleId="UnnumberedHeadingChar">
    <w:name w:val="Unnumbered Heading Char"/>
    <w:basedOn w:val="Heading1Char"/>
    <w:link w:val="UnnumberedHeading"/>
    <w:rsid w:val="00CB7619"/>
    <w:rPr>
      <w:rFonts w:ascii="Gautami" w:eastAsia="Times New Roman" w:hAnsi="Gautami"/>
      <w:b/>
      <w:bCs/>
      <w:color w:val="E36C0A"/>
      <w:sz w:val="36"/>
      <w:szCs w:val="28"/>
      <w:lang w:val="en-AU" w:eastAsia="en-US" w:bidi="ar-SA"/>
    </w:rPr>
  </w:style>
  <w:style w:type="paragraph" w:styleId="TOC1">
    <w:name w:val="toc 1"/>
    <w:basedOn w:val="Normal"/>
    <w:next w:val="Normal"/>
    <w:autoRedefine/>
    <w:uiPriority w:val="39"/>
    <w:unhideWhenUsed/>
    <w:qFormat/>
    <w:rsid w:val="00CB7619"/>
    <w:pPr>
      <w:spacing w:before="240" w:after="120"/>
      <w:jc w:val="left"/>
    </w:pPr>
    <w:rPr>
      <w:b/>
      <w:bCs/>
    </w:rPr>
  </w:style>
  <w:style w:type="paragraph" w:styleId="TOC2">
    <w:name w:val="toc 2"/>
    <w:basedOn w:val="Normal"/>
    <w:next w:val="Normal"/>
    <w:autoRedefine/>
    <w:uiPriority w:val="39"/>
    <w:unhideWhenUsed/>
    <w:qFormat/>
    <w:rsid w:val="00CB7619"/>
    <w:pPr>
      <w:spacing w:before="120" w:after="0"/>
      <w:ind w:left="200"/>
      <w:jc w:val="left"/>
    </w:pPr>
    <w:rPr>
      <w:iCs/>
    </w:rPr>
  </w:style>
  <w:style w:type="character" w:styleId="Hyperlink">
    <w:name w:val="Hyperlink"/>
    <w:basedOn w:val="DefaultParagraphFont"/>
    <w:uiPriority w:val="99"/>
    <w:unhideWhenUsed/>
    <w:rsid w:val="00CB7619"/>
    <w:rPr>
      <w:color w:val="0000FF"/>
      <w:u w:val="single"/>
    </w:rPr>
  </w:style>
  <w:style w:type="character" w:customStyle="1" w:styleId="AERbody">
    <w:name w:val="AER body"/>
    <w:basedOn w:val="DefaultParagraphFont"/>
    <w:qFormat/>
    <w:rsid w:val="00996ADF"/>
    <w:rPr>
      <w:rFonts w:ascii="Gautami" w:hAnsi="Gautami"/>
      <w:color w:val="auto"/>
      <w:sz w:val="20"/>
    </w:rPr>
  </w:style>
  <w:style w:type="paragraph" w:customStyle="1" w:styleId="AERquote">
    <w:name w:val="AER quote"/>
    <w:next w:val="AERbodytext"/>
    <w:qFormat/>
    <w:rsid w:val="00FA2EDB"/>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styleId="EndnoteText">
    <w:name w:val="endnote text"/>
    <w:basedOn w:val="Normal"/>
    <w:link w:val="EndnoteTextChar"/>
    <w:uiPriority w:val="99"/>
    <w:semiHidden/>
    <w:unhideWhenUsed/>
    <w:rsid w:val="002A2B56"/>
  </w:style>
  <w:style w:type="character" w:customStyle="1" w:styleId="EndnoteTextChar">
    <w:name w:val="Endnote Text Char"/>
    <w:basedOn w:val="DefaultParagraphFont"/>
    <w:link w:val="EndnoteText"/>
    <w:uiPriority w:val="99"/>
    <w:semiHidden/>
    <w:rsid w:val="002A2B56"/>
    <w:rPr>
      <w:rFonts w:ascii="Gautami" w:hAnsi="Gautami"/>
      <w:lang w:eastAsia="en-US"/>
    </w:rPr>
  </w:style>
  <w:style w:type="character" w:styleId="EndnoteReference">
    <w:name w:val="endnote reference"/>
    <w:basedOn w:val="DefaultParagraphFont"/>
    <w:uiPriority w:val="99"/>
    <w:semiHidden/>
    <w:unhideWhenUsed/>
    <w:rsid w:val="002A2B56"/>
    <w:rPr>
      <w:vertAlign w:val="superscript"/>
    </w:rPr>
  </w:style>
  <w:style w:type="paragraph" w:styleId="Revision">
    <w:name w:val="Revision"/>
    <w:hidden/>
    <w:uiPriority w:val="99"/>
    <w:semiHidden/>
    <w:rsid w:val="004E69A2"/>
    <w:rPr>
      <w:rFonts w:ascii="Gautami" w:hAnsi="Gautami"/>
      <w:lang w:eastAsia="en-US"/>
    </w:rPr>
  </w:style>
  <w:style w:type="paragraph" w:styleId="Header">
    <w:name w:val="header"/>
    <w:basedOn w:val="Normal"/>
    <w:link w:val="HeaderChar"/>
    <w:uiPriority w:val="99"/>
    <w:unhideWhenUsed/>
    <w:rsid w:val="000277FD"/>
    <w:pPr>
      <w:tabs>
        <w:tab w:val="center" w:pos="4513"/>
        <w:tab w:val="right" w:pos="9026"/>
      </w:tabs>
    </w:pPr>
  </w:style>
  <w:style w:type="character" w:customStyle="1" w:styleId="HeaderChar">
    <w:name w:val="Header Char"/>
    <w:basedOn w:val="DefaultParagraphFont"/>
    <w:link w:val="Header"/>
    <w:uiPriority w:val="99"/>
    <w:rsid w:val="000277FD"/>
    <w:rPr>
      <w:rFonts w:ascii="Gautami" w:hAnsi="Gautami"/>
      <w:lang w:eastAsia="en-US"/>
    </w:rPr>
  </w:style>
  <w:style w:type="paragraph" w:styleId="Footer">
    <w:name w:val="footer"/>
    <w:basedOn w:val="Normal"/>
    <w:link w:val="FooterChar"/>
    <w:uiPriority w:val="99"/>
    <w:unhideWhenUsed/>
    <w:qFormat/>
    <w:rsid w:val="000277FD"/>
    <w:pPr>
      <w:tabs>
        <w:tab w:val="center" w:pos="4513"/>
        <w:tab w:val="right" w:pos="9026"/>
      </w:tabs>
    </w:pPr>
  </w:style>
  <w:style w:type="character" w:customStyle="1" w:styleId="FooterChar">
    <w:name w:val="Footer Char"/>
    <w:basedOn w:val="DefaultParagraphFont"/>
    <w:link w:val="Footer"/>
    <w:uiPriority w:val="99"/>
    <w:rsid w:val="000277FD"/>
    <w:rPr>
      <w:rFonts w:ascii="Gautami" w:hAnsi="Gautami"/>
      <w:lang w:eastAsia="en-US"/>
    </w:rPr>
  </w:style>
  <w:style w:type="character" w:customStyle="1" w:styleId="AERtextorange">
    <w:name w:val="AER text orange"/>
    <w:uiPriority w:val="1"/>
    <w:qFormat/>
    <w:rsid w:val="000277FD"/>
    <w:rPr>
      <w:color w:val="E36C0A"/>
    </w:rPr>
  </w:style>
  <w:style w:type="character" w:customStyle="1" w:styleId="AERtextblue">
    <w:name w:val="AER text blue"/>
    <w:uiPriority w:val="1"/>
    <w:qFormat/>
    <w:rsid w:val="000277FD"/>
    <w:rPr>
      <w:color w:val="365F91"/>
    </w:rPr>
  </w:style>
  <w:style w:type="character" w:customStyle="1" w:styleId="Heading5Char">
    <w:name w:val="Heading 5 Char"/>
    <w:basedOn w:val="DefaultParagraphFont"/>
    <w:link w:val="Heading5"/>
    <w:uiPriority w:val="9"/>
    <w:rsid w:val="002755BF"/>
    <w:rPr>
      <w:rFonts w:asciiTheme="minorHAnsi" w:eastAsiaTheme="minorEastAsia" w:hAnsiTheme="minorHAnsi" w:cstheme="minorBidi"/>
      <w:b/>
      <w:bCs/>
      <w:i/>
      <w:iCs/>
      <w:sz w:val="26"/>
      <w:szCs w:val="26"/>
      <w:lang w:eastAsia="en-US"/>
    </w:rPr>
  </w:style>
  <w:style w:type="paragraph" w:styleId="NormalWeb">
    <w:name w:val="Normal (Web)"/>
    <w:basedOn w:val="Normal"/>
    <w:uiPriority w:val="99"/>
    <w:semiHidden/>
    <w:unhideWhenUsed/>
    <w:rsid w:val="00673475"/>
    <w:pPr>
      <w:spacing w:before="100" w:beforeAutospacing="1" w:after="100" w:afterAutospacing="1" w:line="240" w:lineRule="auto"/>
      <w:jc w:val="left"/>
    </w:pPr>
    <w:rPr>
      <w:rFonts w:ascii="Times" w:hAnsi="Times"/>
    </w:rPr>
  </w:style>
  <w:style w:type="character" w:styleId="Strong">
    <w:name w:val="Strong"/>
    <w:basedOn w:val="DefaultParagraphFont"/>
    <w:uiPriority w:val="22"/>
    <w:qFormat/>
    <w:rsid w:val="00A85BDA"/>
    <w:rPr>
      <w:b/>
      <w:bCs/>
    </w:rPr>
  </w:style>
  <w:style w:type="numbering" w:customStyle="1" w:styleId="AERnumberedlist1">
    <w:name w:val="AER numbered list1"/>
    <w:uiPriority w:val="99"/>
    <w:rsid w:val="00113ACE"/>
  </w:style>
  <w:style w:type="numbering" w:customStyle="1" w:styleId="AERnumberedlist2">
    <w:name w:val="AER numbered list2"/>
    <w:uiPriority w:val="99"/>
    <w:rsid w:val="00CC62E5"/>
  </w:style>
  <w:style w:type="table" w:styleId="TableGrid">
    <w:name w:val="Table Grid"/>
    <w:basedOn w:val="TableNormal"/>
    <w:uiPriority w:val="59"/>
    <w:rsid w:val="009D5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4519">
      <w:bodyDiv w:val="1"/>
      <w:marLeft w:val="0"/>
      <w:marRight w:val="0"/>
      <w:marTop w:val="0"/>
      <w:marBottom w:val="0"/>
      <w:divBdr>
        <w:top w:val="none" w:sz="0" w:space="0" w:color="auto"/>
        <w:left w:val="none" w:sz="0" w:space="0" w:color="auto"/>
        <w:bottom w:val="none" w:sz="0" w:space="0" w:color="auto"/>
        <w:right w:val="none" w:sz="0" w:space="0" w:color="auto"/>
      </w:divBdr>
      <w:divsChild>
        <w:div w:id="152769197">
          <w:marLeft w:val="0"/>
          <w:marRight w:val="0"/>
          <w:marTop w:val="0"/>
          <w:marBottom w:val="0"/>
          <w:divBdr>
            <w:top w:val="none" w:sz="0" w:space="0" w:color="auto"/>
            <w:left w:val="none" w:sz="0" w:space="0" w:color="auto"/>
            <w:bottom w:val="none" w:sz="0" w:space="0" w:color="auto"/>
            <w:right w:val="none" w:sz="0" w:space="0" w:color="auto"/>
          </w:divBdr>
          <w:divsChild>
            <w:div w:id="1904023093">
              <w:marLeft w:val="0"/>
              <w:marRight w:val="0"/>
              <w:marTop w:val="0"/>
              <w:marBottom w:val="0"/>
              <w:divBdr>
                <w:top w:val="none" w:sz="0" w:space="0" w:color="auto"/>
                <w:left w:val="none" w:sz="0" w:space="0" w:color="auto"/>
                <w:bottom w:val="none" w:sz="0" w:space="0" w:color="auto"/>
                <w:right w:val="none" w:sz="0" w:space="0" w:color="auto"/>
              </w:divBdr>
              <w:divsChild>
                <w:div w:id="199972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4201">
      <w:bodyDiv w:val="1"/>
      <w:marLeft w:val="0"/>
      <w:marRight w:val="0"/>
      <w:marTop w:val="0"/>
      <w:marBottom w:val="0"/>
      <w:divBdr>
        <w:top w:val="none" w:sz="0" w:space="0" w:color="auto"/>
        <w:left w:val="none" w:sz="0" w:space="0" w:color="auto"/>
        <w:bottom w:val="none" w:sz="0" w:space="0" w:color="auto"/>
        <w:right w:val="none" w:sz="0" w:space="0" w:color="auto"/>
      </w:divBdr>
    </w:div>
    <w:div w:id="802041923">
      <w:bodyDiv w:val="1"/>
      <w:marLeft w:val="0"/>
      <w:marRight w:val="0"/>
      <w:marTop w:val="0"/>
      <w:marBottom w:val="0"/>
      <w:divBdr>
        <w:top w:val="none" w:sz="0" w:space="0" w:color="auto"/>
        <w:left w:val="none" w:sz="0" w:space="0" w:color="auto"/>
        <w:bottom w:val="none" w:sz="0" w:space="0" w:color="auto"/>
        <w:right w:val="none" w:sz="0" w:space="0" w:color="auto"/>
      </w:divBdr>
    </w:div>
    <w:div w:id="16017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640E3-E5A3-42EA-924D-4BD905A3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DCDCD20F.dotm</Template>
  <TotalTime>0</TotalTime>
  <Pages>24</Pages>
  <Words>9623</Words>
  <Characters>54857</Characters>
  <Application>Microsoft Office Word</Application>
  <DocSecurity>4</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64352</CharactersWithSpaces>
  <SharedDoc>false</SharedDoc>
  <HLinks>
    <vt:vector size="18" baseType="variant">
      <vt:variant>
        <vt:i4>2031673</vt:i4>
      </vt:variant>
      <vt:variant>
        <vt:i4>14</vt:i4>
      </vt:variant>
      <vt:variant>
        <vt:i4>0</vt:i4>
      </vt:variant>
      <vt:variant>
        <vt:i4>5</vt:i4>
      </vt:variant>
      <vt:variant>
        <vt:lpwstr/>
      </vt:variant>
      <vt:variant>
        <vt:lpwstr>_Toc338853706</vt:lpwstr>
      </vt:variant>
      <vt:variant>
        <vt:i4>2031673</vt:i4>
      </vt:variant>
      <vt:variant>
        <vt:i4>8</vt:i4>
      </vt:variant>
      <vt:variant>
        <vt:i4>0</vt:i4>
      </vt:variant>
      <vt:variant>
        <vt:i4>5</vt:i4>
      </vt:variant>
      <vt:variant>
        <vt:lpwstr/>
      </vt:variant>
      <vt:variant>
        <vt:lpwstr>_Toc338853705</vt:lpwstr>
      </vt:variant>
      <vt:variant>
        <vt:i4>2031673</vt:i4>
      </vt:variant>
      <vt:variant>
        <vt:i4>2</vt:i4>
      </vt:variant>
      <vt:variant>
        <vt:i4>0</vt:i4>
      </vt:variant>
      <vt:variant>
        <vt:i4>5</vt:i4>
      </vt:variant>
      <vt:variant>
        <vt:lpwstr/>
      </vt:variant>
      <vt:variant>
        <vt:lpwstr>_Toc338853704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dchiv</dc:creator>
  <cp:keywords/>
  <dc:description/>
  <cp:lastModifiedBy>Moffitt, Shannon</cp:lastModifiedBy>
  <cp:revision>2</cp:revision>
  <cp:lastPrinted>2013-12-18T05:20:00Z</cp:lastPrinted>
  <dcterms:created xsi:type="dcterms:W3CDTF">2014-04-28T04:52:00Z</dcterms:created>
  <dcterms:modified xsi:type="dcterms:W3CDTF">2014-04-28T04:52:00Z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H:\TRIMDATA\TRIM\TEMP\HPTRIM.2812\D13 176177  AER submission to AEMC consultation paper - upload version.DOCX</vt:lpwstr>
  </property>
</Properties>
</file>