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25538598"/>
        <w:docPartObj>
          <w:docPartGallery w:val="Cover Pages"/>
          <w:docPartUnique/>
        </w:docPartObj>
      </w:sdtPr>
      <w:sdtEndPr/>
      <w:sdtContent>
        <w:p w14:paraId="3279B83C" w14:textId="77777777" w:rsidR="003B1500" w:rsidRPr="00FA042E" w:rsidRDefault="003B1500" w:rsidP="003B1500">
          <w:r w:rsidRPr="003B1500">
            <w:rPr>
              <w:noProof/>
              <w:lang w:eastAsia="en-AU"/>
            </w:rPr>
            <w:drawing>
              <wp:anchor distT="0" distB="0" distL="114300" distR="114300" simplePos="0" relativeHeight="251657216" behindDoc="1" locked="0" layoutInCell="1" allowOverlap="1" wp14:anchorId="263C9468" wp14:editId="7D16327E">
                <wp:simplePos x="0" y="0"/>
                <wp:positionH relativeFrom="column">
                  <wp:posOffset>-1107440</wp:posOffset>
                </wp:positionH>
                <wp:positionV relativeFrom="paragraph">
                  <wp:posOffset>-915118</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14:paraId="029DA5E6" w14:textId="77777777" w:rsidR="003B1500" w:rsidRPr="00FA042E" w:rsidRDefault="003B1500" w:rsidP="003B1500"/>
        <w:p w14:paraId="74F222B2" w14:textId="77777777" w:rsidR="003B1500" w:rsidRPr="00FA042E" w:rsidRDefault="003B1500" w:rsidP="003B1500"/>
        <w:p w14:paraId="082A0513" w14:textId="77777777" w:rsidR="003B1500" w:rsidRPr="00FA042E" w:rsidRDefault="003B1500" w:rsidP="003B1500"/>
        <w:p w14:paraId="4F115E6D" w14:textId="77777777" w:rsidR="003B1500" w:rsidRPr="00FA042E" w:rsidRDefault="003B1500" w:rsidP="003B1500"/>
        <w:p w14:paraId="68606219" w14:textId="77777777" w:rsidR="003B1500" w:rsidRPr="00FA042E" w:rsidRDefault="003B1500" w:rsidP="003B1500"/>
        <w:p w14:paraId="54A04581" w14:textId="77777777" w:rsidR="003B1500" w:rsidRPr="00FA042E" w:rsidRDefault="003B1500" w:rsidP="003B1500"/>
        <w:p w14:paraId="23973956" w14:textId="77777777" w:rsidR="003B1500" w:rsidRPr="00FA042E" w:rsidRDefault="003B1500" w:rsidP="003B1500"/>
        <w:p w14:paraId="7B7F590D" w14:textId="77777777" w:rsidR="003B1500" w:rsidRPr="00FA042E" w:rsidRDefault="003B1500" w:rsidP="003B1500"/>
        <w:p w14:paraId="5F884C7E" w14:textId="4FB91837" w:rsidR="003B1500" w:rsidRPr="00FA042E" w:rsidRDefault="008533F0" w:rsidP="003B1500">
          <w:pPr>
            <w:pStyle w:val="ReportTitle"/>
          </w:pPr>
          <w:r>
            <w:t>Final decision</w:t>
          </w:r>
        </w:p>
        <w:p w14:paraId="0AEB78E2" w14:textId="77777777" w:rsidR="003B1500" w:rsidRDefault="003B1500" w:rsidP="003B1500">
          <w:pPr>
            <w:pStyle w:val="ReportSubtitle"/>
          </w:pPr>
        </w:p>
        <w:p w14:paraId="06893A4A" w14:textId="4C836616" w:rsidR="003B1500" w:rsidRPr="00FA042E" w:rsidRDefault="00264131" w:rsidP="003B1500">
          <w:pPr>
            <w:pStyle w:val="ReportSubtitle"/>
          </w:pPr>
          <w:r>
            <w:t>T</w:t>
          </w:r>
          <w:r w:rsidR="003B1500">
            <w:t>ransmission a</w:t>
          </w:r>
          <w:r w:rsidR="00E90313">
            <w:t>nnual planning report guidelines</w:t>
          </w:r>
        </w:p>
        <w:p w14:paraId="598DE799" w14:textId="77777777" w:rsidR="003B1500" w:rsidRDefault="003B1500" w:rsidP="003B1500">
          <w:pPr>
            <w:pStyle w:val="ReportDate"/>
          </w:pPr>
        </w:p>
        <w:p w14:paraId="33FAB3B2" w14:textId="170D845F" w:rsidR="003B1500" w:rsidRPr="00FA042E" w:rsidRDefault="00C352F7" w:rsidP="003B1500">
          <w:pPr>
            <w:pStyle w:val="ReportDate"/>
          </w:pPr>
          <w:r>
            <w:t>December</w:t>
          </w:r>
          <w:r w:rsidR="00264131" w:rsidRPr="00FA042E">
            <w:t xml:space="preserve"> </w:t>
          </w:r>
          <w:r w:rsidR="003B1500" w:rsidRPr="00FA042E">
            <w:t>201</w:t>
          </w:r>
          <w:r w:rsidR="003B1500">
            <w:t>8</w:t>
          </w:r>
        </w:p>
        <w:p w14:paraId="33CC88B5" w14:textId="7513043A" w:rsidR="003B1500" w:rsidRPr="00D77EC5" w:rsidRDefault="003B1500" w:rsidP="003B1500">
          <w:r w:rsidRPr="00FA042E">
            <w:br w:type="page"/>
          </w:r>
        </w:p>
      </w:sdtContent>
    </w:sdt>
    <w:p w14:paraId="48A567D0" w14:textId="77777777" w:rsidR="003B1500" w:rsidRDefault="003B1500" w:rsidP="00EC7A3E">
      <w:pPr>
        <w:pStyle w:val="BodyText"/>
      </w:pPr>
      <w:r>
        <w:lastRenderedPageBreak/>
        <w:t>© Commonwealth of Australia 2018</w:t>
      </w:r>
    </w:p>
    <w:p w14:paraId="0C8C6B29" w14:textId="77777777" w:rsidR="003B1500" w:rsidRDefault="003B1500" w:rsidP="00EC7A3E">
      <w:pPr>
        <w:pStyle w:val="BodyText"/>
      </w:pPr>
      <w:r>
        <w:t>This work is copyright. In addition to any use permitted under the Copyright Act 1968, all material contained within this work is provided under a Creative Commons Attributions 3.0 Australia licence, with the exception of:</w:t>
      </w:r>
    </w:p>
    <w:p w14:paraId="01F7BA26" w14:textId="77777777" w:rsidR="003B1500" w:rsidRPr="00D77EC5" w:rsidRDefault="003B1500" w:rsidP="00EC7A3E">
      <w:pPr>
        <w:pStyle w:val="Bulletpoint"/>
      </w:pPr>
      <w:r>
        <w:t>the Commonwealth Coat of Arms</w:t>
      </w:r>
    </w:p>
    <w:p w14:paraId="17ACE467" w14:textId="77777777" w:rsidR="003B1500" w:rsidRPr="00D77EC5" w:rsidRDefault="003B1500" w:rsidP="00EC7A3E">
      <w:pPr>
        <w:pStyle w:val="Bulletpoint"/>
      </w:pPr>
      <w:r>
        <w:t>the ACCC and AER logos</w:t>
      </w:r>
    </w:p>
    <w:p w14:paraId="5EC2F76B" w14:textId="77777777" w:rsidR="003B1500" w:rsidRPr="00D77EC5" w:rsidRDefault="003B1500" w:rsidP="00EC7A3E">
      <w:pPr>
        <w:pStyle w:val="Bulletpoint"/>
      </w:pPr>
      <w:r w:rsidRPr="00D77EC5">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789AB6F5" w14:textId="77777777" w:rsidR="003B1500" w:rsidRDefault="003B1500" w:rsidP="00EC7A3E">
      <w:pPr>
        <w:pStyle w:val="BodyTex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3131, </w:t>
      </w:r>
      <w:r>
        <w:br/>
        <w:t xml:space="preserve">Canberra ACT 2601 </w:t>
      </w:r>
      <w:r>
        <w:br/>
        <w:t>or publishing.unit@accc.gov.au.</w:t>
      </w:r>
    </w:p>
    <w:p w14:paraId="6269D534" w14:textId="77777777" w:rsidR="003B1500" w:rsidRDefault="003B1500" w:rsidP="00EC7A3E">
      <w:pPr>
        <w:pStyle w:val="BodyText"/>
      </w:pPr>
      <w:r>
        <w:t>Inquiries about this publication should be addressed to:</w:t>
      </w:r>
    </w:p>
    <w:p w14:paraId="11252401" w14:textId="77777777" w:rsidR="003B1500" w:rsidRDefault="003B1500" w:rsidP="00EC7A3E">
      <w:pPr>
        <w:pStyle w:val="BodyText"/>
      </w:pPr>
      <w:r>
        <w:t xml:space="preserve">Australian Energy </w:t>
      </w:r>
      <w:r w:rsidRPr="00F171E0">
        <w:t>Regulator</w:t>
      </w:r>
      <w:r>
        <w:br/>
        <w:t>GPO Box 520</w:t>
      </w:r>
      <w:r>
        <w:br/>
      </w:r>
      <w:proofErr w:type="gramStart"/>
      <w:r>
        <w:t>Melbourne  Vic</w:t>
      </w:r>
      <w:proofErr w:type="gramEnd"/>
      <w:r>
        <w:t xml:space="preserve">  3001</w:t>
      </w:r>
    </w:p>
    <w:p w14:paraId="58E2F45B" w14:textId="77777777" w:rsidR="003B1500" w:rsidRDefault="003B1500" w:rsidP="00EC7A3E">
      <w:pPr>
        <w:pStyle w:val="BodyText"/>
      </w:pPr>
      <w:r>
        <w:t>Tel: 1300 585165</w:t>
      </w:r>
    </w:p>
    <w:p w14:paraId="15C53787" w14:textId="221EA44A" w:rsidR="003B1500" w:rsidRDefault="003B1500" w:rsidP="00EC7A3E">
      <w:pPr>
        <w:pStyle w:val="BodyText"/>
      </w:pPr>
      <w:r>
        <w:t xml:space="preserve">Email: </w:t>
      </w:r>
      <w:hyperlink r:id="rId10" w:history="1">
        <w:r w:rsidRPr="00D64888">
          <w:rPr>
            <w:rStyle w:val="Hyperlink"/>
          </w:rPr>
          <w:t>AERInquiry@aer.gov.au</w:t>
        </w:r>
      </w:hyperlink>
      <w:r>
        <w:rPr>
          <w:rStyle w:val="Hyperlink"/>
        </w:rPr>
        <w:br/>
      </w:r>
      <w:r w:rsidR="00EC7A3E">
        <w:t xml:space="preserve">AER Reference: </w:t>
      </w:r>
      <w:r w:rsidR="004F19EA">
        <w:t xml:space="preserve">64667 </w:t>
      </w:r>
      <w:r w:rsidR="004F19EA">
        <w:rPr>
          <w:rFonts w:cs="Arial"/>
        </w:rPr>
        <w:t>–</w:t>
      </w:r>
      <w:r w:rsidR="004F19EA">
        <w:t xml:space="preserve"> </w:t>
      </w:r>
      <w:r w:rsidR="00EC7A3E">
        <w:t>D18/</w:t>
      </w:r>
      <w:r w:rsidR="004F19EA">
        <w:t>1</w:t>
      </w:r>
      <w:r w:rsidR="003D3DDB">
        <w:t>81975</w:t>
      </w:r>
    </w:p>
    <w:p w14:paraId="70E751DD" w14:textId="77777777" w:rsidR="00BA79FD" w:rsidRDefault="00BA79FD" w:rsidP="00BA79FD"/>
    <w:p w14:paraId="1E10CCEC" w14:textId="1AD4CDC9" w:rsidR="00BA79FD" w:rsidRPr="00C569B4" w:rsidRDefault="00BA79FD" w:rsidP="00BA79FD">
      <w:r w:rsidRPr="00C569B4">
        <w:t>Amendment Record</w:t>
      </w:r>
    </w:p>
    <w:tbl>
      <w:tblPr>
        <w:tblStyle w:val="AERTable-Text"/>
        <w:tblW w:w="0" w:type="auto"/>
        <w:tblLook w:val="04A0" w:firstRow="1" w:lastRow="0" w:firstColumn="1" w:lastColumn="0" w:noHBand="0" w:noVBand="1"/>
      </w:tblPr>
      <w:tblGrid>
        <w:gridCol w:w="2912"/>
        <w:gridCol w:w="2883"/>
        <w:gridCol w:w="2898"/>
      </w:tblGrid>
      <w:tr w:rsidR="00BA79FD" w14:paraId="298DD903" w14:textId="77777777" w:rsidTr="003D3DDB">
        <w:trPr>
          <w:cnfStyle w:val="100000000000" w:firstRow="1" w:lastRow="0" w:firstColumn="0" w:lastColumn="0" w:oddVBand="0" w:evenVBand="0" w:oddHBand="0" w:evenHBand="0" w:firstRowFirstColumn="0" w:firstRowLastColumn="0" w:lastRowFirstColumn="0" w:lastRowLastColumn="0"/>
        </w:trPr>
        <w:tc>
          <w:tcPr>
            <w:tcW w:w="2912" w:type="dxa"/>
          </w:tcPr>
          <w:p w14:paraId="05923169" w14:textId="77777777" w:rsidR="00BA79FD" w:rsidRPr="00BA79FD" w:rsidRDefault="00BA79FD" w:rsidP="00BA79FD">
            <w:pPr>
              <w:pStyle w:val="Tabletext"/>
            </w:pPr>
            <w:r>
              <w:t>Version</w:t>
            </w:r>
          </w:p>
        </w:tc>
        <w:tc>
          <w:tcPr>
            <w:tcW w:w="2883" w:type="dxa"/>
          </w:tcPr>
          <w:p w14:paraId="547E3B0C" w14:textId="77777777" w:rsidR="00BA79FD" w:rsidRPr="00BA79FD" w:rsidRDefault="00BA79FD" w:rsidP="00BA79FD">
            <w:pPr>
              <w:pStyle w:val="Tabletext"/>
            </w:pPr>
            <w:r>
              <w:t>Date</w:t>
            </w:r>
          </w:p>
        </w:tc>
        <w:tc>
          <w:tcPr>
            <w:tcW w:w="2898" w:type="dxa"/>
          </w:tcPr>
          <w:p w14:paraId="09AC1427" w14:textId="77777777" w:rsidR="00BA79FD" w:rsidRPr="00BA79FD" w:rsidRDefault="00BA79FD" w:rsidP="00BA79FD">
            <w:pPr>
              <w:pStyle w:val="Tabletext"/>
            </w:pPr>
            <w:r>
              <w:t>Pages</w:t>
            </w:r>
          </w:p>
        </w:tc>
      </w:tr>
      <w:tr w:rsidR="00BA79FD" w14:paraId="174F6088" w14:textId="77777777" w:rsidTr="003D3DDB">
        <w:tc>
          <w:tcPr>
            <w:tcW w:w="2912" w:type="dxa"/>
          </w:tcPr>
          <w:p w14:paraId="41CB0E73" w14:textId="77777777" w:rsidR="00BA79FD" w:rsidRPr="00BA79FD" w:rsidRDefault="00BA79FD" w:rsidP="00BA79FD">
            <w:r w:rsidRPr="006641FC">
              <w:t>1</w:t>
            </w:r>
          </w:p>
        </w:tc>
        <w:tc>
          <w:tcPr>
            <w:tcW w:w="2883" w:type="dxa"/>
          </w:tcPr>
          <w:p w14:paraId="25F61AC2" w14:textId="17284120" w:rsidR="00BA79FD" w:rsidRPr="00BA79FD" w:rsidRDefault="00237E5A" w:rsidP="00BA79FD">
            <w:r>
              <w:t>18</w:t>
            </w:r>
            <w:r w:rsidR="00BA79FD">
              <w:t xml:space="preserve"> December 2018</w:t>
            </w:r>
          </w:p>
        </w:tc>
        <w:tc>
          <w:tcPr>
            <w:tcW w:w="2898" w:type="dxa"/>
          </w:tcPr>
          <w:p w14:paraId="6D6D5B2B" w14:textId="5A78F280" w:rsidR="00BA79FD" w:rsidRPr="00BA79FD" w:rsidRDefault="0023615B" w:rsidP="00BA79FD">
            <w:r>
              <w:t>1</w:t>
            </w:r>
            <w:r w:rsidR="00891BFE">
              <w:t>8</w:t>
            </w:r>
          </w:p>
        </w:tc>
      </w:tr>
    </w:tbl>
    <w:p w14:paraId="07B142CE" w14:textId="77777777" w:rsidR="00BA79FD" w:rsidRDefault="00BA79FD" w:rsidP="00BA79FD"/>
    <w:p w14:paraId="3299AA05" w14:textId="77777777" w:rsidR="00BA79FD" w:rsidRPr="00D77EC5" w:rsidRDefault="00BA79FD" w:rsidP="00EC7A3E">
      <w:pPr>
        <w:pStyle w:val="BodyText"/>
      </w:pPr>
    </w:p>
    <w:p w14:paraId="49F0022B" w14:textId="77777777" w:rsidR="003B1500" w:rsidRDefault="003B1500" w:rsidP="00EC7A3E">
      <w:pPr>
        <w:pStyle w:val="BodyText"/>
      </w:pPr>
    </w:p>
    <w:p w14:paraId="17901A71" w14:textId="77777777" w:rsidR="003B1500" w:rsidRDefault="003B1500" w:rsidP="003B1500"/>
    <w:p w14:paraId="0B9CBFBD" w14:textId="77777777" w:rsidR="0000558E" w:rsidRDefault="0000558E" w:rsidP="003B1500">
      <w:bookmarkStart w:id="0" w:name="_Toc506294984"/>
      <w:bookmarkStart w:id="1" w:name="_Toc520361178"/>
    </w:p>
    <w:bookmarkEnd w:id="0"/>
    <w:bookmarkEnd w:id="1"/>
    <w:p w14:paraId="7EC3C851" w14:textId="77777777" w:rsidR="003B1500" w:rsidRDefault="003B1500" w:rsidP="003B1500">
      <w:pPr>
        <w:pStyle w:val="TOCHeading"/>
      </w:pPr>
      <w:r>
        <w:lastRenderedPageBreak/>
        <w:t>Contents</w:t>
      </w:r>
    </w:p>
    <w:p w14:paraId="6F793BD2" w14:textId="55654316" w:rsidR="002268E7" w:rsidRDefault="003B1500">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532814794" w:history="1">
        <w:r w:rsidR="002268E7" w:rsidRPr="004607EA">
          <w:rPr>
            <w:rStyle w:val="Hyperlink"/>
          </w:rPr>
          <w:t>Shortened forms</w:t>
        </w:r>
        <w:r w:rsidR="002268E7">
          <w:rPr>
            <w:webHidden/>
          </w:rPr>
          <w:tab/>
        </w:r>
        <w:r w:rsidR="002268E7">
          <w:rPr>
            <w:webHidden/>
          </w:rPr>
          <w:fldChar w:fldCharType="begin"/>
        </w:r>
        <w:r w:rsidR="002268E7">
          <w:rPr>
            <w:webHidden/>
          </w:rPr>
          <w:instrText xml:space="preserve"> PAGEREF _Toc532814794 \h </w:instrText>
        </w:r>
        <w:r w:rsidR="002268E7">
          <w:rPr>
            <w:webHidden/>
          </w:rPr>
        </w:r>
        <w:r w:rsidR="002268E7">
          <w:rPr>
            <w:webHidden/>
          </w:rPr>
          <w:fldChar w:fldCharType="separate"/>
        </w:r>
        <w:r w:rsidR="002268E7">
          <w:rPr>
            <w:webHidden/>
          </w:rPr>
          <w:t>1</w:t>
        </w:r>
        <w:r w:rsidR="002268E7">
          <w:rPr>
            <w:webHidden/>
          </w:rPr>
          <w:fldChar w:fldCharType="end"/>
        </w:r>
      </w:hyperlink>
    </w:p>
    <w:p w14:paraId="18F8D80F" w14:textId="0839AB86" w:rsidR="002268E7" w:rsidRDefault="00D3191A">
      <w:pPr>
        <w:pStyle w:val="TOC1"/>
        <w:rPr>
          <w:rFonts w:asciiTheme="minorHAnsi" w:eastAsiaTheme="minorEastAsia" w:hAnsiTheme="minorHAnsi"/>
          <w:b w:val="0"/>
          <w:color w:val="auto"/>
          <w:sz w:val="22"/>
          <w:lang w:val="en-AU" w:eastAsia="en-AU"/>
        </w:rPr>
      </w:pPr>
      <w:hyperlink w:anchor="_Toc532814795" w:history="1">
        <w:r w:rsidR="002268E7" w:rsidRPr="004607EA">
          <w:rPr>
            <w:rStyle w:val="Hyperlink"/>
          </w:rPr>
          <w:t>1</w:t>
        </w:r>
        <w:r w:rsidR="002268E7">
          <w:rPr>
            <w:rFonts w:asciiTheme="minorHAnsi" w:eastAsiaTheme="minorEastAsia" w:hAnsiTheme="minorHAnsi"/>
            <w:b w:val="0"/>
            <w:color w:val="auto"/>
            <w:sz w:val="22"/>
            <w:lang w:val="en-AU" w:eastAsia="en-AU"/>
          </w:rPr>
          <w:tab/>
        </w:r>
        <w:r w:rsidR="002268E7" w:rsidRPr="004607EA">
          <w:rPr>
            <w:rStyle w:val="Hyperlink"/>
          </w:rPr>
          <w:t>Overview</w:t>
        </w:r>
        <w:r w:rsidR="002268E7">
          <w:rPr>
            <w:webHidden/>
          </w:rPr>
          <w:tab/>
        </w:r>
        <w:r w:rsidR="002268E7">
          <w:rPr>
            <w:webHidden/>
          </w:rPr>
          <w:fldChar w:fldCharType="begin"/>
        </w:r>
        <w:r w:rsidR="002268E7">
          <w:rPr>
            <w:webHidden/>
          </w:rPr>
          <w:instrText xml:space="preserve"> PAGEREF _Toc532814795 \h </w:instrText>
        </w:r>
        <w:r w:rsidR="002268E7">
          <w:rPr>
            <w:webHidden/>
          </w:rPr>
        </w:r>
        <w:r w:rsidR="002268E7">
          <w:rPr>
            <w:webHidden/>
          </w:rPr>
          <w:fldChar w:fldCharType="separate"/>
        </w:r>
        <w:r w:rsidR="002268E7">
          <w:rPr>
            <w:webHidden/>
          </w:rPr>
          <w:t>2</w:t>
        </w:r>
        <w:r w:rsidR="002268E7">
          <w:rPr>
            <w:webHidden/>
          </w:rPr>
          <w:fldChar w:fldCharType="end"/>
        </w:r>
      </w:hyperlink>
    </w:p>
    <w:p w14:paraId="1D85792A" w14:textId="176E1F21" w:rsidR="002268E7" w:rsidRDefault="00D3191A">
      <w:pPr>
        <w:pStyle w:val="TOC1"/>
        <w:rPr>
          <w:rFonts w:asciiTheme="minorHAnsi" w:eastAsiaTheme="minorEastAsia" w:hAnsiTheme="minorHAnsi"/>
          <w:b w:val="0"/>
          <w:color w:val="auto"/>
          <w:sz w:val="22"/>
          <w:lang w:val="en-AU" w:eastAsia="en-AU"/>
        </w:rPr>
      </w:pPr>
      <w:hyperlink w:anchor="_Toc532814796" w:history="1">
        <w:r w:rsidR="002268E7" w:rsidRPr="004607EA">
          <w:rPr>
            <w:rStyle w:val="Hyperlink"/>
          </w:rPr>
          <w:t>2</w:t>
        </w:r>
        <w:r w:rsidR="002268E7">
          <w:rPr>
            <w:rFonts w:asciiTheme="minorHAnsi" w:eastAsiaTheme="minorEastAsia" w:hAnsiTheme="minorHAnsi"/>
            <w:b w:val="0"/>
            <w:color w:val="auto"/>
            <w:sz w:val="22"/>
            <w:lang w:val="en-AU" w:eastAsia="en-AU"/>
          </w:rPr>
          <w:tab/>
        </w:r>
        <w:r w:rsidR="002268E7" w:rsidRPr="004607EA">
          <w:rPr>
            <w:rStyle w:val="Hyperlink"/>
          </w:rPr>
          <w:t>Background</w:t>
        </w:r>
        <w:r w:rsidR="002268E7">
          <w:rPr>
            <w:webHidden/>
          </w:rPr>
          <w:tab/>
        </w:r>
        <w:r w:rsidR="002268E7">
          <w:rPr>
            <w:webHidden/>
          </w:rPr>
          <w:fldChar w:fldCharType="begin"/>
        </w:r>
        <w:r w:rsidR="002268E7">
          <w:rPr>
            <w:webHidden/>
          </w:rPr>
          <w:instrText xml:space="preserve"> PAGEREF _Toc532814796 \h </w:instrText>
        </w:r>
        <w:r w:rsidR="002268E7">
          <w:rPr>
            <w:webHidden/>
          </w:rPr>
        </w:r>
        <w:r w:rsidR="002268E7">
          <w:rPr>
            <w:webHidden/>
          </w:rPr>
          <w:fldChar w:fldCharType="separate"/>
        </w:r>
        <w:r w:rsidR="002268E7">
          <w:rPr>
            <w:webHidden/>
          </w:rPr>
          <w:t>3</w:t>
        </w:r>
        <w:r w:rsidR="002268E7">
          <w:rPr>
            <w:webHidden/>
          </w:rPr>
          <w:fldChar w:fldCharType="end"/>
        </w:r>
      </w:hyperlink>
    </w:p>
    <w:p w14:paraId="2485FF33" w14:textId="022566B0" w:rsidR="002268E7" w:rsidRDefault="00D3191A">
      <w:pPr>
        <w:pStyle w:val="TOC1"/>
        <w:rPr>
          <w:rFonts w:asciiTheme="minorHAnsi" w:eastAsiaTheme="minorEastAsia" w:hAnsiTheme="minorHAnsi"/>
          <w:b w:val="0"/>
          <w:color w:val="auto"/>
          <w:sz w:val="22"/>
          <w:lang w:val="en-AU" w:eastAsia="en-AU"/>
        </w:rPr>
      </w:pPr>
      <w:hyperlink w:anchor="_Toc532814797" w:history="1">
        <w:r w:rsidR="002268E7" w:rsidRPr="004607EA">
          <w:rPr>
            <w:rStyle w:val="Hyperlink"/>
          </w:rPr>
          <w:t>3</w:t>
        </w:r>
        <w:r w:rsidR="002268E7">
          <w:rPr>
            <w:rFonts w:asciiTheme="minorHAnsi" w:eastAsiaTheme="minorEastAsia" w:hAnsiTheme="minorHAnsi"/>
            <w:b w:val="0"/>
            <w:color w:val="auto"/>
            <w:sz w:val="22"/>
            <w:lang w:val="en-AU" w:eastAsia="en-AU"/>
          </w:rPr>
          <w:tab/>
        </w:r>
        <w:r w:rsidR="002268E7" w:rsidRPr="004607EA">
          <w:rPr>
            <w:rStyle w:val="Hyperlink"/>
          </w:rPr>
          <w:t>Consideration of stakeholder submissions</w:t>
        </w:r>
        <w:r w:rsidR="002268E7">
          <w:rPr>
            <w:webHidden/>
          </w:rPr>
          <w:tab/>
        </w:r>
        <w:r w:rsidR="002268E7">
          <w:rPr>
            <w:webHidden/>
          </w:rPr>
          <w:fldChar w:fldCharType="begin"/>
        </w:r>
        <w:r w:rsidR="002268E7">
          <w:rPr>
            <w:webHidden/>
          </w:rPr>
          <w:instrText xml:space="preserve"> PAGEREF _Toc532814797 \h </w:instrText>
        </w:r>
        <w:r w:rsidR="002268E7">
          <w:rPr>
            <w:webHidden/>
          </w:rPr>
        </w:r>
        <w:r w:rsidR="002268E7">
          <w:rPr>
            <w:webHidden/>
          </w:rPr>
          <w:fldChar w:fldCharType="separate"/>
        </w:r>
        <w:r w:rsidR="002268E7">
          <w:rPr>
            <w:webHidden/>
          </w:rPr>
          <w:t>5</w:t>
        </w:r>
        <w:r w:rsidR="002268E7">
          <w:rPr>
            <w:webHidden/>
          </w:rPr>
          <w:fldChar w:fldCharType="end"/>
        </w:r>
      </w:hyperlink>
    </w:p>
    <w:p w14:paraId="439C112F" w14:textId="11825954" w:rsidR="002268E7" w:rsidRDefault="00D3191A">
      <w:pPr>
        <w:pStyle w:val="TOC2"/>
        <w:rPr>
          <w:rFonts w:asciiTheme="minorHAnsi" w:eastAsiaTheme="minorEastAsia" w:hAnsiTheme="minorHAnsi"/>
          <w:b w:val="0"/>
          <w:color w:val="auto"/>
          <w:sz w:val="22"/>
          <w:lang w:eastAsia="en-AU"/>
        </w:rPr>
      </w:pPr>
      <w:hyperlink w:anchor="_Toc532814798" w:history="1">
        <w:r w:rsidR="002268E7" w:rsidRPr="004607EA">
          <w:rPr>
            <w:rStyle w:val="Hyperlink"/>
          </w:rPr>
          <w:t>3.1</w:t>
        </w:r>
        <w:r w:rsidR="002268E7">
          <w:rPr>
            <w:rFonts w:asciiTheme="minorHAnsi" w:eastAsiaTheme="minorEastAsia" w:hAnsiTheme="minorHAnsi"/>
            <w:b w:val="0"/>
            <w:color w:val="auto"/>
            <w:sz w:val="22"/>
            <w:lang w:eastAsia="en-AU"/>
          </w:rPr>
          <w:tab/>
        </w:r>
        <w:r w:rsidR="002268E7" w:rsidRPr="004607EA">
          <w:rPr>
            <w:rStyle w:val="Hyperlink"/>
          </w:rPr>
          <w:t>Confidentiality</w:t>
        </w:r>
        <w:r w:rsidR="002268E7">
          <w:rPr>
            <w:webHidden/>
          </w:rPr>
          <w:tab/>
        </w:r>
        <w:r w:rsidR="002268E7">
          <w:rPr>
            <w:webHidden/>
          </w:rPr>
          <w:fldChar w:fldCharType="begin"/>
        </w:r>
        <w:r w:rsidR="002268E7">
          <w:rPr>
            <w:webHidden/>
          </w:rPr>
          <w:instrText xml:space="preserve"> PAGEREF _Toc532814798 \h </w:instrText>
        </w:r>
        <w:r w:rsidR="002268E7">
          <w:rPr>
            <w:webHidden/>
          </w:rPr>
        </w:r>
        <w:r w:rsidR="002268E7">
          <w:rPr>
            <w:webHidden/>
          </w:rPr>
          <w:fldChar w:fldCharType="separate"/>
        </w:r>
        <w:r w:rsidR="002268E7">
          <w:rPr>
            <w:webHidden/>
          </w:rPr>
          <w:t>5</w:t>
        </w:r>
        <w:r w:rsidR="002268E7">
          <w:rPr>
            <w:webHidden/>
          </w:rPr>
          <w:fldChar w:fldCharType="end"/>
        </w:r>
      </w:hyperlink>
    </w:p>
    <w:p w14:paraId="554C00C1" w14:textId="4681826B" w:rsidR="002268E7" w:rsidRDefault="00D3191A">
      <w:pPr>
        <w:pStyle w:val="TOC2"/>
        <w:rPr>
          <w:rFonts w:asciiTheme="minorHAnsi" w:eastAsiaTheme="minorEastAsia" w:hAnsiTheme="minorHAnsi"/>
          <w:b w:val="0"/>
          <w:color w:val="auto"/>
          <w:sz w:val="22"/>
          <w:lang w:eastAsia="en-AU"/>
        </w:rPr>
      </w:pPr>
      <w:hyperlink w:anchor="_Toc532814799" w:history="1">
        <w:r w:rsidR="002268E7" w:rsidRPr="004607EA">
          <w:rPr>
            <w:rStyle w:val="Hyperlink"/>
          </w:rPr>
          <w:t>3.2</w:t>
        </w:r>
        <w:r w:rsidR="002268E7">
          <w:rPr>
            <w:rFonts w:asciiTheme="minorHAnsi" w:eastAsiaTheme="minorEastAsia" w:hAnsiTheme="minorHAnsi"/>
            <w:b w:val="0"/>
            <w:color w:val="auto"/>
            <w:sz w:val="22"/>
            <w:lang w:eastAsia="en-AU"/>
          </w:rPr>
          <w:tab/>
        </w:r>
        <w:r w:rsidR="002268E7" w:rsidRPr="004607EA">
          <w:rPr>
            <w:rStyle w:val="Hyperlink"/>
          </w:rPr>
          <w:t>Consistency and clarity of terminology</w:t>
        </w:r>
        <w:r w:rsidR="002268E7">
          <w:rPr>
            <w:webHidden/>
          </w:rPr>
          <w:tab/>
        </w:r>
        <w:r w:rsidR="002268E7">
          <w:rPr>
            <w:webHidden/>
          </w:rPr>
          <w:fldChar w:fldCharType="begin"/>
        </w:r>
        <w:r w:rsidR="002268E7">
          <w:rPr>
            <w:webHidden/>
          </w:rPr>
          <w:instrText xml:space="preserve"> PAGEREF _Toc532814799 \h </w:instrText>
        </w:r>
        <w:r w:rsidR="002268E7">
          <w:rPr>
            <w:webHidden/>
          </w:rPr>
        </w:r>
        <w:r w:rsidR="002268E7">
          <w:rPr>
            <w:webHidden/>
          </w:rPr>
          <w:fldChar w:fldCharType="separate"/>
        </w:r>
        <w:r w:rsidR="002268E7">
          <w:rPr>
            <w:webHidden/>
          </w:rPr>
          <w:t>6</w:t>
        </w:r>
        <w:r w:rsidR="002268E7">
          <w:rPr>
            <w:webHidden/>
          </w:rPr>
          <w:fldChar w:fldCharType="end"/>
        </w:r>
      </w:hyperlink>
    </w:p>
    <w:p w14:paraId="5FC5CD4B" w14:textId="75DE212D" w:rsidR="002268E7" w:rsidRDefault="00D3191A">
      <w:pPr>
        <w:pStyle w:val="TOC1"/>
        <w:rPr>
          <w:rFonts w:asciiTheme="minorHAnsi" w:eastAsiaTheme="minorEastAsia" w:hAnsiTheme="minorHAnsi"/>
          <w:b w:val="0"/>
          <w:color w:val="auto"/>
          <w:sz w:val="22"/>
          <w:lang w:val="en-AU" w:eastAsia="en-AU"/>
        </w:rPr>
      </w:pPr>
      <w:hyperlink w:anchor="_Toc532814800" w:history="1">
        <w:r w:rsidR="002268E7" w:rsidRPr="004607EA">
          <w:rPr>
            <w:rStyle w:val="Hyperlink"/>
          </w:rPr>
          <w:t>4</w:t>
        </w:r>
        <w:r w:rsidR="002268E7">
          <w:rPr>
            <w:rFonts w:asciiTheme="minorHAnsi" w:eastAsiaTheme="minorEastAsia" w:hAnsiTheme="minorHAnsi"/>
            <w:b w:val="0"/>
            <w:color w:val="auto"/>
            <w:sz w:val="22"/>
            <w:lang w:val="en-AU" w:eastAsia="en-AU"/>
          </w:rPr>
          <w:tab/>
        </w:r>
        <w:r w:rsidR="002268E7" w:rsidRPr="004607EA">
          <w:rPr>
            <w:rStyle w:val="Hyperlink"/>
          </w:rPr>
          <w:t>TAPR Guideline</w:t>
        </w:r>
        <w:r w:rsidR="002268E7">
          <w:rPr>
            <w:webHidden/>
          </w:rPr>
          <w:tab/>
        </w:r>
        <w:r w:rsidR="002268E7">
          <w:rPr>
            <w:webHidden/>
          </w:rPr>
          <w:fldChar w:fldCharType="begin"/>
        </w:r>
        <w:r w:rsidR="002268E7">
          <w:rPr>
            <w:webHidden/>
          </w:rPr>
          <w:instrText xml:space="preserve"> PAGEREF _Toc532814800 \h </w:instrText>
        </w:r>
        <w:r w:rsidR="002268E7">
          <w:rPr>
            <w:webHidden/>
          </w:rPr>
        </w:r>
        <w:r w:rsidR="002268E7">
          <w:rPr>
            <w:webHidden/>
          </w:rPr>
          <w:fldChar w:fldCharType="separate"/>
        </w:r>
        <w:r w:rsidR="002268E7">
          <w:rPr>
            <w:webHidden/>
          </w:rPr>
          <w:t>7</w:t>
        </w:r>
        <w:r w:rsidR="002268E7">
          <w:rPr>
            <w:webHidden/>
          </w:rPr>
          <w:fldChar w:fldCharType="end"/>
        </w:r>
      </w:hyperlink>
    </w:p>
    <w:p w14:paraId="4261A6A4" w14:textId="40B83DB3" w:rsidR="002268E7" w:rsidRDefault="00D3191A">
      <w:pPr>
        <w:pStyle w:val="TOC2"/>
        <w:rPr>
          <w:rFonts w:asciiTheme="minorHAnsi" w:eastAsiaTheme="minorEastAsia" w:hAnsiTheme="minorHAnsi"/>
          <w:b w:val="0"/>
          <w:color w:val="auto"/>
          <w:sz w:val="22"/>
          <w:lang w:eastAsia="en-AU"/>
        </w:rPr>
      </w:pPr>
      <w:hyperlink w:anchor="_Toc532814801" w:history="1">
        <w:r w:rsidR="002268E7" w:rsidRPr="004607EA">
          <w:rPr>
            <w:rStyle w:val="Hyperlink"/>
          </w:rPr>
          <w:t>4.1</w:t>
        </w:r>
        <w:r w:rsidR="002268E7">
          <w:rPr>
            <w:rFonts w:asciiTheme="minorHAnsi" w:eastAsiaTheme="minorEastAsia" w:hAnsiTheme="minorHAnsi"/>
            <w:b w:val="0"/>
            <w:color w:val="auto"/>
            <w:sz w:val="22"/>
            <w:lang w:eastAsia="en-AU"/>
          </w:rPr>
          <w:tab/>
        </w:r>
        <w:r w:rsidR="002268E7" w:rsidRPr="004607EA">
          <w:rPr>
            <w:rStyle w:val="Hyperlink"/>
          </w:rPr>
          <w:t>Transmission connection point data</w:t>
        </w:r>
        <w:r w:rsidR="002268E7">
          <w:rPr>
            <w:webHidden/>
          </w:rPr>
          <w:tab/>
        </w:r>
        <w:r w:rsidR="002268E7">
          <w:rPr>
            <w:webHidden/>
          </w:rPr>
          <w:fldChar w:fldCharType="begin"/>
        </w:r>
        <w:r w:rsidR="002268E7">
          <w:rPr>
            <w:webHidden/>
          </w:rPr>
          <w:instrText xml:space="preserve"> PAGEREF _Toc532814801 \h </w:instrText>
        </w:r>
        <w:r w:rsidR="002268E7">
          <w:rPr>
            <w:webHidden/>
          </w:rPr>
        </w:r>
        <w:r w:rsidR="002268E7">
          <w:rPr>
            <w:webHidden/>
          </w:rPr>
          <w:fldChar w:fldCharType="separate"/>
        </w:r>
        <w:r w:rsidR="002268E7">
          <w:rPr>
            <w:webHidden/>
          </w:rPr>
          <w:t>7</w:t>
        </w:r>
        <w:r w:rsidR="002268E7">
          <w:rPr>
            <w:webHidden/>
          </w:rPr>
          <w:fldChar w:fldCharType="end"/>
        </w:r>
      </w:hyperlink>
    </w:p>
    <w:p w14:paraId="3742A6BD" w14:textId="60869D0D" w:rsidR="002268E7" w:rsidRDefault="00D3191A">
      <w:pPr>
        <w:pStyle w:val="TOC2"/>
        <w:rPr>
          <w:rFonts w:asciiTheme="minorHAnsi" w:eastAsiaTheme="minorEastAsia" w:hAnsiTheme="minorHAnsi"/>
          <w:b w:val="0"/>
          <w:color w:val="auto"/>
          <w:sz w:val="22"/>
          <w:lang w:eastAsia="en-AU"/>
        </w:rPr>
      </w:pPr>
      <w:hyperlink w:anchor="_Toc532814802" w:history="1">
        <w:r w:rsidR="002268E7" w:rsidRPr="004607EA">
          <w:rPr>
            <w:rStyle w:val="Hyperlink"/>
          </w:rPr>
          <w:t>4.2</w:t>
        </w:r>
        <w:r w:rsidR="002268E7">
          <w:rPr>
            <w:rFonts w:asciiTheme="minorHAnsi" w:eastAsiaTheme="minorEastAsia" w:hAnsiTheme="minorHAnsi"/>
            <w:b w:val="0"/>
            <w:color w:val="auto"/>
            <w:sz w:val="22"/>
            <w:lang w:eastAsia="en-AU"/>
          </w:rPr>
          <w:tab/>
        </w:r>
        <w:r w:rsidR="002268E7" w:rsidRPr="004607EA">
          <w:rPr>
            <w:rStyle w:val="Hyperlink"/>
          </w:rPr>
          <w:t>Transmission line segment data</w:t>
        </w:r>
        <w:r w:rsidR="002268E7">
          <w:rPr>
            <w:webHidden/>
          </w:rPr>
          <w:tab/>
        </w:r>
        <w:r w:rsidR="002268E7">
          <w:rPr>
            <w:webHidden/>
          </w:rPr>
          <w:fldChar w:fldCharType="begin"/>
        </w:r>
        <w:r w:rsidR="002268E7">
          <w:rPr>
            <w:webHidden/>
          </w:rPr>
          <w:instrText xml:space="preserve"> PAGEREF _Toc532814802 \h </w:instrText>
        </w:r>
        <w:r w:rsidR="002268E7">
          <w:rPr>
            <w:webHidden/>
          </w:rPr>
        </w:r>
        <w:r w:rsidR="002268E7">
          <w:rPr>
            <w:webHidden/>
          </w:rPr>
          <w:fldChar w:fldCharType="separate"/>
        </w:r>
        <w:r w:rsidR="002268E7">
          <w:rPr>
            <w:webHidden/>
          </w:rPr>
          <w:t>10</w:t>
        </w:r>
        <w:r w:rsidR="002268E7">
          <w:rPr>
            <w:webHidden/>
          </w:rPr>
          <w:fldChar w:fldCharType="end"/>
        </w:r>
      </w:hyperlink>
    </w:p>
    <w:p w14:paraId="13036D3D" w14:textId="28D3090D" w:rsidR="002268E7" w:rsidRDefault="00D3191A">
      <w:pPr>
        <w:pStyle w:val="TOC2"/>
        <w:rPr>
          <w:rFonts w:asciiTheme="minorHAnsi" w:eastAsiaTheme="minorEastAsia" w:hAnsiTheme="minorHAnsi"/>
          <w:b w:val="0"/>
          <w:color w:val="auto"/>
          <w:sz w:val="22"/>
          <w:lang w:eastAsia="en-AU"/>
        </w:rPr>
      </w:pPr>
      <w:hyperlink w:anchor="_Toc532814803" w:history="1">
        <w:r w:rsidR="002268E7" w:rsidRPr="004607EA">
          <w:rPr>
            <w:rStyle w:val="Hyperlink"/>
          </w:rPr>
          <w:t>4.3</w:t>
        </w:r>
        <w:r w:rsidR="002268E7">
          <w:rPr>
            <w:rFonts w:asciiTheme="minorHAnsi" w:eastAsiaTheme="minorEastAsia" w:hAnsiTheme="minorHAnsi"/>
            <w:b w:val="0"/>
            <w:color w:val="auto"/>
            <w:sz w:val="22"/>
            <w:lang w:eastAsia="en-AU"/>
          </w:rPr>
          <w:tab/>
        </w:r>
        <w:r w:rsidR="002268E7" w:rsidRPr="004607EA">
          <w:rPr>
            <w:rStyle w:val="Hyperlink"/>
          </w:rPr>
          <w:t>New generator connections data</w:t>
        </w:r>
        <w:r w:rsidR="002268E7">
          <w:rPr>
            <w:webHidden/>
          </w:rPr>
          <w:tab/>
        </w:r>
        <w:r w:rsidR="002268E7">
          <w:rPr>
            <w:webHidden/>
          </w:rPr>
          <w:fldChar w:fldCharType="begin"/>
        </w:r>
        <w:r w:rsidR="002268E7">
          <w:rPr>
            <w:webHidden/>
          </w:rPr>
          <w:instrText xml:space="preserve"> PAGEREF _Toc532814803 \h </w:instrText>
        </w:r>
        <w:r w:rsidR="002268E7">
          <w:rPr>
            <w:webHidden/>
          </w:rPr>
        </w:r>
        <w:r w:rsidR="002268E7">
          <w:rPr>
            <w:webHidden/>
          </w:rPr>
          <w:fldChar w:fldCharType="separate"/>
        </w:r>
        <w:r w:rsidR="002268E7">
          <w:rPr>
            <w:webHidden/>
          </w:rPr>
          <w:t>13</w:t>
        </w:r>
        <w:r w:rsidR="002268E7">
          <w:rPr>
            <w:webHidden/>
          </w:rPr>
          <w:fldChar w:fldCharType="end"/>
        </w:r>
      </w:hyperlink>
    </w:p>
    <w:p w14:paraId="05828911" w14:textId="3697E947" w:rsidR="002268E7" w:rsidRDefault="00D3191A">
      <w:pPr>
        <w:pStyle w:val="TOC1"/>
        <w:rPr>
          <w:rFonts w:asciiTheme="minorHAnsi" w:eastAsiaTheme="minorEastAsia" w:hAnsiTheme="minorHAnsi"/>
          <w:b w:val="0"/>
          <w:color w:val="auto"/>
          <w:sz w:val="22"/>
          <w:lang w:val="en-AU" w:eastAsia="en-AU"/>
        </w:rPr>
      </w:pPr>
      <w:hyperlink w:anchor="_Toc532814804" w:history="1">
        <w:r w:rsidR="002268E7" w:rsidRPr="004607EA">
          <w:rPr>
            <w:rStyle w:val="Hyperlink"/>
          </w:rPr>
          <w:t>A Summary of and response to submissions</w:t>
        </w:r>
        <w:r w:rsidR="002268E7">
          <w:rPr>
            <w:webHidden/>
          </w:rPr>
          <w:tab/>
        </w:r>
        <w:r w:rsidR="002268E7">
          <w:rPr>
            <w:webHidden/>
          </w:rPr>
          <w:fldChar w:fldCharType="begin"/>
        </w:r>
        <w:r w:rsidR="002268E7">
          <w:rPr>
            <w:webHidden/>
          </w:rPr>
          <w:instrText xml:space="preserve"> PAGEREF _Toc532814804 \h </w:instrText>
        </w:r>
        <w:r w:rsidR="002268E7">
          <w:rPr>
            <w:webHidden/>
          </w:rPr>
        </w:r>
        <w:r w:rsidR="002268E7">
          <w:rPr>
            <w:webHidden/>
          </w:rPr>
          <w:fldChar w:fldCharType="separate"/>
        </w:r>
        <w:r w:rsidR="002268E7">
          <w:rPr>
            <w:webHidden/>
          </w:rPr>
          <w:t>14</w:t>
        </w:r>
        <w:r w:rsidR="002268E7">
          <w:rPr>
            <w:webHidden/>
          </w:rPr>
          <w:fldChar w:fldCharType="end"/>
        </w:r>
      </w:hyperlink>
    </w:p>
    <w:p w14:paraId="439A3A41" w14:textId="5BE8079F" w:rsidR="003B1500" w:rsidRDefault="003B1500" w:rsidP="003B1500">
      <w:r>
        <w:fldChar w:fldCharType="end"/>
      </w:r>
      <w:r>
        <w:tab/>
      </w:r>
    </w:p>
    <w:p w14:paraId="0EB99C0B" w14:textId="77777777" w:rsidR="003B1500" w:rsidRDefault="003B1500" w:rsidP="003B1500">
      <w:pPr>
        <w:sectPr w:rsidR="003B1500" w:rsidSect="007A4D1F">
          <w:footerReference w:type="default" r:id="rId11"/>
          <w:pgSz w:w="11906" w:h="16838" w:code="9"/>
          <w:pgMar w:top="1440" w:right="1700" w:bottom="1582" w:left="1729" w:header="720" w:footer="1009" w:gutter="0"/>
          <w:pgNumType w:fmt="lowerRoman"/>
          <w:cols w:space="720"/>
          <w:docGrid w:linePitch="326"/>
        </w:sectPr>
      </w:pPr>
      <w:bookmarkStart w:id="2" w:name="_Toc213047617"/>
    </w:p>
    <w:p w14:paraId="01A40FF7" w14:textId="77777777" w:rsidR="003B1500" w:rsidRPr="00C91710" w:rsidRDefault="003B1500" w:rsidP="003B1500">
      <w:pPr>
        <w:pStyle w:val="Heading1notnumber"/>
      </w:pPr>
      <w:bookmarkStart w:id="3" w:name="_Toc532814794"/>
      <w:bookmarkEnd w:id="2"/>
      <w:r>
        <w:lastRenderedPageBreak/>
        <w:t>Shortened forms</w:t>
      </w:r>
      <w:bookmarkEnd w:id="3"/>
    </w:p>
    <w:tbl>
      <w:tblPr>
        <w:tblStyle w:val="AERTable-Text"/>
        <w:tblW w:w="0" w:type="auto"/>
        <w:tblLook w:val="04A0" w:firstRow="1" w:lastRow="0" w:firstColumn="1" w:lastColumn="0" w:noHBand="0" w:noVBand="1"/>
      </w:tblPr>
      <w:tblGrid>
        <w:gridCol w:w="4239"/>
        <w:gridCol w:w="4238"/>
      </w:tblGrid>
      <w:tr w:rsidR="003B1500" w14:paraId="7F1EC6D9" w14:textId="77777777" w:rsidTr="003B1500">
        <w:trPr>
          <w:cnfStyle w:val="100000000000" w:firstRow="1" w:lastRow="0" w:firstColumn="0" w:lastColumn="0" w:oddVBand="0" w:evenVBand="0" w:oddHBand="0" w:evenHBand="0" w:firstRowFirstColumn="0" w:firstRowLastColumn="0" w:lastRowFirstColumn="0" w:lastRowLastColumn="0"/>
        </w:trPr>
        <w:tc>
          <w:tcPr>
            <w:tcW w:w="4239" w:type="dxa"/>
            <w:hideMark/>
          </w:tcPr>
          <w:p w14:paraId="0E053287" w14:textId="77777777" w:rsidR="003B1500" w:rsidRPr="003B1500" w:rsidRDefault="003B1500" w:rsidP="003B1500">
            <w:r w:rsidRPr="00530BA7">
              <w:t>Shortened form</w:t>
            </w:r>
          </w:p>
        </w:tc>
        <w:tc>
          <w:tcPr>
            <w:tcW w:w="4238" w:type="dxa"/>
            <w:hideMark/>
          </w:tcPr>
          <w:p w14:paraId="78701692" w14:textId="77777777" w:rsidR="003B1500" w:rsidRPr="003B1500" w:rsidRDefault="003B1500" w:rsidP="003B1500">
            <w:r w:rsidRPr="00530BA7">
              <w:t>Extended form</w:t>
            </w:r>
          </w:p>
        </w:tc>
      </w:tr>
      <w:tr w:rsidR="003B1500" w14:paraId="1DE822A1" w14:textId="77777777" w:rsidTr="003B1500">
        <w:trPr>
          <w:trHeight w:val="158"/>
        </w:trPr>
        <w:tc>
          <w:tcPr>
            <w:tcW w:w="4239" w:type="dxa"/>
            <w:hideMark/>
          </w:tcPr>
          <w:p w14:paraId="5ABF7954" w14:textId="77777777" w:rsidR="003B1500" w:rsidRPr="003B1500" w:rsidRDefault="003B1500" w:rsidP="003B1500">
            <w:r w:rsidRPr="00530BA7">
              <w:t>AEMC</w:t>
            </w:r>
          </w:p>
        </w:tc>
        <w:tc>
          <w:tcPr>
            <w:tcW w:w="4238" w:type="dxa"/>
            <w:hideMark/>
          </w:tcPr>
          <w:p w14:paraId="7E9E6726" w14:textId="77777777" w:rsidR="003B1500" w:rsidRPr="003B1500" w:rsidRDefault="003B1500" w:rsidP="003B1500">
            <w:r w:rsidRPr="00530BA7">
              <w:t>Australian Energy Market Commission</w:t>
            </w:r>
          </w:p>
        </w:tc>
      </w:tr>
      <w:tr w:rsidR="003B1500" w14:paraId="16EDAFC8"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6D853DD9" w14:textId="77777777" w:rsidR="003B1500" w:rsidRPr="003B1500" w:rsidRDefault="003B1500" w:rsidP="003B1500">
            <w:r>
              <w:t>AEMO</w:t>
            </w:r>
          </w:p>
        </w:tc>
        <w:tc>
          <w:tcPr>
            <w:tcW w:w="4238" w:type="dxa"/>
          </w:tcPr>
          <w:p w14:paraId="2BA292FD" w14:textId="77777777" w:rsidR="003B1500" w:rsidRPr="003B1500" w:rsidRDefault="003B1500" w:rsidP="003B1500">
            <w:r w:rsidRPr="007929AE">
              <w:t xml:space="preserve">Australian Energy Market </w:t>
            </w:r>
            <w:r w:rsidRPr="003B1500">
              <w:t>Operator</w:t>
            </w:r>
          </w:p>
        </w:tc>
      </w:tr>
      <w:tr w:rsidR="003B1500" w14:paraId="7F92EF3D" w14:textId="77777777" w:rsidTr="003B1500">
        <w:tc>
          <w:tcPr>
            <w:tcW w:w="4239" w:type="dxa"/>
            <w:hideMark/>
          </w:tcPr>
          <w:p w14:paraId="377D4427" w14:textId="77777777" w:rsidR="003B1500" w:rsidRPr="003B1500" w:rsidRDefault="003B1500" w:rsidP="003B1500">
            <w:r w:rsidRPr="00530BA7">
              <w:t>AER</w:t>
            </w:r>
          </w:p>
        </w:tc>
        <w:tc>
          <w:tcPr>
            <w:tcW w:w="4238" w:type="dxa"/>
            <w:hideMark/>
          </w:tcPr>
          <w:p w14:paraId="5BAC645B" w14:textId="77777777" w:rsidR="003B1500" w:rsidRPr="003B1500" w:rsidRDefault="003B1500" w:rsidP="003B1500">
            <w:r w:rsidRPr="00530BA7">
              <w:t>Australian Energy Regulator</w:t>
            </w:r>
          </w:p>
        </w:tc>
      </w:tr>
      <w:tr w:rsidR="003B1500" w14:paraId="78D724A1"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hideMark/>
          </w:tcPr>
          <w:p w14:paraId="63B886CE" w14:textId="77777777" w:rsidR="003B1500" w:rsidRPr="003B1500" w:rsidRDefault="003B1500" w:rsidP="003B1500">
            <w:r w:rsidRPr="00530BA7">
              <w:t>DAPR</w:t>
            </w:r>
          </w:p>
        </w:tc>
        <w:tc>
          <w:tcPr>
            <w:tcW w:w="4238" w:type="dxa"/>
            <w:hideMark/>
          </w:tcPr>
          <w:p w14:paraId="39186B3F" w14:textId="40DAAC63" w:rsidR="003B1500" w:rsidRPr="003B1500" w:rsidRDefault="00EA3067" w:rsidP="003B1500">
            <w:r>
              <w:t>distribution annual planning r</w:t>
            </w:r>
            <w:r w:rsidR="003B1500" w:rsidRPr="003B1500">
              <w:t>eport</w:t>
            </w:r>
          </w:p>
        </w:tc>
      </w:tr>
      <w:tr w:rsidR="003B1500" w14:paraId="0708CE44" w14:textId="77777777" w:rsidTr="003B1500">
        <w:tc>
          <w:tcPr>
            <w:tcW w:w="4239" w:type="dxa"/>
            <w:hideMark/>
          </w:tcPr>
          <w:p w14:paraId="70A51F09" w14:textId="77777777" w:rsidR="003B1500" w:rsidRPr="003B1500" w:rsidRDefault="003B1500" w:rsidP="003B1500">
            <w:r w:rsidRPr="00530BA7">
              <w:t>DNSP</w:t>
            </w:r>
          </w:p>
        </w:tc>
        <w:tc>
          <w:tcPr>
            <w:tcW w:w="4238" w:type="dxa"/>
            <w:hideMark/>
          </w:tcPr>
          <w:p w14:paraId="09A48180" w14:textId="67332B2E" w:rsidR="003B1500" w:rsidRPr="003B1500" w:rsidRDefault="00EA3067" w:rsidP="003B1500">
            <w:r>
              <w:t>distribution n</w:t>
            </w:r>
            <w:r w:rsidR="003B1500">
              <w:t xml:space="preserve">etwork </w:t>
            </w:r>
            <w:r>
              <w:t>s</w:t>
            </w:r>
            <w:r w:rsidR="003B1500" w:rsidRPr="003B1500">
              <w:t>erv</w:t>
            </w:r>
            <w:r>
              <w:t>ice p</w:t>
            </w:r>
            <w:r w:rsidR="003B1500" w:rsidRPr="003B1500">
              <w:t>rovider</w:t>
            </w:r>
          </w:p>
        </w:tc>
      </w:tr>
      <w:tr w:rsidR="00E5790E" w14:paraId="3FA87883"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1E563182" w14:textId="06528622" w:rsidR="00E5790E" w:rsidRDefault="00E5790E" w:rsidP="003B1500">
            <w:r>
              <w:t>DSN</w:t>
            </w:r>
          </w:p>
        </w:tc>
        <w:tc>
          <w:tcPr>
            <w:tcW w:w="4238" w:type="dxa"/>
          </w:tcPr>
          <w:p w14:paraId="6BB5FC99" w14:textId="48D29816" w:rsidR="00E5790E" w:rsidRDefault="00E5790E" w:rsidP="003B1500">
            <w:r w:rsidRPr="009E7098">
              <w:t>declared sh</w:t>
            </w:r>
            <w:r w:rsidRPr="00E5790E">
              <w:t>ared network</w:t>
            </w:r>
          </w:p>
        </w:tc>
      </w:tr>
      <w:tr w:rsidR="00017596" w14:paraId="0F6A2FED" w14:textId="77777777" w:rsidTr="003B1500">
        <w:tc>
          <w:tcPr>
            <w:tcW w:w="4239" w:type="dxa"/>
          </w:tcPr>
          <w:p w14:paraId="77DDB41B" w14:textId="77777777" w:rsidR="00017596" w:rsidRDefault="00017596" w:rsidP="003B1500">
            <w:r>
              <w:t>ENA</w:t>
            </w:r>
          </w:p>
        </w:tc>
        <w:tc>
          <w:tcPr>
            <w:tcW w:w="4238" w:type="dxa"/>
          </w:tcPr>
          <w:p w14:paraId="0F5372DD" w14:textId="77777777" w:rsidR="00017596" w:rsidRDefault="00017596" w:rsidP="003B1500">
            <w:r>
              <w:t>Energy Networks Australia</w:t>
            </w:r>
          </w:p>
        </w:tc>
      </w:tr>
      <w:tr w:rsidR="003B1500" w14:paraId="7A93C5E6"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7EB88177" w14:textId="77777777" w:rsidR="003B1500" w:rsidRPr="003B1500" w:rsidRDefault="003B1500" w:rsidP="003B1500">
            <w:r>
              <w:t>ISP</w:t>
            </w:r>
          </w:p>
        </w:tc>
        <w:tc>
          <w:tcPr>
            <w:tcW w:w="4238" w:type="dxa"/>
          </w:tcPr>
          <w:p w14:paraId="074B9B5C" w14:textId="0BB1C388" w:rsidR="003B1500" w:rsidRPr="003B1500" w:rsidRDefault="00EA3067" w:rsidP="003B1500">
            <w:r>
              <w:t>integrated system p</w:t>
            </w:r>
            <w:r w:rsidR="003B1500" w:rsidRPr="000E2D48">
              <w:t>lan</w:t>
            </w:r>
          </w:p>
        </w:tc>
      </w:tr>
      <w:tr w:rsidR="003B1500" w14:paraId="011A969E" w14:textId="77777777" w:rsidTr="003B1500">
        <w:tc>
          <w:tcPr>
            <w:tcW w:w="4239" w:type="dxa"/>
            <w:hideMark/>
          </w:tcPr>
          <w:p w14:paraId="121C1293" w14:textId="77777777" w:rsidR="003B1500" w:rsidRPr="003B1500" w:rsidRDefault="003B1500" w:rsidP="003B1500">
            <w:r>
              <w:t>KV</w:t>
            </w:r>
          </w:p>
        </w:tc>
        <w:tc>
          <w:tcPr>
            <w:tcW w:w="4238" w:type="dxa"/>
            <w:hideMark/>
          </w:tcPr>
          <w:p w14:paraId="5A015B5B" w14:textId="279C4623" w:rsidR="003B1500" w:rsidRPr="003B1500" w:rsidRDefault="00EA3067" w:rsidP="003B1500">
            <w:r>
              <w:t>k</w:t>
            </w:r>
            <w:r w:rsidR="003B1500">
              <w:t>ilovolt</w:t>
            </w:r>
          </w:p>
        </w:tc>
      </w:tr>
      <w:tr w:rsidR="003B1500" w14:paraId="07307FA1"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7410D5BB" w14:textId="77777777" w:rsidR="003B1500" w:rsidRPr="003B1500" w:rsidRDefault="003B1500" w:rsidP="003B1500">
            <w:r w:rsidRPr="00200B4E">
              <w:t>MVA</w:t>
            </w:r>
          </w:p>
        </w:tc>
        <w:tc>
          <w:tcPr>
            <w:tcW w:w="4238" w:type="dxa"/>
          </w:tcPr>
          <w:p w14:paraId="44E458D3" w14:textId="5734F2EA" w:rsidR="003B1500" w:rsidRPr="003B1500" w:rsidRDefault="00EA3067" w:rsidP="003B1500">
            <w:r>
              <w:t>mega volt a</w:t>
            </w:r>
            <w:r w:rsidR="003B1500" w:rsidRPr="00200B4E">
              <w:t>mp</w:t>
            </w:r>
            <w:r w:rsidR="00044B83">
              <w:t>ere</w:t>
            </w:r>
          </w:p>
        </w:tc>
      </w:tr>
      <w:tr w:rsidR="003B1500" w14:paraId="32CA03C0" w14:textId="77777777" w:rsidTr="003B1500">
        <w:tc>
          <w:tcPr>
            <w:tcW w:w="4239" w:type="dxa"/>
          </w:tcPr>
          <w:p w14:paraId="55CCC81A" w14:textId="77777777" w:rsidR="003B1500" w:rsidRPr="003B1500" w:rsidRDefault="003B1500" w:rsidP="003B1500">
            <w:r w:rsidRPr="00200B4E">
              <w:t>MWh</w:t>
            </w:r>
          </w:p>
        </w:tc>
        <w:tc>
          <w:tcPr>
            <w:tcW w:w="4238" w:type="dxa"/>
          </w:tcPr>
          <w:p w14:paraId="2C256CC1" w14:textId="6E88F68A" w:rsidR="003B1500" w:rsidRPr="003B1500" w:rsidRDefault="00EA3067" w:rsidP="003B1500">
            <w:r>
              <w:t>m</w:t>
            </w:r>
            <w:r w:rsidR="003B1500" w:rsidRPr="00200B4E">
              <w:t>egawatt hour</w:t>
            </w:r>
          </w:p>
        </w:tc>
      </w:tr>
      <w:tr w:rsidR="00017596" w14:paraId="00E96A3D"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0AFEBC36" w14:textId="77777777" w:rsidR="00017596" w:rsidRDefault="00017596" w:rsidP="003B1500">
            <w:r>
              <w:t>NEM</w:t>
            </w:r>
          </w:p>
        </w:tc>
        <w:tc>
          <w:tcPr>
            <w:tcW w:w="4238" w:type="dxa"/>
          </w:tcPr>
          <w:p w14:paraId="698726D3" w14:textId="77777777" w:rsidR="00017596" w:rsidRDefault="00017596" w:rsidP="003B1500">
            <w:r>
              <w:t>National Electricity Market</w:t>
            </w:r>
          </w:p>
        </w:tc>
        <w:bookmarkStart w:id="4" w:name="_GoBack"/>
        <w:bookmarkEnd w:id="4"/>
      </w:tr>
      <w:tr w:rsidR="00017596" w14:paraId="40D98848" w14:textId="77777777" w:rsidTr="003B1500">
        <w:tc>
          <w:tcPr>
            <w:tcW w:w="4239" w:type="dxa"/>
          </w:tcPr>
          <w:p w14:paraId="159D43C2" w14:textId="77777777" w:rsidR="00017596" w:rsidRDefault="00017596" w:rsidP="003B1500">
            <w:r>
              <w:t>NER</w:t>
            </w:r>
          </w:p>
        </w:tc>
        <w:tc>
          <w:tcPr>
            <w:tcW w:w="4238" w:type="dxa"/>
          </w:tcPr>
          <w:p w14:paraId="4D3D39A7" w14:textId="77777777" w:rsidR="00017596" w:rsidRDefault="00017596" w:rsidP="003B1500">
            <w:r>
              <w:t>National Electricity Rules</w:t>
            </w:r>
          </w:p>
        </w:tc>
      </w:tr>
      <w:tr w:rsidR="009C1A4A" w14:paraId="1A66A060"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744E14C2" w14:textId="77777777" w:rsidR="009C1A4A" w:rsidRDefault="009C1A4A" w:rsidP="003B1500">
            <w:r>
              <w:t>NSP</w:t>
            </w:r>
          </w:p>
        </w:tc>
        <w:tc>
          <w:tcPr>
            <w:tcW w:w="4238" w:type="dxa"/>
          </w:tcPr>
          <w:p w14:paraId="727F582D" w14:textId="0F889EA9" w:rsidR="009C1A4A" w:rsidRDefault="00EA3067" w:rsidP="003B1500">
            <w:r>
              <w:t>network service p</w:t>
            </w:r>
            <w:r w:rsidR="009C1A4A">
              <w:t>rovider</w:t>
            </w:r>
          </w:p>
        </w:tc>
      </w:tr>
      <w:tr w:rsidR="00EF7AAE" w14:paraId="490DA260" w14:textId="77777777" w:rsidTr="003B1500">
        <w:tc>
          <w:tcPr>
            <w:tcW w:w="4239" w:type="dxa"/>
          </w:tcPr>
          <w:p w14:paraId="6E23373F" w14:textId="77777777" w:rsidR="00EF7AAE" w:rsidRDefault="00EF7AAE" w:rsidP="003B1500">
            <w:r>
              <w:t>POE</w:t>
            </w:r>
          </w:p>
        </w:tc>
        <w:tc>
          <w:tcPr>
            <w:tcW w:w="4238" w:type="dxa"/>
          </w:tcPr>
          <w:p w14:paraId="580B6AD0" w14:textId="6533F700" w:rsidR="00EF7AAE" w:rsidRDefault="00EA3067" w:rsidP="003B1500">
            <w:r>
              <w:t>probability of e</w:t>
            </w:r>
            <w:r w:rsidR="00EF7AAE">
              <w:t>xceedance</w:t>
            </w:r>
          </w:p>
        </w:tc>
      </w:tr>
      <w:tr w:rsidR="00017596" w14:paraId="666F219B"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2B1B1D89" w14:textId="77777777" w:rsidR="00017596" w:rsidRDefault="00017596" w:rsidP="003B1500">
            <w:r>
              <w:t>RIT</w:t>
            </w:r>
          </w:p>
        </w:tc>
        <w:tc>
          <w:tcPr>
            <w:tcW w:w="4238" w:type="dxa"/>
          </w:tcPr>
          <w:p w14:paraId="4A48D062" w14:textId="5BBD5E24" w:rsidR="00017596" w:rsidRDefault="00EA3067" w:rsidP="003B1500">
            <w:r>
              <w:t>regulatory investment t</w:t>
            </w:r>
            <w:r w:rsidR="00017596">
              <w:t>est</w:t>
            </w:r>
          </w:p>
        </w:tc>
      </w:tr>
      <w:tr w:rsidR="003B1500" w14:paraId="4DDA28E8" w14:textId="77777777" w:rsidTr="003B1500">
        <w:tc>
          <w:tcPr>
            <w:tcW w:w="4239" w:type="dxa"/>
          </w:tcPr>
          <w:p w14:paraId="506927A0" w14:textId="77777777" w:rsidR="003B1500" w:rsidRPr="003B1500" w:rsidRDefault="003B1500" w:rsidP="003B1500">
            <w:r>
              <w:t>TAPR</w:t>
            </w:r>
          </w:p>
        </w:tc>
        <w:tc>
          <w:tcPr>
            <w:tcW w:w="4238" w:type="dxa"/>
          </w:tcPr>
          <w:p w14:paraId="6D2209AD" w14:textId="1A2EE144" w:rsidR="003B1500" w:rsidRPr="003B1500" w:rsidRDefault="00EA3067" w:rsidP="003B1500">
            <w:r>
              <w:t>transmission annual planning r</w:t>
            </w:r>
            <w:r w:rsidR="003B1500">
              <w:t>eport</w:t>
            </w:r>
          </w:p>
        </w:tc>
      </w:tr>
      <w:tr w:rsidR="003B1500" w14:paraId="0B298F03"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45603E3F" w14:textId="77777777" w:rsidR="003B1500" w:rsidRPr="003B1500" w:rsidRDefault="003B1500" w:rsidP="003B1500">
            <w:r>
              <w:t>T</w:t>
            </w:r>
            <w:r w:rsidRPr="003B1500">
              <w:t>NSP</w:t>
            </w:r>
          </w:p>
        </w:tc>
        <w:tc>
          <w:tcPr>
            <w:tcW w:w="4238" w:type="dxa"/>
          </w:tcPr>
          <w:p w14:paraId="1840DB4B" w14:textId="6D267571" w:rsidR="003B1500" w:rsidRPr="003B1500" w:rsidRDefault="00EA3067" w:rsidP="003B1500">
            <w:r>
              <w:t>t</w:t>
            </w:r>
            <w:r w:rsidR="003B1500">
              <w:t>ransmission</w:t>
            </w:r>
            <w:r>
              <w:t xml:space="preserve"> network service p</w:t>
            </w:r>
            <w:r w:rsidR="003B1500" w:rsidRPr="003B1500">
              <w:t>rovider</w:t>
            </w:r>
          </w:p>
        </w:tc>
      </w:tr>
      <w:tr w:rsidR="00017596" w14:paraId="564CF0D2" w14:textId="77777777" w:rsidTr="003B1500">
        <w:tc>
          <w:tcPr>
            <w:tcW w:w="4239" w:type="dxa"/>
          </w:tcPr>
          <w:p w14:paraId="6364A302" w14:textId="77777777" w:rsidR="00017596" w:rsidRDefault="00017596" w:rsidP="003B1500">
            <w:r>
              <w:t>VCR</w:t>
            </w:r>
          </w:p>
        </w:tc>
        <w:tc>
          <w:tcPr>
            <w:tcW w:w="4238" w:type="dxa"/>
          </w:tcPr>
          <w:p w14:paraId="26CE6031" w14:textId="4D29178F" w:rsidR="00017596" w:rsidRDefault="00EA3067" w:rsidP="003B1500">
            <w:r>
              <w:t>value of customer r</w:t>
            </w:r>
            <w:r w:rsidR="00017596">
              <w:t>eliability</w:t>
            </w:r>
          </w:p>
        </w:tc>
      </w:tr>
      <w:tr w:rsidR="00EA3067" w14:paraId="07C5D174" w14:textId="77777777" w:rsidTr="003B1500">
        <w:trPr>
          <w:cnfStyle w:val="000000010000" w:firstRow="0" w:lastRow="0" w:firstColumn="0" w:lastColumn="0" w:oddVBand="0" w:evenVBand="0" w:oddHBand="0" w:evenHBand="1" w:firstRowFirstColumn="0" w:firstRowLastColumn="0" w:lastRowFirstColumn="0" w:lastRowLastColumn="0"/>
        </w:trPr>
        <w:tc>
          <w:tcPr>
            <w:tcW w:w="4239" w:type="dxa"/>
          </w:tcPr>
          <w:p w14:paraId="6D679BCF" w14:textId="39899AA7" w:rsidR="00EA3067" w:rsidRDefault="00EA3067" w:rsidP="003B1500">
            <w:r>
              <w:t>WACC</w:t>
            </w:r>
          </w:p>
        </w:tc>
        <w:tc>
          <w:tcPr>
            <w:tcW w:w="4238" w:type="dxa"/>
          </w:tcPr>
          <w:p w14:paraId="3AD13AB4" w14:textId="309F8B21" w:rsidR="00EA3067" w:rsidRDefault="00EA3067" w:rsidP="003B1500">
            <w:r>
              <w:t>weighted average cost of capital</w:t>
            </w:r>
          </w:p>
        </w:tc>
      </w:tr>
    </w:tbl>
    <w:p w14:paraId="60BF8AE5" w14:textId="001F3127" w:rsidR="007E11B6" w:rsidRDefault="007E11B6" w:rsidP="003B1500">
      <w:bookmarkStart w:id="5" w:name="_Toc457470687"/>
    </w:p>
    <w:p w14:paraId="13024CCC" w14:textId="77777777" w:rsidR="007E11B6" w:rsidRPr="007E11B6" w:rsidRDefault="007E11B6" w:rsidP="007E11B6"/>
    <w:p w14:paraId="3BCBE917" w14:textId="77777777" w:rsidR="007E11B6" w:rsidRPr="007E11B6" w:rsidRDefault="007E11B6" w:rsidP="007E11B6"/>
    <w:p w14:paraId="47AD57F8" w14:textId="5A48F42B" w:rsidR="003B1500" w:rsidRPr="007E11B6" w:rsidRDefault="003B1500" w:rsidP="007E11B6">
      <w:pPr>
        <w:jc w:val="right"/>
      </w:pPr>
    </w:p>
    <w:p w14:paraId="2F404E88" w14:textId="77777777" w:rsidR="003B1500" w:rsidRPr="00C91710" w:rsidRDefault="003B1500" w:rsidP="003B1500">
      <w:pPr>
        <w:pStyle w:val="Heading1"/>
      </w:pPr>
      <w:bookmarkStart w:id="6" w:name="_Toc521275459"/>
      <w:bookmarkStart w:id="7" w:name="_Toc532814795"/>
      <w:r>
        <w:lastRenderedPageBreak/>
        <w:t>Overview</w:t>
      </w:r>
      <w:bookmarkEnd w:id="6"/>
      <w:bookmarkEnd w:id="7"/>
    </w:p>
    <w:p w14:paraId="51117AFE" w14:textId="166252CD" w:rsidR="003B1500" w:rsidRDefault="003B1500" w:rsidP="003B1500">
      <w:pPr>
        <w:pStyle w:val="BodyText"/>
      </w:pPr>
      <w:r>
        <w:t xml:space="preserve">This </w:t>
      </w:r>
      <w:r w:rsidR="00F74602">
        <w:t>final decision</w:t>
      </w:r>
      <w:r>
        <w:t xml:space="preserve"> sets out</w:t>
      </w:r>
      <w:r w:rsidR="00E5790E">
        <w:t xml:space="preserve"> the Australian Energy Regulator's (AER's)</w:t>
      </w:r>
      <w:r>
        <w:t xml:space="preserve"> reasons for the transmission</w:t>
      </w:r>
      <w:r w:rsidRPr="009B272A">
        <w:t xml:space="preserve"> </w:t>
      </w:r>
      <w:r>
        <w:t>a</w:t>
      </w:r>
      <w:r w:rsidRPr="009B272A">
        <w:t xml:space="preserve">nnual </w:t>
      </w:r>
      <w:r w:rsidR="00EC7A3E">
        <w:t>planning report (TAPR) g</w:t>
      </w:r>
      <w:r>
        <w:t>uideline</w:t>
      </w:r>
      <w:r w:rsidR="00E90313">
        <w:t>s</w:t>
      </w:r>
      <w:r w:rsidR="00C352F7">
        <w:t>, including how they incorporate</w:t>
      </w:r>
      <w:r>
        <w:t xml:space="preserve"> stakeholder views. The TAPR guideline</w:t>
      </w:r>
      <w:r w:rsidR="00E90313">
        <w:t>s</w:t>
      </w:r>
      <w:r w:rsidR="00687613">
        <w:t xml:space="preserve"> will lead transmission network service providers</w:t>
      </w:r>
      <w:r>
        <w:t xml:space="preserve"> </w:t>
      </w:r>
      <w:r w:rsidR="00687613">
        <w:t>(TNSPs)</w:t>
      </w:r>
      <w:r w:rsidR="00EF2800">
        <w:t xml:space="preserve"> </w:t>
      </w:r>
      <w:r w:rsidR="00687613">
        <w:t xml:space="preserve">to </w:t>
      </w:r>
      <w:r>
        <w:t>provide generators and large transmission customers</w:t>
      </w:r>
      <w:r w:rsidR="00687613">
        <w:t xml:space="preserve"> with</w:t>
      </w:r>
      <w:r>
        <w:t xml:space="preserve"> </w:t>
      </w:r>
      <w:r w:rsidR="003D3DDB">
        <w:t xml:space="preserve">the </w:t>
      </w:r>
      <w:r w:rsidR="00237514">
        <w:t xml:space="preserve">practical </w:t>
      </w:r>
      <w:r>
        <w:t xml:space="preserve">and consistent information </w:t>
      </w:r>
      <w:r w:rsidR="00C352F7">
        <w:t xml:space="preserve">that </w:t>
      </w:r>
      <w:r>
        <w:t>they need to make informed connection decisions</w:t>
      </w:r>
      <w:r w:rsidR="00A02549">
        <w:t xml:space="preserve">. The </w:t>
      </w:r>
      <w:r w:rsidR="00C352F7">
        <w:t xml:space="preserve">TAPR </w:t>
      </w:r>
      <w:r w:rsidR="00A02549">
        <w:t xml:space="preserve">guidelines </w:t>
      </w:r>
      <w:r w:rsidR="00687613">
        <w:t xml:space="preserve">will also lead TNSPs to </w:t>
      </w:r>
      <w:r w:rsidR="00A02549">
        <w:t>provide</w:t>
      </w:r>
      <w:r w:rsidRPr="00EC2DB2">
        <w:t xml:space="preserve"> non-network service providers </w:t>
      </w:r>
      <w:r w:rsidR="00687613">
        <w:t xml:space="preserve">with </w:t>
      </w:r>
      <w:r>
        <w:t xml:space="preserve">information </w:t>
      </w:r>
      <w:r w:rsidR="009C1B9F">
        <w:t xml:space="preserve">to assist with </w:t>
      </w:r>
      <w:r>
        <w:t>how they may be able to offer</w:t>
      </w:r>
      <w:r w:rsidR="00EF2800">
        <w:t xml:space="preserve"> alternative</w:t>
      </w:r>
      <w:r>
        <w:t xml:space="preserve"> non-network solutions to identified transmission needs.</w:t>
      </w:r>
    </w:p>
    <w:p w14:paraId="26A835F8" w14:textId="288E0492" w:rsidR="003B1500" w:rsidRDefault="003B1500" w:rsidP="003B1500">
      <w:pPr>
        <w:pStyle w:val="BodyText"/>
      </w:pPr>
      <w:r>
        <w:t xml:space="preserve">The combination of declining renewable generation costs, retiring thermal generation plant and government incentives is resulting in over </w:t>
      </w:r>
      <w:r w:rsidR="00E7088A">
        <w:t>40</w:t>
      </w:r>
      <w:r>
        <w:t>,000 MW of proposed renewable generation connections to the transmission system</w:t>
      </w:r>
      <w:r w:rsidR="009C1B9F">
        <w:t xml:space="preserve"> in the short term</w:t>
      </w:r>
      <w:r>
        <w:t>.</w:t>
      </w:r>
      <w:r>
        <w:rPr>
          <w:rStyle w:val="FootnoteReference"/>
        </w:rPr>
        <w:footnoteReference w:id="2"/>
      </w:r>
      <w:r>
        <w:t xml:space="preserve"> At the same time, the declining cost of technology is creating more opportunities for</w:t>
      </w:r>
      <w:r w:rsidR="00237E5A">
        <w:t xml:space="preserve"> non-network service providers.</w:t>
      </w:r>
    </w:p>
    <w:p w14:paraId="1E2B40D0" w14:textId="3C3E03BB" w:rsidR="003B1500" w:rsidRDefault="003B1500" w:rsidP="003B1500">
      <w:pPr>
        <w:pStyle w:val="BodyText"/>
      </w:pPr>
      <w:r>
        <w:t>However, generators, large transmission customers and non</w:t>
      </w:r>
      <w:r w:rsidR="00CA22BC">
        <w:t xml:space="preserve">-network service providers face </w:t>
      </w:r>
      <w:r>
        <w:t xml:space="preserve">the challenge of </w:t>
      </w:r>
      <w:r w:rsidR="007425D5">
        <w:t xml:space="preserve">accessing and </w:t>
      </w:r>
      <w:r>
        <w:t>comparing different information types and detail across the TAPRs</w:t>
      </w:r>
      <w:r w:rsidR="009B2269">
        <w:t xml:space="preserve"> and other information sources</w:t>
      </w:r>
      <w:r w:rsidR="00A02549">
        <w:t>,</w:t>
      </w:r>
      <w:r>
        <w:t xml:space="preserve"> leading to increased costs and potentially inefficient investment decisions.</w:t>
      </w:r>
    </w:p>
    <w:p w14:paraId="7C623D9B" w14:textId="4455BA62" w:rsidR="003B1500" w:rsidRDefault="003B1500" w:rsidP="003B1500">
      <w:pPr>
        <w:pStyle w:val="BodyText"/>
      </w:pPr>
      <w:r>
        <w:t>The TAPR guideline</w:t>
      </w:r>
      <w:r w:rsidR="00E90313">
        <w:t>s</w:t>
      </w:r>
      <w:r>
        <w:t xml:space="preserve"> will address some of the challenges by requiring </w:t>
      </w:r>
      <w:r w:rsidR="00687613">
        <w:t>TNSPs</w:t>
      </w:r>
      <w:r>
        <w:t xml:space="preserve"> to publish a set of </w:t>
      </w:r>
      <w:r w:rsidR="007425D5">
        <w:t xml:space="preserve">consistent and easy to access </w:t>
      </w:r>
      <w:r>
        <w:t>information</w:t>
      </w:r>
      <w:r w:rsidR="00687613">
        <w:t xml:space="preserve"> ('TAPR data') to complement the </w:t>
      </w:r>
      <w:r>
        <w:t>TAPR documents</w:t>
      </w:r>
      <w:r w:rsidR="007425D5">
        <w:t xml:space="preserve"> </w:t>
      </w:r>
      <w:r w:rsidR="00687613">
        <w:t>that</w:t>
      </w:r>
      <w:r>
        <w:t xml:space="preserve"> </w:t>
      </w:r>
      <w:r w:rsidR="00687613">
        <w:t>they have been publishing</w:t>
      </w:r>
      <w:r>
        <w:t xml:space="preserve"> on 30 June each year.</w:t>
      </w:r>
    </w:p>
    <w:p w14:paraId="5FE25F8A" w14:textId="4FEDDC47" w:rsidR="003B1500" w:rsidRDefault="003B1500" w:rsidP="003B1500">
      <w:pPr>
        <w:pStyle w:val="BodyText"/>
      </w:pPr>
      <w:r w:rsidRPr="009707A6">
        <w:t xml:space="preserve">This </w:t>
      </w:r>
      <w:r w:rsidR="00F74602">
        <w:t>final decision</w:t>
      </w:r>
      <w:r>
        <w:t xml:space="preserve"> sets out our reasoning for the TAPR guideline</w:t>
      </w:r>
      <w:r w:rsidR="00E90313">
        <w:t>s</w:t>
      </w:r>
      <w:r>
        <w:t>, which require</w:t>
      </w:r>
      <w:r w:rsidRPr="009D254A">
        <w:t xml:space="preserve"> TNSPs</w:t>
      </w:r>
      <w:r w:rsidR="00E7088A">
        <w:t xml:space="preserve"> to</w:t>
      </w:r>
      <w:r w:rsidRPr="009D254A">
        <w:t xml:space="preserve"> publish and keep available on their website </w:t>
      </w:r>
      <w:r w:rsidR="00687613">
        <w:t xml:space="preserve">TAPR data. This data must include </w:t>
      </w:r>
      <w:r>
        <w:t>the following key information:</w:t>
      </w:r>
    </w:p>
    <w:p w14:paraId="0A781145" w14:textId="23324AD4" w:rsidR="003B1500" w:rsidRPr="00C91710" w:rsidRDefault="003B1500" w:rsidP="003B1500">
      <w:pPr>
        <w:pStyle w:val="Bulletpoint"/>
      </w:pPr>
      <w:r>
        <w:t>Historic</w:t>
      </w:r>
      <w:r w:rsidR="00A02549">
        <w:rPr>
          <w:rStyle w:val="FootnoteReference"/>
        </w:rPr>
        <w:footnoteReference w:id="3"/>
      </w:r>
      <w:r>
        <w:t xml:space="preserve"> and forecast demand at each connection point;</w:t>
      </w:r>
      <w:r w:rsidRPr="00C91710">
        <w:t xml:space="preserve"> and</w:t>
      </w:r>
    </w:p>
    <w:p w14:paraId="3B3B3944" w14:textId="5B89F7D5" w:rsidR="003B1500" w:rsidRPr="00C91710" w:rsidRDefault="003B1500" w:rsidP="003B1500">
      <w:pPr>
        <w:pStyle w:val="Bulletpoint"/>
      </w:pPr>
      <w:r>
        <w:t xml:space="preserve">Information about the location and size of </w:t>
      </w:r>
      <w:r w:rsidR="00A02549">
        <w:t xml:space="preserve">applicant </w:t>
      </w:r>
      <w:r>
        <w:t>generator connections</w:t>
      </w:r>
      <w:r w:rsidR="00E7088A">
        <w:t>.</w:t>
      </w:r>
    </w:p>
    <w:p w14:paraId="6A10BE31" w14:textId="29B23E41" w:rsidR="003B1500" w:rsidRDefault="003B1500" w:rsidP="003B1500">
      <w:pPr>
        <w:pStyle w:val="BodyText"/>
      </w:pPr>
      <w:r>
        <w:t>The TAPR guideline</w:t>
      </w:r>
      <w:r w:rsidR="00E90313">
        <w:t>s</w:t>
      </w:r>
      <w:r>
        <w:t xml:space="preserve"> provide </w:t>
      </w:r>
      <w:r w:rsidRPr="00D77EC5">
        <w:t xml:space="preserve">data requirements </w:t>
      </w:r>
      <w:r w:rsidR="007425D5">
        <w:t>and</w:t>
      </w:r>
      <w:r w:rsidR="007425D5" w:rsidRPr="00D77EC5">
        <w:t xml:space="preserve"> </w:t>
      </w:r>
      <w:r w:rsidRPr="00D77EC5">
        <w:t xml:space="preserve">set out how this </w:t>
      </w:r>
      <w:r w:rsidR="00687613">
        <w:t xml:space="preserve">TAPR data </w:t>
      </w:r>
      <w:r w:rsidRPr="00D77EC5">
        <w:t xml:space="preserve">should be prepared. However, they do not prescribe the format that the information should be released to the market. This is </w:t>
      </w:r>
      <w:r w:rsidR="008C1B0C">
        <w:t>similar to</w:t>
      </w:r>
      <w:r w:rsidRPr="00D77EC5">
        <w:t xml:space="preserve"> the </w:t>
      </w:r>
      <w:r w:rsidR="008C1B0C">
        <w:t>distribution annual planning r</w:t>
      </w:r>
      <w:r w:rsidR="008C1B0C" w:rsidRPr="00D77EC5">
        <w:t>eport (DAPR) template</w:t>
      </w:r>
      <w:r w:rsidR="008C1B0C">
        <w:t xml:space="preserve"> (or the '</w:t>
      </w:r>
      <w:r>
        <w:t>s</w:t>
      </w:r>
      <w:r w:rsidRPr="00D77EC5">
        <w:t xml:space="preserve">ystem </w:t>
      </w:r>
      <w:r>
        <w:t>li</w:t>
      </w:r>
      <w:r w:rsidRPr="00D77EC5">
        <w:t xml:space="preserve">mitations </w:t>
      </w:r>
      <w:r>
        <w:t>t</w:t>
      </w:r>
      <w:r w:rsidRPr="00D77EC5">
        <w:t>emplate</w:t>
      </w:r>
      <w:r w:rsidR="008C1B0C">
        <w:t>')</w:t>
      </w:r>
      <w:r w:rsidRPr="00D77EC5">
        <w:rPr>
          <w:rStyle w:val="FootnoteReference"/>
        </w:rPr>
        <w:footnoteReference w:id="4"/>
      </w:r>
      <w:r w:rsidR="008C1B0C">
        <w:t>, which complements</w:t>
      </w:r>
      <w:r w:rsidRPr="00D77EC5">
        <w:t xml:space="preserve"> </w:t>
      </w:r>
      <w:r>
        <w:t>d</w:t>
      </w:r>
      <w:r w:rsidRPr="00D77EC5">
        <w:t xml:space="preserve">istribution </w:t>
      </w:r>
      <w:r>
        <w:t>n</w:t>
      </w:r>
      <w:r w:rsidRPr="00D77EC5">
        <w:t xml:space="preserve">etwork </w:t>
      </w:r>
      <w:r>
        <w:t>s</w:t>
      </w:r>
      <w:r w:rsidRPr="00D77EC5">
        <w:t xml:space="preserve">ervice </w:t>
      </w:r>
      <w:r>
        <w:t>p</w:t>
      </w:r>
      <w:r w:rsidR="008C1B0C">
        <w:t>roviders' (DNSP</w:t>
      </w:r>
      <w:r w:rsidRPr="00D77EC5">
        <w:t>s</w:t>
      </w:r>
      <w:r w:rsidR="008C1B0C">
        <w:t>'</w:t>
      </w:r>
      <w:r w:rsidRPr="00D77EC5">
        <w:t>) DAPR</w:t>
      </w:r>
      <w:r w:rsidR="008C1B0C">
        <w:t>s</w:t>
      </w:r>
      <w:r w:rsidRPr="00D77EC5">
        <w:t>.</w:t>
      </w:r>
    </w:p>
    <w:p w14:paraId="53D7EA3E" w14:textId="7C7E6075" w:rsidR="003B1500" w:rsidRPr="00C91710" w:rsidRDefault="003B1500" w:rsidP="003B1500">
      <w:pPr>
        <w:pStyle w:val="Heading1"/>
      </w:pPr>
      <w:bookmarkStart w:id="8" w:name="_Toc529187857"/>
      <w:bookmarkStart w:id="9" w:name="_Toc529187878"/>
      <w:bookmarkStart w:id="10" w:name="_Toc529187879"/>
      <w:bookmarkStart w:id="11" w:name="_Toc529187880"/>
      <w:bookmarkStart w:id="12" w:name="_Toc521275460"/>
      <w:bookmarkStart w:id="13" w:name="_Toc532814796"/>
      <w:bookmarkEnd w:id="8"/>
      <w:bookmarkEnd w:id="9"/>
      <w:bookmarkEnd w:id="10"/>
      <w:bookmarkEnd w:id="11"/>
      <w:r>
        <w:lastRenderedPageBreak/>
        <w:t>Background</w:t>
      </w:r>
      <w:bookmarkEnd w:id="12"/>
      <w:bookmarkEnd w:id="13"/>
    </w:p>
    <w:p w14:paraId="1D421D13" w14:textId="4E1D3D65" w:rsidR="003B1500" w:rsidRPr="00C91710" w:rsidRDefault="003B1500" w:rsidP="003B1500">
      <w:pPr>
        <w:pStyle w:val="BodyText"/>
      </w:pPr>
      <w:r>
        <w:t>We are</w:t>
      </w:r>
      <w:r w:rsidRPr="00C91710">
        <w:t xml:space="preserve"> required to publish TAPR </w:t>
      </w:r>
      <w:r>
        <w:t>g</w:t>
      </w:r>
      <w:r w:rsidRPr="00C91710">
        <w:t>uideline</w:t>
      </w:r>
      <w:r w:rsidR="00E90313">
        <w:t>s</w:t>
      </w:r>
      <w:r w:rsidRPr="00C91710">
        <w:t xml:space="preserve"> under </w:t>
      </w:r>
      <w:r>
        <w:t>c</w:t>
      </w:r>
      <w:r w:rsidRPr="00C91710">
        <w:t xml:space="preserve">lause 5.14B.1 of the National Electricity Rules </w:t>
      </w:r>
      <w:r>
        <w:t>(NER).</w:t>
      </w:r>
      <w:r w:rsidRPr="00C91710">
        <w:t xml:space="preserve"> This obligation arose from the </w:t>
      </w:r>
      <w:r>
        <w:t>t</w:t>
      </w:r>
      <w:r w:rsidRPr="00C91710">
        <w:t xml:space="preserve">ransmission </w:t>
      </w:r>
      <w:r>
        <w:t>c</w:t>
      </w:r>
      <w:r w:rsidRPr="00C91710">
        <w:t xml:space="preserve">onnection and </w:t>
      </w:r>
      <w:r>
        <w:t>p</w:t>
      </w:r>
      <w:r w:rsidRPr="00C91710">
        <w:t xml:space="preserve">lanning </w:t>
      </w:r>
      <w:r>
        <w:t>a</w:t>
      </w:r>
      <w:r w:rsidRPr="00C91710">
        <w:t>rrangements rule determination of May 2017</w:t>
      </w:r>
      <w:r>
        <w:t>.</w:t>
      </w:r>
      <w:r w:rsidRPr="00C91710">
        <w:rPr>
          <w:rStyle w:val="FootnoteReference"/>
        </w:rPr>
        <w:footnoteReference w:id="5"/>
      </w:r>
      <w:r w:rsidRPr="00C91710">
        <w:t xml:space="preserve"> Th</w:t>
      </w:r>
      <w:r>
        <w:t>e TAPR</w:t>
      </w:r>
      <w:r w:rsidRPr="00C91710">
        <w:t xml:space="preserve"> </w:t>
      </w:r>
      <w:r>
        <w:t>g</w:t>
      </w:r>
      <w:r w:rsidRPr="00C91710">
        <w:t>uideline</w:t>
      </w:r>
      <w:r w:rsidR="00E90313">
        <w:t>s</w:t>
      </w:r>
      <w:r w:rsidRPr="00C91710">
        <w:t xml:space="preserve"> </w:t>
      </w:r>
      <w:r>
        <w:t>aim</w:t>
      </w:r>
      <w:r w:rsidRPr="00C91710">
        <w:t xml:space="preserve"> to support the consistent provision of information by TNSPs across the</w:t>
      </w:r>
      <w:r>
        <w:t xml:space="preserve"> National Electricity Market (</w:t>
      </w:r>
      <w:r w:rsidRPr="00C91710">
        <w:t>NEM</w:t>
      </w:r>
      <w:r>
        <w:t>)</w:t>
      </w:r>
      <w:r w:rsidRPr="00C91710">
        <w:t xml:space="preserve">. </w:t>
      </w:r>
      <w:r w:rsidR="00865BE3" w:rsidRPr="00865BE3">
        <w:t xml:space="preserve">We also welcome ongoing feedback from any interested party to help </w:t>
      </w:r>
      <w:r w:rsidR="009B2269">
        <w:t xml:space="preserve">improve </w:t>
      </w:r>
      <w:r w:rsidR="00C352F7">
        <w:t>the</w:t>
      </w:r>
      <w:r w:rsidR="00865BE3" w:rsidRPr="00865BE3">
        <w:t xml:space="preserve"> TAPR guideline</w:t>
      </w:r>
      <w:r w:rsidR="00C352F7">
        <w:t>s</w:t>
      </w:r>
      <w:r w:rsidR="00865BE3" w:rsidRPr="00865BE3">
        <w:t xml:space="preserve"> over time </w:t>
      </w:r>
      <w:r w:rsidR="009B2269">
        <w:t xml:space="preserve">in </w:t>
      </w:r>
      <w:r w:rsidR="00865BE3" w:rsidRPr="00865BE3">
        <w:t>deliver</w:t>
      </w:r>
      <w:r w:rsidR="009B2269">
        <w:t>ing</w:t>
      </w:r>
      <w:r w:rsidR="00865BE3" w:rsidRPr="00865BE3">
        <w:t xml:space="preserve"> the necessary information.</w:t>
      </w:r>
    </w:p>
    <w:p w14:paraId="0C621F7F" w14:textId="3C07EE47" w:rsidR="003B1500" w:rsidRPr="00C91710" w:rsidRDefault="003B1500" w:rsidP="003B1500">
      <w:pPr>
        <w:pStyle w:val="BodyText"/>
      </w:pPr>
      <w:r>
        <w:t>Our</w:t>
      </w:r>
      <w:r w:rsidRPr="00C91710">
        <w:t xml:space="preserve"> </w:t>
      </w:r>
      <w:r>
        <w:t>earlier</w:t>
      </w:r>
      <w:r w:rsidRPr="00C91710">
        <w:t xml:space="preserve"> work </w:t>
      </w:r>
      <w:r w:rsidR="00DD7B24">
        <w:t xml:space="preserve">on TAPR improvement </w:t>
      </w:r>
      <w:r>
        <w:t xml:space="preserve">formed the basis for </w:t>
      </w:r>
      <w:r w:rsidRPr="00C91710">
        <w:t>th</w:t>
      </w:r>
      <w:r>
        <w:t>e</w:t>
      </w:r>
      <w:r w:rsidRPr="00C91710">
        <w:t xml:space="preserve"> rule change and </w:t>
      </w:r>
      <w:r>
        <w:t xml:space="preserve">had already encouraged </w:t>
      </w:r>
      <w:r w:rsidRPr="00C91710">
        <w:t>TNSPs</w:t>
      </w:r>
      <w:r>
        <w:t xml:space="preserve"> to start making</w:t>
      </w:r>
      <w:r w:rsidRPr="00C91710">
        <w:t xml:space="preserve"> efforts to </w:t>
      </w:r>
      <w:r>
        <w:t>take</w:t>
      </w:r>
      <w:r w:rsidRPr="00C91710">
        <w:t xml:space="preserve"> a more consistent approach</w:t>
      </w:r>
      <w:r>
        <w:t xml:space="preserve"> to developing TAPRs</w:t>
      </w:r>
      <w:r w:rsidRPr="00C91710">
        <w:t xml:space="preserve">. </w:t>
      </w:r>
      <w:r>
        <w:t xml:space="preserve">This </w:t>
      </w:r>
      <w:r w:rsidRPr="00C91710">
        <w:t xml:space="preserve">work </w:t>
      </w:r>
      <w:r>
        <w:t>entailed</w:t>
      </w:r>
      <w:r w:rsidRPr="00C91710">
        <w:t xml:space="preserve"> collaborating with TNSPs</w:t>
      </w:r>
      <w:r>
        <w:t xml:space="preserve"> in 2014 by holding</w:t>
      </w:r>
      <w:r w:rsidRPr="00C91710">
        <w:t xml:space="preserve"> an industry wide workshop to improve the quality of </w:t>
      </w:r>
      <w:r w:rsidR="00DD7B24">
        <w:t xml:space="preserve">the content of </w:t>
      </w:r>
      <w:r w:rsidRPr="00C91710">
        <w:t>TAPRs</w:t>
      </w:r>
      <w:r>
        <w:t>, with a similar workshop convened with DNSPs in 2015</w:t>
      </w:r>
      <w:r w:rsidRPr="00C91710">
        <w:t>. After this</w:t>
      </w:r>
      <w:r>
        <w:t>,</w:t>
      </w:r>
      <w:r w:rsidRPr="00C91710">
        <w:t xml:space="preserve"> we held one-on-one meetings with </w:t>
      </w:r>
      <w:r>
        <w:t>network service providers (NSPs)</w:t>
      </w:r>
      <w:r w:rsidRPr="00C91710">
        <w:t xml:space="preserve"> to outline our views of any shortcomings compared to the rule requirements (and to drive improvements through improvement action </w:t>
      </w:r>
      <w:r w:rsidR="00237E5A">
        <w:t>plans that each NSP agreed to).</w:t>
      </w:r>
    </w:p>
    <w:p w14:paraId="2B5F0A74" w14:textId="77777777" w:rsidR="003B1500" w:rsidRPr="00C91710" w:rsidRDefault="003B1500" w:rsidP="003B1500">
      <w:pPr>
        <w:pStyle w:val="BodyText"/>
      </w:pPr>
      <w:r>
        <w:t>Since that work, we have continued on a number of related reviews, including:</w:t>
      </w:r>
    </w:p>
    <w:p w14:paraId="7820CA45" w14:textId="6C15E906" w:rsidR="003B1500" w:rsidRPr="00C91710" w:rsidRDefault="003B1500" w:rsidP="003B1500">
      <w:pPr>
        <w:pStyle w:val="Bulletpoint"/>
      </w:pPr>
      <w:r w:rsidRPr="00C91710">
        <w:t xml:space="preserve">In </w:t>
      </w:r>
      <w:r w:rsidR="004A55AE">
        <w:t>June 2016</w:t>
      </w:r>
      <w:r w:rsidR="00EE7270">
        <w:t>,</w:t>
      </w:r>
      <w:r w:rsidRPr="00C91710">
        <w:t xml:space="preserve"> we proposed a 'repex rule change'</w:t>
      </w:r>
      <w:r w:rsidR="00EE7270">
        <w:rPr>
          <w:rStyle w:val="FootnoteReference"/>
        </w:rPr>
        <w:footnoteReference w:id="6"/>
      </w:r>
      <w:r w:rsidRPr="00C91710">
        <w:t xml:space="preserve">, which was finalised by the </w:t>
      </w:r>
      <w:r>
        <w:t>Australian Energy Market Commission (</w:t>
      </w:r>
      <w:r w:rsidRPr="00C91710">
        <w:t>AEMC</w:t>
      </w:r>
      <w:r>
        <w:t>)</w:t>
      </w:r>
      <w:r w:rsidRPr="00C91710">
        <w:t xml:space="preserve"> in July 2017. The repex rule change requires NSPs to provide information on all planned asset retirements in their annual planning reports and extends the regulatory investment tests</w:t>
      </w:r>
      <w:r>
        <w:t xml:space="preserve"> (RITs)</w:t>
      </w:r>
      <w:r w:rsidRPr="00C91710">
        <w:t xml:space="preserve"> to replacement decisions.</w:t>
      </w:r>
      <w:r w:rsidRPr="00C91710">
        <w:rPr>
          <w:rStyle w:val="FootnoteReference"/>
        </w:rPr>
        <w:footnoteReference w:id="7"/>
      </w:r>
    </w:p>
    <w:p w14:paraId="1CFCB9DF" w14:textId="748FAEF6" w:rsidR="003B1500" w:rsidRPr="00C91710" w:rsidRDefault="003B1500" w:rsidP="003B1500">
      <w:pPr>
        <w:pStyle w:val="Bulletpoint"/>
      </w:pPr>
      <w:r w:rsidRPr="00C91710">
        <w:t>In June 2017, following informal consultation with DNSPs and non-netwo</w:t>
      </w:r>
      <w:r>
        <w:t>rk providers, we published the system limitations t</w:t>
      </w:r>
      <w:r w:rsidRPr="00C91710">
        <w:t xml:space="preserve">emplate to improve the consistency and useability of DAPRs across the NEM. The </w:t>
      </w:r>
      <w:r w:rsidR="00007B8D">
        <w:t>s</w:t>
      </w:r>
      <w:r w:rsidRPr="00C91710">
        <w:t xml:space="preserve">ystem </w:t>
      </w:r>
      <w:r w:rsidR="00007B8D">
        <w:t>l</w:t>
      </w:r>
      <w:r w:rsidRPr="00C91710">
        <w:t xml:space="preserve">imitations </w:t>
      </w:r>
      <w:r w:rsidR="00007B8D">
        <w:t>t</w:t>
      </w:r>
      <w:r w:rsidRPr="00C91710">
        <w:t xml:space="preserve">emplate also improves the </w:t>
      </w:r>
      <w:r w:rsidR="0049494C">
        <w:t>information that non-network providers need</w:t>
      </w:r>
      <w:r w:rsidRPr="00C91710">
        <w:t xml:space="preserve"> to identify and propose solutions to address identified network needs.</w:t>
      </w:r>
    </w:p>
    <w:p w14:paraId="26735CC8" w14:textId="63B4ED31" w:rsidR="003B1500" w:rsidRDefault="003B1500" w:rsidP="003B1500">
      <w:pPr>
        <w:pStyle w:val="Bulletpoint"/>
      </w:pPr>
      <w:r w:rsidRPr="00C91710">
        <w:t xml:space="preserve">Following the repex rule change, </w:t>
      </w:r>
      <w:r w:rsidR="001A69C2">
        <w:t>several</w:t>
      </w:r>
      <w:r w:rsidRPr="00C91710">
        <w:t xml:space="preserve"> NSPs requested guidance on how to undertake </w:t>
      </w:r>
      <w:r w:rsidR="00166D07">
        <w:t>quantified</w:t>
      </w:r>
      <w:r w:rsidR="00166D07" w:rsidRPr="00C91710">
        <w:t xml:space="preserve"> </w:t>
      </w:r>
      <w:r w:rsidRPr="00C91710">
        <w:t>risk assessment</w:t>
      </w:r>
      <w:r w:rsidR="00166D07">
        <w:t>s</w:t>
      </w:r>
      <w:r w:rsidRPr="00C91710">
        <w:t xml:space="preserve"> required to demonstrate efficient asset retirements. In October 2017</w:t>
      </w:r>
      <w:r w:rsidR="00007B8D">
        <w:t>,</w:t>
      </w:r>
      <w:r w:rsidRPr="00C91710">
        <w:t xml:space="preserve"> we held a workshop with all NSPs to outline our views on the new obligations. </w:t>
      </w:r>
      <w:r w:rsidR="003F2F28">
        <w:t xml:space="preserve">On 7 September 2018, we published a draft </w:t>
      </w:r>
      <w:r w:rsidR="003F2F28" w:rsidRPr="00C91710">
        <w:t>'industry practice application note' on asset replacement planning</w:t>
      </w:r>
      <w:r w:rsidR="00C352F7">
        <w:rPr>
          <w:rStyle w:val="FootnoteReference"/>
        </w:rPr>
        <w:footnoteReference w:id="8"/>
      </w:r>
      <w:r w:rsidR="003F2F28">
        <w:t xml:space="preserve">, which was followed by a stakeholder forum on 25 September </w:t>
      </w:r>
      <w:r w:rsidR="001A69C2">
        <w:t xml:space="preserve">2018 </w:t>
      </w:r>
      <w:r w:rsidR="003F2F28">
        <w:t>and a submission period that closed on 18 October</w:t>
      </w:r>
      <w:r w:rsidR="001A69C2">
        <w:t xml:space="preserve"> 2018</w:t>
      </w:r>
      <w:r w:rsidR="003F2F28">
        <w:t>.</w:t>
      </w:r>
      <w:r w:rsidR="00C352F7">
        <w:rPr>
          <w:rStyle w:val="FootnoteReference"/>
        </w:rPr>
        <w:footnoteReference w:id="9"/>
      </w:r>
      <w:r w:rsidR="003F2F28">
        <w:t xml:space="preserve"> </w:t>
      </w:r>
      <w:r w:rsidR="000C3CDE">
        <w:t xml:space="preserve">We plan to </w:t>
      </w:r>
      <w:r w:rsidR="003F2F28">
        <w:t>finalise this</w:t>
      </w:r>
      <w:r w:rsidR="000C3CDE">
        <w:t xml:space="preserve"> application </w:t>
      </w:r>
      <w:r w:rsidR="003F2F28">
        <w:t xml:space="preserve">note </w:t>
      </w:r>
      <w:r w:rsidR="00C352F7">
        <w:t>before February 2019</w:t>
      </w:r>
      <w:r w:rsidR="000C3CDE">
        <w:t>.</w:t>
      </w:r>
    </w:p>
    <w:p w14:paraId="32BB240C" w14:textId="5A4F38DF" w:rsidR="003B1500" w:rsidRPr="00C91710" w:rsidRDefault="003B1500" w:rsidP="003B1500">
      <w:pPr>
        <w:pStyle w:val="Bulletpoint"/>
      </w:pPr>
      <w:r>
        <w:t xml:space="preserve">In December 2017, we commenced a large-scale review of the RIT application guidelines. </w:t>
      </w:r>
      <w:r w:rsidR="00237E5A">
        <w:t>On 14</w:t>
      </w:r>
      <w:r>
        <w:t xml:space="preserve"> </w:t>
      </w:r>
      <w:r w:rsidR="00C54A52">
        <w:t>December 2018, we finalised thi</w:t>
      </w:r>
      <w:r>
        <w:t>s</w:t>
      </w:r>
      <w:r w:rsidR="00C54A52">
        <w:t xml:space="preserve"> review by publishing amended RIT </w:t>
      </w:r>
      <w:r w:rsidR="00C54A52">
        <w:lastRenderedPageBreak/>
        <w:t>application guidelines.</w:t>
      </w:r>
      <w:r w:rsidR="00C54A52">
        <w:rPr>
          <w:rStyle w:val="FootnoteReference"/>
        </w:rPr>
        <w:footnoteReference w:id="10"/>
      </w:r>
      <w:r w:rsidR="00C54A52">
        <w:t xml:space="preserve"> Among other things, the amended</w:t>
      </w:r>
      <w:r>
        <w:t xml:space="preserve"> guidance encourages RIT proponents to provide transparent and user-friendly data to stakeholders, as well as to use their </w:t>
      </w:r>
      <w:r w:rsidR="00007B8D">
        <w:t>TAPRs and DAPRs</w:t>
      </w:r>
      <w:r>
        <w:t xml:space="preserve"> to undertake early engagement on investment proposals.</w:t>
      </w:r>
    </w:p>
    <w:p w14:paraId="5062AD76" w14:textId="0D5B8985" w:rsidR="00007B8D" w:rsidRDefault="003F2F28" w:rsidP="009C1A4A">
      <w:pPr>
        <w:pStyle w:val="Bulletpoint"/>
        <w:numPr>
          <w:ilvl w:val="0"/>
          <w:numId w:val="0"/>
        </w:numPr>
      </w:pPr>
      <w:r>
        <w:t>Also, in July 2018, t</w:t>
      </w:r>
      <w:r w:rsidR="009C1A4A">
        <w:t>he Australian Energy Market Operator (AEMO)</w:t>
      </w:r>
      <w:r w:rsidR="003B1500">
        <w:t xml:space="preserve"> published its inaugural Integrated System Plan (ISP).</w:t>
      </w:r>
      <w:r w:rsidR="003B1500" w:rsidRPr="00C91710">
        <w:rPr>
          <w:rStyle w:val="FootnoteReference"/>
        </w:rPr>
        <w:footnoteReference w:id="11"/>
      </w:r>
      <w:r w:rsidR="003B1500">
        <w:t xml:space="preserve"> </w:t>
      </w:r>
      <w:r w:rsidR="003B1500" w:rsidRPr="000E2D48">
        <w:t xml:space="preserve">The ISP was recommended by the Independent Review into the Future Security of the NEM </w:t>
      </w:r>
      <w:r w:rsidR="003B1500" w:rsidRPr="003B1500">
        <w:t>to facilitate the efficient development and connection of renewable energy zones across the NEM.</w:t>
      </w:r>
      <w:r w:rsidR="003B1500" w:rsidRPr="003B1500">
        <w:rPr>
          <w:rStyle w:val="FootnoteReference"/>
        </w:rPr>
        <w:footnoteReference w:id="12"/>
      </w:r>
    </w:p>
    <w:p w14:paraId="7C889245" w14:textId="12E43DCF" w:rsidR="00F27F81" w:rsidRDefault="003B1500" w:rsidP="003B1500">
      <w:pPr>
        <w:pStyle w:val="BodyText"/>
      </w:pPr>
      <w:r w:rsidRPr="009707A6">
        <w:t xml:space="preserve">Because of </w:t>
      </w:r>
      <w:r>
        <w:t>these</w:t>
      </w:r>
      <w:r w:rsidR="003F2F28">
        <w:t xml:space="preserve"> interrelated</w:t>
      </w:r>
      <w:r w:rsidRPr="009707A6">
        <w:t xml:space="preserve"> reviews</w:t>
      </w:r>
      <w:r>
        <w:t>,</w:t>
      </w:r>
      <w:r w:rsidRPr="009707A6">
        <w:t xml:space="preserve"> </w:t>
      </w:r>
      <w:r w:rsidR="00E90313">
        <w:t>the</w:t>
      </w:r>
      <w:r w:rsidR="003F2F28">
        <w:t xml:space="preserve"> development of the</w:t>
      </w:r>
      <w:r w:rsidR="00E90313">
        <w:t> TAPR g</w:t>
      </w:r>
      <w:r w:rsidRPr="009707A6">
        <w:t xml:space="preserve">uidelines </w:t>
      </w:r>
      <w:r w:rsidR="003F2F28">
        <w:t>experienced</w:t>
      </w:r>
      <w:r w:rsidRPr="009707A6">
        <w:t xml:space="preserve"> a small delay. </w:t>
      </w:r>
      <w:r w:rsidR="00C54A52">
        <w:t>However</w:t>
      </w:r>
      <w:r w:rsidRPr="009707A6">
        <w:t xml:space="preserve">, we </w:t>
      </w:r>
      <w:r>
        <w:t>consider</w:t>
      </w:r>
      <w:r w:rsidRPr="009707A6">
        <w:t xml:space="preserve"> it is in the best interest of c</w:t>
      </w:r>
      <w:r w:rsidR="009C1B9F">
        <w:t>onsumers</w:t>
      </w:r>
      <w:r w:rsidRPr="009707A6">
        <w:t xml:space="preserve"> that we take a considered approach</w:t>
      </w:r>
      <w:r>
        <w:t>.</w:t>
      </w:r>
    </w:p>
    <w:p w14:paraId="071B1482" w14:textId="77777777" w:rsidR="003B1500" w:rsidRPr="00C91710" w:rsidRDefault="003B1500" w:rsidP="003B1500">
      <w:pPr>
        <w:pStyle w:val="Heading1"/>
      </w:pPr>
      <w:bookmarkStart w:id="14" w:name="_Toc521275461"/>
      <w:bookmarkStart w:id="15" w:name="_Toc532814797"/>
      <w:r w:rsidRPr="00C91710">
        <w:lastRenderedPageBreak/>
        <w:t>Consideration of stakeholder submissions</w:t>
      </w:r>
      <w:bookmarkEnd w:id="14"/>
      <w:bookmarkEnd w:id="15"/>
    </w:p>
    <w:p w14:paraId="34EE7434" w14:textId="6E9C6EBE" w:rsidR="003B1500" w:rsidRDefault="00583087" w:rsidP="003B1500">
      <w:pPr>
        <w:pStyle w:val="BodyText"/>
      </w:pPr>
      <w:r w:rsidRPr="00583087">
        <w:t>This section sets out how</w:t>
      </w:r>
      <w:r w:rsidR="00007B8D">
        <w:t xml:space="preserve"> the</w:t>
      </w:r>
      <w:r w:rsidRPr="00583087">
        <w:t xml:space="preserve"> TAPR guidelines </w:t>
      </w:r>
      <w:r>
        <w:t xml:space="preserve">account for the submissions we received on </w:t>
      </w:r>
      <w:r w:rsidR="003F2F28">
        <w:t>the draft TAPR guidelines</w:t>
      </w:r>
      <w:r w:rsidRPr="00583087">
        <w:t>.</w:t>
      </w:r>
      <w:r>
        <w:t xml:space="preserve"> These include</w:t>
      </w:r>
      <w:r w:rsidR="00C41A55">
        <w:t xml:space="preserve"> </w:t>
      </w:r>
      <w:r w:rsidR="003B1500">
        <w:t>submissions</w:t>
      </w:r>
      <w:r>
        <w:t xml:space="preserve"> from:</w:t>
      </w:r>
    </w:p>
    <w:p w14:paraId="3AECB27A" w14:textId="77777777" w:rsidR="003B1500" w:rsidRPr="00C91710" w:rsidRDefault="003B1500" w:rsidP="003B1500">
      <w:pPr>
        <w:pStyle w:val="Bulletpoint"/>
      </w:pPr>
      <w:r>
        <w:t>Trans</w:t>
      </w:r>
      <w:r w:rsidRPr="00C91710">
        <w:t>Grid;</w:t>
      </w:r>
    </w:p>
    <w:p w14:paraId="2587C604" w14:textId="77777777" w:rsidR="003B1500" w:rsidRPr="00C91710" w:rsidRDefault="003B1500" w:rsidP="003B1500">
      <w:pPr>
        <w:pStyle w:val="Bulletpoint"/>
      </w:pPr>
      <w:r>
        <w:t xml:space="preserve">Energy Networks </w:t>
      </w:r>
      <w:r w:rsidRPr="00C91710">
        <w:t>Australia (ENA);</w:t>
      </w:r>
    </w:p>
    <w:p w14:paraId="5C373308" w14:textId="4DFAA47C" w:rsidR="003B1500" w:rsidRPr="00C91710" w:rsidRDefault="009C1A4A" w:rsidP="00FA7865">
      <w:pPr>
        <w:pStyle w:val="Bulletpoint"/>
      </w:pPr>
      <w:r>
        <w:t>AEMO</w:t>
      </w:r>
      <w:r w:rsidR="003B1500">
        <w:t>; and</w:t>
      </w:r>
    </w:p>
    <w:p w14:paraId="4CAD8FC6" w14:textId="2385030A" w:rsidR="003B1500" w:rsidRPr="00C91710" w:rsidRDefault="003B1500" w:rsidP="003B1500">
      <w:pPr>
        <w:pStyle w:val="Bulletpoint"/>
      </w:pPr>
      <w:r>
        <w:t>Energy</w:t>
      </w:r>
      <w:r w:rsidR="00FA7865">
        <w:t>Australia</w:t>
      </w:r>
      <w:r w:rsidRPr="00C91710">
        <w:t>.</w:t>
      </w:r>
    </w:p>
    <w:p w14:paraId="39717EEA" w14:textId="4FDC55F1" w:rsidR="00C41A55" w:rsidRDefault="00C41A55" w:rsidP="003B1500">
      <w:pPr>
        <w:pStyle w:val="BodyText"/>
      </w:pPr>
      <w:r>
        <w:t xml:space="preserve">We have provided a summary of and response to these submissions in </w:t>
      </w:r>
      <w:r w:rsidR="00386E23">
        <w:t>Attachment A</w:t>
      </w:r>
      <w:r w:rsidR="00583087">
        <w:t>, and have also published these submissions</w:t>
      </w:r>
      <w:r>
        <w:t xml:space="preserve"> </w:t>
      </w:r>
      <w:r w:rsidR="00583087" w:rsidRPr="00583087">
        <w:t>on our website</w:t>
      </w:r>
      <w:r w:rsidR="00007B8D">
        <w:t>.</w:t>
      </w:r>
      <w:r w:rsidR="00583087" w:rsidRPr="00583087">
        <w:rPr>
          <w:rStyle w:val="FootnoteReference"/>
        </w:rPr>
        <w:footnoteReference w:id="13"/>
      </w:r>
    </w:p>
    <w:p w14:paraId="5ABBA8AC" w14:textId="7B3048AD" w:rsidR="00CA22BC" w:rsidRDefault="00583087" w:rsidP="00CA22BC">
      <w:pPr>
        <w:pStyle w:val="BodyText"/>
      </w:pPr>
      <w:r>
        <w:t>The key areas of the TAPR guidelines that we received submission</w:t>
      </w:r>
      <w:r w:rsidR="00007B8D">
        <w:t xml:space="preserve">s </w:t>
      </w:r>
      <w:r w:rsidR="00CA22BC">
        <w:t>on relate to potential confidentiality issues as well as consistency and clarity of terminology.</w:t>
      </w:r>
      <w:r w:rsidR="00CA22BC" w:rsidRPr="00CA22BC">
        <w:t xml:space="preserve"> </w:t>
      </w:r>
      <w:r w:rsidR="00CA22BC">
        <w:t>This section outlines our positon on these issues.</w:t>
      </w:r>
    </w:p>
    <w:p w14:paraId="58721E01" w14:textId="4186476F" w:rsidR="00CA22BC" w:rsidRDefault="00CA22BC" w:rsidP="00CA22BC">
      <w:pPr>
        <w:pStyle w:val="BodyText"/>
      </w:pPr>
      <w:r>
        <w:t xml:space="preserve">Moreover, AEMO's submission suggested amendments to recognise arrangements specific to where it is the </w:t>
      </w:r>
      <w:r w:rsidRPr="009E7098">
        <w:t>planner and procurer of transmission services for the declared sh</w:t>
      </w:r>
      <w:r>
        <w:t>ared network (DSN) in Victoria. Following from AEMO's suggestion, the TAPR guidelines specify that references to 'transmission connection points' and 'transmission line segments' are to be interpreted in Victoria as 'transmission terminal stations' and 'transmission lines between te</w:t>
      </w:r>
      <w:r w:rsidR="00237E5A">
        <w:t>rminal stations', respectively.</w:t>
      </w:r>
    </w:p>
    <w:p w14:paraId="44B67FED" w14:textId="77777777" w:rsidR="004E0FE0" w:rsidRDefault="00FA7865" w:rsidP="0014449E">
      <w:pPr>
        <w:pStyle w:val="Heading2"/>
      </w:pPr>
      <w:bookmarkStart w:id="16" w:name="_Toc532814798"/>
      <w:r>
        <w:t>Confidentiality</w:t>
      </w:r>
      <w:bookmarkEnd w:id="16"/>
    </w:p>
    <w:p w14:paraId="7AC110A9" w14:textId="1E96A188" w:rsidR="00FA7865" w:rsidRDefault="00590223" w:rsidP="004E0FE0">
      <w:r>
        <w:t xml:space="preserve">Stakeholders raised concerns on the additional information requirements for new connections in the TAPRs as proposed by our draft TAPR guidelines. In its submission to our draft TAPR guidelines, ENA noted that the new connection information is confidential under the NER and cannot be provided </w:t>
      </w:r>
      <w:r w:rsidR="001A69C2">
        <w:t xml:space="preserve">as </w:t>
      </w:r>
      <w:r>
        <w:t>the draft TAPR guidelines</w:t>
      </w:r>
      <w:r w:rsidR="001A69C2">
        <w:t xml:space="preserve"> proposed</w:t>
      </w:r>
      <w:r>
        <w:t>. Trans</w:t>
      </w:r>
      <w:r w:rsidR="001A69C2">
        <w:t>G</w:t>
      </w:r>
      <w:r>
        <w:t>rid, AEMO,</w:t>
      </w:r>
      <w:r w:rsidR="00052ACE">
        <w:t xml:space="preserve"> and</w:t>
      </w:r>
      <w:r w:rsidR="004E557F">
        <w:t xml:space="preserve"> Energy</w:t>
      </w:r>
      <w:r>
        <w:t xml:space="preserve">Australia have raised similar concerns citing that the provision of new connection information </w:t>
      </w:r>
      <w:r w:rsidR="00996B96">
        <w:t>may be commercially sensitive and hence only non-confidential information should be published.</w:t>
      </w:r>
    </w:p>
    <w:p w14:paraId="0280F540" w14:textId="66022DE6" w:rsidR="00024B19" w:rsidRPr="00024B19" w:rsidRDefault="00F517C8" w:rsidP="00024B19">
      <w:r>
        <w:t xml:space="preserve">We understand the concerns raised by the stakeholders and have </w:t>
      </w:r>
      <w:r w:rsidR="002972E7">
        <w:t xml:space="preserve">therefore </w:t>
      </w:r>
      <w:r w:rsidR="004E557F">
        <w:t>made amendments for these final</w:t>
      </w:r>
      <w:r>
        <w:t xml:space="preserve"> TAPR guidelines. </w:t>
      </w:r>
      <w:r w:rsidR="002972E7">
        <w:t xml:space="preserve">Firstly, we have limited the scope of the connection information requirements so that </w:t>
      </w:r>
      <w:r w:rsidR="00B6150F">
        <w:t>they</w:t>
      </w:r>
      <w:r w:rsidR="002972E7">
        <w:t xml:space="preserve"> only appl</w:t>
      </w:r>
      <w:r w:rsidR="00B6150F">
        <w:t>y</w:t>
      </w:r>
      <w:r w:rsidR="002972E7">
        <w:t xml:space="preserve"> to new connections for generators (which have recently been, and are expected to continue to be, the primary source of additional </w:t>
      </w:r>
      <w:r w:rsidR="000B7AB4">
        <w:t xml:space="preserve">network </w:t>
      </w:r>
      <w:r w:rsidR="002972E7">
        <w:t>load</w:t>
      </w:r>
      <w:r w:rsidR="000B7AB4">
        <w:t>ing</w:t>
      </w:r>
      <w:r w:rsidR="002972E7">
        <w:t xml:space="preserve">). </w:t>
      </w:r>
      <w:r w:rsidR="00024B19">
        <w:t xml:space="preserve">We are not requiring information on </w:t>
      </w:r>
      <w:r w:rsidR="00024B19" w:rsidRPr="00024B19">
        <w:t xml:space="preserve">new </w:t>
      </w:r>
      <w:r w:rsidR="002972E7">
        <w:t xml:space="preserve">load </w:t>
      </w:r>
      <w:r w:rsidR="00024B19">
        <w:t>connect</w:t>
      </w:r>
      <w:r w:rsidR="002972E7">
        <w:t xml:space="preserve">ions </w:t>
      </w:r>
      <w:r w:rsidR="00024B19">
        <w:t xml:space="preserve">as this has not been </w:t>
      </w:r>
      <w:r w:rsidR="00024B19" w:rsidRPr="00024B19">
        <w:t xml:space="preserve">a material issue </w:t>
      </w:r>
      <w:r w:rsidR="00AE17E4">
        <w:t>to date, and is</w:t>
      </w:r>
      <w:r w:rsidR="00024B19">
        <w:t xml:space="preserve"> not expected to be so in the future</w:t>
      </w:r>
      <w:r w:rsidR="00237E5A">
        <w:t>.</w:t>
      </w:r>
    </w:p>
    <w:p w14:paraId="5F25C33E" w14:textId="0FA310C0" w:rsidR="00D73E25" w:rsidRDefault="002972E7" w:rsidP="00D73E25">
      <w:r>
        <w:t>Secondly,</w:t>
      </w:r>
      <w:r w:rsidR="00F517C8">
        <w:t xml:space="preserve"> the</w:t>
      </w:r>
      <w:r w:rsidR="004E557F">
        <w:t xml:space="preserve"> TAPR</w:t>
      </w:r>
      <w:r w:rsidR="00F517C8">
        <w:t xml:space="preserve"> guidelines now require </w:t>
      </w:r>
      <w:r w:rsidR="00DA7A74">
        <w:t>that, where information that would otherwise be required to be published is subject to confi</w:t>
      </w:r>
      <w:r w:rsidR="00F25CAC">
        <w:t xml:space="preserve">dentiality requirements under the </w:t>
      </w:r>
      <w:r w:rsidR="00DA7A74">
        <w:t xml:space="preserve">NER, the TNSP </w:t>
      </w:r>
      <w:r w:rsidR="00DA7A74">
        <w:lastRenderedPageBreak/>
        <w:t>must instead publish that information as an unidentified component of an aggregated sum.</w:t>
      </w:r>
      <w:r w:rsidR="00DA7A74">
        <w:rPr>
          <w:rStyle w:val="FootnoteReference"/>
        </w:rPr>
        <w:footnoteReference w:id="14"/>
      </w:r>
      <w:r w:rsidR="00DA7A74">
        <w:t xml:space="preserve"> The TNSP must only aggregate the information to the extent necessary to maintain the confidentiality of the information.</w:t>
      </w:r>
    </w:p>
    <w:p w14:paraId="587DBF24" w14:textId="1C17FBDB" w:rsidR="00ED382A" w:rsidRDefault="00ED382A" w:rsidP="00D73E25">
      <w:pPr>
        <w:pStyle w:val="Heading2"/>
      </w:pPr>
      <w:bookmarkStart w:id="17" w:name="_Toc532814799"/>
      <w:r>
        <w:t>Consistency and clarity of terminology</w:t>
      </w:r>
      <w:bookmarkEnd w:id="17"/>
    </w:p>
    <w:p w14:paraId="37AAE242" w14:textId="4176BBDF" w:rsidR="008F00E4" w:rsidRDefault="004F19EA" w:rsidP="00ED382A">
      <w:r>
        <w:t xml:space="preserve">The final TAPR guidelines incorporate suggestions from </w:t>
      </w:r>
      <w:r w:rsidR="008F00E4">
        <w:t>ENA and AEMO</w:t>
      </w:r>
      <w:r>
        <w:t xml:space="preserve"> to increase the clarity and consistency of our guidance</w:t>
      </w:r>
      <w:r w:rsidR="008F00E4">
        <w:t xml:space="preserve">. </w:t>
      </w:r>
      <w:r>
        <w:t>For instance, we have:</w:t>
      </w:r>
    </w:p>
    <w:p w14:paraId="28958546" w14:textId="7084C2D8" w:rsidR="00E07BFD" w:rsidRDefault="004F19EA" w:rsidP="00E07BFD">
      <w:pPr>
        <w:pStyle w:val="Bulletpoint"/>
      </w:pPr>
      <w:r>
        <w:t xml:space="preserve">Clarified </w:t>
      </w:r>
      <w:r w:rsidR="008F00E4">
        <w:t>that information is required for transmission connection points (terminal stations) and transmission line segments (</w:t>
      </w:r>
      <w:r w:rsidR="002C231E">
        <w:t xml:space="preserve">where there are multiple </w:t>
      </w:r>
      <w:r w:rsidR="008F00E4">
        <w:t>segments between terminal stations) subject to historical and emerging network limitations.</w:t>
      </w:r>
    </w:p>
    <w:p w14:paraId="664CABF8" w14:textId="4850D3B7" w:rsidR="00E07BFD" w:rsidRDefault="00E07BFD" w:rsidP="00E07BFD">
      <w:pPr>
        <w:pStyle w:val="Bulletpoint"/>
      </w:pPr>
      <w:r>
        <w:t>Defin</w:t>
      </w:r>
      <w:r w:rsidR="00BE4241">
        <w:t>ed</w:t>
      </w:r>
      <w:r>
        <w:t xml:space="preserve"> the </w:t>
      </w:r>
      <w:r w:rsidR="00BE4241">
        <w:t xml:space="preserve">data rules </w:t>
      </w:r>
      <w:r>
        <w:t>and ensur</w:t>
      </w:r>
      <w:r w:rsidR="00BE4241">
        <w:t>ed</w:t>
      </w:r>
      <w:r>
        <w:t xml:space="preserve"> that appropriate units of measurement </w:t>
      </w:r>
      <w:r w:rsidR="00BE4241">
        <w:t>we</w:t>
      </w:r>
      <w:r>
        <w:t>re cited in the template</w:t>
      </w:r>
      <w:r w:rsidR="00BE4241">
        <w:t xml:space="preserve"> that forms the TAPR guideline (see sections </w:t>
      </w:r>
      <w:r w:rsidR="00BE4241">
        <w:fldChar w:fldCharType="begin"/>
      </w:r>
      <w:r w:rsidR="00BE4241">
        <w:instrText xml:space="preserve"> REF _Ref529452774 \r \h </w:instrText>
      </w:r>
      <w:r w:rsidR="00BE4241">
        <w:fldChar w:fldCharType="separate"/>
      </w:r>
      <w:r w:rsidR="00237E5A">
        <w:t>4.1</w:t>
      </w:r>
      <w:r w:rsidR="00BE4241">
        <w:fldChar w:fldCharType="end"/>
      </w:r>
      <w:r w:rsidR="00BE4241">
        <w:t xml:space="preserve"> to </w:t>
      </w:r>
      <w:r w:rsidR="00BE4241">
        <w:fldChar w:fldCharType="begin"/>
      </w:r>
      <w:r w:rsidR="00BE4241">
        <w:instrText xml:space="preserve"> REF _Ref529452780 \r \h </w:instrText>
      </w:r>
      <w:r w:rsidR="00BE4241">
        <w:fldChar w:fldCharType="separate"/>
      </w:r>
      <w:r w:rsidR="00237E5A">
        <w:t>4.3</w:t>
      </w:r>
      <w:r w:rsidR="00BE4241">
        <w:fldChar w:fldCharType="end"/>
      </w:r>
      <w:r w:rsidR="00BE4241">
        <w:t>)</w:t>
      </w:r>
      <w:r>
        <w:t>.</w:t>
      </w:r>
    </w:p>
    <w:p w14:paraId="448B0241" w14:textId="7DBC32B3" w:rsidR="00483414" w:rsidRPr="00ED382A" w:rsidRDefault="00FD707B" w:rsidP="00237E5A">
      <w:pPr>
        <w:pStyle w:val="Bulletpoint"/>
      </w:pPr>
      <w:r>
        <w:t>Incorporated text to explain the different data rules into the template itself rather than in separate explanatory text to ensure there is consistency and clarity b</w:t>
      </w:r>
      <w:r w:rsidR="00237E5A">
        <w:t>etween the text and data rules.</w:t>
      </w:r>
    </w:p>
    <w:p w14:paraId="487152AC" w14:textId="6FF73726" w:rsidR="003B1500" w:rsidRPr="00C91710" w:rsidRDefault="001218F6" w:rsidP="003B1500">
      <w:pPr>
        <w:pStyle w:val="Heading1"/>
      </w:pPr>
      <w:bookmarkStart w:id="18" w:name="_Toc521275472"/>
      <w:bookmarkStart w:id="19" w:name="_Toc532814800"/>
      <w:r>
        <w:lastRenderedPageBreak/>
        <w:t xml:space="preserve">TAPR </w:t>
      </w:r>
      <w:r w:rsidR="00E62107">
        <w:t>G</w:t>
      </w:r>
      <w:r w:rsidR="003B1500" w:rsidRPr="00C91710">
        <w:t>uideline</w:t>
      </w:r>
      <w:bookmarkEnd w:id="18"/>
      <w:bookmarkEnd w:id="19"/>
    </w:p>
    <w:p w14:paraId="3E7D71BE" w14:textId="5ADFB341" w:rsidR="003B1500" w:rsidRDefault="00ED382A" w:rsidP="003B1500">
      <w:pPr>
        <w:pStyle w:val="BodyText"/>
      </w:pPr>
      <w:r>
        <w:t>T</w:t>
      </w:r>
      <w:r w:rsidR="003B1500">
        <w:t>ransmission connection points in the NEM with associated transmission lines</w:t>
      </w:r>
      <w:r>
        <w:t xml:space="preserve"> are </w:t>
      </w:r>
      <w:r w:rsidR="005E19B3">
        <w:t xml:space="preserve">significantly </w:t>
      </w:r>
      <w:r w:rsidR="00DE2FCA">
        <w:t xml:space="preserve">fewer </w:t>
      </w:r>
      <w:r>
        <w:t>in number compared to the distribution network connection points</w:t>
      </w:r>
      <w:r w:rsidR="003B1500">
        <w:t>.</w:t>
      </w:r>
      <w:r>
        <w:t xml:space="preserve"> T</w:t>
      </w:r>
      <w:r w:rsidR="003B1500">
        <w:t xml:space="preserve">he volume of information required to be published by TNSPs is </w:t>
      </w:r>
      <w:r>
        <w:t xml:space="preserve">also </w:t>
      </w:r>
      <w:r w:rsidR="003B1500">
        <w:t>significantly less</w:t>
      </w:r>
      <w:r w:rsidR="00237E5A">
        <w:t xml:space="preserve"> as the TAPR guidelines are</w:t>
      </w:r>
      <w:r w:rsidR="005E19B3">
        <w:t xml:space="preserve"> confined</w:t>
      </w:r>
      <w:r w:rsidR="005E19B3" w:rsidDel="005E19B3">
        <w:t xml:space="preserve"> </w:t>
      </w:r>
      <w:r w:rsidR="008F00E4">
        <w:t>to information</w:t>
      </w:r>
      <w:r w:rsidR="00237E5A">
        <w:t xml:space="preserve"> on emerging limitations.</w:t>
      </w:r>
    </w:p>
    <w:p w14:paraId="6D816E05" w14:textId="0292E290" w:rsidR="003B1500" w:rsidRDefault="003B1500" w:rsidP="005E19B3">
      <w:pPr>
        <w:pStyle w:val="BodyText"/>
      </w:pPr>
      <w:r>
        <w:t xml:space="preserve">TNSPs </w:t>
      </w:r>
      <w:r w:rsidR="00237E5A">
        <w:t xml:space="preserve">are to </w:t>
      </w:r>
      <w:r>
        <w:t>publish, and keep up to date</w:t>
      </w:r>
      <w:r w:rsidR="00275BA3">
        <w:t xml:space="preserve"> if published on</w:t>
      </w:r>
      <w:r w:rsidR="00DE2FCA">
        <w:t>line</w:t>
      </w:r>
      <w:r w:rsidR="00275BA3">
        <w:t>, three</w:t>
      </w:r>
      <w:r>
        <w:t xml:space="preserve"> years of historical information for connection points and transmission lines. This will assist connectin</w:t>
      </w:r>
      <w:r w:rsidR="00DC6DA7">
        <w:t>g</w:t>
      </w:r>
      <w:r>
        <w:t xml:space="preserve"> </w:t>
      </w:r>
      <w:r w:rsidR="00DE2FCA">
        <w:t>parties</w:t>
      </w:r>
      <w:r>
        <w:t xml:space="preserve"> understand how their connections might affect the network </w:t>
      </w:r>
      <w:r w:rsidR="00DE2FCA">
        <w:t>loading</w:t>
      </w:r>
      <w:r w:rsidR="00275BA3">
        <w:t xml:space="preserve"> </w:t>
      </w:r>
      <w:r>
        <w:t xml:space="preserve">and </w:t>
      </w:r>
      <w:r w:rsidR="00B10D7D">
        <w:t xml:space="preserve">whether </w:t>
      </w:r>
      <w:r>
        <w:t xml:space="preserve">any augmentations would </w:t>
      </w:r>
      <w:r w:rsidR="00B10D7D">
        <w:t xml:space="preserve">be </w:t>
      </w:r>
      <w:r>
        <w:t>need</w:t>
      </w:r>
      <w:r w:rsidR="00B10D7D">
        <w:t>ed</w:t>
      </w:r>
      <w:r>
        <w:t xml:space="preserve"> to facilitate their connections.</w:t>
      </w:r>
      <w:r w:rsidR="005E19B3" w:rsidRPr="005E19B3">
        <w:t xml:space="preserve"> </w:t>
      </w:r>
      <w:r w:rsidR="00B10D7D">
        <w:t xml:space="preserve">For </w:t>
      </w:r>
      <w:r w:rsidR="005E19B3">
        <w:t xml:space="preserve">connecting </w:t>
      </w:r>
      <w:r w:rsidR="00B10D7D">
        <w:t>generators</w:t>
      </w:r>
      <w:r w:rsidR="00237E5A">
        <w:t>,</w:t>
      </w:r>
      <w:r w:rsidR="00B10D7D">
        <w:t xml:space="preserve"> this will </w:t>
      </w:r>
      <w:r w:rsidR="00DE2FCA">
        <w:t xml:space="preserve">also </w:t>
      </w:r>
      <w:r w:rsidR="00B10D7D">
        <w:t>provide information on the potential for congestion.</w:t>
      </w:r>
    </w:p>
    <w:p w14:paraId="1966BA84" w14:textId="1D40E899" w:rsidR="003B1500" w:rsidRDefault="003B1500" w:rsidP="003B1500">
      <w:pPr>
        <w:pStyle w:val="BodyText"/>
      </w:pPr>
      <w:r>
        <w:t xml:space="preserve">We propose that information be published on emerging limitations </w:t>
      </w:r>
      <w:r w:rsidR="00EB5C9B">
        <w:t>of the transmission network</w:t>
      </w:r>
      <w:r w:rsidR="00B10D7D">
        <w:t>, which will</w:t>
      </w:r>
      <w:r>
        <w:t xml:space="preserve"> </w:t>
      </w:r>
      <w:r w:rsidR="00B10D7D">
        <w:t xml:space="preserve">facilitate </w:t>
      </w:r>
      <w:r>
        <w:t xml:space="preserve">non-network service providers </w:t>
      </w:r>
      <w:r w:rsidR="00B10D7D">
        <w:t xml:space="preserve">in </w:t>
      </w:r>
      <w:r w:rsidR="00DE2FCA">
        <w:t xml:space="preserve">identifying and proposing </w:t>
      </w:r>
      <w:r>
        <w:t>alternative options</w:t>
      </w:r>
      <w:r w:rsidR="00DC6DA7" w:rsidRPr="00DC6DA7">
        <w:t xml:space="preserve"> </w:t>
      </w:r>
      <w:r w:rsidR="00DC6DA7">
        <w:t>to address identified need</w:t>
      </w:r>
      <w:r w:rsidR="00237E5A">
        <w:t>s.</w:t>
      </w:r>
    </w:p>
    <w:p w14:paraId="150E27CE" w14:textId="592E3622" w:rsidR="003B1500" w:rsidRDefault="003B1500" w:rsidP="003B1500">
      <w:pPr>
        <w:pStyle w:val="BodyText"/>
      </w:pPr>
      <w:r>
        <w:t>We also propose that information</w:t>
      </w:r>
      <w:r w:rsidR="00702F90" w:rsidRPr="00702F90">
        <w:t xml:space="preserve"> </w:t>
      </w:r>
      <w:r w:rsidR="00702F90">
        <w:t>on emerging limitations</w:t>
      </w:r>
      <w:r>
        <w:t xml:space="preserve"> be specific and targeted </w:t>
      </w:r>
      <w:r w:rsidR="003A0280">
        <w:t>at where</w:t>
      </w:r>
      <w:r>
        <w:t xml:space="preserve"> the limitation will occur at a connection point or on a transmission line. This information only needs to be </w:t>
      </w:r>
      <w:r w:rsidR="00B10D7D">
        <w:t xml:space="preserve">provided </w:t>
      </w:r>
      <w:r>
        <w:t xml:space="preserve">if there is an emerging constraint or </w:t>
      </w:r>
      <w:r w:rsidR="00B10D7D">
        <w:t xml:space="preserve">if an </w:t>
      </w:r>
      <w:r>
        <w:t xml:space="preserve">impending </w:t>
      </w:r>
      <w:r w:rsidR="00EB5C9B">
        <w:t>asset retirement lead</w:t>
      </w:r>
      <w:r w:rsidR="00B10D7D">
        <w:t>s</w:t>
      </w:r>
      <w:r w:rsidR="00EB5C9B">
        <w:t xml:space="preserve"> to a network </w:t>
      </w:r>
      <w:r w:rsidR="003A0280">
        <w:t>constraint</w:t>
      </w:r>
      <w:r>
        <w:t>.</w:t>
      </w:r>
    </w:p>
    <w:p w14:paraId="5B19D91C" w14:textId="0370E654" w:rsidR="003B1500" w:rsidRDefault="003B1500" w:rsidP="003B1500">
      <w:pPr>
        <w:pStyle w:val="BodyText"/>
      </w:pPr>
      <w:r>
        <w:t xml:space="preserve">New connection information must be updated as soon as practicable. </w:t>
      </w:r>
      <w:r w:rsidR="00DC6DA7">
        <w:t>Th</w:t>
      </w:r>
      <w:r w:rsidR="00106F7E">
        <w:t>e</w:t>
      </w:r>
      <w:r w:rsidR="00DC6DA7">
        <w:t xml:space="preserve"> </w:t>
      </w:r>
      <w:r w:rsidR="00106F7E">
        <w:t xml:space="preserve">TAPR </w:t>
      </w:r>
      <w:r w:rsidR="00DC6DA7">
        <w:t>guideline</w:t>
      </w:r>
      <w:r w:rsidR="00106F7E">
        <w:t>s</w:t>
      </w:r>
      <w:r w:rsidR="00DC6DA7">
        <w:t xml:space="preserve"> require at least annual updating of this information, but we would encourage more frequent updating </w:t>
      </w:r>
      <w:r w:rsidR="00EB5C9B">
        <w:t xml:space="preserve">of this information </w:t>
      </w:r>
      <w:r w:rsidR="00237E5A">
        <w:t>via website links.</w:t>
      </w:r>
    </w:p>
    <w:p w14:paraId="7AAD4D11" w14:textId="309272F1" w:rsidR="001218F6" w:rsidRDefault="00275BA3" w:rsidP="003B1500">
      <w:pPr>
        <w:pStyle w:val="BodyText"/>
      </w:pPr>
      <w:r>
        <w:t>Information that the TAPR guidelines direct TNSPs to publish should</w:t>
      </w:r>
      <w:r w:rsidR="003B1500">
        <w:t xml:space="preserve"> be published in a structured form</w:t>
      </w:r>
      <w:r w:rsidR="00C110D8">
        <w:t>at</w:t>
      </w:r>
      <w:r w:rsidR="003B1500">
        <w:t xml:space="preserve"> that </w:t>
      </w:r>
      <w:r w:rsidR="00EB5C9B">
        <w:t>is</w:t>
      </w:r>
      <w:r w:rsidR="003B1500">
        <w:t xml:space="preserve"> easily </w:t>
      </w:r>
      <w:r w:rsidR="00C110D8">
        <w:t>ingested by commonly used IT applications</w:t>
      </w:r>
      <w:r w:rsidR="003B1500">
        <w:t xml:space="preserve">. </w:t>
      </w:r>
      <w:r w:rsidR="00106F7E">
        <w:t xml:space="preserve">Sections </w:t>
      </w:r>
      <w:r w:rsidR="0059481F">
        <w:fldChar w:fldCharType="begin"/>
      </w:r>
      <w:r w:rsidR="0059481F">
        <w:instrText xml:space="preserve"> REF _Ref531258509 \r \h </w:instrText>
      </w:r>
      <w:r w:rsidR="0059481F">
        <w:fldChar w:fldCharType="separate"/>
      </w:r>
      <w:r w:rsidR="0059481F">
        <w:t>4.1</w:t>
      </w:r>
      <w:r w:rsidR="0059481F">
        <w:fldChar w:fldCharType="end"/>
      </w:r>
      <w:r w:rsidR="0059481F">
        <w:t xml:space="preserve"> to </w:t>
      </w:r>
      <w:r w:rsidR="0059481F">
        <w:fldChar w:fldCharType="begin"/>
      </w:r>
      <w:r w:rsidR="0059481F">
        <w:instrText xml:space="preserve"> REF _Ref531258511 \r \h </w:instrText>
      </w:r>
      <w:r w:rsidR="0059481F">
        <w:fldChar w:fldCharType="separate"/>
      </w:r>
      <w:r w:rsidR="0059481F">
        <w:t>4.3</w:t>
      </w:r>
      <w:r w:rsidR="0059481F">
        <w:fldChar w:fldCharType="end"/>
      </w:r>
      <w:r w:rsidR="0059481F">
        <w:t xml:space="preserve"> </w:t>
      </w:r>
      <w:r w:rsidR="00106F7E">
        <w:t xml:space="preserve">set out </w:t>
      </w:r>
      <w:r>
        <w:t>this</w:t>
      </w:r>
      <w:r w:rsidR="00106F7E">
        <w:t xml:space="preserve"> information</w:t>
      </w:r>
      <w:r>
        <w:t>, which includes</w:t>
      </w:r>
      <w:r w:rsidR="001218F6">
        <w:t xml:space="preserve"> data on:</w:t>
      </w:r>
    </w:p>
    <w:p w14:paraId="66378926" w14:textId="101548E6" w:rsidR="001218F6" w:rsidRDefault="00275BA3" w:rsidP="007213DF">
      <w:pPr>
        <w:pStyle w:val="Bulletpoint"/>
      </w:pPr>
      <w:r>
        <w:t>t</w:t>
      </w:r>
      <w:r w:rsidR="001218F6">
        <w:t>ransmission connection points;</w:t>
      </w:r>
    </w:p>
    <w:p w14:paraId="6DE5E47F" w14:textId="30536FE5" w:rsidR="001218F6" w:rsidRDefault="00275BA3" w:rsidP="007213DF">
      <w:pPr>
        <w:pStyle w:val="Bulletpoint"/>
      </w:pPr>
      <w:r>
        <w:t>t</w:t>
      </w:r>
      <w:r w:rsidR="001218F6" w:rsidRPr="00046018">
        <w:t xml:space="preserve">ransmission </w:t>
      </w:r>
      <w:r w:rsidR="001218F6" w:rsidRPr="00C91710">
        <w:t>line</w:t>
      </w:r>
      <w:r w:rsidR="001218F6">
        <w:t xml:space="preserve"> segments; and</w:t>
      </w:r>
    </w:p>
    <w:p w14:paraId="5D405F2B" w14:textId="604F2DF8" w:rsidR="00C02584" w:rsidRPr="00275BA3" w:rsidRDefault="00275BA3" w:rsidP="00275BA3">
      <w:pPr>
        <w:pStyle w:val="Bulletpoint"/>
      </w:pPr>
      <w:proofErr w:type="gramStart"/>
      <w:r>
        <w:t>n</w:t>
      </w:r>
      <w:r w:rsidR="001218F6">
        <w:t>ew</w:t>
      </w:r>
      <w:proofErr w:type="gramEnd"/>
      <w:r w:rsidR="001218F6">
        <w:t xml:space="preserve"> </w:t>
      </w:r>
      <w:r w:rsidR="00FC6105">
        <w:t xml:space="preserve">generator </w:t>
      </w:r>
      <w:r w:rsidR="001218F6">
        <w:t>connections.</w:t>
      </w:r>
    </w:p>
    <w:p w14:paraId="7800EE04" w14:textId="43149217" w:rsidR="006C60AE" w:rsidRPr="00275BA3" w:rsidRDefault="006C60AE" w:rsidP="00275BA3">
      <w:pPr>
        <w:pStyle w:val="Heading2"/>
      </w:pPr>
      <w:bookmarkStart w:id="20" w:name="_Toc528056458"/>
      <w:bookmarkStart w:id="21" w:name="_Ref529452262"/>
      <w:bookmarkStart w:id="22" w:name="_Ref529452774"/>
      <w:bookmarkStart w:id="23" w:name="_Ref531258509"/>
      <w:bookmarkStart w:id="24" w:name="_Toc532814801"/>
      <w:r w:rsidRPr="00275BA3">
        <w:t>Transmission connection point data</w:t>
      </w:r>
      <w:bookmarkEnd w:id="20"/>
      <w:bookmarkEnd w:id="21"/>
      <w:bookmarkEnd w:id="22"/>
      <w:bookmarkEnd w:id="23"/>
      <w:bookmarkEnd w:id="24"/>
    </w:p>
    <w:p w14:paraId="56B81A25" w14:textId="1D51A2CB" w:rsidR="006C60AE" w:rsidRDefault="00E91BFF" w:rsidP="0014449E">
      <w:r>
        <w:t xml:space="preserve">For </w:t>
      </w:r>
      <w:r w:rsidR="00F30826">
        <w:t xml:space="preserve">each transmission connection </w:t>
      </w:r>
      <w:r w:rsidR="00FC6105">
        <w:t xml:space="preserve">point </w:t>
      </w:r>
      <w:r w:rsidR="00F30826">
        <w:t xml:space="preserve">with actual or forecast network limitations over the forecast period, the following information is required. Note for </w:t>
      </w:r>
      <w:r w:rsidRPr="00176BFB">
        <w:t xml:space="preserve">the </w:t>
      </w:r>
      <w:r w:rsidR="00E5790E">
        <w:t>DSN</w:t>
      </w:r>
      <w:r w:rsidRPr="00176BFB">
        <w:t xml:space="preserve"> in Victoria</w:t>
      </w:r>
      <w:r>
        <w:t xml:space="preserve">, a transmission connection point </w:t>
      </w:r>
      <w:r w:rsidR="00FB3616">
        <w:t xml:space="preserve">refers to </w:t>
      </w:r>
      <w:r>
        <w:t>a transmission terminal station</w:t>
      </w:r>
      <w:r w:rsidR="00F30826">
        <w:t>.</w:t>
      </w:r>
    </w:p>
    <w:p w14:paraId="4C168BDE" w14:textId="5F1FFB28" w:rsidR="00AC7223" w:rsidRPr="003D567A" w:rsidRDefault="00AC7223" w:rsidP="00AC7223">
      <w:r w:rsidRPr="00F517C8">
        <w:t>For</w:t>
      </w:r>
      <w:r>
        <w:t xml:space="preserve"> information that is subject to a confidentiality obligation under the NER, or is otherwise information about an individual user, the TNSP must instead publish that information as an unidentified component of an aggregated sum.</w:t>
      </w:r>
      <w:r>
        <w:rPr>
          <w:rStyle w:val="FootnoteReference"/>
        </w:rPr>
        <w:footnoteReference w:id="15"/>
      </w:r>
      <w:r>
        <w:t xml:space="preserve"> The TNSP must only aggregate the information to the extent necessary to maintain the conf</w:t>
      </w:r>
      <w:r w:rsidR="00FC6105">
        <w:t>identiality of the information.</w:t>
      </w:r>
    </w:p>
    <w:p w14:paraId="1A6D2407" w14:textId="77777777" w:rsidR="00AC7223" w:rsidRDefault="00AC7223" w:rsidP="0014449E"/>
    <w:tbl>
      <w:tblPr>
        <w:tblW w:w="9649" w:type="dxa"/>
        <w:shd w:val="clear" w:color="auto" w:fill="FFFFFF"/>
        <w:tblCellMar>
          <w:left w:w="0" w:type="dxa"/>
          <w:right w:w="0" w:type="dxa"/>
        </w:tblCellMar>
        <w:tblLook w:val="04A0" w:firstRow="1" w:lastRow="0" w:firstColumn="1" w:lastColumn="0" w:noHBand="0" w:noVBand="1"/>
      </w:tblPr>
      <w:tblGrid>
        <w:gridCol w:w="2142"/>
        <w:gridCol w:w="1043"/>
        <w:gridCol w:w="1083"/>
        <w:gridCol w:w="1457"/>
        <w:gridCol w:w="3924"/>
      </w:tblGrid>
      <w:tr w:rsidR="008D7F74" w:rsidRPr="00B56D8F" w14:paraId="51250896" w14:textId="77777777" w:rsidTr="00BA79FD">
        <w:trPr>
          <w:trHeight w:val="315"/>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FCFDFAB" w14:textId="77777777" w:rsidR="0059481F" w:rsidRPr="006C60AE" w:rsidRDefault="0059481F" w:rsidP="006C60AE">
            <w:pPr>
              <w:pStyle w:val="Tabletext"/>
              <w:rPr>
                <w:rStyle w:val="Bold"/>
              </w:rPr>
            </w:pPr>
            <w:r w:rsidRPr="002F39D2">
              <w:rPr>
                <w:rStyle w:val="Bold"/>
              </w:rPr>
              <w:lastRenderedPageBreak/>
              <w:t>Field Name</w:t>
            </w:r>
          </w:p>
        </w:tc>
        <w:tc>
          <w:tcPr>
            <w:tcW w:w="1043"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C4A859" w14:textId="77777777" w:rsidR="0059481F" w:rsidRPr="006C60AE" w:rsidRDefault="0059481F" w:rsidP="006C60AE">
            <w:pPr>
              <w:pStyle w:val="Tabletext"/>
              <w:rPr>
                <w:rStyle w:val="Bold"/>
              </w:rPr>
            </w:pPr>
            <w:r w:rsidRPr="002F39D2">
              <w:rPr>
                <w:rStyle w:val="Bold"/>
              </w:rPr>
              <w:t>Rule</w:t>
            </w:r>
          </w:p>
        </w:tc>
        <w:tc>
          <w:tcPr>
            <w:tcW w:w="1083"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77B104F" w14:textId="77777777" w:rsidR="0059481F" w:rsidRPr="006C60AE" w:rsidRDefault="0059481F" w:rsidP="006C60AE">
            <w:pPr>
              <w:pStyle w:val="Tabletext"/>
              <w:rPr>
                <w:rStyle w:val="Bold"/>
              </w:rPr>
            </w:pPr>
            <w:r w:rsidRPr="002F39D2">
              <w:rPr>
                <w:rStyle w:val="Bold"/>
              </w:rPr>
              <w:t>Data Type</w:t>
            </w:r>
          </w:p>
        </w:tc>
        <w:tc>
          <w:tcPr>
            <w:tcW w:w="1457"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72D8676" w14:textId="77777777" w:rsidR="0059481F" w:rsidRPr="006C60AE" w:rsidRDefault="0059481F" w:rsidP="006C60AE">
            <w:pPr>
              <w:pStyle w:val="Tabletext"/>
              <w:rPr>
                <w:rStyle w:val="Bold"/>
              </w:rPr>
            </w:pPr>
            <w:r w:rsidRPr="002F39D2">
              <w:rPr>
                <w:rStyle w:val="Bold"/>
              </w:rPr>
              <w:t>Units</w:t>
            </w:r>
          </w:p>
        </w:tc>
        <w:tc>
          <w:tcPr>
            <w:tcW w:w="3924"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88C1597" w14:textId="3AFCA36A" w:rsidR="0059481F" w:rsidRPr="006C60AE" w:rsidRDefault="0059481F" w:rsidP="006C60AE">
            <w:pPr>
              <w:pStyle w:val="Tabletext"/>
              <w:rPr>
                <w:rStyle w:val="Bold"/>
              </w:rPr>
            </w:pPr>
            <w:r>
              <w:rPr>
                <w:rStyle w:val="Bold"/>
              </w:rPr>
              <w:t xml:space="preserve">Description </w:t>
            </w:r>
            <w:r w:rsidRPr="006C60AE">
              <w:rPr>
                <w:rStyle w:val="Bold"/>
              </w:rPr>
              <w:t>– Other information</w:t>
            </w:r>
          </w:p>
        </w:tc>
      </w:tr>
      <w:tr w:rsidR="008D7F74" w:rsidRPr="00B56D8F" w14:paraId="60C1F53D" w14:textId="77777777" w:rsidTr="00BA79FD">
        <w:trPr>
          <w:trHeight w:val="315"/>
        </w:trPr>
        <w:tc>
          <w:tcPr>
            <w:tcW w:w="2142"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C74E51" w14:textId="2291660B" w:rsidR="0059481F" w:rsidRPr="006C60AE" w:rsidRDefault="0059481F" w:rsidP="00BE4241">
            <w:pPr>
              <w:pStyle w:val="Tabletext"/>
            </w:pPr>
            <w:r w:rsidRPr="003B1500">
              <w:t>C</w:t>
            </w:r>
            <w:r>
              <w:t>onstrained c</w:t>
            </w:r>
            <w:r w:rsidR="00FC200A">
              <w:t>onnection p</w:t>
            </w:r>
            <w:r w:rsidRPr="003B1500">
              <w:t>oint ID</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143B83" w14:textId="77777777" w:rsidR="0059481F" w:rsidRPr="006C60AE" w:rsidRDefault="0059481F">
            <w:pPr>
              <w:pStyle w:val="Tabletext"/>
            </w:pPr>
            <w:r w:rsidRPr="003B1500">
              <w:t>TGCP001</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3BF25F" w14:textId="77777777" w:rsidR="0059481F" w:rsidRPr="006C60AE" w:rsidRDefault="0059481F">
            <w:pPr>
              <w:pStyle w:val="Tabletext"/>
            </w:pPr>
            <w:r>
              <w:t>Text</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2CE01ED" w14:textId="77777777" w:rsidR="0059481F" w:rsidRPr="006C60AE" w:rsidRDefault="0059481F">
            <w:pPr>
              <w:pStyle w:val="Tabletext"/>
            </w:pPr>
            <w:r w:rsidRPr="003B1500">
              <w:t> </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42CABA7" w14:textId="0797FD8A" w:rsidR="0059481F" w:rsidRPr="006C60AE" w:rsidRDefault="001E52DC" w:rsidP="001E52DC">
            <w:pPr>
              <w:pStyle w:val="Tabletext"/>
            </w:pPr>
            <w:r w:rsidRPr="001E52DC">
              <w:rPr>
                <w:rStyle w:val="Strong"/>
                <w:b w:val="0"/>
                <w:bCs w:val="0"/>
              </w:rPr>
              <w:t>Name</w:t>
            </w:r>
            <w:r w:rsidR="0059481F" w:rsidRPr="001E52DC">
              <w:t xml:space="preserve"> of</w:t>
            </w:r>
            <w:r w:rsidR="0059481F" w:rsidRPr="006C60AE">
              <w:t xml:space="preserve"> the transmission connection point and TNSP unique ID.</w:t>
            </w:r>
          </w:p>
        </w:tc>
      </w:tr>
      <w:tr w:rsidR="008D7F74" w:rsidRPr="00B56D8F" w14:paraId="0F4FCD9C"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BEA219F" w14:textId="77777777" w:rsidR="0059481F" w:rsidRPr="006C60AE" w:rsidRDefault="0059481F" w:rsidP="00BE4241">
            <w:pPr>
              <w:pStyle w:val="Tabletext"/>
            </w:pPr>
            <w:r w:rsidRPr="003B1500">
              <w:t>Constraint primary driver</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01878ED" w14:textId="77777777" w:rsidR="0059481F" w:rsidRPr="006C60AE" w:rsidRDefault="0059481F">
            <w:pPr>
              <w:pStyle w:val="Tabletext"/>
            </w:pPr>
            <w:r w:rsidRPr="004729BB">
              <w:t>TGCP</w:t>
            </w:r>
            <w:r w:rsidRPr="006C60AE">
              <w:t>002</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E3DD5C" w14:textId="77777777" w:rsidR="0059481F" w:rsidRPr="006C60AE" w:rsidRDefault="0059481F">
            <w:pPr>
              <w:pStyle w:val="Tabletext"/>
            </w:pPr>
            <w:r w:rsidRPr="003B1500">
              <w:t>Text</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1AFF448" w14:textId="77777777" w:rsidR="0059481F" w:rsidRPr="006C60AE" w:rsidRDefault="0059481F">
            <w:pPr>
              <w:pStyle w:val="Tabletext"/>
            </w:pPr>
            <w:r w:rsidRPr="003B1500">
              <w:t> </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CDC6C9" w14:textId="770C2604" w:rsidR="0059481F" w:rsidRPr="00463378" w:rsidRDefault="0059481F" w:rsidP="005C4022">
            <w:pPr>
              <w:pStyle w:val="Tabletext"/>
              <w:rPr>
                <w:b/>
                <w:bCs/>
              </w:rPr>
            </w:pPr>
            <w:r w:rsidRPr="00852217">
              <w:t>Information must be supplied on what technical</w:t>
            </w:r>
            <w:r w:rsidR="005C4022">
              <w:t>, regulatory</w:t>
            </w:r>
            <w:r w:rsidRPr="00852217">
              <w:t xml:space="preserve"> or legal requirement is giving rise to the constraint</w:t>
            </w:r>
            <w:r w:rsidRPr="006C60AE">
              <w:t>.</w:t>
            </w:r>
            <w:r w:rsidR="00463378">
              <w:rPr>
                <w:rStyle w:val="Strong"/>
              </w:rPr>
              <w:t xml:space="preserve"> </w:t>
            </w:r>
            <w:r>
              <w:t>A primary driver may be</w:t>
            </w:r>
            <w:r w:rsidRPr="00852217">
              <w:t xml:space="preserve"> capacity, reliability, power quality, operational, </w:t>
            </w:r>
            <w:r>
              <w:t>stability</w:t>
            </w:r>
            <w:r w:rsidRPr="00852217">
              <w:t>, reactive support, compliance, asset condition</w:t>
            </w:r>
            <w:r>
              <w:t xml:space="preserve"> and</w:t>
            </w:r>
            <w:r w:rsidRPr="00852217">
              <w:t xml:space="preserve"> performance, market benefit, environmental, safety or other.</w:t>
            </w:r>
            <w:r>
              <w:t xml:space="preserve"> Further detail </w:t>
            </w:r>
            <w:r w:rsidR="005C4022">
              <w:t xml:space="preserve">should </w:t>
            </w:r>
            <w:r>
              <w:t>be provided in the TAPR</w:t>
            </w:r>
            <w:r w:rsidR="001E52DC">
              <w:t xml:space="preserve"> document to complement this TAPR data</w:t>
            </w:r>
            <w:r>
              <w:t>.</w:t>
            </w:r>
          </w:p>
        </w:tc>
      </w:tr>
      <w:tr w:rsidR="008D7F74" w:rsidRPr="00B56D8F" w14:paraId="301B26CE"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49F7F9C" w14:textId="3A327536" w:rsidR="0059481F" w:rsidRPr="003B1500" w:rsidRDefault="0059481F" w:rsidP="00C9340F">
            <w:pPr>
              <w:pStyle w:val="Tabletext"/>
            </w:pPr>
            <w:r w:rsidRPr="003B1500">
              <w:t xml:space="preserve">Constraint </w:t>
            </w:r>
            <w:r>
              <w:t>investment type</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5EF5D23" w14:textId="76B287B1" w:rsidR="0059481F" w:rsidRPr="004729BB" w:rsidRDefault="0059481F" w:rsidP="00C9340F">
            <w:pPr>
              <w:pStyle w:val="Tabletext"/>
            </w:pPr>
            <w:r w:rsidRPr="004729BB">
              <w:t>TGCP</w:t>
            </w:r>
            <w:r w:rsidRPr="006C60AE">
              <w:t>00</w:t>
            </w:r>
            <w:r>
              <w:t>3</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AD4DCE8" w14:textId="0CE281CF" w:rsidR="0059481F" w:rsidRDefault="0059481F" w:rsidP="00C9340F">
            <w:pPr>
              <w:pStyle w:val="Tabletext"/>
            </w:pPr>
            <w:r w:rsidRPr="003B1500">
              <w:t>Text</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32B9E47" w14:textId="689AA329" w:rsidR="0059481F" w:rsidRPr="003B1500" w:rsidRDefault="0059481F" w:rsidP="00C9340F">
            <w:pPr>
              <w:pStyle w:val="Tabletext"/>
            </w:pPr>
            <w:r w:rsidRPr="003B1500">
              <w:t> </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B63D625" w14:textId="571942DF" w:rsidR="0059481F" w:rsidRDefault="0059481F" w:rsidP="00C9340F">
            <w:pPr>
              <w:pStyle w:val="Tabletext"/>
            </w:pPr>
            <w:r>
              <w:t>The type may be augmentation, asset retirement, asset renewal, or operational investment</w:t>
            </w:r>
            <w:r w:rsidR="00410960">
              <w:t>.</w:t>
            </w:r>
          </w:p>
        </w:tc>
      </w:tr>
      <w:tr w:rsidR="008D7F74" w:rsidRPr="00B56D8F" w14:paraId="502E5FC1"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38FA32E" w14:textId="43142524" w:rsidR="0059481F" w:rsidRPr="006C60AE" w:rsidRDefault="0059481F" w:rsidP="00C9340F">
            <w:pPr>
              <w:pStyle w:val="Tabletext"/>
            </w:pPr>
            <w:r w:rsidRPr="003B1500">
              <w:t>C</w:t>
            </w:r>
            <w:r>
              <w:t>onstrained c</w:t>
            </w:r>
            <w:r w:rsidR="00FC200A">
              <w:t>onnection p</w:t>
            </w:r>
            <w:r w:rsidRPr="003B1500">
              <w:t xml:space="preserve">oint </w:t>
            </w:r>
            <w:r w:rsidR="00FC200A">
              <w:t>l</w:t>
            </w:r>
            <w:r w:rsidRPr="006C60AE">
              <w:t xml:space="preserve">ocation </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873D675" w14:textId="798A9CC9" w:rsidR="0059481F" w:rsidRPr="006C60AE" w:rsidRDefault="0059481F" w:rsidP="00C9340F">
            <w:pPr>
              <w:pStyle w:val="Tabletext"/>
            </w:pPr>
            <w:r w:rsidRPr="004729BB">
              <w:t>TGCP</w:t>
            </w:r>
            <w:r w:rsidR="004E557F">
              <w:t>004</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EF70990" w14:textId="029E0E06" w:rsidR="0059481F" w:rsidRPr="006C60AE" w:rsidRDefault="00DA7A74" w:rsidP="00C9340F">
            <w:pPr>
              <w:pStyle w:val="Tabletext"/>
            </w:pPr>
            <w:r>
              <w:t>F</w:t>
            </w:r>
            <w:r w:rsidR="0059481F">
              <w:t>loat</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636C8F4" w14:textId="77777777" w:rsidR="0059481F" w:rsidRPr="006C60AE" w:rsidRDefault="0059481F" w:rsidP="00C9340F">
            <w:pPr>
              <w:pStyle w:val="Tabletext"/>
            </w:pPr>
            <w:r w:rsidRPr="003B1500">
              <w:t>Decimal degrees</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EC82B35" w14:textId="4D21B56A" w:rsidR="0059481F" w:rsidRPr="006C60AE" w:rsidRDefault="0059481F" w:rsidP="00FB3616">
            <w:pPr>
              <w:pStyle w:val="Tabletext"/>
            </w:pPr>
            <w:r>
              <w:t>L</w:t>
            </w:r>
            <w:r w:rsidRPr="006C60AE">
              <w:t xml:space="preserve">atitude and longitude of the </w:t>
            </w:r>
            <w:r>
              <w:t xml:space="preserve">constrained </w:t>
            </w:r>
            <w:r w:rsidRPr="006C60AE">
              <w:t>transmission connection point</w:t>
            </w:r>
            <w:r>
              <w:t xml:space="preserve"> must be sufficiently accurate for identifying the asset location</w:t>
            </w:r>
            <w:r w:rsidR="00410960">
              <w:t>.</w:t>
            </w:r>
          </w:p>
        </w:tc>
      </w:tr>
      <w:tr w:rsidR="008D7F74" w:rsidRPr="00B56D8F" w14:paraId="1BDA2F26"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E1C3E3D" w14:textId="054BE6BE" w:rsidR="0059481F" w:rsidRPr="006C60AE" w:rsidRDefault="008D7F74" w:rsidP="00C9340F">
            <w:pPr>
              <w:pStyle w:val="Tabletext"/>
            </w:pPr>
            <w:r>
              <w:t xml:space="preserve">Annual energy and peak demand of </w:t>
            </w:r>
            <w:r w:rsidR="00393FE6">
              <w:t>r</w:t>
            </w:r>
            <w:r w:rsidR="0059481F" w:rsidRPr="003B1500">
              <w:t>esidential</w:t>
            </w:r>
            <w:r w:rsidR="004E557F">
              <w:t xml:space="preserve"> </w:t>
            </w:r>
            <w:r w:rsidR="0059481F" w:rsidRPr="006C60AE">
              <w:t>customers affected</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C8C7CCE" w14:textId="1D7F854C" w:rsidR="0059481F" w:rsidRPr="006C60AE" w:rsidRDefault="0059481F" w:rsidP="00C9340F">
            <w:pPr>
              <w:pStyle w:val="Tabletext"/>
            </w:pPr>
            <w:r w:rsidRPr="004729BB">
              <w:t>TGCP</w:t>
            </w:r>
            <w:r w:rsidR="004E557F">
              <w:t>005</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49CD216" w14:textId="77777777" w:rsidR="0059481F" w:rsidRPr="006C60AE" w:rsidRDefault="0059481F" w:rsidP="00C9340F">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F347B5F" w14:textId="7D9705A4" w:rsidR="0059481F" w:rsidRPr="006C60AE" w:rsidRDefault="008D7F74" w:rsidP="00C9340F">
            <w:pPr>
              <w:pStyle w:val="Tabletext"/>
            </w:pPr>
            <w:r>
              <w:t>MWh, MW</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6DBC35" w14:textId="5E191EEE" w:rsidR="0059481F" w:rsidRPr="006C60AE" w:rsidRDefault="008D7F74" w:rsidP="0022044A">
            <w:pPr>
              <w:pStyle w:val="Tabletext"/>
            </w:pPr>
            <w:r>
              <w:t>Total annual energy consumption and maximum demand of the residential customers con</w:t>
            </w:r>
            <w:r w:rsidR="00FC6105">
              <w:t>nected to the connection point.</w:t>
            </w:r>
          </w:p>
        </w:tc>
      </w:tr>
      <w:tr w:rsidR="008D7F74" w:rsidRPr="00B56D8F" w14:paraId="2169F22B"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C53981D" w14:textId="674276BA" w:rsidR="0059481F" w:rsidRPr="003B1500" w:rsidRDefault="00393FE6" w:rsidP="00C9340F">
            <w:pPr>
              <w:pStyle w:val="Tabletext"/>
            </w:pPr>
            <w:r>
              <w:t>Annual energy and peak de</w:t>
            </w:r>
            <w:r w:rsidRPr="00393FE6">
              <w:t xml:space="preserve">mand of </w:t>
            </w:r>
            <w:r>
              <w:t>i</w:t>
            </w:r>
            <w:r w:rsidR="0059481F">
              <w:t xml:space="preserve">ndustrial </w:t>
            </w:r>
            <w:r w:rsidR="0059481F" w:rsidRPr="006C60AE">
              <w:t>customers affected</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DFF80B5" w14:textId="784B94EC" w:rsidR="0059481F" w:rsidRPr="004729BB" w:rsidRDefault="0059481F" w:rsidP="00C9340F">
            <w:pPr>
              <w:pStyle w:val="Tabletext"/>
            </w:pPr>
            <w:r w:rsidRPr="004729BB">
              <w:t>TGCP</w:t>
            </w:r>
            <w:r w:rsidRPr="006C60AE">
              <w:t>00</w:t>
            </w:r>
            <w:r w:rsidR="004E557F">
              <w:t>6</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DF95E78" w14:textId="036C4462" w:rsidR="0059481F" w:rsidRPr="003B1500" w:rsidRDefault="0059481F" w:rsidP="00C9340F">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2A9FCB5" w14:textId="2DED6F8A" w:rsidR="0059481F" w:rsidRPr="003B1500" w:rsidRDefault="00393FE6" w:rsidP="00C9340F">
            <w:pPr>
              <w:pStyle w:val="Tabletext"/>
            </w:pPr>
            <w:r>
              <w:t>MWh, MW</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E5080CC" w14:textId="767FAB88" w:rsidR="0059481F" w:rsidRPr="003B1500" w:rsidDel="00F30826" w:rsidRDefault="0059481F" w:rsidP="00FC6105">
            <w:pPr>
              <w:pStyle w:val="Tabletext"/>
            </w:pPr>
            <w:r>
              <w:t>The t</w:t>
            </w:r>
            <w:r w:rsidRPr="006662D3">
              <w:t xml:space="preserve">otal number of </w:t>
            </w:r>
            <w:r w:rsidR="004E557F" w:rsidRPr="006662D3">
              <w:t xml:space="preserve">industrial </w:t>
            </w:r>
            <w:r w:rsidRPr="006662D3">
              <w:t xml:space="preserve">customers that are </w:t>
            </w:r>
            <w:r>
              <w:t>connected to the connection point</w:t>
            </w:r>
            <w:r w:rsidR="00FC6105">
              <w:rPr>
                <w:rFonts w:cs="Arial"/>
              </w:rPr>
              <w:t>—</w:t>
            </w:r>
            <w:r w:rsidR="00A35C39">
              <w:t xml:space="preserve"> may</w:t>
            </w:r>
            <w:r w:rsidR="00A35C39" w:rsidRPr="00A35C39">
              <w:t xml:space="preserve"> require liaising with relevant DNSP</w:t>
            </w:r>
            <w:r w:rsidR="00A35C39">
              <w:t>(s)</w:t>
            </w:r>
            <w:r>
              <w:t>.</w:t>
            </w:r>
          </w:p>
        </w:tc>
      </w:tr>
      <w:tr w:rsidR="008D7F74" w:rsidRPr="00B56D8F" w14:paraId="1698AC29"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3592C912" w14:textId="44F8F7E6" w:rsidR="0059481F" w:rsidRPr="003B1500" w:rsidRDefault="00393FE6" w:rsidP="00C9340F">
            <w:pPr>
              <w:pStyle w:val="Tabletext"/>
            </w:pPr>
            <w:r>
              <w:t>Annual energy and peak de</w:t>
            </w:r>
            <w:r w:rsidRPr="00393FE6">
              <w:t xml:space="preserve">mand of </w:t>
            </w:r>
            <w:r>
              <w:t>c</w:t>
            </w:r>
            <w:r w:rsidR="0059481F">
              <w:t>ommercial</w:t>
            </w:r>
            <w:r w:rsidR="0059481F" w:rsidRPr="003B1500">
              <w:t xml:space="preserve"> </w:t>
            </w:r>
            <w:r w:rsidR="0059481F" w:rsidRPr="006C60AE">
              <w:t>customers affected</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B388AEF" w14:textId="305DB891" w:rsidR="0059481F" w:rsidRPr="004729BB" w:rsidRDefault="0059481F" w:rsidP="00C9340F">
            <w:pPr>
              <w:pStyle w:val="Tabletext"/>
            </w:pPr>
            <w:r w:rsidRPr="004729BB">
              <w:t>TGCP</w:t>
            </w:r>
            <w:r w:rsidRPr="006C60AE">
              <w:t>00</w:t>
            </w:r>
            <w:r w:rsidR="004E557F">
              <w:t>7</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336D309" w14:textId="768CB355" w:rsidR="0059481F" w:rsidRPr="003B1500" w:rsidRDefault="0059481F" w:rsidP="00C9340F">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094ABC71" w14:textId="700BC1A6" w:rsidR="0059481F" w:rsidRPr="003B1500" w:rsidRDefault="00393FE6" w:rsidP="00C9340F">
            <w:pPr>
              <w:pStyle w:val="Tabletext"/>
            </w:pPr>
            <w:r>
              <w:t>MWh, MW</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132BE90F" w14:textId="0A3D2160" w:rsidR="0059481F" w:rsidRPr="003B1500" w:rsidDel="00F30826" w:rsidRDefault="0059481F" w:rsidP="00FC6105">
            <w:pPr>
              <w:pStyle w:val="Tabletext"/>
            </w:pPr>
            <w:r>
              <w:t>The t</w:t>
            </w:r>
            <w:r w:rsidRPr="006662D3">
              <w:t xml:space="preserve">otal number of </w:t>
            </w:r>
            <w:r w:rsidR="004E557F" w:rsidRPr="006662D3">
              <w:t xml:space="preserve">commercial </w:t>
            </w:r>
            <w:r w:rsidRPr="006662D3">
              <w:t xml:space="preserve">customers that are </w:t>
            </w:r>
            <w:r>
              <w:t>connected to the connection point</w:t>
            </w:r>
            <w:r w:rsidR="00FC6105">
              <w:rPr>
                <w:rFonts w:cs="Arial"/>
              </w:rPr>
              <w:t>—</w:t>
            </w:r>
            <w:r w:rsidR="00A35C39" w:rsidRPr="00A35C39">
              <w:t xml:space="preserve"> may require liaising with relevant DNSP(s)</w:t>
            </w:r>
            <w:r>
              <w:t>.</w:t>
            </w:r>
          </w:p>
        </w:tc>
      </w:tr>
      <w:tr w:rsidR="00BA79FD" w:rsidRPr="00B56D8F" w14:paraId="33F84605"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A2881EB" w14:textId="74086F09" w:rsidR="00BA79FD" w:rsidRPr="00BA79FD" w:rsidRDefault="00BA79FD" w:rsidP="00BA79FD">
            <w:pPr>
              <w:pStyle w:val="Tabletext"/>
            </w:pPr>
            <w:r w:rsidRPr="003B1500">
              <w:t>Forecast</w:t>
            </w:r>
            <w:r w:rsidRPr="00BA79FD">
              <w:t xml:space="preserve"> 10%  and 50% Probability of Exceedance (POE) peak demand on maximum demand day</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7F0D15FE" w14:textId="5278A743" w:rsidR="00BA79FD" w:rsidRPr="00BA79FD" w:rsidRDefault="00BA79FD" w:rsidP="00BA79FD">
            <w:pPr>
              <w:pStyle w:val="Tabletext"/>
            </w:pPr>
            <w:r w:rsidRPr="004729BB">
              <w:t>TGCP</w:t>
            </w:r>
            <w:r w:rsidRPr="00BA79FD">
              <w:t>00</w:t>
            </w:r>
            <w:r>
              <w:t>8</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411BAC5" w14:textId="1A06EC37" w:rsidR="00BA79FD" w:rsidRPr="00BA79FD" w:rsidRDefault="00BA79FD" w:rsidP="00BA79FD">
            <w:pPr>
              <w:pStyle w:val="Tabletext"/>
            </w:pPr>
            <w:r w:rsidRPr="003B1500">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736D708" w14:textId="169820E4" w:rsidR="00BA79FD" w:rsidRPr="00BA79FD" w:rsidRDefault="00BA79FD" w:rsidP="00BA79FD">
            <w:pPr>
              <w:pStyle w:val="Tabletext"/>
            </w:pPr>
            <w:r>
              <w:t>YYYY</w:t>
            </w:r>
            <w:r w:rsidRPr="00BA79FD">
              <w:t>; 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7DE421F9" w14:textId="254D902A" w:rsidR="00BA79FD" w:rsidRPr="00BA79FD" w:rsidRDefault="00BA79FD" w:rsidP="00BA79FD">
            <w:pPr>
              <w:pStyle w:val="Tabletext"/>
            </w:pPr>
            <w:r>
              <w:t>T</w:t>
            </w:r>
            <w:r w:rsidRPr="00BA79FD">
              <w:t>en year forecast. The 10% and 50% POE peak demand forecast as well as the forecast daily demand profile expressed in MVA. This should be for the historical maximum demand and minimum demand day for each connection point with historical or emerging limitations.</w:t>
            </w:r>
          </w:p>
        </w:tc>
      </w:tr>
      <w:tr w:rsidR="00BA79FD" w:rsidRPr="00B56D8F" w14:paraId="554A8605"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65B98EA" w14:textId="562A0408" w:rsidR="00BA79FD" w:rsidRPr="00BA79FD" w:rsidRDefault="00BA79FD" w:rsidP="00BA79FD">
            <w:pPr>
              <w:pStyle w:val="Tabletext"/>
            </w:pPr>
            <w:r>
              <w:t>M</w:t>
            </w:r>
            <w:r w:rsidRPr="00BA79FD">
              <w:t>aximum demand on minimum demand day</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30615E3" w14:textId="6AFB1252" w:rsidR="00BA79FD" w:rsidRPr="00BA79FD" w:rsidRDefault="00BA79FD" w:rsidP="00BA79FD">
            <w:pPr>
              <w:pStyle w:val="Tabletext"/>
            </w:pPr>
            <w:r w:rsidRPr="004729BB">
              <w:t>TGCP</w:t>
            </w:r>
            <w:r w:rsidRPr="00BA79FD">
              <w:t>00</w:t>
            </w:r>
            <w:r>
              <w:t>9</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B8266E1" w14:textId="576DE23D" w:rsidR="00BA79FD" w:rsidRPr="00BA79FD" w:rsidRDefault="00BA79FD" w:rsidP="00BA79FD">
            <w:pPr>
              <w:pStyle w:val="Tabletext"/>
            </w:pPr>
            <w:r w:rsidRPr="003B1500">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14B18F2C" w14:textId="1C5233CC" w:rsidR="00BA79FD" w:rsidRPr="00BA79FD" w:rsidRDefault="00BA79FD" w:rsidP="0059333E">
            <w:pPr>
              <w:pStyle w:val="Tabletext"/>
            </w:pPr>
            <w:r>
              <w:t>YYYY</w:t>
            </w:r>
            <w:r w:rsidRPr="00BA79FD">
              <w:t>; MW</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7ACE3EC2" w14:textId="29B08ECC" w:rsidR="00BA79FD" w:rsidRPr="00BA79FD" w:rsidRDefault="00BA79FD" w:rsidP="00BA79FD">
            <w:pPr>
              <w:pStyle w:val="Tabletext"/>
            </w:pPr>
            <w:r>
              <w:t>The maximum demand on the minimum demand day of the year.</w:t>
            </w:r>
          </w:p>
        </w:tc>
      </w:tr>
      <w:tr w:rsidR="00BA79FD" w:rsidRPr="00B56D8F" w14:paraId="4678588B"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C32E1ED" w14:textId="70308795" w:rsidR="00BA79FD" w:rsidRPr="00BA79FD" w:rsidRDefault="00BA79FD" w:rsidP="00BA79FD">
            <w:pPr>
              <w:pStyle w:val="Tabletext"/>
            </w:pPr>
            <w:r w:rsidRPr="003B1500">
              <w:t>Forecast</w:t>
            </w:r>
            <w:r w:rsidRPr="00BA79FD">
              <w:t xml:space="preserve"> daily demand profile on maximum </w:t>
            </w:r>
            <w:r w:rsidRPr="00BA79FD">
              <w:lastRenderedPageBreak/>
              <w:t>demand day</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711F386" w14:textId="2E4DE7B5" w:rsidR="00BA79FD" w:rsidRPr="00BA79FD" w:rsidRDefault="00BA79FD" w:rsidP="00BA79FD">
            <w:pPr>
              <w:pStyle w:val="Tabletext"/>
            </w:pPr>
            <w:r w:rsidRPr="004729BB">
              <w:lastRenderedPageBreak/>
              <w:t>TGCP</w:t>
            </w:r>
            <w:r>
              <w:t>010</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6B83EE3" w14:textId="1DC4DA74" w:rsidR="00BA79FD" w:rsidRPr="00BA79FD" w:rsidRDefault="00BA79FD" w:rsidP="00BA79FD">
            <w:pPr>
              <w:pStyle w:val="Tabletext"/>
            </w:pPr>
            <w:r w:rsidRPr="003B1500">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55150D2" w14:textId="24075A62" w:rsidR="00BA79FD" w:rsidRPr="00BA79FD" w:rsidRDefault="00BA79FD" w:rsidP="00BA79FD">
            <w:pPr>
              <w:pStyle w:val="Tabletext"/>
            </w:pPr>
            <w:r>
              <w:t>YYYY</w:t>
            </w:r>
            <w:r w:rsidRPr="00BA79FD">
              <w:t>; MW</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B9677A2" w14:textId="0A4D7153" w:rsidR="00BA79FD" w:rsidRPr="00BA79FD" w:rsidRDefault="00BA79FD" w:rsidP="00BA79FD">
            <w:pPr>
              <w:pStyle w:val="Tabletext"/>
            </w:pPr>
            <w:r>
              <w:t>See previous</w:t>
            </w:r>
            <w:r w:rsidR="00FC6105">
              <w:t>.</w:t>
            </w:r>
          </w:p>
        </w:tc>
      </w:tr>
      <w:tr w:rsidR="00BA79FD" w:rsidRPr="00B56D8F" w14:paraId="50F8065A"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2B05D09" w14:textId="5FF233A3" w:rsidR="00BA79FD" w:rsidRPr="00BA79FD" w:rsidRDefault="00BA79FD" w:rsidP="00BA79FD">
            <w:pPr>
              <w:pStyle w:val="Tabletext"/>
            </w:pPr>
            <w:r w:rsidRPr="003B1500">
              <w:t>Forecast</w:t>
            </w:r>
            <w:r w:rsidRPr="00BA79FD">
              <w:t xml:space="preserve"> daily demand profile on minimum demand day</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2EDDAC3" w14:textId="5A711073" w:rsidR="00BA79FD" w:rsidRPr="00BA79FD" w:rsidRDefault="00BA79FD" w:rsidP="00BA79FD">
            <w:pPr>
              <w:pStyle w:val="Tabletext"/>
            </w:pPr>
            <w:r w:rsidRPr="003B1500">
              <w:t>TGCP01</w:t>
            </w:r>
            <w:r w:rsidRPr="00BA79FD">
              <w:t>1</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9EE6964" w14:textId="66DB29AA" w:rsidR="00BA79FD" w:rsidRPr="00BA79FD" w:rsidRDefault="00BA79FD" w:rsidP="00BA79FD">
            <w:pPr>
              <w:pStyle w:val="Tabletext"/>
            </w:pPr>
            <w:r w:rsidRPr="003B1500">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A4E1984" w14:textId="455FEBFF" w:rsidR="00BA79FD" w:rsidRPr="00BA79FD" w:rsidRDefault="00BA79FD" w:rsidP="00BA79FD">
            <w:pPr>
              <w:pStyle w:val="Tabletext"/>
            </w:pPr>
            <w:r>
              <w:t>YYYY</w:t>
            </w:r>
            <w:r w:rsidRPr="00BA79FD">
              <w:t>; MW</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11359DEB" w14:textId="38B06128" w:rsidR="00BA79FD" w:rsidRPr="00BA79FD" w:rsidRDefault="00BA79FD" w:rsidP="00BA79FD">
            <w:pPr>
              <w:pStyle w:val="Tabletext"/>
            </w:pPr>
            <w:r>
              <w:t>See previous</w:t>
            </w:r>
            <w:r w:rsidR="00FC6105">
              <w:t>.</w:t>
            </w:r>
          </w:p>
        </w:tc>
      </w:tr>
      <w:tr w:rsidR="00BA79FD" w:rsidRPr="00B56D8F" w14:paraId="6095E89A"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2846651" w14:textId="77777777" w:rsidR="00BA79FD" w:rsidRPr="00BA79FD" w:rsidRDefault="00BA79FD" w:rsidP="00BA79FD">
            <w:pPr>
              <w:pStyle w:val="Tabletext"/>
            </w:pPr>
            <w:r w:rsidRPr="003B1500">
              <w:t>Voltage level</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C561647" w14:textId="3E90FCFF" w:rsidR="00BA79FD" w:rsidRPr="00BA79FD" w:rsidRDefault="00BA79FD" w:rsidP="00BA79FD">
            <w:pPr>
              <w:pStyle w:val="Tabletext"/>
            </w:pPr>
            <w:r w:rsidRPr="003B1500">
              <w:t>TGCP01</w:t>
            </w:r>
            <w:r w:rsidRPr="00BA79FD">
              <w:t>2</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A18E83" w14:textId="77777777" w:rsidR="00BA79FD" w:rsidRPr="00BA79FD" w:rsidRDefault="00BA79FD" w:rsidP="00BA79FD">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E526EE" w14:textId="77777777" w:rsidR="00BA79FD" w:rsidRPr="00BA79FD" w:rsidRDefault="00BA79FD" w:rsidP="00BA79FD">
            <w:pPr>
              <w:pStyle w:val="Tabletext"/>
            </w:pPr>
            <w:r>
              <w:t>k</w:t>
            </w:r>
            <w:r w:rsidRPr="00BA79FD">
              <w:t>V</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71375AB" w14:textId="661DE10E" w:rsidR="00BA79FD" w:rsidRPr="00BA79FD" w:rsidRDefault="00BA79FD" w:rsidP="00BA79FD">
            <w:pPr>
              <w:pStyle w:val="Tabletext"/>
            </w:pPr>
            <w:r w:rsidRPr="003B1500">
              <w:t xml:space="preserve">Highest operational voltage level of the assets involved </w:t>
            </w:r>
            <w:r w:rsidRPr="00BA79FD">
              <w:t>at the constraint.</w:t>
            </w:r>
          </w:p>
        </w:tc>
      </w:tr>
      <w:tr w:rsidR="00BA79FD" w:rsidRPr="00B56D8F" w14:paraId="1552846E"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20940B9" w14:textId="53E52FAC" w:rsidR="00BA79FD" w:rsidRPr="00BA79FD" w:rsidRDefault="00BA79FD" w:rsidP="00BA79FD">
            <w:pPr>
              <w:pStyle w:val="Tabletext"/>
            </w:pPr>
            <w:r>
              <w:t>Forecast m</w:t>
            </w:r>
            <w:r w:rsidRPr="00BA79FD">
              <w:t>aximum load at risk per year</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804DECF" w14:textId="08F585A3" w:rsidR="00BA79FD" w:rsidRPr="00BA79FD" w:rsidRDefault="00BA79FD" w:rsidP="00BA79FD">
            <w:pPr>
              <w:pStyle w:val="Tabletext"/>
            </w:pPr>
            <w:r w:rsidRPr="003B1500">
              <w:t>TGCP01</w:t>
            </w:r>
            <w:r>
              <w:t>3</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E490BB" w14:textId="77777777" w:rsidR="00BA79FD" w:rsidRPr="00BA79FD" w:rsidRDefault="00BA79FD" w:rsidP="00BA79FD">
            <w:pPr>
              <w:pStyle w:val="Tabletext"/>
            </w:pPr>
            <w:r w:rsidRPr="003B1500">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910E21" w14:textId="05DF1FF5" w:rsidR="00BA79FD" w:rsidRPr="00BA79FD" w:rsidRDefault="00BA79FD" w:rsidP="00BA79FD">
            <w:pPr>
              <w:pStyle w:val="Tabletext"/>
            </w:pPr>
            <w:r w:rsidRPr="003B1500">
              <w:t xml:space="preserve">YYYY; </w:t>
            </w:r>
            <w:r w:rsidRPr="00BA79FD">
              <w:t>MW and 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BD7EAAC" w14:textId="3F2123EC" w:rsidR="00BA79FD" w:rsidRPr="00BA79FD" w:rsidRDefault="00BA79FD" w:rsidP="00BA79FD">
            <w:pPr>
              <w:pStyle w:val="Tabletext"/>
            </w:pPr>
            <w:r>
              <w:t>Maximum load at risk per year f</w:t>
            </w:r>
            <w:r w:rsidRPr="00BA79FD">
              <w:t>or all years constraint is forecast to occur (leave blank if not applicable)</w:t>
            </w:r>
            <w:r w:rsidR="00FC6105">
              <w:t>.</w:t>
            </w:r>
          </w:p>
        </w:tc>
      </w:tr>
      <w:tr w:rsidR="00BA79FD" w:rsidRPr="00B56D8F" w14:paraId="76D63E9C"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9AF2F6E" w14:textId="66AA90F6" w:rsidR="00BA79FD" w:rsidRPr="00BA79FD" w:rsidRDefault="00BA79FD" w:rsidP="00BA79FD">
            <w:pPr>
              <w:pStyle w:val="Tabletext"/>
            </w:pPr>
            <w:r w:rsidRPr="00BA79FD">
              <w:rPr>
                <w:rStyle w:val="Strong"/>
                <w:b w:val="0"/>
                <w:bCs w:val="0"/>
              </w:rPr>
              <w:t>Connection point load duration curve data</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70BB3CAA" w14:textId="7C2D990A" w:rsidR="00BA79FD" w:rsidRPr="00BA79FD" w:rsidRDefault="00BA79FD" w:rsidP="00BA79FD">
            <w:pPr>
              <w:pStyle w:val="Tabletext"/>
            </w:pPr>
            <w:r w:rsidRPr="003B1500">
              <w:t>TGCP01</w:t>
            </w:r>
            <w:r>
              <w:t>4</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133E51" w14:textId="77777777" w:rsidR="00BA79FD" w:rsidRPr="00BA79FD" w:rsidRDefault="00BA79FD" w:rsidP="00BA79FD">
            <w:pPr>
              <w:pStyle w:val="Tabletext"/>
            </w:pPr>
            <w:r w:rsidRPr="003B1500">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F4A8D4E" w14:textId="7D2FB096" w:rsidR="00BA79FD" w:rsidRPr="006C60AE" w:rsidRDefault="00BA79FD" w:rsidP="00BA79FD">
            <w:pPr>
              <w:pStyle w:val="Tabletext"/>
            </w:pP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1BC80B" w14:textId="0FE40F45" w:rsidR="00BA79FD" w:rsidRPr="00BA79FD" w:rsidRDefault="00BA79FD" w:rsidP="00BA79FD">
            <w:pPr>
              <w:pStyle w:val="Tabletext"/>
            </w:pPr>
            <w:r>
              <w:t>H</w:t>
            </w:r>
            <w:r w:rsidRPr="00BA79FD">
              <w:t>alf hourly data for annual</w:t>
            </w:r>
            <w:r w:rsidR="0059333E">
              <w:t xml:space="preserve"> load</w:t>
            </w:r>
            <w:r w:rsidRPr="00BA79FD">
              <w:t xml:space="preserve"> duration curve.</w:t>
            </w:r>
          </w:p>
        </w:tc>
      </w:tr>
      <w:tr w:rsidR="00BA79FD" w:rsidRPr="00B56D8F" w14:paraId="143665E7"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2CE71A" w14:textId="37B0DFB2" w:rsidR="00BA79FD" w:rsidRPr="00BA79FD" w:rsidRDefault="00BA79FD" w:rsidP="00BA79FD">
            <w:pPr>
              <w:pStyle w:val="Tabletext"/>
            </w:pPr>
            <w:r w:rsidRPr="003B1500">
              <w:t>Preferred investment</w:t>
            </w:r>
            <w:r w:rsidRPr="00BA79FD">
              <w:t>—Description</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19AA90D0" w14:textId="6CC3240E" w:rsidR="00BA79FD" w:rsidRPr="00BA79FD" w:rsidRDefault="00BA79FD" w:rsidP="00BA79FD">
            <w:pPr>
              <w:pStyle w:val="Tabletext"/>
            </w:pPr>
            <w:r w:rsidRPr="003B1500">
              <w:t>TGCP0</w:t>
            </w:r>
            <w:r w:rsidRPr="00BA79FD">
              <w:t>15</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F82302A" w14:textId="77777777" w:rsidR="00BA79FD" w:rsidRPr="00BA79FD" w:rsidRDefault="00BA79FD" w:rsidP="00BA79FD">
            <w:pPr>
              <w:pStyle w:val="Tabletext"/>
            </w:pPr>
            <w:r w:rsidRPr="003B1500">
              <w:t>Text</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07E825E" w14:textId="77777777" w:rsidR="00BA79FD" w:rsidRPr="00BA79FD" w:rsidRDefault="00BA79FD" w:rsidP="00BA79FD">
            <w:pPr>
              <w:pStyle w:val="Tabletext"/>
            </w:pPr>
            <w:r w:rsidRPr="003B1500">
              <w:t> </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B2D51B7" w14:textId="22C987E5" w:rsidR="00BA79FD" w:rsidRPr="00BA79FD" w:rsidRDefault="00BA79FD" w:rsidP="00BA79FD">
            <w:pPr>
              <w:pStyle w:val="Tabletext"/>
            </w:pPr>
            <w:r>
              <w:t>Provide b</w:t>
            </w:r>
            <w:r w:rsidRPr="00BA79FD">
              <w:t>rief description of the project, its scope and anticipated effec</w:t>
            </w:r>
            <w:r w:rsidR="00FC6105">
              <w:t>t on the constraint: Free text.</w:t>
            </w:r>
          </w:p>
          <w:p w14:paraId="372EA9D7" w14:textId="326B287A" w:rsidR="00BA79FD" w:rsidRPr="00BA79FD" w:rsidRDefault="00BA79FD" w:rsidP="00FC6105">
            <w:pPr>
              <w:pStyle w:val="Tabletext"/>
            </w:pPr>
            <w:r w:rsidRPr="006C60AE">
              <w:t>This will inform non-network provider</w:t>
            </w:r>
            <w:r w:rsidR="00FC6105">
              <w:t>s</w:t>
            </w:r>
            <w:r w:rsidRPr="006C60AE">
              <w:t xml:space="preserve"> of what sort of network investment </w:t>
            </w:r>
            <w:r w:rsidRPr="00BA79FD">
              <w:t>(capex or opex) the TNSP is contemplating to address the need.</w:t>
            </w:r>
          </w:p>
        </w:tc>
      </w:tr>
      <w:tr w:rsidR="00BA79FD" w:rsidRPr="00B56D8F" w14:paraId="045F614A"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5F000F9" w14:textId="0AB2B1AA" w:rsidR="00BA79FD" w:rsidRPr="00BA79FD" w:rsidRDefault="00BA79FD" w:rsidP="00BA79FD">
            <w:pPr>
              <w:pStyle w:val="Tabletext"/>
            </w:pPr>
            <w:r w:rsidRPr="003B1500">
              <w:t xml:space="preserve">Preferred investment </w:t>
            </w:r>
            <w:r w:rsidRPr="00BA79FD">
              <w:t>—Capital cost</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36210D2" w14:textId="154B2A98" w:rsidR="00BA79FD" w:rsidRPr="00BA79FD" w:rsidRDefault="00BA79FD" w:rsidP="00BA79FD">
            <w:pPr>
              <w:pStyle w:val="Tabletext"/>
            </w:pPr>
            <w:r w:rsidRPr="003B1500">
              <w:t>TGCP0</w:t>
            </w:r>
            <w:r w:rsidRPr="00BA79FD">
              <w:t>16</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42C2341" w14:textId="2E437CEF" w:rsidR="00BA79FD" w:rsidRPr="00BA79FD" w:rsidRDefault="00BA79FD" w:rsidP="00BA79FD">
            <w:pPr>
              <w:pStyle w:val="Tabletext"/>
            </w:pPr>
            <w:r w:rsidRPr="004B60F3">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C513BB8" w14:textId="71E9C28E" w:rsidR="00BA79FD" w:rsidRPr="00BA79FD" w:rsidRDefault="00BA79FD" w:rsidP="00BA79FD">
            <w:pPr>
              <w:pStyle w:val="Tabletext"/>
            </w:pPr>
            <w:r w:rsidRPr="004B60F3">
              <w:t>YYYY</w:t>
            </w:r>
            <w:r w:rsidRPr="00BA79FD">
              <w:t>, $ millions (nominal)</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36CEA26" w14:textId="09C9F92B" w:rsidR="00BA79FD" w:rsidRPr="00BA79FD" w:rsidRDefault="00BA79FD" w:rsidP="00FC6105">
            <w:pPr>
              <w:pStyle w:val="Tabletext"/>
            </w:pPr>
            <w:r w:rsidRPr="006C60AE">
              <w:t>This will inform non-network provider</w:t>
            </w:r>
            <w:r w:rsidR="00FC6105">
              <w:t>s</w:t>
            </w:r>
            <w:r w:rsidRPr="006C60AE">
              <w:t xml:space="preserve"> of </w:t>
            </w:r>
            <w:r w:rsidRPr="00BA79FD">
              <w:t>the annual magnitude of network investment the TNSP is contemplating to address the need.</w:t>
            </w:r>
          </w:p>
        </w:tc>
      </w:tr>
      <w:tr w:rsidR="00BA79FD" w:rsidRPr="00B56D8F" w14:paraId="2EFD71CB"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24112C" w14:textId="0013F041" w:rsidR="00BA79FD" w:rsidRPr="00BA79FD" w:rsidRDefault="00BA79FD" w:rsidP="00BA79FD">
            <w:pPr>
              <w:pStyle w:val="Tabletext"/>
            </w:pPr>
            <w:r w:rsidRPr="003B1500">
              <w:t xml:space="preserve">Preferred </w:t>
            </w:r>
            <w:r w:rsidRPr="00BA79FD">
              <w:t>investment —Annual network operating cost</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4B3B527" w14:textId="7FADC648" w:rsidR="00BA79FD" w:rsidRPr="00BA79FD" w:rsidRDefault="00BA79FD" w:rsidP="00BA79FD">
            <w:pPr>
              <w:pStyle w:val="Tabletext"/>
            </w:pPr>
            <w:r w:rsidRPr="003B1500">
              <w:t>TGCP0</w:t>
            </w:r>
            <w:r w:rsidRPr="00BA79FD">
              <w:t>17</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396FC8" w14:textId="790A00A7" w:rsidR="00BA79FD" w:rsidRPr="00BA79FD" w:rsidRDefault="00BA79FD" w:rsidP="00BA79FD">
            <w:pPr>
              <w:pStyle w:val="Tabletext"/>
            </w:pPr>
            <w:r w:rsidRPr="004B60F3">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824AF5" w14:textId="59F867D3" w:rsidR="00BA79FD" w:rsidRPr="00BA79FD" w:rsidRDefault="00BA79FD" w:rsidP="00BA79FD">
            <w:pPr>
              <w:pStyle w:val="Tabletext"/>
            </w:pPr>
            <w:r w:rsidRPr="004B60F3">
              <w:t xml:space="preserve">YYYY, </w:t>
            </w:r>
            <w:r w:rsidRPr="00BA79FD">
              <w:t>$ (nominal)</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828A38" w14:textId="3218AA80" w:rsidR="00BA79FD" w:rsidRPr="00BA79FD" w:rsidRDefault="00BA79FD" w:rsidP="00BA79FD">
            <w:pPr>
              <w:pStyle w:val="Tabletext"/>
            </w:pPr>
            <w:r w:rsidRPr="003B1500">
              <w:t>Annual operating costs (including overheads</w:t>
            </w:r>
            <w:r w:rsidRPr="00BA79FD">
              <w:t>)</w:t>
            </w:r>
            <w:r w:rsidR="00FC6105">
              <w:t>.</w:t>
            </w:r>
          </w:p>
        </w:tc>
      </w:tr>
      <w:tr w:rsidR="00BA79FD" w:rsidRPr="00B56D8F" w14:paraId="092F0123" w14:textId="77777777" w:rsidTr="00BA79FD">
        <w:trPr>
          <w:trHeight w:val="249"/>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033E5B" w14:textId="3E52A391" w:rsidR="00BA79FD" w:rsidRPr="00BA79FD" w:rsidRDefault="00BA79FD" w:rsidP="00BA79FD">
            <w:pPr>
              <w:pStyle w:val="Tabletext"/>
            </w:pPr>
            <w:r w:rsidRPr="003B1500">
              <w:t>Preferred</w:t>
            </w:r>
            <w:r w:rsidRPr="00BA79FD">
              <w:t xml:space="preserve"> investment— Cost accuracy</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37BF915" w14:textId="489CB9C8" w:rsidR="00BA79FD" w:rsidRPr="00BA79FD" w:rsidRDefault="00BA79FD" w:rsidP="00BA79FD">
            <w:pPr>
              <w:pStyle w:val="Tabletext"/>
            </w:pPr>
            <w:r w:rsidRPr="003B1500">
              <w:t>TGCP0</w:t>
            </w:r>
            <w:r w:rsidRPr="00BA79FD">
              <w:t>18</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0F742B" w14:textId="77777777" w:rsidR="00BA79FD" w:rsidRPr="00BA79FD" w:rsidRDefault="00BA79FD" w:rsidP="00BA79FD">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9E871C9" w14:textId="77777777" w:rsidR="00BA79FD" w:rsidRPr="00BA79FD" w:rsidRDefault="00BA79FD" w:rsidP="00BA79FD">
            <w:pPr>
              <w:pStyle w:val="Tabletext"/>
            </w:pPr>
            <w:r w:rsidRPr="003B1500">
              <w:t>%</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61EF88" w14:textId="6F4AB115" w:rsidR="00BA79FD" w:rsidRPr="00BA79FD" w:rsidRDefault="00BA79FD" w:rsidP="00BA79FD">
            <w:pPr>
              <w:pStyle w:val="Tabletext"/>
            </w:pPr>
            <w:r w:rsidRPr="006C60AE">
              <w:t xml:space="preserve">Use </w:t>
            </w:r>
            <w:r w:rsidRPr="00BA79FD">
              <w:t>0.15 for +/-15%</w:t>
            </w:r>
            <w:r w:rsidR="00FC6105">
              <w:t>.</w:t>
            </w:r>
          </w:p>
        </w:tc>
      </w:tr>
      <w:tr w:rsidR="00BA79FD" w:rsidRPr="00B56D8F" w14:paraId="4B22E1C6"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B4B4F30" w14:textId="203AB813" w:rsidR="00BA79FD" w:rsidRPr="00BA79FD" w:rsidRDefault="00BA79FD" w:rsidP="00BA79FD">
            <w:pPr>
              <w:pStyle w:val="Tabletext"/>
            </w:pPr>
            <w:r w:rsidRPr="003B1500">
              <w:t>Preferred investment</w:t>
            </w:r>
            <w:r w:rsidRPr="00BA79FD">
              <w:t>— Proposed timing</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4329DC79" w14:textId="3F9010C9" w:rsidR="00BA79FD" w:rsidRPr="00BA79FD" w:rsidRDefault="00BA79FD" w:rsidP="00BA79FD">
            <w:pPr>
              <w:pStyle w:val="Tabletext"/>
            </w:pPr>
            <w:r w:rsidRPr="003B1500">
              <w:t>TGCP0</w:t>
            </w:r>
            <w:r w:rsidRPr="00BA79FD">
              <w:t>19</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7FBE77F" w14:textId="77777777" w:rsidR="00BA79FD" w:rsidRPr="00BA79FD" w:rsidRDefault="00BA79FD" w:rsidP="00BA79FD">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ECCF4C" w14:textId="2B65010D" w:rsidR="00BA79FD" w:rsidRPr="00BA79FD" w:rsidRDefault="00BA79FD" w:rsidP="00BA79FD">
            <w:pPr>
              <w:pStyle w:val="Tabletext"/>
            </w:pPr>
            <w:r w:rsidRPr="003B1500">
              <w:t>MM</w:t>
            </w:r>
            <w:r w:rsidRPr="00BA79FD">
              <w:t>-YYYY</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B30C0FB" w14:textId="5F7A19CE" w:rsidR="00BA79FD" w:rsidRPr="00BA79FD" w:rsidRDefault="00463378" w:rsidP="00BA79FD">
            <w:pPr>
              <w:pStyle w:val="Tabletext"/>
            </w:pPr>
            <w:r>
              <w:t>T</w:t>
            </w:r>
            <w:r w:rsidR="00BA79FD" w:rsidRPr="00BA79FD">
              <w:t>he timing for delivery of the solution.  It will provide non-network provider</w:t>
            </w:r>
            <w:r w:rsidR="00FC6105">
              <w:t>s</w:t>
            </w:r>
            <w:r w:rsidR="00BA79FD" w:rsidRPr="00BA79FD">
              <w:t xml:space="preserve"> sufficient information on when </w:t>
            </w:r>
            <w:r w:rsidR="00FC6105">
              <w:t>a</w:t>
            </w:r>
            <w:r w:rsidR="00BA79FD" w:rsidRPr="00BA79FD">
              <w:t xml:space="preserve"> solution</w:t>
            </w:r>
            <w:r w:rsidR="00FC6105">
              <w:t xml:space="preserve"> is required.</w:t>
            </w:r>
          </w:p>
          <w:p w14:paraId="78D9807B" w14:textId="6F14679B" w:rsidR="00BA79FD" w:rsidRPr="00BA79FD" w:rsidRDefault="00BA79FD" w:rsidP="00BA79FD">
            <w:pPr>
              <w:pStyle w:val="Tabletext"/>
            </w:pPr>
            <w:r>
              <w:t>Where it contains multiple timings for various stages, list timings of each stage.</w:t>
            </w:r>
          </w:p>
        </w:tc>
      </w:tr>
      <w:tr w:rsidR="00BA79FD" w:rsidRPr="00B56D8F" w14:paraId="41147162" w14:textId="77777777" w:rsidTr="00BA79FD">
        <w:trPr>
          <w:trHeight w:val="79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3C42C6" w14:textId="17909150" w:rsidR="00BA79FD" w:rsidRPr="00BA79FD" w:rsidRDefault="00BA79FD" w:rsidP="00BA79FD">
            <w:pPr>
              <w:pStyle w:val="Tabletext"/>
            </w:pPr>
            <w:r w:rsidRPr="003B1500">
              <w:t>Demand reduction required to defer investment by</w:t>
            </w:r>
            <w:r w:rsidR="0059333E">
              <w:t xml:space="preserve"> </w:t>
            </w:r>
            <w:r w:rsidRPr="003B1500">
              <w:t>1 year</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6DA513C" w14:textId="14E0D4C6" w:rsidR="00BA79FD" w:rsidRPr="00BA79FD" w:rsidRDefault="00BA79FD" w:rsidP="00BA79FD">
            <w:pPr>
              <w:pStyle w:val="Tabletext"/>
            </w:pPr>
            <w:r w:rsidRPr="003B1500">
              <w:t>TGCP0</w:t>
            </w:r>
            <w:r w:rsidRPr="00BA79FD">
              <w:t>20</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06B6A8C" w14:textId="77777777" w:rsidR="00BA79FD" w:rsidRPr="00BA79FD" w:rsidRDefault="00BA79FD" w:rsidP="00BA79FD">
            <w:pPr>
              <w:pStyle w:val="Tabletext"/>
            </w:pPr>
            <w:r w:rsidRPr="003B1500">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3E37173" w14:textId="77777777" w:rsidR="00BA79FD" w:rsidRPr="00BA79FD" w:rsidRDefault="00BA79FD" w:rsidP="00BA79FD">
            <w:pPr>
              <w:pStyle w:val="Tabletext"/>
            </w:pPr>
            <w:r w:rsidRPr="003B1500">
              <w:t>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7841488" w14:textId="64BD2408" w:rsidR="00BA79FD" w:rsidRPr="00BA79FD" w:rsidRDefault="00BA79FD" w:rsidP="00BA79FD">
            <w:pPr>
              <w:pStyle w:val="Tabletext"/>
            </w:pPr>
            <w:r>
              <w:t>Applicable for capacity driven investment.</w:t>
            </w:r>
          </w:p>
        </w:tc>
      </w:tr>
      <w:tr w:rsidR="00BA79FD" w:rsidRPr="00B56D8F" w14:paraId="0BF2C8D4"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84E9D7C" w14:textId="419C3E10" w:rsidR="00BA79FD" w:rsidRPr="00BA79FD" w:rsidRDefault="00BA79FD" w:rsidP="00BA79FD">
            <w:pPr>
              <w:pStyle w:val="Tabletext"/>
            </w:pPr>
            <w:r w:rsidRPr="00C47DAC">
              <w:t>Annual deferral value</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0AFC7292" w14:textId="104F7D09" w:rsidR="00BA79FD" w:rsidRPr="00BA79FD" w:rsidRDefault="00BA79FD" w:rsidP="00BA79FD">
            <w:pPr>
              <w:pStyle w:val="Tabletext"/>
            </w:pPr>
            <w:r w:rsidRPr="003B1500">
              <w:t>TGCP0</w:t>
            </w:r>
            <w:r w:rsidRPr="00BA79FD">
              <w:t>21</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C3FA52" w14:textId="0A00146A" w:rsidR="00BA79FD" w:rsidRPr="00BA79FD" w:rsidRDefault="00BA79FD" w:rsidP="00BA79FD">
            <w:pPr>
              <w:pStyle w:val="Tabletext"/>
            </w:pPr>
            <w:r w:rsidRPr="004B60F3">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666E6DE" w14:textId="6D54367E" w:rsidR="00BA79FD" w:rsidRPr="00BA79FD" w:rsidRDefault="00BA79FD" w:rsidP="00BA79FD">
            <w:pPr>
              <w:pStyle w:val="Tabletext"/>
            </w:pPr>
            <w:r>
              <w:t xml:space="preserve">YYYY, </w:t>
            </w:r>
            <w:r w:rsidRPr="00BA79FD">
              <w:t>$ (nominal)</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4B3ACA3" w14:textId="61C9F0E1" w:rsidR="00BA79FD" w:rsidRPr="00BA79FD" w:rsidRDefault="00BA79FD" w:rsidP="00BA79FD">
            <w:pPr>
              <w:pStyle w:val="Tabletext"/>
            </w:pPr>
            <w:r w:rsidRPr="00C47DAC">
              <w:t>Applicable for capacity driven investment.</w:t>
            </w:r>
          </w:p>
        </w:tc>
      </w:tr>
      <w:tr w:rsidR="00BA79FD" w:rsidRPr="00B56D8F" w14:paraId="1F1FE0EA"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C0F17CC" w14:textId="13B44AB2" w:rsidR="00BA79FD" w:rsidRPr="00BA79FD" w:rsidRDefault="00BA79FD" w:rsidP="00BA79FD">
            <w:pPr>
              <w:pStyle w:val="Tabletext"/>
            </w:pPr>
            <w:r w:rsidRPr="00C47DAC">
              <w:t xml:space="preserve">Load transfer </w:t>
            </w:r>
            <w:r w:rsidRPr="00BA79FD">
              <w:t>capacity</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A10E272" w14:textId="547C7239" w:rsidR="00BA79FD" w:rsidRPr="00BA79FD" w:rsidRDefault="00BA79FD" w:rsidP="00BA79FD">
            <w:pPr>
              <w:pStyle w:val="Tabletext"/>
            </w:pPr>
            <w:r w:rsidRPr="003B1500">
              <w:t>TGCP0</w:t>
            </w:r>
            <w:r w:rsidRPr="00BA79FD">
              <w:t>22</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4CC1AA3" w14:textId="77777777" w:rsidR="00BA79FD" w:rsidRPr="00BA79FD" w:rsidRDefault="00BA79FD" w:rsidP="00BA79FD">
            <w:pPr>
              <w:pStyle w:val="Tabletext"/>
            </w:pPr>
            <w:r w:rsidRPr="00C47DAC">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526B648" w14:textId="6B67B31E" w:rsidR="00BA79FD" w:rsidRPr="00BA79FD" w:rsidRDefault="00BA79FD" w:rsidP="00BA79FD">
            <w:pPr>
              <w:pStyle w:val="Tabletext"/>
            </w:pPr>
            <w:r>
              <w:t xml:space="preserve">YYYY, </w:t>
            </w:r>
            <w:r w:rsidRPr="00BA79FD">
              <w:t xml:space="preserve">MVA </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92BC48A" w14:textId="7259D26D" w:rsidR="00BA79FD" w:rsidRPr="00BA79FD" w:rsidRDefault="00BA79FD" w:rsidP="00BA79FD">
            <w:pPr>
              <w:pStyle w:val="Tabletext"/>
            </w:pPr>
            <w:r w:rsidRPr="00C47DAC">
              <w:t>Required if the connection point is subject to a constraint or an investment</w:t>
            </w:r>
            <w:r w:rsidRPr="00BA79FD">
              <w:t xml:space="preserve"> is being considered/taking place that would provide </w:t>
            </w:r>
            <w:r w:rsidRPr="00BA79FD">
              <w:lastRenderedPageBreak/>
              <w:t>load transfer capacity.</w:t>
            </w:r>
          </w:p>
        </w:tc>
      </w:tr>
      <w:tr w:rsidR="00BA79FD" w:rsidRPr="00B56D8F" w14:paraId="19F9BFB6"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043160" w14:textId="77777777" w:rsidR="00BA79FD" w:rsidRPr="00BA79FD" w:rsidRDefault="00BA79FD" w:rsidP="00BA79FD">
            <w:pPr>
              <w:pStyle w:val="Tabletext"/>
            </w:pPr>
            <w:r w:rsidRPr="00C47DAC">
              <w:lastRenderedPageBreak/>
              <w:t>Historic load trace</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CE6E47A" w14:textId="4536D823" w:rsidR="00BA79FD" w:rsidRPr="00BA79FD" w:rsidRDefault="00BA79FD" w:rsidP="00BA79FD">
            <w:pPr>
              <w:pStyle w:val="Tabletext"/>
            </w:pPr>
            <w:r w:rsidRPr="003B1500">
              <w:t>TGCP0</w:t>
            </w:r>
            <w:r w:rsidRPr="00BA79FD">
              <w:t>23</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0D7E36E" w14:textId="77777777" w:rsidR="00BA79FD" w:rsidRPr="00BA79FD" w:rsidRDefault="00BA79FD" w:rsidP="00BA79FD">
            <w:pPr>
              <w:pStyle w:val="Tabletext"/>
            </w:pPr>
            <w:r w:rsidRPr="00C47DAC">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3CB4E5" w14:textId="63A1BD79" w:rsidR="00BA79FD" w:rsidRPr="00BA79FD" w:rsidRDefault="00BA79FD" w:rsidP="00BA79FD">
            <w:pPr>
              <w:pStyle w:val="Tabletext"/>
            </w:pPr>
            <w:r w:rsidRPr="00C47DAC">
              <w:t>HH:MM DD/MM/YYYY MW; 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F4AF66" w14:textId="282B6A42" w:rsidR="00BA79FD" w:rsidRPr="00BA79FD" w:rsidRDefault="00BA79FD" w:rsidP="00FC6105">
            <w:pPr>
              <w:pStyle w:val="Tabletext"/>
            </w:pPr>
            <w:r w:rsidRPr="00D73E25">
              <w:rPr>
                <w:rStyle w:val="Strong"/>
                <w:b w:val="0"/>
                <w:bCs w:val="0"/>
              </w:rPr>
              <w:t>Historic load trace</w:t>
            </w:r>
            <w:r w:rsidRPr="00BA79FD">
              <w:rPr>
                <w:rStyle w:val="Strong"/>
              </w:rPr>
              <w:t xml:space="preserve"> </w:t>
            </w:r>
            <w:r w:rsidRPr="00BA79FD">
              <w:t>must be provided for the past 3 years and deliver information at a maximum 30 minute intervals (e.g. 5 minute intervals might also be appropriate); uncleansed. It must be expressed in MW and MVA.</w:t>
            </w:r>
          </w:p>
        </w:tc>
      </w:tr>
      <w:tr w:rsidR="00BA79FD" w:rsidRPr="00B56D8F" w14:paraId="1313411F"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D3C72ED" w14:textId="02A5D81B" w:rsidR="00BA79FD" w:rsidRPr="00BA79FD" w:rsidRDefault="00BA79FD" w:rsidP="00BA79FD">
            <w:pPr>
              <w:pStyle w:val="Tabletext"/>
            </w:pPr>
            <w:r w:rsidRPr="00C47DAC">
              <w:t>Historic connection point rating</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3119E5A" w14:textId="640E91FA" w:rsidR="00BA79FD" w:rsidRPr="00BA79FD" w:rsidRDefault="00BA79FD" w:rsidP="00BA79FD">
            <w:pPr>
              <w:pStyle w:val="Tabletext"/>
            </w:pPr>
            <w:r w:rsidRPr="003B1500">
              <w:t>TGCP0</w:t>
            </w:r>
            <w:r w:rsidRPr="00BA79FD">
              <w:t>24</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5F4BBA3" w14:textId="77777777" w:rsidR="00BA79FD" w:rsidRPr="00BA79FD" w:rsidRDefault="00BA79FD" w:rsidP="00BA79FD">
            <w:pPr>
              <w:pStyle w:val="Tabletext"/>
            </w:pPr>
            <w:r w:rsidRPr="00C47DAC">
              <w:t>Series</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8CF26FE" w14:textId="77777777" w:rsidR="00BA79FD" w:rsidRPr="00BA79FD" w:rsidRDefault="00BA79FD" w:rsidP="00BA79FD">
            <w:pPr>
              <w:pStyle w:val="Tabletext"/>
            </w:pPr>
            <w:r w:rsidRPr="00C47DAC">
              <w:t>HH:MM DD/MM/YYYY 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0972FD9" w14:textId="4390B73F" w:rsidR="00BA79FD" w:rsidRPr="00BA79FD" w:rsidRDefault="00BA79FD" w:rsidP="00BA79FD">
            <w:pPr>
              <w:pStyle w:val="Tabletext"/>
            </w:pPr>
            <w:r w:rsidRPr="00C47DAC">
              <w:t>The summer and winter ratings for the past 3 years at that connection point. This must be for major components at connection points with historical or emerging network limitations.</w:t>
            </w:r>
          </w:p>
        </w:tc>
      </w:tr>
      <w:tr w:rsidR="00BA79FD" w:rsidRPr="00B56D8F" w14:paraId="243EB546"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CC16FBD" w14:textId="5C58FFFD" w:rsidR="00BA79FD" w:rsidRPr="00BA79FD" w:rsidRDefault="00BA79FD" w:rsidP="00BA79FD">
            <w:pPr>
              <w:pStyle w:val="Tabletext"/>
            </w:pPr>
            <w:r w:rsidRPr="00C47DAC">
              <w:t>Limitation asset</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3E890BC" w14:textId="1E0306CE" w:rsidR="00BA79FD" w:rsidRPr="00BA79FD" w:rsidRDefault="00BA79FD" w:rsidP="00BA79FD">
            <w:pPr>
              <w:pStyle w:val="Tabletext"/>
            </w:pPr>
            <w:r>
              <w:t>TGPC025</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C054581" w14:textId="0712F352" w:rsidR="00BA79FD" w:rsidRPr="00BA79FD" w:rsidRDefault="00BA79FD" w:rsidP="00BA79FD">
            <w:pPr>
              <w:pStyle w:val="Tabletext"/>
            </w:pPr>
            <w:r w:rsidRPr="00C47DAC">
              <w:t>Text</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1482B18" w14:textId="532CAE4C" w:rsidR="00BA79FD" w:rsidRPr="00C47DAC" w:rsidRDefault="00BA79FD" w:rsidP="00BA79FD">
            <w:pPr>
              <w:pStyle w:val="Tabletext"/>
            </w:pP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8AA31A1" w14:textId="7025B005" w:rsidR="00BA79FD" w:rsidRPr="00BA79FD" w:rsidRDefault="00BA79FD" w:rsidP="00BA79FD">
            <w:pPr>
              <w:pStyle w:val="Tabletext"/>
            </w:pPr>
            <w:r w:rsidRPr="00C47DAC">
              <w:t>Information must be supplied on the specific asset(s) leading to the constraint, where applicable.</w:t>
            </w:r>
          </w:p>
        </w:tc>
      </w:tr>
      <w:tr w:rsidR="00BA79FD" w:rsidRPr="00B56D8F" w14:paraId="5D141B99"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0638105" w14:textId="7417BCA8" w:rsidR="00BA79FD" w:rsidRPr="00BA79FD" w:rsidRDefault="00BA79FD" w:rsidP="00BA79FD">
            <w:pPr>
              <w:pStyle w:val="Tabletext"/>
            </w:pPr>
            <w:r w:rsidRPr="00C47DAC">
              <w:t xml:space="preserve">Unplanned outages </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14597E87" w14:textId="7528BE49" w:rsidR="00BA79FD" w:rsidRPr="00BA79FD" w:rsidRDefault="00BA79FD" w:rsidP="00BA79FD">
            <w:pPr>
              <w:pStyle w:val="Tabletext"/>
            </w:pPr>
            <w:r w:rsidRPr="00C47DAC">
              <w:t>TGPC026</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4857AF20" w14:textId="4A20E324" w:rsidR="00BA79FD" w:rsidRPr="00BA79FD" w:rsidRDefault="00BA79FD" w:rsidP="00BA79FD">
            <w:pPr>
              <w:pStyle w:val="Tabletext"/>
            </w:pPr>
            <w:r w:rsidRPr="00C47DAC">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6E62D4C" w14:textId="1ED8D417" w:rsidR="00BA79FD" w:rsidRPr="00BA79FD" w:rsidRDefault="00BA79FD" w:rsidP="00BA79FD">
            <w:pPr>
              <w:pStyle w:val="Tabletext"/>
            </w:pPr>
            <w:r w:rsidRPr="006C60AE">
              <w:t xml:space="preserve">DD/MM/YYYY </w:t>
            </w:r>
            <w:r w:rsidRPr="00BA79FD">
              <w:t>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764B22C" w14:textId="385607B3" w:rsidR="00BA79FD" w:rsidRPr="00BA79FD" w:rsidRDefault="00BA79FD" w:rsidP="00BA79FD">
            <w:pPr>
              <w:pStyle w:val="Tabletext"/>
            </w:pPr>
            <w:r>
              <w:t>This must include</w:t>
            </w:r>
            <w:r w:rsidRPr="00BA79FD">
              <w:t xml:space="preserve"> unplanned outage date, cause, duration and quantified consequence for the past 3 years.</w:t>
            </w:r>
          </w:p>
        </w:tc>
      </w:tr>
      <w:tr w:rsidR="00BA79FD" w:rsidRPr="00B56D8F" w14:paraId="4022B283"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EEDE6B" w14:textId="250AAD2F" w:rsidR="00BA79FD" w:rsidRPr="00BA79FD" w:rsidRDefault="00BA79FD" w:rsidP="00BA79FD">
            <w:pPr>
              <w:pStyle w:val="Tabletext"/>
            </w:pPr>
            <w:r w:rsidRPr="00C47DAC">
              <w:t>Maximum fault level</w:t>
            </w:r>
          </w:p>
        </w:tc>
        <w:tc>
          <w:tcPr>
            <w:tcW w:w="104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02D7947A" w14:textId="3718F23A" w:rsidR="00BA79FD" w:rsidRPr="00BA79FD" w:rsidRDefault="00BA79FD" w:rsidP="00BA79FD">
            <w:pPr>
              <w:pStyle w:val="Tabletext"/>
            </w:pPr>
            <w:r w:rsidRPr="00C47DAC">
              <w:t>TGPC027</w:t>
            </w:r>
          </w:p>
        </w:tc>
        <w:tc>
          <w:tcPr>
            <w:tcW w:w="1083"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367CB7D" w14:textId="77777777" w:rsidR="00BA79FD" w:rsidRPr="00BA79FD" w:rsidRDefault="00BA79FD" w:rsidP="00BA79FD">
            <w:pPr>
              <w:pStyle w:val="Tabletext"/>
            </w:pPr>
            <w:r w:rsidRPr="00C47DAC">
              <w:t>Integer</w:t>
            </w:r>
          </w:p>
        </w:tc>
        <w:tc>
          <w:tcPr>
            <w:tcW w:w="145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FF6329B" w14:textId="77777777" w:rsidR="00BA79FD" w:rsidRPr="00BA79FD" w:rsidRDefault="00BA79FD" w:rsidP="00BA79FD">
            <w:pPr>
              <w:pStyle w:val="Tabletext"/>
            </w:pPr>
            <w:r w:rsidRPr="00C47DAC">
              <w:t>MVA</w:t>
            </w:r>
          </w:p>
        </w:tc>
        <w:tc>
          <w:tcPr>
            <w:tcW w:w="392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B264D5" w14:textId="77777777" w:rsidR="00BA79FD" w:rsidRPr="00BA79FD" w:rsidRDefault="00BA79FD" w:rsidP="00BA79FD">
            <w:pPr>
              <w:pStyle w:val="Tabletext"/>
            </w:pPr>
            <w:r w:rsidRPr="00C47DAC">
              <w:t>This must be for connection points with historical or emerging network limitations.</w:t>
            </w:r>
          </w:p>
          <w:p w14:paraId="03005DFF" w14:textId="6188C43F" w:rsidR="00BA79FD" w:rsidRPr="00BA79FD" w:rsidRDefault="00BA79FD" w:rsidP="00BA79FD">
            <w:pPr>
              <w:pStyle w:val="Tabletext"/>
            </w:pPr>
            <w:r>
              <w:t>Low fault current or '</w:t>
            </w:r>
            <w:r w:rsidRPr="00BA79FD">
              <w:t>system strength' issues should be covered more broadly in the TAPR document.</w:t>
            </w:r>
          </w:p>
        </w:tc>
      </w:tr>
      <w:tr w:rsidR="00BA79FD" w:rsidRPr="00B56D8F" w:rsidDel="00C02584" w14:paraId="650B5B1F" w14:textId="77777777" w:rsidTr="00BA79FD">
        <w:trPr>
          <w:trHeight w:val="315"/>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tcPr>
          <w:p w14:paraId="0E27323F" w14:textId="160D48F3" w:rsidR="00BA79FD" w:rsidRPr="00BA79FD" w:rsidDel="00C02584" w:rsidRDefault="00BA79FD" w:rsidP="00BA79FD">
            <w:pPr>
              <w:pStyle w:val="Tabletext"/>
            </w:pPr>
            <w:r>
              <w:t xml:space="preserve">Annual </w:t>
            </w:r>
            <w:r w:rsidRPr="00BA79FD">
              <w:t>economic cost of constraint</w:t>
            </w:r>
          </w:p>
        </w:tc>
        <w:tc>
          <w:tcPr>
            <w:tcW w:w="1043"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10BF5F86" w14:textId="5F1DE78F" w:rsidR="00BA79FD" w:rsidRPr="00BA79FD" w:rsidDel="00C02584" w:rsidRDefault="00BA79FD" w:rsidP="00BA79FD">
            <w:pPr>
              <w:pStyle w:val="Tabletext"/>
            </w:pPr>
            <w:r w:rsidRPr="00C47DAC">
              <w:t>TGPC028</w:t>
            </w:r>
          </w:p>
        </w:tc>
        <w:tc>
          <w:tcPr>
            <w:tcW w:w="1083"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18C059D8" w14:textId="77777777" w:rsidR="00BA79FD" w:rsidRPr="00BA79FD" w:rsidDel="00C02584" w:rsidRDefault="00BA79FD" w:rsidP="00BA79FD">
            <w:pPr>
              <w:pStyle w:val="Tabletext"/>
            </w:pPr>
            <w:r w:rsidRPr="00C47DAC">
              <w:t>Float</w:t>
            </w:r>
          </w:p>
        </w:tc>
        <w:tc>
          <w:tcPr>
            <w:tcW w:w="1457"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264375DB" w14:textId="6FC70FC0" w:rsidR="00BA79FD" w:rsidRPr="00BA79FD" w:rsidDel="00C02584" w:rsidRDefault="00BA79FD" w:rsidP="00BA79FD">
            <w:pPr>
              <w:pStyle w:val="Tabletext"/>
            </w:pPr>
            <w:r w:rsidRPr="00C47DAC">
              <w:t>$ millions</w:t>
            </w:r>
          </w:p>
        </w:tc>
        <w:tc>
          <w:tcPr>
            <w:tcW w:w="392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050D29DB" w14:textId="2AD7443E" w:rsidR="00BA79FD" w:rsidRPr="00BA79FD" w:rsidDel="00C02584" w:rsidRDefault="00BA79FD" w:rsidP="00BA79FD">
            <w:pPr>
              <w:pStyle w:val="Tabletext"/>
            </w:pPr>
            <w:r w:rsidRPr="00C47DAC">
              <w:t>Economic cost of constraint expressed in $ millions. For example the expected annual cost of unserved energy, cost of safety</w:t>
            </w:r>
            <w:r w:rsidRPr="00BA79FD">
              <w:t xml:space="preserve"> risk, cost of operational constraint, or cost of wholesale energy cost increase caused by the constraint (where applicable).</w:t>
            </w:r>
          </w:p>
        </w:tc>
      </w:tr>
      <w:tr w:rsidR="00BA79FD" w:rsidRPr="00B56D8F" w:rsidDel="00C02584" w14:paraId="6C41B488" w14:textId="77777777" w:rsidTr="00BA79FD">
        <w:trPr>
          <w:trHeight w:val="315"/>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tcPr>
          <w:p w14:paraId="7FB3A6AC" w14:textId="77777777" w:rsidR="00BA79FD" w:rsidRPr="00BA79FD" w:rsidRDefault="00BA79FD" w:rsidP="00BA79FD">
            <w:pPr>
              <w:pStyle w:val="Tabletext"/>
            </w:pPr>
            <w:r w:rsidRPr="00C47DAC">
              <w:t>VCR</w:t>
            </w:r>
          </w:p>
        </w:tc>
        <w:tc>
          <w:tcPr>
            <w:tcW w:w="1043"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2A0E22B3" w14:textId="283400CC" w:rsidR="00BA79FD" w:rsidRPr="00BA79FD" w:rsidRDefault="00BA79FD" w:rsidP="00BA79FD">
            <w:pPr>
              <w:pStyle w:val="Tabletext"/>
            </w:pPr>
            <w:r w:rsidRPr="00C47DAC">
              <w:t>TGPC029</w:t>
            </w:r>
          </w:p>
        </w:tc>
        <w:tc>
          <w:tcPr>
            <w:tcW w:w="1083"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7B55FD92" w14:textId="77777777" w:rsidR="00BA79FD" w:rsidRPr="00BA79FD" w:rsidDel="00C02584" w:rsidRDefault="00BA79FD" w:rsidP="00BA79FD">
            <w:pPr>
              <w:pStyle w:val="Tabletext"/>
            </w:pPr>
            <w:r w:rsidRPr="00C47DAC">
              <w:t>Float</w:t>
            </w:r>
          </w:p>
        </w:tc>
        <w:tc>
          <w:tcPr>
            <w:tcW w:w="1457"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2CEDD45C" w14:textId="77777777" w:rsidR="00BA79FD" w:rsidRPr="00BA79FD" w:rsidDel="00C02584" w:rsidRDefault="00BA79FD" w:rsidP="00BA79FD">
            <w:pPr>
              <w:pStyle w:val="Tabletext"/>
            </w:pPr>
            <w:r w:rsidRPr="00C47DAC">
              <w:t>$/MWh</w:t>
            </w:r>
          </w:p>
        </w:tc>
        <w:tc>
          <w:tcPr>
            <w:tcW w:w="392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3AF88CE3" w14:textId="76377599" w:rsidR="00BA79FD" w:rsidRPr="00BA79FD" w:rsidDel="00C02584" w:rsidRDefault="00BA79FD" w:rsidP="00BA79FD">
            <w:pPr>
              <w:pStyle w:val="Tabletext"/>
            </w:pPr>
            <w:r w:rsidRPr="00C47DAC">
              <w:t>VCR value applied to assess the impact of this constraint. Data to be expressed as $/MWh (weighted by customer</w:t>
            </w:r>
            <w:r w:rsidRPr="00BA79FD">
              <w:t xml:space="preserve"> type).</w:t>
            </w:r>
          </w:p>
        </w:tc>
      </w:tr>
      <w:tr w:rsidR="00BA79FD" w:rsidRPr="00B56D8F" w:rsidDel="00C02584" w14:paraId="5275FAA9" w14:textId="77777777" w:rsidTr="00BA79FD">
        <w:trPr>
          <w:trHeight w:val="315"/>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tcPr>
          <w:p w14:paraId="3FB141B3" w14:textId="0B32986E" w:rsidR="00BA79FD" w:rsidRPr="00BA79FD" w:rsidRDefault="00BA79FD" w:rsidP="00BA79FD">
            <w:pPr>
              <w:pStyle w:val="Tabletext"/>
            </w:pPr>
            <w:r>
              <w:t xml:space="preserve">Annual </w:t>
            </w:r>
            <w:r w:rsidRPr="00BA79FD">
              <w:t>expected unserved energy</w:t>
            </w:r>
          </w:p>
        </w:tc>
        <w:tc>
          <w:tcPr>
            <w:tcW w:w="1043"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0E3240E1" w14:textId="1C9C3BB7" w:rsidR="00BA79FD" w:rsidRPr="00BA79FD" w:rsidRDefault="00BA79FD" w:rsidP="00BA79FD">
            <w:pPr>
              <w:pStyle w:val="Tabletext"/>
            </w:pPr>
            <w:r w:rsidRPr="00C47DAC">
              <w:t>TGPC03</w:t>
            </w:r>
            <w:r>
              <w:t>0</w:t>
            </w:r>
          </w:p>
        </w:tc>
        <w:tc>
          <w:tcPr>
            <w:tcW w:w="1083"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38EFAAD7" w14:textId="6AB7BEA2" w:rsidR="00BA79FD" w:rsidRPr="00C47DAC" w:rsidRDefault="00BA79FD" w:rsidP="00BA79FD">
            <w:pPr>
              <w:pStyle w:val="Tabletext"/>
            </w:pPr>
          </w:p>
        </w:tc>
        <w:tc>
          <w:tcPr>
            <w:tcW w:w="1457"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5D79CF4C" w14:textId="7C68C59D" w:rsidR="00BA79FD" w:rsidRPr="00BA79FD" w:rsidRDefault="00BA79FD" w:rsidP="00BA79FD">
            <w:pPr>
              <w:pStyle w:val="Tabletext"/>
            </w:pPr>
            <w:r w:rsidRPr="00C47DAC">
              <w:t>MWh</w:t>
            </w:r>
          </w:p>
        </w:tc>
        <w:tc>
          <w:tcPr>
            <w:tcW w:w="392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2512849B" w14:textId="70F50030" w:rsidR="00BA79FD" w:rsidRPr="00BA79FD" w:rsidRDefault="00BA79FD" w:rsidP="00BA79FD">
            <w:pPr>
              <w:pStyle w:val="Tabletext"/>
            </w:pPr>
            <w:r w:rsidRPr="00C47DAC">
              <w:t>Expressed as MWh per annum, where applicable.</w:t>
            </w:r>
          </w:p>
        </w:tc>
      </w:tr>
    </w:tbl>
    <w:p w14:paraId="36FF909C" w14:textId="6F9DC610" w:rsidR="006C60AE" w:rsidRPr="00C91710" w:rsidRDefault="006C60AE" w:rsidP="007213DF">
      <w:pPr>
        <w:pStyle w:val="Heading2"/>
      </w:pPr>
      <w:bookmarkStart w:id="25" w:name="_Toc528056459"/>
      <w:bookmarkStart w:id="26" w:name="_Toc532814802"/>
      <w:r w:rsidRPr="00046018">
        <w:t xml:space="preserve">Transmission </w:t>
      </w:r>
      <w:r w:rsidRPr="00C91710">
        <w:t>line</w:t>
      </w:r>
      <w:r>
        <w:t xml:space="preserve"> segment</w:t>
      </w:r>
      <w:bookmarkEnd w:id="25"/>
      <w:r w:rsidR="002E31E9">
        <w:t xml:space="preserve"> </w:t>
      </w:r>
      <w:r w:rsidR="006969B8">
        <w:t>data</w:t>
      </w:r>
      <w:bookmarkEnd w:id="26"/>
    </w:p>
    <w:p w14:paraId="05A75105" w14:textId="05069DB9" w:rsidR="00E91BFF" w:rsidRDefault="006C60AE" w:rsidP="00E91BFF">
      <w:r>
        <w:t>TNSPs should provide the following information f</w:t>
      </w:r>
      <w:r w:rsidRPr="001551F2">
        <w:t>or each transmission line segment</w:t>
      </w:r>
      <w:r w:rsidR="003D567A">
        <w:t xml:space="preserve"> with historical and emerging</w:t>
      </w:r>
      <w:r w:rsidR="009341CD">
        <w:t xml:space="preserve"> network</w:t>
      </w:r>
      <w:r w:rsidR="003D567A">
        <w:t xml:space="preserve"> limitations</w:t>
      </w:r>
      <w:r>
        <w:t>.</w:t>
      </w:r>
      <w:r w:rsidR="00E91BFF">
        <w:t xml:space="preserve"> For </w:t>
      </w:r>
      <w:r w:rsidR="00E91BFF" w:rsidRPr="00176BFB">
        <w:t xml:space="preserve">the </w:t>
      </w:r>
      <w:r w:rsidR="00E5790E">
        <w:t>DSN</w:t>
      </w:r>
      <w:r w:rsidR="00E91BFF" w:rsidRPr="00176BFB">
        <w:t xml:space="preserve"> in Victoria</w:t>
      </w:r>
      <w:r w:rsidR="00E91BFF">
        <w:t>, a transmission line segment reflects transmission segment between terminal stations with historical and emerging network limitations.</w:t>
      </w:r>
    </w:p>
    <w:p w14:paraId="35CC8577" w14:textId="37F2DB2F" w:rsidR="00AC7223" w:rsidRPr="003D567A" w:rsidRDefault="00AC7223" w:rsidP="00E91BFF">
      <w:r w:rsidRPr="00F517C8">
        <w:t>For</w:t>
      </w:r>
      <w:r>
        <w:t xml:space="preserve"> information that is subject to a confidentiality obligation under the NER, or is otherwise information about an individual user, the TNSP must instead publish that information as an </w:t>
      </w:r>
      <w:r>
        <w:lastRenderedPageBreak/>
        <w:t>unidentified component of an aggregated sum.</w:t>
      </w:r>
      <w:r>
        <w:rPr>
          <w:rStyle w:val="FootnoteReference"/>
        </w:rPr>
        <w:footnoteReference w:id="16"/>
      </w:r>
      <w:r>
        <w:t xml:space="preserve"> The TNSP must only aggregate the information to the extent necessary to maintain the conf</w:t>
      </w:r>
      <w:r w:rsidR="00FC6105">
        <w:t>identiality of the information.</w:t>
      </w:r>
    </w:p>
    <w:p w14:paraId="055B8F63" w14:textId="78E44534" w:rsidR="006C60AE" w:rsidRPr="001551F2" w:rsidRDefault="009F0DBD" w:rsidP="006C60AE">
      <w:pPr>
        <w:pStyle w:val="BodyText"/>
      </w:pPr>
      <w:r>
        <w:t xml:space="preserve">Relevant </w:t>
      </w:r>
      <w:r w:rsidR="006C60AE">
        <w:t xml:space="preserve">fields </w:t>
      </w:r>
      <w:r>
        <w:t xml:space="preserve">may </w:t>
      </w:r>
      <w:r w:rsidR="006C60AE">
        <w:t>be left blank where no emerging constraint has been identified on the transmission line segment.</w:t>
      </w:r>
    </w:p>
    <w:tbl>
      <w:tblPr>
        <w:tblW w:w="9629" w:type="dxa"/>
        <w:shd w:val="clear" w:color="auto" w:fill="FFFFFF"/>
        <w:tblCellMar>
          <w:left w:w="0" w:type="dxa"/>
          <w:right w:w="0" w:type="dxa"/>
        </w:tblCellMar>
        <w:tblLook w:val="04A0" w:firstRow="1" w:lastRow="0" w:firstColumn="1" w:lastColumn="0" w:noHBand="0" w:noVBand="1"/>
      </w:tblPr>
      <w:tblGrid>
        <w:gridCol w:w="2142"/>
        <w:gridCol w:w="970"/>
        <w:gridCol w:w="1156"/>
        <w:gridCol w:w="1417"/>
        <w:gridCol w:w="3944"/>
      </w:tblGrid>
      <w:tr w:rsidR="006C60AE" w:rsidRPr="00B56D8F" w14:paraId="2CA1C914" w14:textId="77777777" w:rsidTr="00BA79FD">
        <w:trPr>
          <w:trHeight w:val="315"/>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4986CDC" w14:textId="77777777" w:rsidR="006C60AE" w:rsidRPr="006C60AE" w:rsidRDefault="006C60AE" w:rsidP="006C60AE">
            <w:pPr>
              <w:pStyle w:val="Tabletext"/>
              <w:rPr>
                <w:rStyle w:val="Bold"/>
              </w:rPr>
            </w:pPr>
            <w:r w:rsidRPr="002F39D2">
              <w:rPr>
                <w:rStyle w:val="Bold"/>
              </w:rPr>
              <w:t>Field Name</w:t>
            </w:r>
          </w:p>
        </w:tc>
        <w:tc>
          <w:tcPr>
            <w:tcW w:w="970"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694E7A0" w14:textId="77777777" w:rsidR="006C60AE" w:rsidRPr="006C60AE" w:rsidRDefault="006C60AE" w:rsidP="006C60AE">
            <w:pPr>
              <w:pStyle w:val="Tabletext"/>
              <w:rPr>
                <w:rStyle w:val="Bold"/>
              </w:rPr>
            </w:pPr>
            <w:r w:rsidRPr="002F39D2">
              <w:rPr>
                <w:rStyle w:val="Bold"/>
              </w:rPr>
              <w:t>Rule</w:t>
            </w:r>
          </w:p>
        </w:tc>
        <w:tc>
          <w:tcPr>
            <w:tcW w:w="1156"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986A557" w14:textId="77777777" w:rsidR="006C60AE" w:rsidRPr="006C60AE" w:rsidRDefault="006C60AE" w:rsidP="006C60AE">
            <w:pPr>
              <w:pStyle w:val="Tabletext"/>
              <w:rPr>
                <w:rStyle w:val="Bold"/>
              </w:rPr>
            </w:pPr>
            <w:r w:rsidRPr="002F39D2">
              <w:rPr>
                <w:rStyle w:val="Bold"/>
              </w:rPr>
              <w:t>Data Type</w:t>
            </w:r>
          </w:p>
        </w:tc>
        <w:tc>
          <w:tcPr>
            <w:tcW w:w="1417"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D81C7A1" w14:textId="77777777" w:rsidR="006C60AE" w:rsidRPr="006C60AE" w:rsidRDefault="006C60AE" w:rsidP="006C60AE">
            <w:pPr>
              <w:pStyle w:val="Tabletext"/>
              <w:rPr>
                <w:rStyle w:val="Bold"/>
              </w:rPr>
            </w:pPr>
            <w:r w:rsidRPr="002F39D2">
              <w:rPr>
                <w:rStyle w:val="Bold"/>
              </w:rPr>
              <w:t>Units</w:t>
            </w:r>
          </w:p>
        </w:tc>
        <w:tc>
          <w:tcPr>
            <w:tcW w:w="3944" w:type="dxa"/>
            <w:tcBorders>
              <w:top w:val="single" w:sz="8" w:space="0" w:color="000000"/>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6D46133" w14:textId="7FB57175" w:rsidR="006C60AE" w:rsidRPr="006C60AE" w:rsidRDefault="000C22C1" w:rsidP="000C22C1">
            <w:pPr>
              <w:pStyle w:val="Tabletext"/>
              <w:rPr>
                <w:rStyle w:val="Bold"/>
              </w:rPr>
            </w:pPr>
            <w:r w:rsidRPr="000C22C1">
              <w:rPr>
                <w:rStyle w:val="Bold"/>
              </w:rPr>
              <w:t>Description –</w:t>
            </w:r>
            <w:r>
              <w:rPr>
                <w:rStyle w:val="Bold"/>
              </w:rPr>
              <w:t xml:space="preserve"> </w:t>
            </w:r>
            <w:r w:rsidRPr="002F39D2">
              <w:rPr>
                <w:rStyle w:val="Bold"/>
              </w:rPr>
              <w:t xml:space="preserve">other </w:t>
            </w:r>
            <w:r w:rsidR="006C60AE" w:rsidRPr="002F39D2">
              <w:rPr>
                <w:rStyle w:val="Bold"/>
              </w:rPr>
              <w:t>information</w:t>
            </w:r>
          </w:p>
        </w:tc>
      </w:tr>
      <w:tr w:rsidR="006C60AE" w:rsidRPr="00B56D8F" w14:paraId="2B8610B1" w14:textId="77777777" w:rsidTr="0059333E">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5ABDF27" w14:textId="545953A3" w:rsidR="006C60AE" w:rsidRPr="006C60AE" w:rsidRDefault="006C60AE" w:rsidP="00BE4241">
            <w:pPr>
              <w:pStyle w:val="Tabletext"/>
            </w:pPr>
            <w:r w:rsidRPr="00503710">
              <w:t>Transmission</w:t>
            </w:r>
            <w:r w:rsidR="00FC200A">
              <w:t xml:space="preserve"> l</w:t>
            </w:r>
            <w:r w:rsidRPr="00503710">
              <w:t>ine</w:t>
            </w:r>
            <w:r w:rsidRPr="006C60AE">
              <w:t xml:space="preserve"> ID</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D9CC1AC" w14:textId="77777777" w:rsidR="006C60AE" w:rsidRPr="006C60AE" w:rsidRDefault="006C60AE">
            <w:pPr>
              <w:pStyle w:val="Tabletext"/>
            </w:pPr>
            <w:r>
              <w:t>TG</w:t>
            </w:r>
            <w:r w:rsidRPr="006C60AE">
              <w:t>TL001</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1BEA98B" w14:textId="77777777" w:rsidR="006C60AE" w:rsidRPr="006C60AE" w:rsidRDefault="006C60AE">
            <w:pPr>
              <w:pStyle w:val="Tabletext"/>
            </w:pPr>
            <w:r>
              <w:t>Text</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A7B0CF7" w14:textId="77777777" w:rsidR="006C60AE" w:rsidRPr="006C60AE" w:rsidRDefault="006C60AE">
            <w:pPr>
              <w:pStyle w:val="Tabletext"/>
            </w:pPr>
            <w:r w:rsidRPr="003B1500">
              <w:t> </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18EA567" w14:textId="663FED20" w:rsidR="006C60AE" w:rsidRDefault="006C60AE" w:rsidP="004B60F3">
            <w:pPr>
              <w:pStyle w:val="Tabletext"/>
            </w:pPr>
            <w:r w:rsidRPr="006C60AE">
              <w:t>Name of the transmission line</w:t>
            </w:r>
            <w:r w:rsidR="003D567A">
              <w:t xml:space="preserve"> subject to any historical or emerging constraints</w:t>
            </w:r>
            <w:r w:rsidR="004B60F3">
              <w:t>, including the</w:t>
            </w:r>
            <w:r w:rsidRPr="006C60AE">
              <w:t xml:space="preserve"> TNSP unique ID</w:t>
            </w:r>
            <w:r w:rsidR="004B60F3">
              <w:t xml:space="preserve"> and the </w:t>
            </w:r>
            <w:r w:rsidR="004B60F3" w:rsidRPr="004B60F3">
              <w:t>connection point ID</w:t>
            </w:r>
            <w:r w:rsidR="004B60F3">
              <w:t xml:space="preserve"> at each end of the line</w:t>
            </w:r>
            <w:r w:rsidRPr="006C60AE">
              <w:t>.</w:t>
            </w:r>
          </w:p>
          <w:p w14:paraId="6DAD46E7" w14:textId="42E5F2C6" w:rsidR="004B60F3" w:rsidRPr="006C60AE" w:rsidRDefault="00393FE6" w:rsidP="004B60F3">
            <w:pPr>
              <w:pStyle w:val="Tabletext"/>
            </w:pPr>
            <w:r>
              <w:t>E.g.</w:t>
            </w:r>
            <w:r w:rsidR="004B60F3">
              <w:t xml:space="preserve"> Rome-Milan 275kV, TS123, S1, S3</w:t>
            </w:r>
            <w:r>
              <w:t>.</w:t>
            </w:r>
          </w:p>
        </w:tc>
      </w:tr>
      <w:tr w:rsidR="006C60AE" w:rsidRPr="00B56D8F" w14:paraId="32E8F169"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13B2B0B" w14:textId="77777777" w:rsidR="006C60AE" w:rsidRPr="006C60AE" w:rsidRDefault="006C60AE" w:rsidP="00BE4241">
            <w:pPr>
              <w:pStyle w:val="Tabletext"/>
            </w:pPr>
            <w:r w:rsidRPr="003B1500">
              <w:t>Constraint</w:t>
            </w:r>
            <w:r w:rsidRPr="006C60AE">
              <w:t xml:space="preserve"> primary driver</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EF2F8B" w14:textId="77777777" w:rsidR="006C60AE" w:rsidRPr="006C60AE" w:rsidRDefault="006C60AE">
            <w:pPr>
              <w:pStyle w:val="Tabletext"/>
            </w:pPr>
            <w:r w:rsidRPr="00503710">
              <w:t>TG</w:t>
            </w:r>
            <w:r w:rsidRPr="006C60AE">
              <w:t>TL002</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3FFCC94" w14:textId="77777777" w:rsidR="006C60AE" w:rsidRPr="006C60AE" w:rsidRDefault="006C60AE">
            <w:pPr>
              <w:pStyle w:val="Tabletext"/>
            </w:pPr>
            <w:r w:rsidRPr="003B1500">
              <w:t>Text</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757FE84" w14:textId="77777777" w:rsidR="006C60AE" w:rsidRPr="006C60AE" w:rsidRDefault="006C60AE">
            <w:pPr>
              <w:pStyle w:val="Tabletext"/>
            </w:pPr>
            <w:r w:rsidRPr="003B1500">
              <w:t> </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9D030B2" w14:textId="2E163BE2" w:rsidR="0059481F" w:rsidRPr="00463378" w:rsidRDefault="006C60AE" w:rsidP="00393FE6">
            <w:pPr>
              <w:pStyle w:val="Tabletext"/>
              <w:rPr>
                <w:b/>
                <w:bCs/>
              </w:rPr>
            </w:pPr>
            <w:r w:rsidRPr="00852217">
              <w:t>Information must be supplied on what technical or legal requirement is giving rise to the constraint</w:t>
            </w:r>
            <w:r w:rsidR="004420A0">
              <w:t>.</w:t>
            </w:r>
            <w:r w:rsidR="00463378">
              <w:rPr>
                <w:rStyle w:val="Strong"/>
              </w:rPr>
              <w:t xml:space="preserve"> </w:t>
            </w:r>
            <w:r w:rsidR="0059481F">
              <w:t>A primary driver may be</w:t>
            </w:r>
            <w:r w:rsidR="0059481F" w:rsidRPr="00852217">
              <w:t xml:space="preserve"> capacity, reliability, power quality, operational, </w:t>
            </w:r>
            <w:r w:rsidR="00393FE6">
              <w:t>stability</w:t>
            </w:r>
            <w:r w:rsidR="0059481F" w:rsidRPr="00852217">
              <w:t>, reactive support, compliance, asset condition</w:t>
            </w:r>
            <w:r w:rsidR="0059481F">
              <w:t xml:space="preserve"> and</w:t>
            </w:r>
            <w:r w:rsidR="0059481F" w:rsidRPr="00852217">
              <w:t xml:space="preserve"> performance, market benefit, environmental, safety or other.</w:t>
            </w:r>
            <w:r w:rsidR="0059481F">
              <w:t xml:space="preserve"> Further detail would be provided in the TAPR</w:t>
            </w:r>
            <w:r w:rsidR="00393FE6">
              <w:t xml:space="preserve"> document.</w:t>
            </w:r>
          </w:p>
        </w:tc>
      </w:tr>
      <w:tr w:rsidR="006C60AE" w:rsidRPr="00B56D8F" w14:paraId="185DE058"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820D55" w14:textId="77777777" w:rsidR="006C60AE" w:rsidRPr="006C60AE" w:rsidRDefault="006C60AE" w:rsidP="00BE4241">
            <w:pPr>
              <w:pStyle w:val="Tabletext"/>
            </w:pPr>
            <w:r w:rsidRPr="003B1500">
              <w:t>Location of constraint (start)</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463497" w14:textId="77777777" w:rsidR="006C60AE" w:rsidRPr="006C60AE" w:rsidRDefault="006C60AE">
            <w:pPr>
              <w:pStyle w:val="Tabletext"/>
            </w:pPr>
            <w:r w:rsidRPr="00503710">
              <w:t>TG</w:t>
            </w:r>
            <w:r w:rsidRPr="006C60AE">
              <w:t>TL003</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5C8655" w14:textId="77777777" w:rsidR="006C60AE" w:rsidRPr="006C60AE" w:rsidRDefault="006C60AE">
            <w:pPr>
              <w:pStyle w:val="Tabletext"/>
            </w:pPr>
            <w:r w:rsidRPr="003B1500">
              <w:t>Integer</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19A3FEC" w14:textId="77777777" w:rsidR="006C60AE" w:rsidRPr="006C60AE" w:rsidRDefault="006C60AE">
            <w:pPr>
              <w:pStyle w:val="Tabletext"/>
            </w:pPr>
            <w:r w:rsidRPr="003B1500">
              <w:t>Decimal degrees</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9320CB" w14:textId="6EE45C12" w:rsidR="006C60AE" w:rsidRPr="006C60AE" w:rsidRDefault="006C60AE" w:rsidP="004B60F3">
            <w:pPr>
              <w:pStyle w:val="Tabletext"/>
            </w:pPr>
            <w:r w:rsidRPr="00046018">
              <w:t xml:space="preserve">Latitude and longitude of the </w:t>
            </w:r>
            <w:r w:rsidRPr="006C60AE">
              <w:t>connection points at the beginning of the transmission line segment.</w:t>
            </w:r>
          </w:p>
        </w:tc>
      </w:tr>
      <w:tr w:rsidR="006C60AE" w:rsidRPr="00B56D8F" w14:paraId="7EC9C914"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744637" w14:textId="77777777" w:rsidR="006C60AE" w:rsidRPr="006C60AE" w:rsidRDefault="006C60AE" w:rsidP="00BE4241">
            <w:pPr>
              <w:pStyle w:val="Tabletext"/>
            </w:pPr>
            <w:r w:rsidRPr="003B1500">
              <w:t>Location of constraint (end)</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B6994D" w14:textId="77777777" w:rsidR="006C60AE" w:rsidRPr="006C60AE" w:rsidRDefault="006C60AE">
            <w:pPr>
              <w:pStyle w:val="Tabletext"/>
            </w:pPr>
            <w:r w:rsidRPr="00503710">
              <w:t>TG</w:t>
            </w:r>
            <w:r w:rsidRPr="006C60AE">
              <w:t>TL004</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23F957" w14:textId="77777777" w:rsidR="006C60AE" w:rsidRPr="006C60AE" w:rsidRDefault="006C60AE">
            <w:pPr>
              <w:pStyle w:val="Tabletext"/>
            </w:pPr>
            <w:r w:rsidRPr="003B1500">
              <w:t>Integer</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A213455" w14:textId="77777777" w:rsidR="006C60AE" w:rsidRPr="006C60AE" w:rsidRDefault="006C60AE">
            <w:pPr>
              <w:pStyle w:val="Tabletext"/>
            </w:pPr>
            <w:r w:rsidRPr="003B1500">
              <w:t>Decimal degrees</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E15D6C" w14:textId="516703B4" w:rsidR="006C60AE" w:rsidRPr="006C60AE" w:rsidRDefault="006C60AE" w:rsidP="004B60F3">
            <w:pPr>
              <w:pStyle w:val="Tabletext"/>
            </w:pPr>
            <w:r w:rsidRPr="006C60AE">
              <w:t>Latitude and longitude of the connection points at the end of the transmission line segment.</w:t>
            </w:r>
          </w:p>
        </w:tc>
      </w:tr>
      <w:tr w:rsidR="00BA79FD" w:rsidRPr="00B56D8F" w14:paraId="34380973"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C8C26E5" w14:textId="77777777" w:rsidR="00BA79FD" w:rsidRPr="00BA79FD" w:rsidRDefault="00BA79FD" w:rsidP="00BA79FD">
            <w:pPr>
              <w:pStyle w:val="Tabletext"/>
            </w:pPr>
            <w:r w:rsidRPr="003B1500">
              <w:t>Asset rating</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57BD0325" w14:textId="2C783929" w:rsidR="00BA79FD" w:rsidRPr="00BA79FD" w:rsidRDefault="00BA79FD" w:rsidP="00BA79FD">
            <w:pPr>
              <w:pStyle w:val="Tabletext"/>
            </w:pPr>
            <w:r w:rsidRPr="00503710">
              <w:t>TG</w:t>
            </w:r>
            <w:r w:rsidRPr="00BA79FD">
              <w:t>TL00</w:t>
            </w:r>
            <w:r>
              <w:t>5</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92E8846" w14:textId="77777777" w:rsidR="00BA79FD" w:rsidRPr="00BA79FD" w:rsidRDefault="00BA79FD" w:rsidP="00BA79FD">
            <w:pPr>
              <w:pStyle w:val="Tabletext"/>
            </w:pPr>
            <w:r w:rsidRPr="003B1500">
              <w:t xml:space="preserve">Series </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92E9322" w14:textId="77777777" w:rsidR="00BA79FD" w:rsidRPr="00BA79FD" w:rsidRDefault="00BA79FD" w:rsidP="00BA79FD">
            <w:pPr>
              <w:pStyle w:val="Tabletext"/>
            </w:pPr>
            <w:r w:rsidRPr="003B1500">
              <w:t>YYYY; MVA</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ACF77E9" w14:textId="1A7A1112" w:rsidR="00BA79FD" w:rsidRPr="00BA79FD" w:rsidRDefault="00BA79FD" w:rsidP="00BA79FD">
            <w:pPr>
              <w:pStyle w:val="Tabletext"/>
            </w:pPr>
            <w:r w:rsidRPr="003B1500">
              <w:t xml:space="preserve">Forecast </w:t>
            </w:r>
            <w:r w:rsidRPr="00BA79FD">
              <w:t>10-year asset rating</w:t>
            </w:r>
            <w:r w:rsidR="00FC6105">
              <w:t>.</w:t>
            </w:r>
          </w:p>
        </w:tc>
      </w:tr>
      <w:tr w:rsidR="00BA79FD" w:rsidRPr="00B56D8F" w14:paraId="43CCCC0C"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CF5884" w14:textId="35F0B157" w:rsidR="00BA79FD" w:rsidRPr="00BA79FD" w:rsidRDefault="00BA79FD" w:rsidP="00BA79FD">
            <w:pPr>
              <w:pStyle w:val="Tabletext"/>
            </w:pPr>
            <w:r>
              <w:t>Forecast d</w:t>
            </w:r>
            <w:r w:rsidRPr="00BA79FD">
              <w:t>emand</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0183B4B2" w14:textId="6CEE9CCB" w:rsidR="00BA79FD" w:rsidRPr="00BA79FD" w:rsidRDefault="00BA79FD" w:rsidP="00BA79FD">
            <w:pPr>
              <w:pStyle w:val="Tabletext"/>
            </w:pPr>
            <w:r w:rsidRPr="00503710">
              <w:t>TG</w:t>
            </w:r>
            <w:r w:rsidRPr="00BA79FD">
              <w:t>TL006</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4B7C3FE" w14:textId="77777777" w:rsidR="00BA79FD" w:rsidRPr="00BA79FD" w:rsidRDefault="00BA79FD" w:rsidP="00BA79FD">
            <w:pPr>
              <w:pStyle w:val="Tabletext"/>
            </w:pPr>
            <w:r w:rsidRPr="003B1500">
              <w:t xml:space="preserve">Series </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8E6AB03" w14:textId="77777777" w:rsidR="00BA79FD" w:rsidRPr="00BA79FD" w:rsidRDefault="00BA79FD" w:rsidP="00BA79FD">
            <w:pPr>
              <w:pStyle w:val="Tabletext"/>
            </w:pPr>
            <w:r w:rsidRPr="003B1500">
              <w:t>YYYY ; MVA</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3B58DD" w14:textId="673C7457" w:rsidR="00BA79FD" w:rsidRPr="00BA79FD" w:rsidRDefault="00BA79FD" w:rsidP="00BA79FD">
            <w:pPr>
              <w:pStyle w:val="Tabletext"/>
            </w:pPr>
            <w:r w:rsidRPr="003B1500">
              <w:t xml:space="preserve">Forecast </w:t>
            </w:r>
            <w:r w:rsidRPr="00BA79FD">
              <w:t>10-year maximum line load, 10% and 50% POE</w:t>
            </w:r>
            <w:r w:rsidR="00FC6105">
              <w:t>.</w:t>
            </w:r>
          </w:p>
        </w:tc>
      </w:tr>
      <w:tr w:rsidR="00BA79FD" w:rsidRPr="00B56D8F" w14:paraId="12597CB0"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2BCBB92" w14:textId="77777777" w:rsidR="00BA79FD" w:rsidRPr="00BA79FD" w:rsidRDefault="00BA79FD" w:rsidP="00BA79FD">
            <w:pPr>
              <w:pStyle w:val="Tabletext"/>
            </w:pPr>
            <w:r w:rsidRPr="003B1500">
              <w:t>Voltage level</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3D748BAF" w14:textId="1901FA0E" w:rsidR="00BA79FD" w:rsidRPr="00BA79FD" w:rsidRDefault="00BA79FD" w:rsidP="00BA79FD">
            <w:pPr>
              <w:pStyle w:val="Tabletext"/>
            </w:pPr>
            <w:r w:rsidRPr="00503710">
              <w:t>TG</w:t>
            </w:r>
            <w:r w:rsidRPr="00BA79FD">
              <w:t>TL007</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B1F8287" w14:textId="77777777" w:rsidR="00BA79FD" w:rsidRPr="00BA79FD" w:rsidRDefault="00BA79FD" w:rsidP="00BA79FD">
            <w:pPr>
              <w:pStyle w:val="Tabletext"/>
            </w:pPr>
            <w:r w:rsidRPr="003B1500">
              <w:t>Integer</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2DF5999" w14:textId="77777777" w:rsidR="00BA79FD" w:rsidRPr="00BA79FD" w:rsidRDefault="00BA79FD" w:rsidP="00BA79FD">
            <w:pPr>
              <w:pStyle w:val="Tabletext"/>
            </w:pPr>
            <w:r>
              <w:t>k</w:t>
            </w:r>
            <w:r w:rsidRPr="00BA79FD">
              <w:t>V</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7D1349" w14:textId="53B547FC" w:rsidR="00BA79FD" w:rsidRPr="00BA79FD" w:rsidRDefault="00BA79FD" w:rsidP="00BA79FD">
            <w:pPr>
              <w:pStyle w:val="Tabletext"/>
            </w:pPr>
            <w:r>
              <w:t>O</w:t>
            </w:r>
            <w:r w:rsidRPr="00BA79FD">
              <w:t>perational voltage level of the assets involved at the constraint.</w:t>
            </w:r>
          </w:p>
        </w:tc>
      </w:tr>
      <w:tr w:rsidR="00BA79FD" w:rsidRPr="00B56D8F" w14:paraId="52FE20E2"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E112303" w14:textId="4F07B0CD" w:rsidR="00BA79FD" w:rsidRPr="00BA79FD" w:rsidRDefault="00BA79FD" w:rsidP="00BA79FD">
            <w:pPr>
              <w:pStyle w:val="Tabletext"/>
            </w:pPr>
            <w:r>
              <w:t>Maximum l</w:t>
            </w:r>
            <w:r w:rsidRPr="00BA79FD">
              <w:t>oad at risk per year</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4278F0F9" w14:textId="7BE2AA8C" w:rsidR="00BA79FD" w:rsidRPr="00BA79FD" w:rsidRDefault="00BA79FD" w:rsidP="00BA79FD">
            <w:pPr>
              <w:pStyle w:val="Tabletext"/>
            </w:pPr>
            <w:r w:rsidRPr="00503710">
              <w:t>TG</w:t>
            </w:r>
            <w:r w:rsidRPr="00BA79FD">
              <w:t>TL008</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4C153DA" w14:textId="77777777" w:rsidR="00BA79FD" w:rsidRPr="00BA79FD" w:rsidRDefault="00BA79FD" w:rsidP="00BA79FD">
            <w:pPr>
              <w:pStyle w:val="Tabletext"/>
            </w:pPr>
            <w:r w:rsidRPr="003B1500">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BAB266" w14:textId="547FC81B" w:rsidR="00BA79FD" w:rsidRPr="00BA79FD" w:rsidRDefault="00BA79FD" w:rsidP="00BA79FD">
            <w:pPr>
              <w:pStyle w:val="Tabletext"/>
            </w:pPr>
            <w:r w:rsidRPr="003B1500">
              <w:t>YYYY; M</w:t>
            </w:r>
            <w:r w:rsidRPr="00BA79FD">
              <w:t>VA and MW</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D806DB9" w14:textId="5A75A6E4" w:rsidR="00BA79FD" w:rsidRPr="00BA79FD" w:rsidRDefault="00BA79FD" w:rsidP="00BA79FD">
            <w:pPr>
              <w:pStyle w:val="Tabletext"/>
            </w:pPr>
            <w:r>
              <w:t>Maximum load at risk per year f</w:t>
            </w:r>
            <w:r w:rsidRPr="00BA79FD">
              <w:t>or all years constraint is forecast to occur (leave blank if not applicable)</w:t>
            </w:r>
            <w:r w:rsidR="00FC6105">
              <w:t>.</w:t>
            </w:r>
          </w:p>
        </w:tc>
      </w:tr>
      <w:tr w:rsidR="00BA79FD" w:rsidRPr="00B56D8F" w14:paraId="199CFE39"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A404D4C" w14:textId="77777777" w:rsidR="00BA79FD" w:rsidRPr="00BA79FD" w:rsidRDefault="00BA79FD" w:rsidP="00BA79FD">
            <w:pPr>
              <w:pStyle w:val="Tabletext"/>
            </w:pPr>
            <w:r w:rsidRPr="003B1500">
              <w:t>Energy at risk</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0FE25C97" w14:textId="41B5B74B" w:rsidR="00BA79FD" w:rsidRPr="00BA79FD" w:rsidRDefault="00BA79FD" w:rsidP="00BA79FD">
            <w:pPr>
              <w:pStyle w:val="Tabletext"/>
            </w:pPr>
            <w:r w:rsidRPr="00503710">
              <w:t>TG</w:t>
            </w:r>
            <w:r w:rsidRPr="00BA79FD">
              <w:t>TL009</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A06C99E" w14:textId="77777777" w:rsidR="00BA79FD" w:rsidRPr="00BA79FD" w:rsidRDefault="00BA79FD" w:rsidP="00BA79FD">
            <w:pPr>
              <w:pStyle w:val="Tabletext"/>
            </w:pPr>
            <w:r w:rsidRPr="003B1500">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171BE83" w14:textId="77777777" w:rsidR="00BA79FD" w:rsidRPr="00BA79FD" w:rsidRDefault="00BA79FD" w:rsidP="00BA79FD">
            <w:pPr>
              <w:pStyle w:val="Tabletext"/>
            </w:pPr>
            <w:r w:rsidRPr="003B1500">
              <w:t>YYYY;</w:t>
            </w:r>
            <w:r w:rsidRPr="00BA79FD">
              <w:t xml:space="preserve"> MWh</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3A69B35" w14:textId="5F03727F" w:rsidR="00BA79FD" w:rsidRPr="00BA79FD" w:rsidRDefault="00BA79FD" w:rsidP="00BA79FD">
            <w:pPr>
              <w:pStyle w:val="Tabletext"/>
            </w:pPr>
            <w:r w:rsidRPr="003B1500">
              <w:t xml:space="preserve">For all years </w:t>
            </w:r>
            <w:r w:rsidR="00FC6105">
              <w:t xml:space="preserve">the </w:t>
            </w:r>
            <w:r w:rsidRPr="003B1500">
              <w:t>constraint is forecast to occur</w:t>
            </w:r>
            <w:r w:rsidR="00FC6105">
              <w:t>.</w:t>
            </w:r>
          </w:p>
        </w:tc>
      </w:tr>
      <w:tr w:rsidR="00BA79FD" w:rsidRPr="00B56D8F" w14:paraId="25AEDB22"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6D18C80" w14:textId="38845D95" w:rsidR="00BA79FD" w:rsidRPr="00BA79FD" w:rsidRDefault="00BA79FD" w:rsidP="00BA79FD">
            <w:pPr>
              <w:pStyle w:val="Tabletext"/>
            </w:pPr>
            <w:r w:rsidRPr="003B1500">
              <w:t xml:space="preserve">Preferred </w:t>
            </w:r>
            <w:r w:rsidRPr="00BA79FD">
              <w:t>investment— Description</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007E265" w14:textId="73458A97" w:rsidR="00BA79FD" w:rsidRPr="00BA79FD" w:rsidRDefault="00BA79FD" w:rsidP="00BA79FD">
            <w:pPr>
              <w:pStyle w:val="Tabletext"/>
            </w:pPr>
            <w:r w:rsidRPr="00503710">
              <w:t>TG</w:t>
            </w:r>
            <w:r w:rsidRPr="00BA79FD">
              <w:t>TL010</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984F2A3" w14:textId="77777777" w:rsidR="00BA79FD" w:rsidRPr="00BA79FD" w:rsidRDefault="00BA79FD" w:rsidP="00BA79FD">
            <w:pPr>
              <w:pStyle w:val="Tabletext"/>
            </w:pPr>
            <w:r w:rsidRPr="003B1500">
              <w:t>Text</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C5D4F07" w14:textId="77777777" w:rsidR="00BA79FD" w:rsidRPr="00BA79FD" w:rsidRDefault="00BA79FD" w:rsidP="00BA79FD">
            <w:pPr>
              <w:pStyle w:val="Tabletext"/>
            </w:pPr>
            <w:r w:rsidRPr="003B1500">
              <w:t> </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9AC987" w14:textId="2FC29680" w:rsidR="00BA79FD" w:rsidRPr="00BA79FD" w:rsidRDefault="00BA79FD" w:rsidP="00BA79FD">
            <w:pPr>
              <w:pStyle w:val="Tabletext"/>
            </w:pPr>
            <w:r>
              <w:t>Provide b</w:t>
            </w:r>
            <w:r w:rsidRPr="00BA79FD">
              <w:t>rief description of the pr</w:t>
            </w:r>
            <w:r w:rsidR="00FC6105">
              <w:t>oject and its scope: Free text.</w:t>
            </w:r>
          </w:p>
          <w:p w14:paraId="12AD8408" w14:textId="764B46E5" w:rsidR="00BA79FD" w:rsidRPr="00BA79FD" w:rsidRDefault="00BA79FD" w:rsidP="00BA79FD">
            <w:pPr>
              <w:pStyle w:val="Tabletext"/>
            </w:pPr>
            <w:r w:rsidRPr="006C60AE">
              <w:lastRenderedPageBreak/>
              <w:t>This will inform non-network provider</w:t>
            </w:r>
            <w:r w:rsidR="00FC6105">
              <w:t>s</w:t>
            </w:r>
            <w:r w:rsidRPr="006C60AE">
              <w:t xml:space="preserve"> of what sort of network investment the TNSP is contemplating to address the need.</w:t>
            </w:r>
          </w:p>
        </w:tc>
      </w:tr>
      <w:tr w:rsidR="00BA79FD" w:rsidRPr="00B56D8F" w14:paraId="470F7D5C"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01971FB" w14:textId="6410C7B1" w:rsidR="00BA79FD" w:rsidRPr="00BA79FD" w:rsidRDefault="00BA79FD" w:rsidP="00BA79FD">
            <w:pPr>
              <w:pStyle w:val="Tabletext"/>
            </w:pPr>
            <w:r w:rsidRPr="00241C86">
              <w:lastRenderedPageBreak/>
              <w:t xml:space="preserve">Preferred investment— </w:t>
            </w:r>
            <w:r w:rsidRPr="00BA79FD">
              <w:t>Capital cost</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B3680BA" w14:textId="4DE2B499" w:rsidR="00BA79FD" w:rsidRPr="00BA79FD" w:rsidRDefault="00BA79FD" w:rsidP="00BA79FD">
            <w:pPr>
              <w:pStyle w:val="Tabletext"/>
            </w:pPr>
            <w:r w:rsidRPr="00503710">
              <w:t>TG</w:t>
            </w:r>
            <w:r w:rsidRPr="00BA79FD">
              <w:t>TL011</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F5318A" w14:textId="064E318F" w:rsidR="00BA79FD" w:rsidRPr="00BA79FD" w:rsidRDefault="00BA79FD" w:rsidP="00BA79FD">
            <w:pPr>
              <w:pStyle w:val="Tabletext"/>
            </w:pPr>
            <w:r w:rsidRPr="00241C86">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D7A7066" w14:textId="051465A4" w:rsidR="00BA79FD" w:rsidRPr="00BA79FD" w:rsidRDefault="00BA79FD" w:rsidP="00BA79FD">
            <w:pPr>
              <w:pStyle w:val="Tabletext"/>
            </w:pPr>
            <w:r w:rsidRPr="00241C86">
              <w:t>YYYY, $ (nominal)</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D36B6CC" w14:textId="0C7BDB9E" w:rsidR="00BA79FD" w:rsidRPr="00BA79FD" w:rsidRDefault="00BA79FD" w:rsidP="00BA79FD">
            <w:pPr>
              <w:pStyle w:val="Tabletext"/>
            </w:pPr>
            <w:r w:rsidRPr="00241C86">
              <w:t>This will inform</w:t>
            </w:r>
            <w:r w:rsidR="00FC6105">
              <w:t xml:space="preserve"> </w:t>
            </w:r>
            <w:r w:rsidRPr="00241C86">
              <w:t>non-network provider</w:t>
            </w:r>
            <w:r w:rsidR="00FC6105">
              <w:t>s</w:t>
            </w:r>
            <w:r w:rsidRPr="00241C86">
              <w:t xml:space="preserve"> of the magnitude of network investment the TNSP is contemplating to address the need.</w:t>
            </w:r>
          </w:p>
        </w:tc>
      </w:tr>
      <w:tr w:rsidR="00BA79FD" w:rsidRPr="00B56D8F" w14:paraId="460DD707"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84916AD" w14:textId="0BDA61EE" w:rsidR="00BA79FD" w:rsidRPr="00BA79FD" w:rsidRDefault="00BA79FD" w:rsidP="00BA79FD">
            <w:pPr>
              <w:pStyle w:val="Tabletext"/>
            </w:pPr>
            <w:r w:rsidRPr="00241C86">
              <w:t>Preferred investment — Annual operating cost</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6F7C609" w14:textId="0D37213C" w:rsidR="00BA79FD" w:rsidRPr="00BA79FD" w:rsidRDefault="00BA79FD" w:rsidP="00BA79FD">
            <w:pPr>
              <w:pStyle w:val="Tabletext"/>
            </w:pPr>
            <w:r w:rsidRPr="00241C86">
              <w:t>TGTL012</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A752348" w14:textId="4A8EE5B5" w:rsidR="00BA79FD" w:rsidRPr="00BA79FD" w:rsidRDefault="00BA79FD" w:rsidP="00BA79FD">
            <w:pPr>
              <w:pStyle w:val="Tabletext"/>
            </w:pPr>
            <w:r w:rsidRPr="00241C86">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AD75D19" w14:textId="01D2C136" w:rsidR="00BA79FD" w:rsidRPr="00BA79FD" w:rsidRDefault="00BA79FD" w:rsidP="00BA79FD">
            <w:pPr>
              <w:pStyle w:val="Tabletext"/>
            </w:pPr>
            <w:r w:rsidRPr="00241C86">
              <w:t>YYYY, $ (nominal)</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31B36B1" w14:textId="35FBA6DB" w:rsidR="00BA79FD" w:rsidRPr="00BA79FD" w:rsidRDefault="00BA79FD" w:rsidP="00BA79FD">
            <w:pPr>
              <w:pStyle w:val="Tabletext"/>
            </w:pPr>
            <w:r w:rsidRPr="00241C86">
              <w:t>Annual operating costs (including overheads)</w:t>
            </w:r>
            <w:r w:rsidR="0023615B">
              <w:t>.</w:t>
            </w:r>
          </w:p>
        </w:tc>
      </w:tr>
      <w:tr w:rsidR="00BA79FD" w:rsidRPr="00B56D8F" w14:paraId="14F48F6B"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BFF0043" w14:textId="3288EE6B" w:rsidR="00BA79FD" w:rsidRPr="00BA79FD" w:rsidRDefault="00BA79FD" w:rsidP="00BA79FD">
            <w:pPr>
              <w:pStyle w:val="Tabletext"/>
            </w:pPr>
            <w:r w:rsidRPr="003B1500">
              <w:t xml:space="preserve">Preferred investment </w:t>
            </w:r>
            <w:r w:rsidRPr="00BA79FD">
              <w:t>—Cost accuracy</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0B9D738" w14:textId="1702B17F" w:rsidR="00BA79FD" w:rsidRPr="00BA79FD" w:rsidRDefault="00BA79FD" w:rsidP="00BA79FD">
            <w:pPr>
              <w:pStyle w:val="Tabletext"/>
            </w:pPr>
            <w:r w:rsidRPr="00241C86">
              <w:t>TGTL013</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8240C2" w14:textId="77777777" w:rsidR="00BA79FD" w:rsidRPr="00BA79FD" w:rsidRDefault="00BA79FD" w:rsidP="00BA79FD">
            <w:pPr>
              <w:pStyle w:val="Tabletext"/>
            </w:pPr>
            <w:r w:rsidRPr="003B1500">
              <w:t>Integer</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3FB1BE8" w14:textId="77777777" w:rsidR="00BA79FD" w:rsidRPr="00BA79FD" w:rsidRDefault="00BA79FD" w:rsidP="00BA79FD">
            <w:pPr>
              <w:pStyle w:val="Tabletext"/>
            </w:pPr>
            <w:r w:rsidRPr="003B1500">
              <w:t>%</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36A6D6C" w14:textId="7988FD02" w:rsidR="00BA79FD" w:rsidRPr="00BA79FD" w:rsidRDefault="00BA79FD" w:rsidP="00BA79FD">
            <w:pPr>
              <w:pStyle w:val="Tabletext"/>
            </w:pPr>
            <w:r w:rsidRPr="006C60AE">
              <w:t xml:space="preserve">Use </w:t>
            </w:r>
            <w:r w:rsidRPr="00BA79FD">
              <w:t>0.15 for +/-15%</w:t>
            </w:r>
            <w:r w:rsidR="0023615B">
              <w:t>.</w:t>
            </w:r>
          </w:p>
        </w:tc>
      </w:tr>
      <w:tr w:rsidR="00BA79FD" w:rsidRPr="00B56D8F" w14:paraId="0A5CCF89"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52EC4C8" w14:textId="7FC8D15D" w:rsidR="00BA79FD" w:rsidRPr="00BA79FD" w:rsidRDefault="00BA79FD" w:rsidP="00BA79FD">
            <w:pPr>
              <w:pStyle w:val="Tabletext"/>
            </w:pPr>
            <w:r>
              <w:t>Preferred investment</w:t>
            </w:r>
            <w:r w:rsidRPr="00BA79FD">
              <w:t>—Proposed timing</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E3FD604" w14:textId="5D601F8A" w:rsidR="00BA79FD" w:rsidRPr="00BA79FD" w:rsidRDefault="00BA79FD" w:rsidP="00BA79FD">
            <w:pPr>
              <w:pStyle w:val="Tabletext"/>
            </w:pPr>
            <w:r w:rsidRPr="00503710">
              <w:t>TG</w:t>
            </w:r>
            <w:r w:rsidRPr="00BA79FD">
              <w:t>TL014</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2023B7C" w14:textId="77777777" w:rsidR="00BA79FD" w:rsidRPr="00BA79FD" w:rsidRDefault="00BA79FD" w:rsidP="00BA79FD">
            <w:pPr>
              <w:pStyle w:val="Tabletext"/>
            </w:pPr>
            <w:r w:rsidRPr="003B1500">
              <w:t>Integer</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AB0CA67" w14:textId="6747D63F" w:rsidR="00BA79FD" w:rsidRPr="00BA79FD" w:rsidRDefault="00BA79FD" w:rsidP="00BA79FD">
            <w:pPr>
              <w:pStyle w:val="Tabletext"/>
            </w:pPr>
            <w:r w:rsidRPr="003B1500">
              <w:t>MM</w:t>
            </w:r>
            <w:r w:rsidRPr="00BA79FD">
              <w:t>M-YY</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B51C0C2" w14:textId="5F584802" w:rsidR="00BA79FD" w:rsidRPr="00BA79FD" w:rsidRDefault="00BA79FD" w:rsidP="00FC6105">
            <w:pPr>
              <w:pStyle w:val="Tabletext"/>
            </w:pPr>
            <w:r w:rsidRPr="006C60AE">
              <w:t>Anticipated solution delivery timing. This will provide non-network provider</w:t>
            </w:r>
            <w:r w:rsidR="00FC6105">
              <w:t>s</w:t>
            </w:r>
            <w:r w:rsidRPr="006C60AE">
              <w:t xml:space="preserve"> sufficient information on when </w:t>
            </w:r>
            <w:r w:rsidR="00FC6105">
              <w:t>a</w:t>
            </w:r>
            <w:r w:rsidRPr="006C60AE">
              <w:t xml:space="preserve"> solution</w:t>
            </w:r>
            <w:r w:rsidR="00FC6105">
              <w:t xml:space="preserve"> is required</w:t>
            </w:r>
            <w:r w:rsidRPr="006C60AE">
              <w:t xml:space="preserve">. </w:t>
            </w:r>
            <w:r w:rsidRPr="00BA79FD">
              <w:t>Where it contains multiple timings for various stages, list timings of each stage.</w:t>
            </w:r>
          </w:p>
        </w:tc>
      </w:tr>
      <w:tr w:rsidR="00BA79FD" w:rsidRPr="00B56D8F" w14:paraId="3BBC218C" w14:textId="77777777" w:rsidTr="00BA79FD">
        <w:trPr>
          <w:trHeight w:val="79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927464" w14:textId="20B1504A" w:rsidR="00BA79FD" w:rsidRPr="00BA79FD" w:rsidRDefault="00BA79FD" w:rsidP="00BA79FD">
            <w:pPr>
              <w:pStyle w:val="Tabletext"/>
            </w:pPr>
            <w:r w:rsidRPr="003B1500">
              <w:t xml:space="preserve">Demand reduction required to </w:t>
            </w:r>
            <w:r w:rsidRPr="00BA79FD">
              <w:t>defer investment by1 year</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7E87EDF3" w14:textId="4BA6D922" w:rsidR="00BA79FD" w:rsidRPr="00BA79FD" w:rsidRDefault="00BA79FD" w:rsidP="00BA79FD">
            <w:pPr>
              <w:pStyle w:val="Tabletext"/>
            </w:pPr>
            <w:r w:rsidRPr="00503710">
              <w:t>TG</w:t>
            </w:r>
            <w:r w:rsidRPr="00BA79FD">
              <w:t>TL015</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FC08A60" w14:textId="37A646BC" w:rsidR="00BA79FD" w:rsidRPr="00BA79FD" w:rsidRDefault="00BA79FD" w:rsidP="00BA79FD">
            <w:pPr>
              <w:pStyle w:val="Tabletext"/>
            </w:pPr>
            <w:r>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8894B88" w14:textId="58753199" w:rsidR="00BA79FD" w:rsidRPr="00BA79FD" w:rsidRDefault="00BA79FD" w:rsidP="00BA79FD">
            <w:pPr>
              <w:pStyle w:val="Tabletext"/>
            </w:pPr>
            <w:r>
              <w:t xml:space="preserve">Connection point, </w:t>
            </w:r>
            <w:r w:rsidRPr="00BA79FD">
              <w:t>MVA</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6238543" w14:textId="0FE9ACAA" w:rsidR="00BA79FD" w:rsidRPr="00BA79FD" w:rsidRDefault="00BA79FD" w:rsidP="0023615B">
            <w:pPr>
              <w:pStyle w:val="Tabletext"/>
            </w:pPr>
            <w:r>
              <w:t xml:space="preserve">The total amount of load reduction required at affected connection points to defer the investment by one year. </w:t>
            </w:r>
            <w:r w:rsidRPr="00BA79FD">
              <w:t>Applicable for capacity driven investment.</w:t>
            </w:r>
          </w:p>
        </w:tc>
      </w:tr>
      <w:tr w:rsidR="00BA79FD" w:rsidRPr="00B56D8F" w14:paraId="3E12F145"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B5FD944" w14:textId="01B0F171" w:rsidR="00BA79FD" w:rsidRPr="00BA79FD" w:rsidRDefault="00BA79FD" w:rsidP="00BA79FD">
            <w:pPr>
              <w:pStyle w:val="Tabletext"/>
            </w:pPr>
            <w:r w:rsidRPr="00241C86">
              <w:t>Annual deferral value</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71EE4A3" w14:textId="5AE4CBAF" w:rsidR="00BA79FD" w:rsidRPr="00BA79FD" w:rsidRDefault="00BA79FD" w:rsidP="00BA79FD">
            <w:pPr>
              <w:pStyle w:val="Tabletext"/>
            </w:pPr>
            <w:r w:rsidRPr="00503710">
              <w:t>TG</w:t>
            </w:r>
            <w:r w:rsidRPr="00BA79FD">
              <w:t>TL016</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7362060" w14:textId="574ECB63" w:rsidR="00BA79FD" w:rsidRPr="00BA79FD" w:rsidRDefault="00BA79FD" w:rsidP="00BA79FD">
            <w:pPr>
              <w:pStyle w:val="Tabletext"/>
            </w:pPr>
            <w:r w:rsidRPr="00241C86">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284D093" w14:textId="40084B4D" w:rsidR="00BA79FD" w:rsidRPr="00BA79FD" w:rsidRDefault="00BA79FD" w:rsidP="00BA79FD">
            <w:pPr>
              <w:pStyle w:val="Tabletext"/>
            </w:pPr>
            <w:r w:rsidRPr="00241C86">
              <w:t>YYYY, $ (nominal)</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C427F1B" w14:textId="00524D6E" w:rsidR="00BA79FD" w:rsidRPr="00BA79FD" w:rsidRDefault="00BA79FD" w:rsidP="00BA79FD">
            <w:pPr>
              <w:pStyle w:val="Tabletext"/>
            </w:pPr>
            <w:r w:rsidRPr="00241C86">
              <w:t>Applicable for capacity driven investment.</w:t>
            </w:r>
          </w:p>
        </w:tc>
      </w:tr>
      <w:tr w:rsidR="00BA79FD" w:rsidRPr="00B56D8F" w14:paraId="48FD8496" w14:textId="77777777" w:rsidTr="00BA79FD">
        <w:trPr>
          <w:trHeight w:val="249"/>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BEC253" w14:textId="470BBC47" w:rsidR="00BA79FD" w:rsidRPr="00BA79FD" w:rsidRDefault="00BA79FD" w:rsidP="00BA79FD">
            <w:pPr>
              <w:pStyle w:val="Tabletext"/>
            </w:pPr>
            <w:r w:rsidRPr="003B1500">
              <w:t xml:space="preserve">Historic </w:t>
            </w:r>
            <w:r w:rsidRPr="00BA79FD">
              <w:t>line load trace</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6C31D752" w14:textId="1666ECB7" w:rsidR="00BA79FD" w:rsidRPr="00BA79FD" w:rsidRDefault="00BA79FD" w:rsidP="00BA79FD">
            <w:pPr>
              <w:pStyle w:val="Tabletext"/>
            </w:pPr>
            <w:r w:rsidRPr="00241C86">
              <w:t>TGTL017</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1E57A7" w14:textId="77777777" w:rsidR="00BA79FD" w:rsidRPr="00BA79FD" w:rsidRDefault="00BA79FD" w:rsidP="00BA79FD">
            <w:pPr>
              <w:pStyle w:val="Tabletext"/>
            </w:pPr>
            <w:r w:rsidRPr="003B1500">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A158D0A" w14:textId="6CFA6550" w:rsidR="00BA79FD" w:rsidRPr="00BA79FD" w:rsidRDefault="00BA79FD" w:rsidP="00BA79FD">
            <w:pPr>
              <w:pStyle w:val="Tabletext"/>
            </w:pPr>
            <w:r w:rsidRPr="003B1500">
              <w:t>HH:MM DD/MM/YYYY MVA</w:t>
            </w:r>
            <w:r w:rsidRPr="00BA79FD">
              <w:t>, MW</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7D09DA4" w14:textId="613613B3" w:rsidR="00BA79FD" w:rsidRPr="00BA79FD" w:rsidRDefault="00463378" w:rsidP="00BA79FD">
            <w:pPr>
              <w:pStyle w:val="Tabletext"/>
            </w:pPr>
            <w:r>
              <w:t>T</w:t>
            </w:r>
            <w:r w:rsidR="00BA79FD">
              <w:t xml:space="preserve">he greater value of load measured at either end of the line. </w:t>
            </w:r>
            <w:r w:rsidR="00BA79FD" w:rsidRPr="00BA79FD">
              <w:t xml:space="preserve">This will inform non-network </w:t>
            </w:r>
            <w:r w:rsidR="0023615B">
              <w:t xml:space="preserve">providers </w:t>
            </w:r>
            <w:r w:rsidR="00BA79FD" w:rsidRPr="00BA79FD">
              <w:t>of how the load has flowed through the ne</w:t>
            </w:r>
            <w:r w:rsidR="0023615B">
              <w:t>twork.</w:t>
            </w:r>
          </w:p>
          <w:p w14:paraId="693C4A5B" w14:textId="73D7287B" w:rsidR="00BA79FD" w:rsidRPr="00BA79FD" w:rsidRDefault="00BA79FD" w:rsidP="00BA79FD">
            <w:pPr>
              <w:pStyle w:val="Tabletext"/>
            </w:pPr>
            <w:r w:rsidRPr="00221490">
              <w:t>Maximum 30 minute intervals (e.g. 5 minute intervals might also be appropriate)</w:t>
            </w:r>
            <w:r w:rsidRPr="00BA79FD">
              <w:t>; 3 years historic information; uncleansed. It must be expressed in MW and MVA. Must highlight load switching.</w:t>
            </w:r>
          </w:p>
        </w:tc>
      </w:tr>
      <w:tr w:rsidR="00BA79FD" w:rsidRPr="00B56D8F" w14:paraId="14EFBA67" w14:textId="77777777" w:rsidTr="00BA79F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0D44E2D" w14:textId="0B24CD20" w:rsidR="00BA79FD" w:rsidRPr="00BA79FD" w:rsidRDefault="00BA79FD" w:rsidP="00BA79FD">
            <w:pPr>
              <w:pStyle w:val="Tabletext"/>
            </w:pPr>
            <w:r w:rsidRPr="003B1500">
              <w:t xml:space="preserve">Historic </w:t>
            </w:r>
            <w:r w:rsidRPr="00BA79FD">
              <w:t>line rating</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2BC7EC77" w14:textId="0593F0CA" w:rsidR="00BA79FD" w:rsidRPr="00BA79FD" w:rsidRDefault="00BA79FD" w:rsidP="00BA79FD">
            <w:pPr>
              <w:pStyle w:val="Tabletext"/>
            </w:pPr>
            <w:r w:rsidRPr="00503710">
              <w:t>TG</w:t>
            </w:r>
            <w:r w:rsidRPr="00BA79FD">
              <w:t>TL018</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FC75C16" w14:textId="77777777" w:rsidR="00BA79FD" w:rsidRPr="00BA79FD" w:rsidRDefault="00BA79FD" w:rsidP="00BA79FD">
            <w:pPr>
              <w:pStyle w:val="Tabletext"/>
            </w:pPr>
            <w:r w:rsidRPr="003B1500">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E247D14" w14:textId="77777777" w:rsidR="00BA79FD" w:rsidRPr="00BA79FD" w:rsidRDefault="00BA79FD" w:rsidP="00BA79FD">
            <w:pPr>
              <w:pStyle w:val="Tabletext"/>
            </w:pPr>
            <w:r w:rsidRPr="003B1500">
              <w:t xml:space="preserve">HH:MM </w:t>
            </w:r>
            <w:r w:rsidRPr="00BA79FD">
              <w:t>DD/MM/YYYY MVA</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8DF2DE0" w14:textId="0BA28C52" w:rsidR="00BA79FD" w:rsidRPr="00BA79FD" w:rsidRDefault="00463378" w:rsidP="00BA79FD">
            <w:pPr>
              <w:pStyle w:val="Tabletext"/>
            </w:pPr>
            <w:r>
              <w:t>Th</w:t>
            </w:r>
            <w:r w:rsidR="00BA79FD">
              <w:t>e summer and winter ratings for the past 3 years.</w:t>
            </w:r>
          </w:p>
        </w:tc>
      </w:tr>
      <w:tr w:rsidR="00BA79FD" w:rsidRPr="00B56D8F" w:rsidDel="00C02584" w14:paraId="723D622D" w14:textId="77777777" w:rsidTr="00BA79FD">
        <w:trPr>
          <w:trHeight w:val="315"/>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0A2C1FF" w14:textId="139F7AAE" w:rsidR="00BA79FD" w:rsidRPr="00BA79FD" w:rsidDel="00C02584" w:rsidRDefault="00BA79FD" w:rsidP="00BA79FD">
            <w:pPr>
              <w:pStyle w:val="Tabletext"/>
            </w:pPr>
            <w:r w:rsidRPr="00241C86">
              <w:t>Annual economic cost of constraint</w:t>
            </w:r>
          </w:p>
        </w:tc>
        <w:tc>
          <w:tcPr>
            <w:tcW w:w="970"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tcPr>
          <w:p w14:paraId="4EF8FB7F" w14:textId="178933BA" w:rsidR="00BA79FD" w:rsidRPr="00BA79FD" w:rsidDel="00C02584" w:rsidRDefault="00BA79FD" w:rsidP="00BA79FD">
            <w:pPr>
              <w:pStyle w:val="Tabletext"/>
            </w:pPr>
            <w:r w:rsidRPr="00503710">
              <w:t>TG</w:t>
            </w:r>
            <w:r w:rsidRPr="00BA79FD">
              <w:t>TL019</w:t>
            </w:r>
          </w:p>
        </w:tc>
        <w:tc>
          <w:tcPr>
            <w:tcW w:w="1156"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0D52941" w14:textId="366071D3" w:rsidR="00BA79FD" w:rsidRPr="00BA79FD" w:rsidDel="00C02584" w:rsidRDefault="00BA79FD" w:rsidP="00BA79FD">
            <w:pPr>
              <w:pStyle w:val="Tabletext"/>
            </w:pPr>
            <w:r w:rsidRPr="00241C86">
              <w:t>Series</w:t>
            </w:r>
          </w:p>
        </w:tc>
        <w:tc>
          <w:tcPr>
            <w:tcW w:w="1417"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9C6E97" w14:textId="585DA240" w:rsidR="00BA79FD" w:rsidRPr="00BA79FD" w:rsidDel="00C02584" w:rsidRDefault="00BA79FD" w:rsidP="00BA79FD">
            <w:pPr>
              <w:pStyle w:val="Tabletext"/>
            </w:pPr>
            <w:r w:rsidRPr="00241C86">
              <w:t>YYYY, $ (nominal)</w:t>
            </w:r>
          </w:p>
        </w:tc>
        <w:tc>
          <w:tcPr>
            <w:tcW w:w="394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84B77BD" w14:textId="515B2F32" w:rsidR="00BA79FD" w:rsidRPr="00BA79FD" w:rsidDel="00C02584" w:rsidRDefault="00BA79FD" w:rsidP="00BA79FD">
            <w:pPr>
              <w:pStyle w:val="Tabletext"/>
            </w:pPr>
            <w:r w:rsidRPr="00241C86">
              <w:t xml:space="preserve">Expressed in $ millions. For example the </w:t>
            </w:r>
            <w:r w:rsidRPr="00BA79FD">
              <w:t>expected annual cost of unserved energy, cost of safety risk, cost of operational constraint, or cost of wholesale energy cost increase caused by the constraint (where applicable).</w:t>
            </w:r>
          </w:p>
        </w:tc>
      </w:tr>
      <w:tr w:rsidR="00BA79FD" w:rsidRPr="00B56D8F" w:rsidDel="00C02584" w14:paraId="63073C1A" w14:textId="77777777" w:rsidTr="00BA79FD">
        <w:trPr>
          <w:trHeight w:val="315"/>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37EC545B" w14:textId="77777777" w:rsidR="00BA79FD" w:rsidRPr="00BA79FD" w:rsidRDefault="00BA79FD" w:rsidP="00BA79FD">
            <w:pPr>
              <w:pStyle w:val="Tabletext"/>
            </w:pPr>
            <w:r w:rsidRPr="00E2686C">
              <w:t>VCR</w:t>
            </w:r>
          </w:p>
        </w:tc>
        <w:tc>
          <w:tcPr>
            <w:tcW w:w="970"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006CF237" w14:textId="65B2925E" w:rsidR="00BA79FD" w:rsidRPr="00BA79FD" w:rsidRDefault="00BA79FD" w:rsidP="00BA79FD">
            <w:pPr>
              <w:pStyle w:val="Tabletext"/>
            </w:pPr>
            <w:r w:rsidRPr="00241C86">
              <w:t>TGTL02</w:t>
            </w:r>
            <w:r>
              <w:t>0</w:t>
            </w:r>
          </w:p>
        </w:tc>
        <w:tc>
          <w:tcPr>
            <w:tcW w:w="1156"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6E94E292" w14:textId="77777777" w:rsidR="00BA79FD" w:rsidRPr="00BA79FD" w:rsidDel="00C02584" w:rsidRDefault="00BA79FD" w:rsidP="00BA79FD">
            <w:pPr>
              <w:pStyle w:val="Tabletext"/>
            </w:pPr>
            <w:r w:rsidRPr="00E2686C">
              <w:t>Float</w:t>
            </w:r>
          </w:p>
        </w:tc>
        <w:tc>
          <w:tcPr>
            <w:tcW w:w="1417"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60C4FCE4" w14:textId="77777777" w:rsidR="00BA79FD" w:rsidRPr="00BA79FD" w:rsidDel="00C02584" w:rsidRDefault="00BA79FD" w:rsidP="00BA79FD">
            <w:pPr>
              <w:pStyle w:val="Tabletext"/>
            </w:pPr>
            <w:r w:rsidRPr="00E2686C">
              <w:t>$/MWh</w:t>
            </w:r>
          </w:p>
        </w:tc>
        <w:tc>
          <w:tcPr>
            <w:tcW w:w="394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002693F8" w14:textId="41BAFD9C" w:rsidR="00BA79FD" w:rsidRPr="00BA79FD" w:rsidDel="00C02584" w:rsidRDefault="00BA79FD" w:rsidP="00BA79FD">
            <w:pPr>
              <w:pStyle w:val="Tabletext"/>
            </w:pPr>
            <w:r>
              <w:t xml:space="preserve">VCR value applied to assess the impact of this </w:t>
            </w:r>
            <w:r w:rsidR="0023615B">
              <w:t xml:space="preserve">constraint. </w:t>
            </w:r>
            <w:r w:rsidRPr="00BA79FD">
              <w:t>Data to be expressed as $/MWh (weighted by customer type relevant to any unserved energy risk).</w:t>
            </w:r>
          </w:p>
        </w:tc>
      </w:tr>
      <w:tr w:rsidR="00BA79FD" w:rsidRPr="00B56D8F" w:rsidDel="00C02584" w14:paraId="1F3934E6" w14:textId="77777777" w:rsidTr="00BA79FD">
        <w:trPr>
          <w:trHeight w:val="315"/>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tcPr>
          <w:p w14:paraId="37EF93D7" w14:textId="46828EDF" w:rsidR="00BA79FD" w:rsidRPr="00BA79FD" w:rsidRDefault="00BA79FD" w:rsidP="00BA79FD">
            <w:pPr>
              <w:pStyle w:val="Tabletext"/>
            </w:pPr>
            <w:r w:rsidRPr="00BA79FD">
              <w:rPr>
                <w:rStyle w:val="Strong"/>
                <w:b w:val="0"/>
                <w:bCs w:val="0"/>
              </w:rPr>
              <w:lastRenderedPageBreak/>
              <w:t>Annual constraint duration</w:t>
            </w:r>
          </w:p>
        </w:tc>
        <w:tc>
          <w:tcPr>
            <w:tcW w:w="970"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7D077C50" w14:textId="62932BAC" w:rsidR="00BA79FD" w:rsidRPr="00BA79FD" w:rsidRDefault="00BA79FD" w:rsidP="00BA79FD">
            <w:pPr>
              <w:pStyle w:val="Tabletext"/>
            </w:pPr>
            <w:r w:rsidRPr="00503710">
              <w:t>TG</w:t>
            </w:r>
            <w:r w:rsidRPr="00BA79FD">
              <w:t>TL02</w:t>
            </w:r>
            <w:r>
              <w:t>1</w:t>
            </w:r>
          </w:p>
        </w:tc>
        <w:tc>
          <w:tcPr>
            <w:tcW w:w="1156"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2339133B" w14:textId="01776ACB" w:rsidR="00BA79FD" w:rsidRPr="00BA79FD" w:rsidRDefault="00BA79FD" w:rsidP="00BA79FD">
            <w:pPr>
              <w:pStyle w:val="Tabletext"/>
            </w:pPr>
            <w:r>
              <w:t>F</w:t>
            </w:r>
            <w:r w:rsidRPr="00BA79FD">
              <w:t>loat</w:t>
            </w:r>
          </w:p>
        </w:tc>
        <w:tc>
          <w:tcPr>
            <w:tcW w:w="1417"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5FA3962C" w14:textId="7F02A990" w:rsidR="00BA79FD" w:rsidRPr="00BA79FD" w:rsidRDefault="00BA79FD" w:rsidP="00BA79FD">
            <w:pPr>
              <w:pStyle w:val="Tabletext"/>
            </w:pPr>
            <w:r>
              <w:t>hours</w:t>
            </w:r>
          </w:p>
        </w:tc>
        <w:tc>
          <w:tcPr>
            <w:tcW w:w="394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21C50ABA" w14:textId="25FF5B07" w:rsidR="00BA79FD" w:rsidRPr="00BA79FD" w:rsidDel="00C02584" w:rsidRDefault="00BA79FD" w:rsidP="00BA79FD">
            <w:pPr>
              <w:pStyle w:val="Tabletext"/>
            </w:pPr>
            <w:r w:rsidRPr="003A5F4F">
              <w:t xml:space="preserve">Expressed as the number of hours the constraint is expected to last and how long the solution is </w:t>
            </w:r>
            <w:r w:rsidRPr="00BA79FD">
              <w:t>required for, including a load duration curve where applicable.</w:t>
            </w:r>
          </w:p>
        </w:tc>
      </w:tr>
      <w:tr w:rsidR="00BA79FD" w:rsidRPr="00B56D8F" w:rsidDel="00C02584" w14:paraId="6CC64451" w14:textId="77777777" w:rsidTr="00BA79FD">
        <w:trPr>
          <w:trHeight w:val="315"/>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tcPr>
          <w:p w14:paraId="0CCDE9A9" w14:textId="4A05E767" w:rsidR="00BA79FD" w:rsidRPr="00BA79FD" w:rsidRDefault="00BA79FD" w:rsidP="00BA79FD">
            <w:pPr>
              <w:pStyle w:val="Tabletext"/>
              <w:rPr>
                <w:rStyle w:val="Strong"/>
                <w:b w:val="0"/>
                <w:bCs w:val="0"/>
              </w:rPr>
            </w:pPr>
            <w:r w:rsidRPr="00BA79FD">
              <w:rPr>
                <w:rStyle w:val="Strong"/>
                <w:b w:val="0"/>
                <w:bCs w:val="0"/>
              </w:rPr>
              <w:t>Constraint duration on peak demand day</w:t>
            </w:r>
          </w:p>
        </w:tc>
        <w:tc>
          <w:tcPr>
            <w:tcW w:w="970"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5289A98C" w14:textId="76867E3C" w:rsidR="00BA79FD" w:rsidRPr="00BA79FD" w:rsidRDefault="00BA79FD" w:rsidP="00BA79FD">
            <w:pPr>
              <w:pStyle w:val="Tabletext"/>
            </w:pPr>
            <w:r w:rsidRPr="00503710">
              <w:t>TG</w:t>
            </w:r>
            <w:r w:rsidRPr="00BA79FD">
              <w:t>TL02</w:t>
            </w:r>
            <w:r>
              <w:t>2</w:t>
            </w:r>
          </w:p>
        </w:tc>
        <w:tc>
          <w:tcPr>
            <w:tcW w:w="1156"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063A3FB2" w14:textId="39091ED9" w:rsidR="00BA79FD" w:rsidRPr="00BA79FD" w:rsidRDefault="00BA79FD" w:rsidP="00BA79FD">
            <w:pPr>
              <w:pStyle w:val="Tabletext"/>
            </w:pPr>
            <w:r>
              <w:t>F</w:t>
            </w:r>
            <w:r w:rsidRPr="00BA79FD">
              <w:t>loat</w:t>
            </w:r>
          </w:p>
        </w:tc>
        <w:tc>
          <w:tcPr>
            <w:tcW w:w="1417"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03AA4F5B" w14:textId="2DF1305E" w:rsidR="00BA79FD" w:rsidRPr="00BA79FD" w:rsidRDefault="00BA79FD" w:rsidP="00BA79FD">
            <w:pPr>
              <w:pStyle w:val="Tabletext"/>
            </w:pPr>
            <w:r>
              <w:t>hours</w:t>
            </w:r>
          </w:p>
        </w:tc>
        <w:tc>
          <w:tcPr>
            <w:tcW w:w="394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37B318AC" w14:textId="7C46D6B7" w:rsidR="00BA79FD" w:rsidRPr="00BA79FD" w:rsidRDefault="00BA79FD" w:rsidP="00BA79FD">
            <w:pPr>
              <w:pStyle w:val="Tabletext"/>
            </w:pPr>
            <w:r>
              <w:t>See previous</w:t>
            </w:r>
            <w:r w:rsidR="0023615B">
              <w:t>.</w:t>
            </w:r>
          </w:p>
        </w:tc>
      </w:tr>
    </w:tbl>
    <w:p w14:paraId="27999554" w14:textId="6C995728" w:rsidR="006C60AE" w:rsidRDefault="006C60AE" w:rsidP="007213DF">
      <w:pPr>
        <w:pStyle w:val="Heading2"/>
      </w:pPr>
      <w:bookmarkStart w:id="27" w:name="_Toc528056460"/>
      <w:bookmarkStart w:id="28" w:name="_Ref529452780"/>
      <w:bookmarkStart w:id="29" w:name="_Ref531258511"/>
      <w:bookmarkStart w:id="30" w:name="_Toc532814803"/>
      <w:r>
        <w:t xml:space="preserve">New </w:t>
      </w:r>
      <w:r w:rsidR="0023615B">
        <w:t>generator c</w:t>
      </w:r>
      <w:r>
        <w:t>onnections</w:t>
      </w:r>
      <w:bookmarkEnd w:id="27"/>
      <w:bookmarkEnd w:id="28"/>
      <w:bookmarkEnd w:id="29"/>
      <w:r w:rsidR="0023615B">
        <w:t xml:space="preserve"> data</w:t>
      </w:r>
      <w:bookmarkEnd w:id="30"/>
    </w:p>
    <w:p w14:paraId="4C69C517" w14:textId="437809B6" w:rsidR="00F25CAC" w:rsidRDefault="0023615B" w:rsidP="004827BD">
      <w:pPr>
        <w:pStyle w:val="BodyText"/>
      </w:pPr>
      <w:r>
        <w:t xml:space="preserve">This </w:t>
      </w:r>
      <w:r w:rsidRPr="007C6A36">
        <w:t>must include information on the proposed generato</w:t>
      </w:r>
      <w:r>
        <w:t>r</w:t>
      </w:r>
      <w:r w:rsidRPr="007C6A36">
        <w:t xml:space="preserve"> size</w:t>
      </w:r>
      <w:r w:rsidR="00463378">
        <w:t>,</w:t>
      </w:r>
      <w:r>
        <w:t xml:space="preserve"> technology</w:t>
      </w:r>
      <w:r w:rsidRPr="007C6A36">
        <w:t xml:space="preserve"> and approximate location f</w:t>
      </w:r>
      <w:r>
        <w:t>or</w:t>
      </w:r>
      <w:r w:rsidRPr="007C6A36">
        <w:t xml:space="preserve"> every connection </w:t>
      </w:r>
      <w:r>
        <w:t>application or new (</w:t>
      </w:r>
      <w:r w:rsidR="00D73E25">
        <w:t>that is,</w:t>
      </w:r>
      <w:r>
        <w:t xml:space="preserve"> completed over</w:t>
      </w:r>
      <w:r w:rsidR="00463378">
        <w:t xml:space="preserve"> the</w:t>
      </w:r>
      <w:r>
        <w:t xml:space="preserve"> last 12 months) connection agreement. </w:t>
      </w:r>
      <w:r w:rsidR="00F517C8" w:rsidRPr="00F517C8">
        <w:t>For</w:t>
      </w:r>
      <w:r w:rsidR="00BD6CD9">
        <w:t xml:space="preserve"> </w:t>
      </w:r>
      <w:r w:rsidR="00F25CAC">
        <w:t>information that is subject to a confident</w:t>
      </w:r>
      <w:r w:rsidR="00BD6CD9">
        <w:t xml:space="preserve">iality obligation under the NER, or is otherwise </w:t>
      </w:r>
      <w:r w:rsidR="00463378">
        <w:t xml:space="preserve">confidential </w:t>
      </w:r>
      <w:r w:rsidR="00BD6CD9">
        <w:t xml:space="preserve">information about an individual user, </w:t>
      </w:r>
      <w:r w:rsidR="00F25CAC">
        <w:t>the TNSP must instead publish that information as an unidentified component of an aggregated sum.</w:t>
      </w:r>
      <w:r w:rsidR="00F25CAC">
        <w:rPr>
          <w:rStyle w:val="FootnoteReference"/>
        </w:rPr>
        <w:footnoteReference w:id="17"/>
      </w:r>
      <w:r w:rsidR="00F25CAC">
        <w:t xml:space="preserve"> The TNSP must only aggregate information to the extent necessary to maintain the confidentiality of the </w:t>
      </w:r>
      <w:r w:rsidR="00BD6CD9">
        <w:t xml:space="preserve">new generation connection information. </w:t>
      </w:r>
      <w:r w:rsidR="00AC7223">
        <w:t>T</w:t>
      </w:r>
      <w:r w:rsidR="00F25CAC">
        <w:t>his means that the TNSP must</w:t>
      </w:r>
      <w:r w:rsidR="00833BC8">
        <w:t xml:space="preserve"> publish</w:t>
      </w:r>
      <w:r w:rsidR="00F25CAC">
        <w:t xml:space="preserve">: </w:t>
      </w:r>
    </w:p>
    <w:p w14:paraId="19532468" w14:textId="7E6A1964" w:rsidR="00F25CAC" w:rsidRDefault="00833BC8" w:rsidP="00C934AB">
      <w:pPr>
        <w:pStyle w:val="Bulletpoint"/>
      </w:pPr>
      <w:r>
        <w:t xml:space="preserve">in the case of three or more new generation connections at a connection point, </w:t>
      </w:r>
      <w:r w:rsidR="00434B4B">
        <w:t xml:space="preserve">by three separate generation operators, </w:t>
      </w:r>
      <w:r>
        <w:t>aggregated new generation connection informa</w:t>
      </w:r>
      <w:r w:rsidR="0023615B">
        <w:t>tion for that connection point;</w:t>
      </w:r>
    </w:p>
    <w:p w14:paraId="3B0F03CF" w14:textId="61CD3272" w:rsidR="00C72C82" w:rsidRPr="004869B3" w:rsidRDefault="00833BC8" w:rsidP="0023615B">
      <w:pPr>
        <w:pStyle w:val="Bulletpoint"/>
      </w:pPr>
      <w:proofErr w:type="gramStart"/>
      <w:r>
        <w:t>otherwise</w:t>
      </w:r>
      <w:proofErr w:type="gramEnd"/>
      <w:r>
        <w:t xml:space="preserve">, in the case of three </w:t>
      </w:r>
      <w:r w:rsidR="00434B4B">
        <w:t>or more new generation connections at multiple</w:t>
      </w:r>
      <w:r>
        <w:t xml:space="preserve"> connection points, by three </w:t>
      </w:r>
      <w:r w:rsidR="00434B4B">
        <w:t>separate unrelated generation operators,</w:t>
      </w:r>
      <w:r>
        <w:t xml:space="preserve"> new generation connection information for a </w:t>
      </w:r>
      <w:r w:rsidR="006161F2">
        <w:t>geographic area</w:t>
      </w:r>
      <w:r>
        <w:t xml:space="preserve"> consist</w:t>
      </w:r>
      <w:r w:rsidR="0023615B">
        <w:t>ing of those connection points.</w:t>
      </w:r>
    </w:p>
    <w:tbl>
      <w:tblPr>
        <w:tblW w:w="9513" w:type="dxa"/>
        <w:shd w:val="clear" w:color="auto" w:fill="FFFFFF"/>
        <w:tblCellMar>
          <w:left w:w="0" w:type="dxa"/>
          <w:right w:w="0" w:type="dxa"/>
        </w:tblCellMar>
        <w:tblLook w:val="04A0" w:firstRow="1" w:lastRow="0" w:firstColumn="1" w:lastColumn="0" w:noHBand="0" w:noVBand="1"/>
      </w:tblPr>
      <w:tblGrid>
        <w:gridCol w:w="2142"/>
        <w:gridCol w:w="992"/>
        <w:gridCol w:w="1134"/>
        <w:gridCol w:w="1461"/>
        <w:gridCol w:w="3784"/>
      </w:tblGrid>
      <w:tr w:rsidR="006C60AE" w:rsidRPr="003B1500" w14:paraId="32E3EF7B" w14:textId="77777777" w:rsidTr="004827B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8EA6234" w14:textId="77777777" w:rsidR="006C60AE" w:rsidRPr="006C60AE" w:rsidRDefault="006C60AE" w:rsidP="006C60AE">
            <w:pPr>
              <w:pStyle w:val="Tabletext"/>
              <w:rPr>
                <w:rStyle w:val="Strong"/>
              </w:rPr>
            </w:pPr>
            <w:r w:rsidRPr="004729BB">
              <w:rPr>
                <w:rStyle w:val="Strong"/>
              </w:rPr>
              <w:t>Field Name</w:t>
            </w:r>
          </w:p>
        </w:tc>
        <w:tc>
          <w:tcPr>
            <w:tcW w:w="992"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2C646AD" w14:textId="77777777" w:rsidR="006C60AE" w:rsidRPr="006C60AE" w:rsidRDefault="006C60AE" w:rsidP="006C60AE">
            <w:pPr>
              <w:pStyle w:val="Tabletext"/>
              <w:rPr>
                <w:rStyle w:val="Strong"/>
              </w:rPr>
            </w:pPr>
            <w:r w:rsidRPr="004729BB">
              <w:rPr>
                <w:rStyle w:val="Strong"/>
              </w:rPr>
              <w:t>Rule</w:t>
            </w:r>
          </w:p>
        </w:tc>
        <w:tc>
          <w:tcPr>
            <w:tcW w:w="113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B920FE5" w14:textId="77777777" w:rsidR="006C60AE" w:rsidRPr="006C60AE" w:rsidRDefault="006C60AE" w:rsidP="006C60AE">
            <w:pPr>
              <w:pStyle w:val="Tabletext"/>
              <w:rPr>
                <w:rStyle w:val="Strong"/>
              </w:rPr>
            </w:pPr>
            <w:r w:rsidRPr="004729BB">
              <w:rPr>
                <w:rStyle w:val="Strong"/>
              </w:rPr>
              <w:t>Data Type</w:t>
            </w:r>
          </w:p>
        </w:tc>
        <w:tc>
          <w:tcPr>
            <w:tcW w:w="1461"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D78B51D" w14:textId="77777777" w:rsidR="006C60AE" w:rsidRPr="006C60AE" w:rsidRDefault="006C60AE" w:rsidP="006C60AE">
            <w:pPr>
              <w:pStyle w:val="Tabletext"/>
              <w:rPr>
                <w:rStyle w:val="Strong"/>
              </w:rPr>
            </w:pPr>
            <w:r w:rsidRPr="004729BB">
              <w:rPr>
                <w:rStyle w:val="Strong"/>
              </w:rPr>
              <w:t>Units</w:t>
            </w:r>
          </w:p>
        </w:tc>
        <w:tc>
          <w:tcPr>
            <w:tcW w:w="378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AC8C2BE" w14:textId="77777777" w:rsidR="006C60AE" w:rsidRPr="006C60AE" w:rsidRDefault="006C60AE" w:rsidP="006C60AE">
            <w:pPr>
              <w:pStyle w:val="Tabletext"/>
              <w:rPr>
                <w:rStyle w:val="Strong"/>
              </w:rPr>
            </w:pPr>
            <w:r w:rsidRPr="004729BB">
              <w:rPr>
                <w:rStyle w:val="Strong"/>
              </w:rPr>
              <w:t>Other information</w:t>
            </w:r>
          </w:p>
        </w:tc>
      </w:tr>
      <w:tr w:rsidR="006C60AE" w:rsidRPr="003B1500" w14:paraId="2D2FA418" w14:textId="77777777" w:rsidTr="004827BD">
        <w:trPr>
          <w:trHeight w:val="249"/>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671048" w14:textId="6946559B" w:rsidR="006C60AE" w:rsidRPr="006C60AE" w:rsidRDefault="00ED382A" w:rsidP="006C60AE">
            <w:pPr>
              <w:pStyle w:val="Tabletext"/>
            </w:pPr>
            <w:r>
              <w:t>Approximate</w:t>
            </w:r>
            <w:r w:rsidR="006C60AE" w:rsidRPr="004729BB">
              <w:t xml:space="preserve"> </w:t>
            </w:r>
            <w:r w:rsidR="006C60AE" w:rsidRPr="006C60AE">
              <w:t>generator size</w:t>
            </w:r>
          </w:p>
        </w:tc>
        <w:tc>
          <w:tcPr>
            <w:tcW w:w="992"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5E888C1" w14:textId="77777777" w:rsidR="006C60AE" w:rsidRPr="006C60AE" w:rsidRDefault="006C60AE" w:rsidP="006C60AE">
            <w:pPr>
              <w:pStyle w:val="Tabletext"/>
            </w:pPr>
            <w:r w:rsidRPr="004729BB">
              <w:t>TGNC001</w:t>
            </w:r>
          </w:p>
        </w:tc>
        <w:tc>
          <w:tcPr>
            <w:tcW w:w="113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4D30B7C" w14:textId="77777777" w:rsidR="006C60AE" w:rsidRPr="006C60AE" w:rsidRDefault="006C60AE" w:rsidP="006C60AE">
            <w:pPr>
              <w:pStyle w:val="Tabletext"/>
            </w:pPr>
            <w:r w:rsidRPr="004729BB">
              <w:t>Integer</w:t>
            </w:r>
          </w:p>
        </w:tc>
        <w:tc>
          <w:tcPr>
            <w:tcW w:w="1461"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F6C76CE" w14:textId="2F0A1BAE" w:rsidR="006C60AE" w:rsidRPr="006C60AE" w:rsidRDefault="006C60AE" w:rsidP="00A71180">
            <w:pPr>
              <w:pStyle w:val="Tabletext"/>
            </w:pPr>
            <w:r w:rsidRPr="004729BB">
              <w:t>MW</w:t>
            </w:r>
            <w:r w:rsidR="00E27DC1">
              <w:t xml:space="preserve">, </w:t>
            </w:r>
            <w:proofErr w:type="spellStart"/>
            <w:r w:rsidR="00E27DC1">
              <w:t>MV</w:t>
            </w:r>
            <w:r w:rsidR="00A71180">
              <w:t>A</w:t>
            </w:r>
            <w:r w:rsidR="000F05BB">
              <w:t>r</w:t>
            </w:r>
            <w:proofErr w:type="spellEnd"/>
          </w:p>
        </w:tc>
        <w:tc>
          <w:tcPr>
            <w:tcW w:w="378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F167FBF" w14:textId="3D963EAD" w:rsidR="006C60AE" w:rsidRPr="006C60AE" w:rsidRDefault="00ED382A" w:rsidP="00C72C82">
            <w:pPr>
              <w:pStyle w:val="Tabletext"/>
            </w:pPr>
            <w:r>
              <w:t>Non-confidential or redacted</w:t>
            </w:r>
            <w:r w:rsidR="00C72C82">
              <w:t xml:space="preserve">. </w:t>
            </w:r>
            <w:r w:rsidR="00C72C82" w:rsidRPr="00C72C82">
              <w:t xml:space="preserve">E.g. aggregate multiple generators at the same connection point or in a geographic area where necessary to avoid revealing </w:t>
            </w:r>
            <w:r w:rsidR="00C72C82">
              <w:t>confidential information.</w:t>
            </w:r>
          </w:p>
        </w:tc>
      </w:tr>
      <w:tr w:rsidR="006C60AE" w:rsidRPr="003B1500" w14:paraId="220D3A34" w14:textId="77777777" w:rsidTr="004827BD">
        <w:trPr>
          <w:trHeight w:val="540"/>
        </w:trPr>
        <w:tc>
          <w:tcPr>
            <w:tcW w:w="2142" w:type="dxa"/>
            <w:tcBorders>
              <w:top w:val="single" w:sz="8" w:space="0" w:color="CCCCCC"/>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7B7012A" w14:textId="36936A5C" w:rsidR="006C60AE" w:rsidRPr="006C60AE" w:rsidRDefault="00ED382A" w:rsidP="006C60AE">
            <w:pPr>
              <w:pStyle w:val="Tabletext"/>
            </w:pPr>
            <w:r>
              <w:t xml:space="preserve">Approximate </w:t>
            </w:r>
            <w:r w:rsidR="006C60AE" w:rsidRPr="006C60AE">
              <w:t>generator location</w:t>
            </w:r>
          </w:p>
        </w:tc>
        <w:tc>
          <w:tcPr>
            <w:tcW w:w="992"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2B476EE" w14:textId="77777777" w:rsidR="006C60AE" w:rsidRPr="006C60AE" w:rsidRDefault="006C60AE" w:rsidP="006C60AE">
            <w:pPr>
              <w:pStyle w:val="Tabletext"/>
            </w:pPr>
            <w:r w:rsidRPr="004729BB">
              <w:t>TGNC002</w:t>
            </w:r>
          </w:p>
        </w:tc>
        <w:tc>
          <w:tcPr>
            <w:tcW w:w="113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0437E06" w14:textId="6C2BA419" w:rsidR="006C60AE" w:rsidRPr="006C60AE" w:rsidRDefault="004827BD" w:rsidP="006C60AE">
            <w:pPr>
              <w:pStyle w:val="Tabletext"/>
            </w:pPr>
            <w:r>
              <w:t>Text</w:t>
            </w:r>
          </w:p>
        </w:tc>
        <w:tc>
          <w:tcPr>
            <w:tcW w:w="1461"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84685CA" w14:textId="5C2F6E75" w:rsidR="006C60AE" w:rsidRPr="006C60AE" w:rsidRDefault="006C60AE" w:rsidP="006C60AE">
            <w:pPr>
              <w:pStyle w:val="Tabletext"/>
            </w:pPr>
          </w:p>
        </w:tc>
        <w:tc>
          <w:tcPr>
            <w:tcW w:w="3784" w:type="dxa"/>
            <w:tcBorders>
              <w:top w:val="single" w:sz="8" w:space="0" w:color="CCCCCC"/>
              <w:left w:val="single" w:sz="8" w:space="0" w:color="CCCCCC"/>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4879FE0" w14:textId="4F449139" w:rsidR="004827BD" w:rsidRPr="006C60AE" w:rsidRDefault="004827BD" w:rsidP="004827BD">
            <w:pPr>
              <w:pStyle w:val="Tabletext"/>
            </w:pPr>
            <w:r>
              <w:t>Name of the transmission connection point and TNSP unique ID</w:t>
            </w:r>
            <w:r w:rsidR="00203FC1">
              <w:t>, or if only one generator then the sum of generation in a geographic area</w:t>
            </w:r>
            <w:r w:rsidR="0023615B">
              <w:t>.</w:t>
            </w:r>
          </w:p>
        </w:tc>
      </w:tr>
      <w:tr w:rsidR="006C60AE" w:rsidRPr="003B1500" w14:paraId="7B80A487" w14:textId="77777777" w:rsidTr="004827BD">
        <w:trPr>
          <w:trHeight w:val="540"/>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707EB0F5" w14:textId="477CA897" w:rsidR="006C60AE" w:rsidRPr="006C60AE" w:rsidRDefault="006C60AE" w:rsidP="006C60AE">
            <w:pPr>
              <w:pStyle w:val="Tabletext"/>
            </w:pPr>
            <w:r w:rsidRPr="004729BB">
              <w:t xml:space="preserve">Associated </w:t>
            </w:r>
            <w:r w:rsidRPr="006C60AE">
              <w:t>generator type</w:t>
            </w:r>
            <w:r w:rsidR="00E27DC1">
              <w:t xml:space="preserve"> and technology</w:t>
            </w:r>
          </w:p>
        </w:tc>
        <w:tc>
          <w:tcPr>
            <w:tcW w:w="992"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47579F90" w14:textId="77777777" w:rsidR="006C60AE" w:rsidRPr="006C60AE" w:rsidRDefault="006C60AE" w:rsidP="006C60AE">
            <w:pPr>
              <w:pStyle w:val="Tabletext"/>
            </w:pPr>
            <w:r w:rsidRPr="004729BB">
              <w:t>TGNC003</w:t>
            </w:r>
          </w:p>
        </w:tc>
        <w:tc>
          <w:tcPr>
            <w:tcW w:w="113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07913B32" w14:textId="77777777" w:rsidR="006C60AE" w:rsidRPr="006C60AE" w:rsidRDefault="006C60AE" w:rsidP="006C60AE">
            <w:pPr>
              <w:pStyle w:val="Tabletext"/>
            </w:pPr>
            <w:r w:rsidRPr="004729BB">
              <w:t>Text</w:t>
            </w:r>
          </w:p>
        </w:tc>
        <w:tc>
          <w:tcPr>
            <w:tcW w:w="1461"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6998A582" w14:textId="77777777" w:rsidR="006C60AE" w:rsidRPr="006C60AE" w:rsidRDefault="006C60AE" w:rsidP="006C60AE">
            <w:pPr>
              <w:pStyle w:val="Tabletext"/>
            </w:pPr>
            <w:r w:rsidRPr="004729BB">
              <w:t> </w:t>
            </w:r>
          </w:p>
        </w:tc>
        <w:tc>
          <w:tcPr>
            <w:tcW w:w="378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hideMark/>
          </w:tcPr>
          <w:p w14:paraId="20125CD9" w14:textId="303286AE" w:rsidR="006C60AE" w:rsidRPr="006C60AE" w:rsidRDefault="00ED382A" w:rsidP="006C60AE">
            <w:pPr>
              <w:pStyle w:val="Tabletext"/>
            </w:pPr>
            <w:r w:rsidRPr="00ED382A">
              <w:t>Non-confidential or redacted</w:t>
            </w:r>
            <w:r w:rsidR="0023615B">
              <w:t>.</w:t>
            </w:r>
          </w:p>
        </w:tc>
      </w:tr>
      <w:tr w:rsidR="006C60AE" w:rsidRPr="003B1500" w14:paraId="09D03BAB" w14:textId="77777777" w:rsidTr="004827BD">
        <w:trPr>
          <w:trHeight w:val="540"/>
        </w:trPr>
        <w:tc>
          <w:tcPr>
            <w:tcW w:w="2142" w:type="dxa"/>
            <w:tcBorders>
              <w:top w:val="single" w:sz="8" w:space="0" w:color="CCCCCC"/>
              <w:left w:val="single" w:sz="8" w:space="0" w:color="000000"/>
              <w:bottom w:val="single" w:sz="8" w:space="0" w:color="CCCCCC"/>
              <w:right w:val="single" w:sz="8" w:space="0" w:color="000000"/>
            </w:tcBorders>
            <w:shd w:val="clear" w:color="auto" w:fill="FFFFFF"/>
            <w:tcMar>
              <w:top w:w="15" w:type="dxa"/>
              <w:left w:w="15" w:type="dxa"/>
              <w:bottom w:w="0" w:type="dxa"/>
              <w:right w:w="15" w:type="dxa"/>
            </w:tcMar>
            <w:vAlign w:val="bottom"/>
          </w:tcPr>
          <w:p w14:paraId="1134DBFC" w14:textId="0E384191" w:rsidR="006C60AE" w:rsidRPr="006C60AE" w:rsidRDefault="00FC200A" w:rsidP="006C60AE">
            <w:pPr>
              <w:pStyle w:val="Tabletext"/>
            </w:pPr>
            <w:r>
              <w:t>Connection s</w:t>
            </w:r>
            <w:r w:rsidR="006C60AE" w:rsidRPr="004729BB">
              <w:t>tatus</w:t>
            </w:r>
          </w:p>
        </w:tc>
        <w:tc>
          <w:tcPr>
            <w:tcW w:w="992"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33E81FA6" w14:textId="77777777" w:rsidR="006C60AE" w:rsidRPr="006C60AE" w:rsidRDefault="006C60AE" w:rsidP="006C60AE">
            <w:pPr>
              <w:pStyle w:val="Tabletext"/>
            </w:pPr>
            <w:r w:rsidRPr="004729BB">
              <w:t>TGNC004</w:t>
            </w:r>
          </w:p>
        </w:tc>
        <w:tc>
          <w:tcPr>
            <w:tcW w:w="113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6B12F99F" w14:textId="77777777" w:rsidR="006C60AE" w:rsidRPr="006C60AE" w:rsidRDefault="006C60AE" w:rsidP="006C60AE">
            <w:pPr>
              <w:pStyle w:val="Tabletext"/>
            </w:pPr>
            <w:r w:rsidRPr="004729BB">
              <w:t>Text</w:t>
            </w:r>
          </w:p>
        </w:tc>
        <w:tc>
          <w:tcPr>
            <w:tcW w:w="1461"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51FF2C31" w14:textId="77777777" w:rsidR="006C60AE" w:rsidRPr="004729BB" w:rsidRDefault="006C60AE" w:rsidP="006C60AE">
            <w:pPr>
              <w:pStyle w:val="Tabletext"/>
            </w:pPr>
          </w:p>
        </w:tc>
        <w:tc>
          <w:tcPr>
            <w:tcW w:w="3784" w:type="dxa"/>
            <w:tcBorders>
              <w:top w:val="single" w:sz="8" w:space="0" w:color="CCCCCC"/>
              <w:left w:val="single" w:sz="8" w:space="0" w:color="CCCCCC"/>
              <w:bottom w:val="single" w:sz="8" w:space="0" w:color="CCCCCC"/>
              <w:right w:val="single" w:sz="8" w:space="0" w:color="000000"/>
            </w:tcBorders>
            <w:shd w:val="clear" w:color="auto" w:fill="FFFFFF"/>
            <w:tcMar>
              <w:top w:w="15" w:type="dxa"/>
              <w:left w:w="15" w:type="dxa"/>
              <w:bottom w:w="0" w:type="dxa"/>
              <w:right w:w="15" w:type="dxa"/>
            </w:tcMar>
            <w:vAlign w:val="bottom"/>
          </w:tcPr>
          <w:p w14:paraId="454F2F23" w14:textId="0996E85B" w:rsidR="006C60AE" w:rsidRPr="006C60AE" w:rsidRDefault="006C60AE" w:rsidP="006C60AE">
            <w:pPr>
              <w:pStyle w:val="Tabletext"/>
            </w:pPr>
            <w:r w:rsidRPr="006C60AE">
              <w:t>Application or Connection Agreement in Place</w:t>
            </w:r>
            <w:r w:rsidR="0023615B">
              <w:t>.</w:t>
            </w:r>
          </w:p>
        </w:tc>
      </w:tr>
    </w:tbl>
    <w:p w14:paraId="19D7EF84" w14:textId="5B216FA3" w:rsidR="003B1500" w:rsidRDefault="003B1500" w:rsidP="00386E23">
      <w:pPr>
        <w:pStyle w:val="Heading1notnumber"/>
      </w:pPr>
      <w:bookmarkStart w:id="31" w:name="_Toc532814804"/>
      <w:r>
        <w:lastRenderedPageBreak/>
        <w:t>A</w:t>
      </w:r>
      <w:r w:rsidR="00A966D5">
        <w:t xml:space="preserve"> Summary of and response to s</w:t>
      </w:r>
      <w:r>
        <w:t>ubmissions</w:t>
      </w:r>
      <w:bookmarkEnd w:id="31"/>
    </w:p>
    <w:tbl>
      <w:tblPr>
        <w:tblStyle w:val="AERTable-Text"/>
        <w:tblW w:w="0" w:type="auto"/>
        <w:tblLook w:val="04A0" w:firstRow="1" w:lastRow="0" w:firstColumn="1" w:lastColumn="0" w:noHBand="0" w:noVBand="1"/>
      </w:tblPr>
      <w:tblGrid>
        <w:gridCol w:w="1628"/>
        <w:gridCol w:w="4292"/>
        <w:gridCol w:w="3322"/>
      </w:tblGrid>
      <w:tr w:rsidR="00A966D5" w14:paraId="6AB2B663" w14:textId="77777777" w:rsidTr="00390C35">
        <w:trPr>
          <w:cnfStyle w:val="100000000000" w:firstRow="1" w:lastRow="0" w:firstColumn="0" w:lastColumn="0" w:oddVBand="0" w:evenVBand="0" w:oddHBand="0" w:evenHBand="0" w:firstRowFirstColumn="0" w:firstRowLastColumn="0" w:lastRowFirstColumn="0" w:lastRowLastColumn="0"/>
        </w:trPr>
        <w:tc>
          <w:tcPr>
            <w:tcW w:w="1628" w:type="dxa"/>
          </w:tcPr>
          <w:bookmarkEnd w:id="5"/>
          <w:p w14:paraId="16E0CB07" w14:textId="69CE68C5" w:rsidR="00A966D5" w:rsidRDefault="00A966D5" w:rsidP="00390C35">
            <w:pPr>
              <w:pStyle w:val="Tabletext"/>
            </w:pPr>
            <w:r>
              <w:t>Stakeholder</w:t>
            </w:r>
          </w:p>
        </w:tc>
        <w:tc>
          <w:tcPr>
            <w:tcW w:w="4292" w:type="dxa"/>
          </w:tcPr>
          <w:p w14:paraId="48D997F8" w14:textId="393093AD" w:rsidR="00A966D5" w:rsidRDefault="00A966D5" w:rsidP="00390C35">
            <w:pPr>
              <w:pStyle w:val="Tabletext"/>
            </w:pPr>
            <w:r>
              <w:t>Submission</w:t>
            </w:r>
          </w:p>
        </w:tc>
        <w:tc>
          <w:tcPr>
            <w:tcW w:w="3322" w:type="dxa"/>
          </w:tcPr>
          <w:p w14:paraId="5EA7E96C" w14:textId="1C022D17" w:rsidR="00A966D5" w:rsidRDefault="00A966D5" w:rsidP="00390C35">
            <w:pPr>
              <w:pStyle w:val="Tabletext"/>
            </w:pPr>
            <w:r>
              <w:t>AER response</w:t>
            </w:r>
          </w:p>
        </w:tc>
      </w:tr>
      <w:tr w:rsidR="00176BFB" w14:paraId="09448AEB" w14:textId="77777777" w:rsidTr="00390C35">
        <w:tc>
          <w:tcPr>
            <w:tcW w:w="1628" w:type="dxa"/>
          </w:tcPr>
          <w:p w14:paraId="2DC0DE76" w14:textId="7B5DA0A9" w:rsidR="00176BFB" w:rsidRPr="00176BFB" w:rsidRDefault="00176BFB" w:rsidP="00390C35">
            <w:pPr>
              <w:pStyle w:val="Tabletext"/>
            </w:pPr>
            <w:r>
              <w:t>AEMO</w:t>
            </w:r>
          </w:p>
        </w:tc>
        <w:tc>
          <w:tcPr>
            <w:tcW w:w="4292" w:type="dxa"/>
          </w:tcPr>
          <w:p w14:paraId="5B231D9F" w14:textId="7BA2ADE2" w:rsidR="00176BFB" w:rsidRPr="00176BFB" w:rsidRDefault="00176BFB" w:rsidP="00390C35">
            <w:pPr>
              <w:pStyle w:val="Tabletext"/>
            </w:pPr>
            <w:r w:rsidRPr="00A7015E">
              <w:t>While the AER have requested more</w:t>
            </w:r>
            <w:r w:rsidRPr="00176BFB">
              <w:t xml:space="preserve"> information on current and emerging constraints on transmission lines, thereby focussing on the impact of increasing demand, the majority of emerging potential constraints </w:t>
            </w:r>
            <w:r w:rsidR="00390C35" w:rsidRPr="00176BFB">
              <w:t xml:space="preserve">in Victoria </w:t>
            </w:r>
            <w:r w:rsidRPr="00176BFB">
              <w:t>are ex</w:t>
            </w:r>
            <w:r w:rsidR="00390C35">
              <w:t>pected to be driven by generation.</w:t>
            </w:r>
          </w:p>
        </w:tc>
        <w:tc>
          <w:tcPr>
            <w:tcW w:w="3322" w:type="dxa"/>
          </w:tcPr>
          <w:p w14:paraId="6D3444E9" w14:textId="398FAC88" w:rsidR="00176BFB" w:rsidRDefault="00390C35" w:rsidP="00390C35">
            <w:pPr>
              <w:pStyle w:val="Tabletext"/>
            </w:pPr>
            <w:r>
              <w:t>T</w:t>
            </w:r>
            <w:r w:rsidR="00E91BFF">
              <w:t xml:space="preserve">he information provided in TAPRs by the TNSPs on current and emerging constraints would capture both load and generation driven constraints. </w:t>
            </w:r>
            <w:r>
              <w:t>T</w:t>
            </w:r>
            <w:r w:rsidR="00E91BFF">
              <w:t>his may also be useful in capturing condition driven constraints</w:t>
            </w:r>
            <w:r>
              <w:t>.</w:t>
            </w:r>
          </w:p>
        </w:tc>
      </w:tr>
      <w:tr w:rsidR="00176BFB" w14:paraId="378BAF2D" w14:textId="77777777" w:rsidTr="00390C35">
        <w:trPr>
          <w:cnfStyle w:val="000000010000" w:firstRow="0" w:lastRow="0" w:firstColumn="0" w:lastColumn="0" w:oddVBand="0" w:evenVBand="0" w:oddHBand="0" w:evenHBand="1" w:firstRowFirstColumn="0" w:firstRowLastColumn="0" w:lastRowFirstColumn="0" w:lastRowLastColumn="0"/>
        </w:trPr>
        <w:tc>
          <w:tcPr>
            <w:tcW w:w="1628" w:type="dxa"/>
          </w:tcPr>
          <w:p w14:paraId="1CC5A7EA" w14:textId="0568F64C" w:rsidR="00176BFB" w:rsidRPr="00176BFB" w:rsidRDefault="00176BFB" w:rsidP="00390C35">
            <w:pPr>
              <w:pStyle w:val="Tabletext"/>
            </w:pPr>
            <w:r>
              <w:t>AEMO</w:t>
            </w:r>
          </w:p>
        </w:tc>
        <w:tc>
          <w:tcPr>
            <w:tcW w:w="4292" w:type="dxa"/>
          </w:tcPr>
          <w:p w14:paraId="65C77660" w14:textId="536E386B" w:rsidR="00176BFB" w:rsidRPr="00176BFB" w:rsidRDefault="00390C35" w:rsidP="00390C35">
            <w:pPr>
              <w:pStyle w:val="Tabletext"/>
            </w:pPr>
            <w:r>
              <w:t xml:space="preserve">AEMO proposes </w:t>
            </w:r>
            <w:r w:rsidR="00176BFB" w:rsidRPr="00176BFB">
              <w:t xml:space="preserve">to only incorporate information relevant to the </w:t>
            </w:r>
            <w:r>
              <w:t>DSN</w:t>
            </w:r>
            <w:r w:rsidR="00176BFB" w:rsidRPr="00176BFB">
              <w:t xml:space="preserve"> in Victoria. This also relates to the information requested for new generation connections as DNSPs are responsible for connection point information in Victorian, which forms part of the Systems Limitation Template or Transmission Connection Planning Report.</w:t>
            </w:r>
          </w:p>
        </w:tc>
        <w:tc>
          <w:tcPr>
            <w:tcW w:w="3322" w:type="dxa"/>
          </w:tcPr>
          <w:p w14:paraId="30152DD2" w14:textId="126074B2" w:rsidR="00176BFB" w:rsidRDefault="008023DD" w:rsidP="00390C35">
            <w:pPr>
              <w:pStyle w:val="Tabletext"/>
            </w:pPr>
            <w:r>
              <w:t xml:space="preserve">Since there are not many constrained connection points or terminal stations and given this information is already published, it will not be unreasonable for </w:t>
            </w:r>
            <w:r w:rsidR="00390C35">
              <w:t xml:space="preserve">TNSPs </w:t>
            </w:r>
            <w:r>
              <w:t>to publish</w:t>
            </w:r>
            <w:r w:rsidR="00390C35">
              <w:t xml:space="preserve"> this</w:t>
            </w:r>
            <w:r>
              <w:t xml:space="preserve"> information in the requested formats.</w:t>
            </w:r>
          </w:p>
        </w:tc>
      </w:tr>
      <w:tr w:rsidR="00176BFB" w14:paraId="09878DE2" w14:textId="77777777" w:rsidTr="00390C35">
        <w:tc>
          <w:tcPr>
            <w:tcW w:w="1628" w:type="dxa"/>
          </w:tcPr>
          <w:p w14:paraId="11CCBC83" w14:textId="4C64489F" w:rsidR="00176BFB" w:rsidRPr="00176BFB" w:rsidRDefault="00176BFB" w:rsidP="00390C35">
            <w:pPr>
              <w:pStyle w:val="Tabletext"/>
            </w:pPr>
            <w:r>
              <w:t>AEMO</w:t>
            </w:r>
          </w:p>
        </w:tc>
        <w:tc>
          <w:tcPr>
            <w:tcW w:w="4292" w:type="dxa"/>
          </w:tcPr>
          <w:p w14:paraId="7668A569" w14:textId="5AD18963" w:rsidR="00176BFB" w:rsidRPr="00176BFB" w:rsidRDefault="00176BFB" w:rsidP="00390C35">
            <w:pPr>
              <w:pStyle w:val="Tabletext"/>
            </w:pPr>
            <w:r>
              <w:t>S</w:t>
            </w:r>
            <w:r w:rsidRPr="00176BFB">
              <w:t>uggests re-categor</w:t>
            </w:r>
            <w:r w:rsidR="00B058BD">
              <w:t>ising sections 4.1.1 and 4.1.2</w:t>
            </w:r>
            <w:r w:rsidR="00390C35">
              <w:t xml:space="preserve"> of the draft TAPR guidelines from 'transmission connection points' and 'transmission line segment', to 'transmission terminal stations' and '</w:t>
            </w:r>
            <w:r w:rsidRPr="00176BFB">
              <w:t xml:space="preserve">transmission </w:t>
            </w:r>
            <w:r w:rsidR="00390C35">
              <w:t>lines between terminal stations'</w:t>
            </w:r>
            <w:r w:rsidR="0023615B">
              <w:t xml:space="preserve"> respectively. </w:t>
            </w:r>
            <w:r>
              <w:t>The</w:t>
            </w:r>
            <w:r w:rsidRPr="00176BFB">
              <w:t xml:space="preserve"> current categorisation does not align well with coverage of the DSN assets</w:t>
            </w:r>
            <w:r w:rsidR="00390C35">
              <w:t xml:space="preserve"> (e.g. assets </w:t>
            </w:r>
            <w:r w:rsidRPr="00176BFB">
              <w:t>in terminal stations that are not directly connected to connection points</w:t>
            </w:r>
            <w:r w:rsidR="00390C35">
              <w:t>)</w:t>
            </w:r>
            <w:r w:rsidRPr="00176BFB">
              <w:t>. The level of detail requested also appears to encompass network equipment, which would provide limited additional value to stakeholders.</w:t>
            </w:r>
          </w:p>
        </w:tc>
        <w:tc>
          <w:tcPr>
            <w:tcW w:w="3322" w:type="dxa"/>
          </w:tcPr>
          <w:p w14:paraId="279E9359" w14:textId="34C2B4FA" w:rsidR="00176BFB" w:rsidRDefault="00B058BD" w:rsidP="0078699B">
            <w:r>
              <w:t>The TAPR guidelines specify that, f</w:t>
            </w:r>
            <w:r w:rsidRPr="00B058BD">
              <w:t>ollowing from the DSN arrangements in Victoria, references to 'transmission connection points' and 'transmission line segments' in the TAPR guidelines shall be interpreted in Victoria as 'transmission terminal stations' and 'transmission lines between terminal stations', respectively.</w:t>
            </w:r>
          </w:p>
        </w:tc>
      </w:tr>
      <w:tr w:rsidR="00176BFB" w14:paraId="65C9F801" w14:textId="77777777" w:rsidTr="00390C35">
        <w:trPr>
          <w:cnfStyle w:val="000000010000" w:firstRow="0" w:lastRow="0" w:firstColumn="0" w:lastColumn="0" w:oddVBand="0" w:evenVBand="0" w:oddHBand="0" w:evenHBand="1" w:firstRowFirstColumn="0" w:firstRowLastColumn="0" w:lastRowFirstColumn="0" w:lastRowLastColumn="0"/>
        </w:trPr>
        <w:tc>
          <w:tcPr>
            <w:tcW w:w="1628" w:type="dxa"/>
          </w:tcPr>
          <w:p w14:paraId="28F1FF43" w14:textId="3A7BF83F" w:rsidR="00176BFB" w:rsidRPr="00176BFB" w:rsidRDefault="00176BFB" w:rsidP="00390C35">
            <w:pPr>
              <w:pStyle w:val="Tabletext"/>
            </w:pPr>
            <w:r>
              <w:t>AEMO</w:t>
            </w:r>
          </w:p>
        </w:tc>
        <w:tc>
          <w:tcPr>
            <w:tcW w:w="4292" w:type="dxa"/>
          </w:tcPr>
          <w:p w14:paraId="66DA8258" w14:textId="43578CD0" w:rsidR="00176BFB" w:rsidRPr="00176BFB" w:rsidRDefault="00176BFB" w:rsidP="00707F9A">
            <w:pPr>
              <w:pStyle w:val="Tabletext"/>
            </w:pPr>
            <w:r>
              <w:t>Suggests clarifying</w:t>
            </w:r>
            <w:r w:rsidRPr="00176BFB">
              <w:t xml:space="preserve"> in section 4.1.1</w:t>
            </w:r>
            <w:r w:rsidR="00390C35">
              <w:t xml:space="preserve"> of the draft </w:t>
            </w:r>
            <w:r w:rsidR="00707F9A">
              <w:t>TAPR</w:t>
            </w:r>
            <w:r w:rsidR="00390C35">
              <w:t xml:space="preserve"> guidelines</w:t>
            </w:r>
            <w:r w:rsidRPr="00176BFB">
              <w:t xml:space="preserve"> that fault</w:t>
            </w:r>
            <w:r w:rsidR="0023615B">
              <w:t xml:space="preserve"> level requirements only relate</w:t>
            </w:r>
            <w:r w:rsidRPr="00176BFB">
              <w:t xml:space="preserve"> to emerging constraints.</w:t>
            </w:r>
          </w:p>
        </w:tc>
        <w:tc>
          <w:tcPr>
            <w:tcW w:w="3322" w:type="dxa"/>
          </w:tcPr>
          <w:p w14:paraId="67C759B9" w14:textId="73F0BD7A" w:rsidR="00176BFB" w:rsidRDefault="007C4273" w:rsidP="0023615B">
            <w:pPr>
              <w:pStyle w:val="Tabletext"/>
            </w:pPr>
            <w:r>
              <w:t>A</w:t>
            </w:r>
            <w:r w:rsidRPr="007C4273">
              <w:t>greed. We have clarified this in the final TAPR guidelines.</w:t>
            </w:r>
          </w:p>
        </w:tc>
      </w:tr>
      <w:tr w:rsidR="00176BFB" w14:paraId="0203E81C" w14:textId="77777777" w:rsidTr="00390C35">
        <w:tc>
          <w:tcPr>
            <w:tcW w:w="1628" w:type="dxa"/>
          </w:tcPr>
          <w:p w14:paraId="6B5AEB1A" w14:textId="3AA58B80" w:rsidR="00176BFB" w:rsidRPr="00176BFB" w:rsidRDefault="00176BFB" w:rsidP="00390C35">
            <w:pPr>
              <w:pStyle w:val="Tabletext"/>
            </w:pPr>
            <w:r>
              <w:t>AEMO</w:t>
            </w:r>
          </w:p>
        </w:tc>
        <w:tc>
          <w:tcPr>
            <w:tcW w:w="4292" w:type="dxa"/>
          </w:tcPr>
          <w:p w14:paraId="19FA379D" w14:textId="65566C56" w:rsidR="00176BFB" w:rsidRPr="00176BFB" w:rsidRDefault="00176BFB" w:rsidP="00B058BD">
            <w:pPr>
              <w:pStyle w:val="Tabletext"/>
            </w:pPr>
            <w:r>
              <w:t>Suggests clarifying</w:t>
            </w:r>
            <w:r w:rsidRPr="00176BFB">
              <w:t xml:space="preserve"> in section 4.1.3</w:t>
            </w:r>
            <w:r w:rsidR="00707F9A">
              <w:t xml:space="preserve"> of the draft </w:t>
            </w:r>
            <w:r w:rsidR="00707F9A" w:rsidRPr="00707F9A">
              <w:t>TAPR guidelines</w:t>
            </w:r>
            <w:r w:rsidRPr="00176BFB">
              <w:t xml:space="preserve"> that only non-confidential information on new generation connections </w:t>
            </w:r>
            <w:r w:rsidR="00707F9A">
              <w:t xml:space="preserve">is </w:t>
            </w:r>
            <w:r w:rsidRPr="00176BFB">
              <w:t>required to be published. Also, providing forecast load duration curves for new connections may not be of</w:t>
            </w:r>
            <w:r w:rsidR="00B058BD">
              <w:t xml:space="preserve"> high accuracy, and therefore add</w:t>
            </w:r>
            <w:r w:rsidRPr="00176BFB">
              <w:t xml:space="preserve"> limited value.</w:t>
            </w:r>
          </w:p>
        </w:tc>
        <w:tc>
          <w:tcPr>
            <w:tcW w:w="3322" w:type="dxa"/>
          </w:tcPr>
          <w:p w14:paraId="2F343C8E" w14:textId="5701285D" w:rsidR="00176BFB" w:rsidRDefault="00FC200A" w:rsidP="00390C35">
            <w:pPr>
              <w:pStyle w:val="Tabletext"/>
            </w:pPr>
            <w:r>
              <w:t>The final TAPR guidelines only request non-confidential information on new generator connections, and advise TNSPs to aggregate or redact information where necessary. The final TAPR guidelines do not request forecast load duration curves for new connections.</w:t>
            </w:r>
          </w:p>
        </w:tc>
      </w:tr>
      <w:tr w:rsidR="00176BFB" w14:paraId="55817482" w14:textId="77777777" w:rsidTr="00390C35">
        <w:trPr>
          <w:cnfStyle w:val="000000010000" w:firstRow="0" w:lastRow="0" w:firstColumn="0" w:lastColumn="0" w:oddVBand="0" w:evenVBand="0" w:oddHBand="0" w:evenHBand="1" w:firstRowFirstColumn="0" w:firstRowLastColumn="0" w:lastRowFirstColumn="0" w:lastRowLastColumn="0"/>
        </w:trPr>
        <w:tc>
          <w:tcPr>
            <w:tcW w:w="1628" w:type="dxa"/>
          </w:tcPr>
          <w:p w14:paraId="314E3E3C" w14:textId="10FB8275" w:rsidR="00176BFB" w:rsidRDefault="00176BFB" w:rsidP="00390C35">
            <w:pPr>
              <w:pStyle w:val="Tabletext"/>
            </w:pPr>
            <w:r>
              <w:t>ENA</w:t>
            </w:r>
          </w:p>
        </w:tc>
        <w:tc>
          <w:tcPr>
            <w:tcW w:w="4292" w:type="dxa"/>
          </w:tcPr>
          <w:p w14:paraId="21B65865" w14:textId="6A2BBCEC" w:rsidR="00176BFB" w:rsidRPr="00176BFB" w:rsidRDefault="00176BFB" w:rsidP="00390C35">
            <w:pPr>
              <w:pStyle w:val="Tabletext"/>
            </w:pPr>
            <w:r>
              <w:t>Suggests clarifying whether</w:t>
            </w:r>
            <w:r w:rsidRPr="00176BFB">
              <w:t xml:space="preserve"> information is only required on constrained transmission connections points. If unconstrained points </w:t>
            </w:r>
            <w:r w:rsidRPr="00176BFB">
              <w:lastRenderedPageBreak/>
              <w:t xml:space="preserve">are required, </w:t>
            </w:r>
            <w:r w:rsidR="00707F9A">
              <w:t>the AER should specify which fields require completion.</w:t>
            </w:r>
          </w:p>
        </w:tc>
        <w:tc>
          <w:tcPr>
            <w:tcW w:w="3322" w:type="dxa"/>
          </w:tcPr>
          <w:p w14:paraId="6B69D0F0" w14:textId="0B872534" w:rsidR="00176BFB" w:rsidRDefault="007C4273" w:rsidP="00390C35">
            <w:pPr>
              <w:pStyle w:val="Tabletext"/>
            </w:pPr>
            <w:r>
              <w:lastRenderedPageBreak/>
              <w:t>A</w:t>
            </w:r>
            <w:r w:rsidRPr="007C4273">
              <w:t>greed. We have clarified</w:t>
            </w:r>
            <w:r>
              <w:t xml:space="preserve"> that information is required on constrained transmission </w:t>
            </w:r>
            <w:r>
              <w:lastRenderedPageBreak/>
              <w:t>connection points or terminal stations</w:t>
            </w:r>
            <w:r w:rsidRPr="007C4273">
              <w:t>.</w:t>
            </w:r>
          </w:p>
        </w:tc>
      </w:tr>
      <w:tr w:rsidR="00176BFB" w14:paraId="39B83FC5" w14:textId="77777777" w:rsidTr="00390C35">
        <w:tc>
          <w:tcPr>
            <w:tcW w:w="1628" w:type="dxa"/>
          </w:tcPr>
          <w:p w14:paraId="2B95E529" w14:textId="4B84BF0E" w:rsidR="00176BFB" w:rsidRDefault="00176BFB" w:rsidP="00390C35">
            <w:pPr>
              <w:pStyle w:val="Tabletext"/>
            </w:pPr>
            <w:r>
              <w:lastRenderedPageBreak/>
              <w:t>ENA</w:t>
            </w:r>
          </w:p>
        </w:tc>
        <w:tc>
          <w:tcPr>
            <w:tcW w:w="4292" w:type="dxa"/>
          </w:tcPr>
          <w:p w14:paraId="30851AFB" w14:textId="02DC222D" w:rsidR="00176BFB" w:rsidRDefault="00176BFB" w:rsidP="00390C35">
            <w:pPr>
              <w:pStyle w:val="Tabletext"/>
            </w:pPr>
            <w:r>
              <w:t>Suggests better aligning the text in section 4 of the draft TAPR guidelines with the relevant template fields (e.g. constraint primary driver, customer number, unplanned outage, etc.).</w:t>
            </w:r>
          </w:p>
        </w:tc>
        <w:tc>
          <w:tcPr>
            <w:tcW w:w="3322" w:type="dxa"/>
          </w:tcPr>
          <w:p w14:paraId="7D68D4CA" w14:textId="51504EA9" w:rsidR="00176BFB" w:rsidRDefault="007C4273" w:rsidP="00891BFE">
            <w:pPr>
              <w:pStyle w:val="Tabletext"/>
            </w:pPr>
            <w:r>
              <w:t xml:space="preserve">The final TAPR guidelines </w:t>
            </w:r>
            <w:r w:rsidR="00891BFE">
              <w:t>include consistent</w:t>
            </w:r>
            <w:r w:rsidR="00707F9A">
              <w:t xml:space="preserve"> templa</w:t>
            </w:r>
            <w:r w:rsidR="00891BFE">
              <w:t xml:space="preserve">te fields and explanatory text. Explanatory text is also </w:t>
            </w:r>
            <w:r w:rsidR="00707F9A">
              <w:t xml:space="preserve">now in the </w:t>
            </w:r>
            <w:r>
              <w:t>template fields</w:t>
            </w:r>
            <w:r w:rsidR="00707F9A">
              <w:t xml:space="preserve"> rather</w:t>
            </w:r>
            <w:r w:rsidR="00891BFE">
              <w:t xml:space="preserve"> than being separate.</w:t>
            </w:r>
          </w:p>
        </w:tc>
      </w:tr>
      <w:tr w:rsidR="00176BFB" w14:paraId="3D9F749A" w14:textId="77777777" w:rsidTr="00390C35">
        <w:trPr>
          <w:cnfStyle w:val="000000010000" w:firstRow="0" w:lastRow="0" w:firstColumn="0" w:lastColumn="0" w:oddVBand="0" w:evenVBand="0" w:oddHBand="0" w:evenHBand="1" w:firstRowFirstColumn="0" w:firstRowLastColumn="0" w:lastRowFirstColumn="0" w:lastRowLastColumn="0"/>
        </w:trPr>
        <w:tc>
          <w:tcPr>
            <w:tcW w:w="1628" w:type="dxa"/>
          </w:tcPr>
          <w:p w14:paraId="1A0A3FDC" w14:textId="79F7D438" w:rsidR="00176BFB" w:rsidRPr="00176BFB" w:rsidRDefault="00176BFB" w:rsidP="00390C35">
            <w:pPr>
              <w:pStyle w:val="Tabletext"/>
            </w:pPr>
            <w:r>
              <w:t>ENA</w:t>
            </w:r>
          </w:p>
        </w:tc>
        <w:tc>
          <w:tcPr>
            <w:tcW w:w="4292" w:type="dxa"/>
          </w:tcPr>
          <w:p w14:paraId="16408D47" w14:textId="62917623" w:rsidR="00176BFB" w:rsidRDefault="00176BFB" w:rsidP="00390C35">
            <w:pPr>
              <w:pStyle w:val="Tabletext"/>
            </w:pPr>
            <w:r>
              <w:t>It is not appropriate or proportionate to undertake risk based quantification of augex and repex as this is appropriately undertaken in RIT-Ts.</w:t>
            </w:r>
          </w:p>
        </w:tc>
        <w:tc>
          <w:tcPr>
            <w:tcW w:w="3322" w:type="dxa"/>
          </w:tcPr>
          <w:p w14:paraId="457892AB" w14:textId="76324CFD" w:rsidR="00176BFB" w:rsidRDefault="006969B8" w:rsidP="00891BFE">
            <w:pPr>
              <w:pStyle w:val="Tabletext"/>
            </w:pPr>
            <w:r>
              <w:t xml:space="preserve">The final TAPR guidelines request TNSPs report the economic cost of </w:t>
            </w:r>
            <w:r w:rsidRPr="006969B8">
              <w:t xml:space="preserve">constraints at transmission connection points and line segments. RIT-Ts </w:t>
            </w:r>
            <w:r w:rsidR="00891BFE">
              <w:t xml:space="preserve">only </w:t>
            </w:r>
            <w:r w:rsidRPr="006969B8">
              <w:t>apply to l</w:t>
            </w:r>
            <w:r w:rsidR="00891BFE">
              <w:t>arge transmission investments, and t</w:t>
            </w:r>
            <w:r w:rsidRPr="006969B8">
              <w:t xml:space="preserve">his information </w:t>
            </w:r>
            <w:r w:rsidR="00891BFE">
              <w:t>helps</w:t>
            </w:r>
            <w:r w:rsidRPr="006969B8">
              <w:t xml:space="preserve"> non-network </w:t>
            </w:r>
            <w:r w:rsidR="00891BFE">
              <w:t>businesses</w:t>
            </w:r>
            <w:r w:rsidRPr="006969B8">
              <w:t xml:space="preserve"> </w:t>
            </w:r>
            <w:r w:rsidR="00891BFE">
              <w:t xml:space="preserve">respond to </w:t>
            </w:r>
            <w:r w:rsidRPr="006969B8">
              <w:t>investments under the RIT-T cost threshold.</w:t>
            </w:r>
          </w:p>
        </w:tc>
      </w:tr>
      <w:tr w:rsidR="00176BFB" w14:paraId="589A8DF7" w14:textId="77777777" w:rsidTr="00390C35">
        <w:tc>
          <w:tcPr>
            <w:tcW w:w="1628" w:type="dxa"/>
          </w:tcPr>
          <w:p w14:paraId="2949008D" w14:textId="7B1809E2" w:rsidR="00176BFB" w:rsidRPr="00176BFB" w:rsidRDefault="00176BFB" w:rsidP="00390C35">
            <w:pPr>
              <w:pStyle w:val="Tabletext"/>
            </w:pPr>
            <w:r>
              <w:t>ENA</w:t>
            </w:r>
            <w:r w:rsidRPr="00176BFB">
              <w:t>, TransGrid</w:t>
            </w:r>
          </w:p>
        </w:tc>
        <w:tc>
          <w:tcPr>
            <w:tcW w:w="4292" w:type="dxa"/>
          </w:tcPr>
          <w:p w14:paraId="52DF63F1" w14:textId="38E603A7" w:rsidR="00176BFB" w:rsidRPr="00176BFB" w:rsidRDefault="00176BFB" w:rsidP="00390C35">
            <w:pPr>
              <w:pStyle w:val="Tabletext"/>
            </w:pPr>
            <w:r>
              <w:t>TransGrid</w:t>
            </w:r>
            <w:r w:rsidRPr="00176BFB">
              <w:t xml:space="preserve"> submitted it would be more efficient if the historical information requested in the draft guidelines was more targeted.</w:t>
            </w:r>
          </w:p>
          <w:p w14:paraId="70A6FB6F" w14:textId="5D321AB9" w:rsidR="00176BFB" w:rsidRPr="00176BFB" w:rsidRDefault="00176BFB" w:rsidP="00390C35">
            <w:pPr>
              <w:pStyle w:val="Tabletext"/>
            </w:pPr>
            <w:r>
              <w:t>ENA s</w:t>
            </w:r>
            <w:r w:rsidRPr="00176BFB">
              <w:t>ubmitted the historical data requested in the draft TAPR guidelines potentially raises confidentiality concerns. The AER may want to consider whether RIN data could be used in the first instance. If the AER maintains this requirement, TNSPs should have the flexibility to roll one year of historic data at a time as some TNSPs may not have captured this data and may need to amend their current collection/reporting arrangements.</w:t>
            </w:r>
          </w:p>
        </w:tc>
        <w:tc>
          <w:tcPr>
            <w:tcW w:w="3322" w:type="dxa"/>
          </w:tcPr>
          <w:p w14:paraId="43E1219B" w14:textId="19A916E3" w:rsidR="00176BFB" w:rsidRDefault="00F517C8" w:rsidP="00390C35">
            <w:pPr>
              <w:pStyle w:val="Tabletext"/>
            </w:pPr>
            <w:r w:rsidRPr="00F517C8">
              <w:t>Agreed. We have amended the final TAPR guidelines to reflect that only non-confidential information on new generation connectio</w:t>
            </w:r>
            <w:r w:rsidR="00891BFE">
              <w:t>ns is required to be published.</w:t>
            </w:r>
          </w:p>
          <w:p w14:paraId="5108C5D6" w14:textId="307997CA" w:rsidR="00A94AA4" w:rsidRDefault="00A94AA4" w:rsidP="000F05BB">
            <w:pPr>
              <w:pStyle w:val="Tabletext"/>
            </w:pPr>
            <w:r>
              <w:t>It is unlikely historical information for locations where investment is required is unavailable, but if it is not readily available</w:t>
            </w:r>
            <w:r w:rsidR="000F05BB">
              <w:t>,</w:t>
            </w:r>
            <w:r>
              <w:t xml:space="preserve"> then </w:t>
            </w:r>
            <w:r w:rsidR="000F05BB">
              <w:t>we</w:t>
            </w:r>
            <w:r>
              <w:t xml:space="preserve"> will assess this claim from a TNSP on a case by case basis.</w:t>
            </w:r>
          </w:p>
        </w:tc>
      </w:tr>
      <w:tr w:rsidR="00176BFB" w14:paraId="757724F2" w14:textId="77777777" w:rsidTr="00390C35">
        <w:trPr>
          <w:cnfStyle w:val="000000010000" w:firstRow="0" w:lastRow="0" w:firstColumn="0" w:lastColumn="0" w:oddVBand="0" w:evenVBand="0" w:oddHBand="0" w:evenHBand="1" w:firstRowFirstColumn="0" w:firstRowLastColumn="0" w:lastRowFirstColumn="0" w:lastRowLastColumn="0"/>
        </w:trPr>
        <w:tc>
          <w:tcPr>
            <w:tcW w:w="1628" w:type="dxa"/>
          </w:tcPr>
          <w:p w14:paraId="3C4513CC" w14:textId="5AA74515" w:rsidR="00176BFB" w:rsidRPr="00176BFB" w:rsidRDefault="00176BFB" w:rsidP="00390C35">
            <w:pPr>
              <w:pStyle w:val="Tabletext"/>
            </w:pPr>
            <w:r>
              <w:t xml:space="preserve">ENA, </w:t>
            </w:r>
            <w:r w:rsidRPr="00176BFB">
              <w:t>TransGrid</w:t>
            </w:r>
          </w:p>
        </w:tc>
        <w:tc>
          <w:tcPr>
            <w:tcW w:w="4292" w:type="dxa"/>
          </w:tcPr>
          <w:p w14:paraId="4115557F" w14:textId="53F2E6C2" w:rsidR="00176BFB" w:rsidRPr="00176BFB" w:rsidRDefault="00176BFB" w:rsidP="00E5790E">
            <w:pPr>
              <w:pStyle w:val="Tabletext"/>
            </w:pPr>
            <w:r>
              <w:t>Information sought on connection enquiries may give raise to confidentiality concerns.</w:t>
            </w:r>
            <w:r w:rsidRPr="00176BFB">
              <w:t xml:space="preserve"> Specifically, ENA is concerned </w:t>
            </w:r>
            <w:r w:rsidR="00E5790E">
              <w:t xml:space="preserve">that </w:t>
            </w:r>
            <w:r w:rsidRPr="00176BFB">
              <w:t>the new connection information in section 4.1.3 of the draft</w:t>
            </w:r>
            <w:r w:rsidR="00E5790E">
              <w:t xml:space="preserve"> TAPR</w:t>
            </w:r>
            <w:r w:rsidRPr="00176BFB">
              <w:t xml:space="preserve"> guideline</w:t>
            </w:r>
            <w:r w:rsidR="00E5790E">
              <w:t>s might</w:t>
            </w:r>
            <w:r w:rsidRPr="00176BFB">
              <w:t xml:space="preserve"> be confidential under NER clauses 5.3.8 and 8.6.</w:t>
            </w:r>
          </w:p>
        </w:tc>
        <w:tc>
          <w:tcPr>
            <w:tcW w:w="3322" w:type="dxa"/>
          </w:tcPr>
          <w:p w14:paraId="6A7DC18D" w14:textId="414973DF" w:rsidR="00176BFB" w:rsidRDefault="00052ACE" w:rsidP="00390C35">
            <w:pPr>
              <w:pStyle w:val="Tabletext"/>
            </w:pPr>
            <w:r>
              <w:t xml:space="preserve">We have amended the final TAPR guidelines to reflect that only </w:t>
            </w:r>
            <w:r w:rsidRPr="00052ACE">
              <w:t>non-confidential information on new generation connections is required to be published.</w:t>
            </w:r>
            <w:r w:rsidR="0014449E">
              <w:t xml:space="preserve"> Section</w:t>
            </w:r>
            <w:r w:rsidR="00CF1E31">
              <w:t>s</w:t>
            </w:r>
            <w:r w:rsidR="0014449E">
              <w:t xml:space="preserve"> </w:t>
            </w:r>
            <w:r w:rsidR="00CF1E31">
              <w:t xml:space="preserve">3.1 and </w:t>
            </w:r>
            <w:r w:rsidR="0014449E">
              <w:t>4.</w:t>
            </w:r>
            <w:r w:rsidR="00CF1E31">
              <w:t>3</w:t>
            </w:r>
            <w:r w:rsidR="0014449E">
              <w:t xml:space="preserve"> further</w:t>
            </w:r>
            <w:r w:rsidR="00CF1E31">
              <w:t xml:space="preserve"> expand</w:t>
            </w:r>
            <w:r w:rsidR="0014449E">
              <w:t xml:space="preserve"> to address this.</w:t>
            </w:r>
          </w:p>
        </w:tc>
      </w:tr>
      <w:tr w:rsidR="00052ACE" w14:paraId="06C39A0B" w14:textId="77777777" w:rsidTr="00390C35">
        <w:tc>
          <w:tcPr>
            <w:tcW w:w="1628" w:type="dxa"/>
          </w:tcPr>
          <w:p w14:paraId="0E374FE2" w14:textId="339EE307" w:rsidR="00052ACE" w:rsidRPr="00052ACE" w:rsidRDefault="00052ACE" w:rsidP="00390C35">
            <w:pPr>
              <w:pStyle w:val="Tabletext"/>
            </w:pPr>
            <w:r>
              <w:t>EnergyAustralia</w:t>
            </w:r>
          </w:p>
        </w:tc>
        <w:tc>
          <w:tcPr>
            <w:tcW w:w="4292" w:type="dxa"/>
          </w:tcPr>
          <w:p w14:paraId="7B003FDB" w14:textId="71784481" w:rsidR="00052ACE" w:rsidRPr="00052ACE" w:rsidRDefault="00052ACE" w:rsidP="00390C35">
            <w:pPr>
              <w:pStyle w:val="Tabletext"/>
            </w:pPr>
            <w:r>
              <w:t>S</w:t>
            </w:r>
            <w:r w:rsidRPr="00052ACE">
              <w:t>ome consumer loads might be confidential. It would be valuable if historic load traces were only made available where this does not allow any confidential information to be inferred. An example of this may be a connection point in which a singular major load at any one time can be a substantial portion of the power being consumed.</w:t>
            </w:r>
          </w:p>
        </w:tc>
        <w:tc>
          <w:tcPr>
            <w:tcW w:w="3322" w:type="dxa"/>
          </w:tcPr>
          <w:p w14:paraId="539E9B96" w14:textId="04DFF1EE" w:rsidR="00052ACE" w:rsidRPr="00052ACE" w:rsidRDefault="00052ACE" w:rsidP="00390C35">
            <w:pPr>
              <w:pStyle w:val="Tabletext"/>
            </w:pPr>
            <w:r w:rsidRPr="00052ACE">
              <w:t>We have amended the final TAPR guidelines to reflect that only non-confidential information on new generation connections is required to be published.</w:t>
            </w:r>
            <w:r w:rsidR="0014449E">
              <w:t xml:space="preserve"> </w:t>
            </w:r>
            <w:r w:rsidR="00CF1E31" w:rsidRPr="00CF1E31">
              <w:t>Sections 3.1 and 4.3 further expand to address this.</w:t>
            </w:r>
          </w:p>
        </w:tc>
      </w:tr>
    </w:tbl>
    <w:p w14:paraId="4E943185" w14:textId="77777777" w:rsidR="00185CB9" w:rsidRPr="003B1500" w:rsidRDefault="00185CB9" w:rsidP="00891BFE"/>
    <w:sectPr w:rsidR="00185CB9" w:rsidRPr="003B1500" w:rsidSect="00A966D5">
      <w:footerReference w:type="even" r:id="rId12"/>
      <w:footerReference w:type="default" r:id="rId13"/>
      <w:footerReference w:type="first" r:id="rId14"/>
      <w:pgSz w:w="11906" w:h="16838"/>
      <w:pgMar w:top="1440" w:right="1440" w:bottom="1440" w:left="1440" w:header="709" w:footer="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86E5" w14:textId="77777777" w:rsidR="00E66EE6" w:rsidRDefault="00E66EE6" w:rsidP="004B4412">
      <w:pPr>
        <w:spacing w:before="0"/>
      </w:pPr>
      <w:r>
        <w:separator/>
      </w:r>
    </w:p>
    <w:p w14:paraId="20FDF445" w14:textId="77777777" w:rsidR="00E66EE6" w:rsidRDefault="00E66EE6"/>
    <w:p w14:paraId="4990BA9B" w14:textId="77777777" w:rsidR="00E66EE6" w:rsidRDefault="00E66EE6"/>
  </w:endnote>
  <w:endnote w:type="continuationSeparator" w:id="0">
    <w:p w14:paraId="3447CF69" w14:textId="77777777" w:rsidR="00E66EE6" w:rsidRDefault="00E66EE6" w:rsidP="004B4412">
      <w:pPr>
        <w:spacing w:before="0"/>
      </w:pPr>
      <w:r>
        <w:continuationSeparator/>
      </w:r>
    </w:p>
    <w:p w14:paraId="41ECACF6" w14:textId="77777777" w:rsidR="00E66EE6" w:rsidRDefault="00E66EE6"/>
    <w:p w14:paraId="2FB42D97" w14:textId="77777777" w:rsidR="00E66EE6" w:rsidRDefault="00E6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042B" w14:textId="7352A6EC" w:rsidR="00D73E25" w:rsidRPr="007A4D1F" w:rsidRDefault="00D73E25" w:rsidP="00E00626">
    <w:pPr>
      <w:pStyle w:val="Footer"/>
      <w:rPr>
        <w:rFonts w:eastAsia="Arial" w:cs="Times New Roman"/>
      </w:rPr>
    </w:pPr>
    <w:r>
      <w:rPr>
        <w:rFonts w:eastAsia="Arial" w:cs="Times New Roman"/>
      </w:rPr>
      <w:fldChar w:fldCharType="begin"/>
    </w:r>
    <w:r>
      <w:rPr>
        <w:rFonts w:eastAsia="Arial" w:cs="Times New Roman"/>
      </w:rPr>
      <w:instrText xml:space="preserve"> STYLEREF  "Report Title"  \* MERGEFORMAT </w:instrText>
    </w:r>
    <w:r>
      <w:rPr>
        <w:rFonts w:eastAsia="Arial" w:cs="Times New Roman"/>
      </w:rPr>
      <w:fldChar w:fldCharType="separate"/>
    </w:r>
    <w:r w:rsidR="00D3191A">
      <w:rPr>
        <w:rFonts w:eastAsia="Arial" w:cs="Times New Roman"/>
        <w:noProof/>
      </w:rPr>
      <w:t>Final decision</w:t>
    </w:r>
    <w:r>
      <w:rPr>
        <w:rFonts w:eastAsia="Arial" w:cs="Times New Roman"/>
      </w:rPr>
      <w:fldChar w:fldCharType="end"/>
    </w:r>
    <w:r>
      <w:t xml:space="preserve"> |Transmission annual planning report guideline</w:t>
    </w:r>
    <w:r w:rsidRPr="007A4D1F">
      <w:rPr>
        <w:rFonts w:eastAsia="Arial" w:cs="Times New Roman"/>
      </w:rPr>
      <w:tab/>
    </w:r>
    <w:r w:rsidRPr="007A4D1F">
      <w:rPr>
        <w:rFonts w:eastAsia="Arial" w:cs="Times New Roman"/>
      </w:rPr>
      <w:tab/>
    </w:r>
    <w:r w:rsidRPr="007A4D1F">
      <w:rPr>
        <w:rFonts w:eastAsia="Arial" w:cs="Times New Roman"/>
      </w:rPr>
      <w:tab/>
    </w:r>
    <w:r w:rsidRPr="007A4D1F">
      <w:rPr>
        <w:rFonts w:eastAsia="Arial" w:cs="Times New Roman"/>
      </w:rPr>
      <w:fldChar w:fldCharType="begin"/>
    </w:r>
    <w:r w:rsidRPr="007A4D1F">
      <w:rPr>
        <w:rFonts w:eastAsia="Arial" w:cs="Times New Roman"/>
      </w:rPr>
      <w:instrText xml:space="preserve"> PAGE   \* MERGEFORMAT </w:instrText>
    </w:r>
    <w:r w:rsidRPr="007A4D1F">
      <w:rPr>
        <w:rFonts w:eastAsia="Arial" w:cs="Times New Roman"/>
      </w:rPr>
      <w:fldChar w:fldCharType="separate"/>
    </w:r>
    <w:r w:rsidR="00D3191A">
      <w:rPr>
        <w:rFonts w:eastAsia="Arial" w:cs="Times New Roman"/>
        <w:noProof/>
      </w:rPr>
      <w:t>iii</w:t>
    </w:r>
    <w:r w:rsidRPr="007A4D1F">
      <w:rPr>
        <w:rFonts w:eastAsia="Arial" w:cs="Times New Roman"/>
        <w:noProof/>
      </w:rPr>
      <w:fldChar w:fldCharType="end"/>
    </w:r>
    <w:r w:rsidRPr="007A4D1F">
      <w:rPr>
        <w:rFonts w:eastAsia="Arial" w:cs="Times New Roman"/>
      </w:rPr>
      <w:tab/>
    </w:r>
  </w:p>
  <w:p w14:paraId="537EA562" w14:textId="77777777" w:rsidR="00D73E25" w:rsidRDefault="00D73E25" w:rsidP="00A60023">
    <w:pPr>
      <w:pStyle w:val="Footer"/>
      <w:tabs>
        <w:tab w:val="clear" w:pos="4513"/>
        <w:tab w:val="clear" w:pos="9026"/>
        <w:tab w:val="left" w:pos="85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0C93" w14:textId="77777777" w:rsidR="00D73E25" w:rsidRPr="00A91A9E" w:rsidRDefault="00D73E25" w:rsidP="00E00626">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i</w:t>
    </w:r>
    <w:r w:rsidRPr="00A91A9E">
      <w:rPr>
        <w:rStyle w:val="PageNumber"/>
      </w:rPr>
      <w:fldChar w:fldCharType="end"/>
    </w:r>
    <w:r w:rsidRPr="00A91A9E">
      <w:rPr>
        <w:rStyle w:val="PageNumber"/>
      </w:rPr>
      <w:tab/>
      <w:t>Xxx report—month/year</w:t>
    </w:r>
  </w:p>
  <w:p w14:paraId="57C02257" w14:textId="77777777" w:rsidR="00D73E25" w:rsidRDefault="00D73E25"/>
  <w:p w14:paraId="00F253A1" w14:textId="77777777" w:rsidR="00D73E25" w:rsidRDefault="00D73E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C6504" w14:textId="404E0E81" w:rsidR="00D73E25" w:rsidRDefault="00D73E25" w:rsidP="007E11B6">
    <w:pPr>
      <w:pStyle w:val="Footer"/>
    </w:pPr>
    <w:fldSimple w:instr=" STYLEREF  &quot;Report Title&quot;  \* MERGEFORMAT ">
      <w:r w:rsidR="00D3191A">
        <w:rPr>
          <w:noProof/>
        </w:rPr>
        <w:t>Final decision</w:t>
      </w:r>
    </w:fldSimple>
    <w:r w:rsidRPr="007E11B6">
      <w:t xml:space="preserve"> |Transmission</w:t>
    </w:r>
    <w:r w:rsidRPr="00E00626">
      <w:t xml:space="preserve"> annual planning report guideline</w:t>
    </w:r>
    <w:r w:rsidR="007E11B6">
      <w:t>s</w:t>
    </w:r>
    <w:r w:rsidR="007E11B6">
      <w:tab/>
    </w:r>
    <w:r>
      <w:fldChar w:fldCharType="begin"/>
    </w:r>
    <w:r>
      <w:instrText xml:space="preserve"> PAGE   \* MERGEFORMAT </w:instrText>
    </w:r>
    <w:r>
      <w:fldChar w:fldCharType="separate"/>
    </w:r>
    <w:r w:rsidR="00D3191A">
      <w:rPr>
        <w:noProof/>
      </w:rPr>
      <w:t>4</w:t>
    </w:r>
    <w:r>
      <w:rPr>
        <w:noProof/>
      </w:rPr>
      <w:fldChar w:fldCharType="end"/>
    </w:r>
  </w:p>
  <w:p w14:paraId="681C4675" w14:textId="77777777" w:rsidR="00D73E25" w:rsidRDefault="00D73E25"/>
  <w:p w14:paraId="1FC7E806" w14:textId="77777777" w:rsidR="00D73E25" w:rsidRDefault="00D73E2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CF6C" w14:textId="6DDA2979" w:rsidR="00D73E25" w:rsidRDefault="00D73E25" w:rsidP="00CC7F1D">
    <w:pPr>
      <w:pStyle w:val="Footer"/>
      <w:tabs>
        <w:tab w:val="clear" w:pos="9026"/>
        <w:tab w:val="right" w:pos="8505"/>
      </w:tabs>
    </w:pPr>
    <w:r>
      <w:rPr>
        <w:b/>
        <w:bCs/>
        <w:noProof/>
        <w:lang w:val="en-US"/>
      </w:rPr>
      <w:fldChar w:fldCharType="begin"/>
    </w:r>
    <w:r>
      <w:rPr>
        <w:b/>
        <w:bCs/>
        <w:noProof/>
        <w:lang w:val="en-US"/>
      </w:rPr>
      <w:instrText xml:space="preserve"> STYLEREF  "Report Title"  \* MERGEFORMAT </w:instrText>
    </w:r>
    <w:r>
      <w:rPr>
        <w:b/>
        <w:bCs/>
        <w:noProof/>
        <w:lang w:val="en-US"/>
      </w:rPr>
      <w:fldChar w:fldCharType="separate"/>
    </w:r>
    <w:r w:rsidR="00D3191A" w:rsidRPr="00D3191A">
      <w:rPr>
        <w:noProof/>
        <w:lang w:val="en-US"/>
      </w:rPr>
      <w:t>Final decision</w:t>
    </w:r>
    <w:r>
      <w:rPr>
        <w:b/>
        <w:bCs/>
        <w:noProof/>
        <w:lang w:val="en-US"/>
      </w:rPr>
      <w:fldChar w:fldCharType="end"/>
    </w:r>
    <w:r>
      <w:t xml:space="preserve"> |T</w:t>
    </w:r>
    <w:r w:rsidRPr="00E00626">
      <w:t>ransmission annual planning report guideline</w:t>
    </w:r>
    <w:r>
      <w:t>s</w:t>
    </w:r>
    <w:r>
      <w:tab/>
    </w:r>
    <w:r>
      <w:tab/>
    </w:r>
    <w:r>
      <w:fldChar w:fldCharType="begin"/>
    </w:r>
    <w:r>
      <w:instrText xml:space="preserve"> PAGE   \* MERGEFORMAT </w:instrText>
    </w:r>
    <w:r>
      <w:fldChar w:fldCharType="separate"/>
    </w:r>
    <w:r w:rsidR="00D3191A">
      <w:rPr>
        <w:noProof/>
      </w:rPr>
      <w:t>1</w:t>
    </w:r>
    <w:r>
      <w:fldChar w:fldCharType="end"/>
    </w:r>
  </w:p>
  <w:p w14:paraId="7A940D64" w14:textId="77777777" w:rsidR="00D73E25" w:rsidRDefault="00D73E25">
    <w:pPr>
      <w:pStyle w:val="Footer"/>
    </w:pPr>
  </w:p>
  <w:p w14:paraId="1CD2A726" w14:textId="77777777" w:rsidR="00D73E25" w:rsidRDefault="00D73E25"/>
  <w:p w14:paraId="58630CFB" w14:textId="77777777" w:rsidR="00D73E25" w:rsidRDefault="00D73E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FBC31" w14:textId="77777777" w:rsidR="00E66EE6" w:rsidRDefault="00E66EE6" w:rsidP="00182906">
      <w:pPr>
        <w:spacing w:before="0"/>
      </w:pPr>
      <w:r>
        <w:separator/>
      </w:r>
    </w:p>
  </w:footnote>
  <w:footnote w:type="continuationSeparator" w:id="0">
    <w:p w14:paraId="1D3787C9" w14:textId="77777777" w:rsidR="00E66EE6" w:rsidRDefault="00E66EE6" w:rsidP="00182906">
      <w:pPr>
        <w:spacing w:before="0"/>
      </w:pPr>
      <w:r>
        <w:continuationSeparator/>
      </w:r>
    </w:p>
  </w:footnote>
  <w:footnote w:type="continuationNotice" w:id="1">
    <w:p w14:paraId="00AA79F2" w14:textId="77777777" w:rsidR="00E66EE6" w:rsidRDefault="00E66EE6">
      <w:pPr>
        <w:spacing w:before="0" w:line="240" w:lineRule="auto"/>
      </w:pPr>
    </w:p>
  </w:footnote>
  <w:footnote w:id="2">
    <w:p w14:paraId="2F0F0429" w14:textId="77777777" w:rsidR="00D73E25" w:rsidRDefault="00D73E25" w:rsidP="003B1500">
      <w:pPr>
        <w:pStyle w:val="FootnoteText"/>
      </w:pPr>
      <w:r>
        <w:rPr>
          <w:rStyle w:val="FootnoteReference"/>
        </w:rPr>
        <w:footnoteRef/>
      </w:r>
      <w:r>
        <w:t xml:space="preserve">  </w:t>
      </w:r>
      <w:r>
        <w:tab/>
        <w:t xml:space="preserve">AEMO, </w:t>
      </w:r>
      <w:r w:rsidRPr="00845FC5">
        <w:rPr>
          <w:rStyle w:val="Emphasis"/>
        </w:rPr>
        <w:t>Generation Information page</w:t>
      </w:r>
      <w:r>
        <w:t>, 1 July 2018.</w:t>
      </w:r>
    </w:p>
  </w:footnote>
  <w:footnote w:id="3">
    <w:p w14:paraId="5B6D7C22" w14:textId="17476051" w:rsidR="00D73E25" w:rsidRDefault="00D73E25">
      <w:pPr>
        <w:pStyle w:val="FootnoteText"/>
      </w:pPr>
      <w:r>
        <w:rPr>
          <w:rStyle w:val="FootnoteReference"/>
        </w:rPr>
        <w:footnoteRef/>
      </w:r>
      <w:r>
        <w:t xml:space="preserve"> </w:t>
      </w:r>
      <w:r>
        <w:tab/>
        <w:t>We do not require TNSPs to re-publish historical information as long as they have kept it available on their websites in a previous TAPR template. As such, we envisage the majority of historic data will be published in the inaugural TAPR template.</w:t>
      </w:r>
    </w:p>
  </w:footnote>
  <w:footnote w:id="4">
    <w:p w14:paraId="6E1F6D30" w14:textId="77777777" w:rsidR="00D73E25" w:rsidRDefault="00D73E25" w:rsidP="003B1500">
      <w:pPr>
        <w:pStyle w:val="FootnoteText"/>
      </w:pPr>
      <w:r>
        <w:rPr>
          <w:rStyle w:val="FootnoteReference"/>
        </w:rPr>
        <w:footnoteRef/>
      </w:r>
      <w:r>
        <w:t xml:space="preserve"> </w:t>
      </w:r>
      <w:r>
        <w:tab/>
        <w:t xml:space="preserve">AER, </w:t>
      </w:r>
      <w:r w:rsidRPr="00845FC5">
        <w:rPr>
          <w:rStyle w:val="Emphasis"/>
        </w:rPr>
        <w:t>Final decision: Distribution annual planning report template v1.0</w:t>
      </w:r>
      <w:r>
        <w:t>. June 2017.</w:t>
      </w:r>
    </w:p>
  </w:footnote>
  <w:footnote w:id="5">
    <w:p w14:paraId="46ACB18A" w14:textId="77777777" w:rsidR="00D73E25" w:rsidRDefault="00D73E25" w:rsidP="003B1500">
      <w:pPr>
        <w:pStyle w:val="FootnoteText"/>
      </w:pPr>
      <w:r>
        <w:rPr>
          <w:rStyle w:val="FootnoteReference"/>
        </w:rPr>
        <w:footnoteRef/>
      </w:r>
      <w:r>
        <w:t xml:space="preserve">  </w:t>
      </w:r>
      <w:r>
        <w:tab/>
        <w:t xml:space="preserve">AEMC, </w:t>
      </w:r>
      <w:r w:rsidRPr="00845FC5">
        <w:rPr>
          <w:rStyle w:val="Emphasis"/>
        </w:rPr>
        <w:t>Rule determination: National electricity amendment (transmission connection and planning arrangements) rule 2017</w:t>
      </w:r>
      <w:r>
        <w:t>, May 2017, pp. 108</w:t>
      </w:r>
      <w:r>
        <w:rPr>
          <w:rFonts w:cs="Arial"/>
        </w:rPr>
        <w:t>–</w:t>
      </w:r>
      <w:r>
        <w:t>10.</w:t>
      </w:r>
    </w:p>
  </w:footnote>
  <w:footnote w:id="6">
    <w:p w14:paraId="6A23D292" w14:textId="77777777" w:rsidR="00D73E25" w:rsidRDefault="00D73E25">
      <w:pPr>
        <w:pStyle w:val="FootnoteText"/>
      </w:pPr>
      <w:r>
        <w:rPr>
          <w:rStyle w:val="FootnoteReference"/>
        </w:rPr>
        <w:footnoteRef/>
      </w:r>
      <w:r>
        <w:t xml:space="preserve"> </w:t>
      </w:r>
      <w:r>
        <w:tab/>
        <w:t xml:space="preserve">AER, </w:t>
      </w:r>
      <w:r w:rsidRPr="00044B83">
        <w:rPr>
          <w:rStyle w:val="Emphasis"/>
        </w:rPr>
        <w:t>Request for rule change — Replacement expenditure planning arrangements</w:t>
      </w:r>
      <w:r>
        <w:t>, 30 June 2016.</w:t>
      </w:r>
    </w:p>
  </w:footnote>
  <w:footnote w:id="7">
    <w:p w14:paraId="7B522A44" w14:textId="77777777" w:rsidR="00D73E25" w:rsidRDefault="00D73E25" w:rsidP="003B1500">
      <w:pPr>
        <w:pStyle w:val="FootnoteText"/>
      </w:pPr>
      <w:r>
        <w:rPr>
          <w:rStyle w:val="FootnoteReference"/>
        </w:rPr>
        <w:footnoteRef/>
      </w:r>
      <w:r>
        <w:t xml:space="preserve"> </w:t>
      </w:r>
      <w:r>
        <w:tab/>
        <w:t xml:space="preserve">AEMC, </w:t>
      </w:r>
      <w:r w:rsidRPr="00845FC5">
        <w:rPr>
          <w:rStyle w:val="Emphasis"/>
        </w:rPr>
        <w:t>Rule determination: National electricity amendment (replacement expenditure planning arrangements) rule 2017</w:t>
      </w:r>
      <w:r>
        <w:t>, 18 July 2017, p. i.</w:t>
      </w:r>
    </w:p>
  </w:footnote>
  <w:footnote w:id="8">
    <w:p w14:paraId="2EFC50C9" w14:textId="5E923504" w:rsidR="00D73E25" w:rsidRDefault="00D73E25">
      <w:pPr>
        <w:pStyle w:val="FootnoteText"/>
      </w:pPr>
      <w:r>
        <w:rPr>
          <w:rStyle w:val="FootnoteReference"/>
        </w:rPr>
        <w:footnoteRef/>
      </w:r>
      <w:r>
        <w:t xml:space="preserve"> </w:t>
      </w:r>
      <w:r>
        <w:tab/>
        <w:t xml:space="preserve">AER, </w:t>
      </w:r>
      <w:r w:rsidRPr="00C352F7">
        <w:rPr>
          <w:rStyle w:val="Emphasis"/>
        </w:rPr>
        <w:t>Draft industry practice application note: Asset replacement planning</w:t>
      </w:r>
      <w:r>
        <w:t>, September 2018.</w:t>
      </w:r>
    </w:p>
  </w:footnote>
  <w:footnote w:id="9">
    <w:p w14:paraId="188C3706" w14:textId="11D70A69" w:rsidR="00D73E25" w:rsidRDefault="00D73E25">
      <w:pPr>
        <w:pStyle w:val="FootnoteText"/>
      </w:pPr>
      <w:r>
        <w:rPr>
          <w:rStyle w:val="FootnoteReference"/>
        </w:rPr>
        <w:footnoteRef/>
      </w:r>
      <w:r>
        <w:t xml:space="preserve"> </w:t>
      </w:r>
      <w:r>
        <w:tab/>
        <w:t xml:space="preserve">For a summary of the discussion at the stakeholder forum, see AER, </w:t>
      </w:r>
      <w:r w:rsidRPr="00C352F7">
        <w:rPr>
          <w:rStyle w:val="Emphasis"/>
        </w:rPr>
        <w:t>AER asset replacement forum: Discussion summary</w:t>
      </w:r>
      <w:r>
        <w:t>, September 2018.</w:t>
      </w:r>
    </w:p>
  </w:footnote>
  <w:footnote w:id="10">
    <w:p w14:paraId="74C26E59" w14:textId="78F63D06" w:rsidR="00D73E25" w:rsidRDefault="00D73E25" w:rsidP="00C54A52">
      <w:pPr>
        <w:pStyle w:val="FootnoteText"/>
      </w:pPr>
      <w:r>
        <w:rPr>
          <w:rStyle w:val="FootnoteReference"/>
        </w:rPr>
        <w:footnoteRef/>
      </w:r>
      <w:r>
        <w:t xml:space="preserve"> </w:t>
      </w:r>
      <w:r>
        <w:tab/>
        <w:t xml:space="preserve">AER, </w:t>
      </w:r>
      <w:r w:rsidRPr="00845FC5">
        <w:rPr>
          <w:rStyle w:val="Emphasis"/>
        </w:rPr>
        <w:t>RIT–T application guidelines</w:t>
      </w:r>
      <w:r>
        <w:t xml:space="preserve">, 14 December 2018; AER, </w:t>
      </w:r>
      <w:r w:rsidRPr="00845FC5">
        <w:rPr>
          <w:rStyle w:val="Emphasis"/>
        </w:rPr>
        <w:t>RIT–T application guidelines</w:t>
      </w:r>
      <w:r>
        <w:t>, 14 December 2018.</w:t>
      </w:r>
    </w:p>
  </w:footnote>
  <w:footnote w:id="11">
    <w:p w14:paraId="32F3E60D" w14:textId="795E6709" w:rsidR="00D73E25" w:rsidRDefault="00D73E25" w:rsidP="003B1500">
      <w:pPr>
        <w:pStyle w:val="FootnoteText"/>
      </w:pPr>
      <w:r>
        <w:rPr>
          <w:rStyle w:val="FootnoteReference"/>
        </w:rPr>
        <w:footnoteRef/>
      </w:r>
      <w:r>
        <w:t xml:space="preserve"> </w:t>
      </w:r>
      <w:r>
        <w:tab/>
        <w:t xml:space="preserve">AEMO, </w:t>
      </w:r>
      <w:r w:rsidRPr="00845FC5">
        <w:rPr>
          <w:rStyle w:val="Emphasis"/>
        </w:rPr>
        <w:t>Integrated system plan for the National Electricity Market</w:t>
      </w:r>
      <w:r>
        <w:t>, July 2018.</w:t>
      </w:r>
    </w:p>
  </w:footnote>
  <w:footnote w:id="12">
    <w:p w14:paraId="51CD510C" w14:textId="77777777" w:rsidR="00D73E25" w:rsidRDefault="00D73E25" w:rsidP="003B1500">
      <w:pPr>
        <w:pStyle w:val="FootnoteText"/>
      </w:pPr>
      <w:r>
        <w:rPr>
          <w:rStyle w:val="FootnoteReference"/>
        </w:rPr>
        <w:footnoteRef/>
      </w:r>
      <w:r>
        <w:t xml:space="preserve"> </w:t>
      </w:r>
      <w:r>
        <w:tab/>
        <w:t xml:space="preserve">See recommendation 5.1 of the Commonwealth of Australia, </w:t>
      </w:r>
      <w:r w:rsidRPr="00845FC5">
        <w:rPr>
          <w:rStyle w:val="Emphasis"/>
        </w:rPr>
        <w:t>Independent Review into the Future Security of the National Electricity Market: Blueprint for the Future</w:t>
      </w:r>
      <w:r w:rsidRPr="00200A9A">
        <w:t>,</w:t>
      </w:r>
      <w:r>
        <w:t xml:space="preserve"> June</w:t>
      </w:r>
      <w:r w:rsidRPr="00200A9A">
        <w:t xml:space="preserve"> </w:t>
      </w:r>
      <w:r>
        <w:t>2017.</w:t>
      </w:r>
    </w:p>
  </w:footnote>
  <w:footnote w:id="13">
    <w:p w14:paraId="4CAB0869" w14:textId="5FCC1AC1" w:rsidR="00D73E25" w:rsidRDefault="00D73E25" w:rsidP="00583087">
      <w:pPr>
        <w:pStyle w:val="FootnoteText"/>
      </w:pPr>
      <w:r>
        <w:rPr>
          <w:rStyle w:val="FootnoteReference"/>
        </w:rPr>
        <w:footnoteRef/>
      </w:r>
      <w:r>
        <w:t xml:space="preserve"> </w:t>
      </w:r>
      <w:r>
        <w:tab/>
        <w:t xml:space="preserve">AER, </w:t>
      </w:r>
      <w:r w:rsidRPr="002F39D2">
        <w:rPr>
          <w:rStyle w:val="Emphasis"/>
        </w:rPr>
        <w:t>Transmission annual planning report guideline</w:t>
      </w:r>
      <w:r>
        <w:t xml:space="preserve">, </w:t>
      </w:r>
      <w:r w:rsidRPr="00FA7865">
        <w:rPr>
          <w:rStyle w:val="Hyperlink"/>
          <w:sz w:val="16"/>
        </w:rPr>
        <w:t>https://www.aer.gov.au/networks-pipelines/guidelines-schemes-models-reviews/transmission-annual-planning-report-guideline/</w:t>
      </w:r>
      <w:r>
        <w:t>draft-decision.</w:t>
      </w:r>
    </w:p>
  </w:footnote>
  <w:footnote w:id="14">
    <w:p w14:paraId="0B9E8747" w14:textId="0B6D0FAE" w:rsidR="00D73E25" w:rsidRDefault="00D73E25">
      <w:pPr>
        <w:pStyle w:val="FootnoteText"/>
      </w:pPr>
      <w:r>
        <w:rPr>
          <w:rStyle w:val="FootnoteReference"/>
        </w:rPr>
        <w:footnoteRef/>
      </w:r>
      <w:r>
        <w:t xml:space="preserve">  NER clause 8.6.2(k).</w:t>
      </w:r>
    </w:p>
  </w:footnote>
  <w:footnote w:id="15">
    <w:p w14:paraId="1800A73B" w14:textId="15C77E9D" w:rsidR="00D73E25" w:rsidRDefault="00D73E25" w:rsidP="00AC7223">
      <w:pPr>
        <w:pStyle w:val="FootnoteText"/>
      </w:pPr>
      <w:r>
        <w:rPr>
          <w:rStyle w:val="FootnoteReference"/>
        </w:rPr>
        <w:footnoteRef/>
      </w:r>
      <w:r>
        <w:t xml:space="preserve">  In the case of NER confidentiality obligations, see NER clause 8.6.2(k).</w:t>
      </w:r>
    </w:p>
  </w:footnote>
  <w:footnote w:id="16">
    <w:p w14:paraId="57BE28CE" w14:textId="77777777" w:rsidR="00D73E25" w:rsidRDefault="00D73E25" w:rsidP="00AC7223">
      <w:pPr>
        <w:pStyle w:val="FootnoteText"/>
      </w:pPr>
      <w:r>
        <w:rPr>
          <w:rStyle w:val="FootnoteReference"/>
        </w:rPr>
        <w:footnoteRef/>
      </w:r>
      <w:r>
        <w:t xml:space="preserve">  In the case of NER confidentiality obligations, see NER clause 8.6.2(k). </w:t>
      </w:r>
    </w:p>
  </w:footnote>
  <w:footnote w:id="17">
    <w:p w14:paraId="10BAD9FA" w14:textId="05746C3F" w:rsidR="00D73E25" w:rsidRDefault="00D73E25" w:rsidP="00F25CAC">
      <w:pPr>
        <w:pStyle w:val="FootnoteText"/>
      </w:pPr>
      <w:r>
        <w:rPr>
          <w:rStyle w:val="FootnoteReference"/>
        </w:rPr>
        <w:footnoteRef/>
      </w:r>
      <w:r>
        <w:t xml:space="preserve">  In the case of NER confidentiality obligations, see NER clause 8.6.2(k).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15:restartNumberingAfterBreak="0">
    <w:nsid w:val="FFFFFF7F"/>
    <w:multiLevelType w:val="singleLevel"/>
    <w:tmpl w:val="C9043968"/>
    <w:lvl w:ilvl="0">
      <w:start w:val="1"/>
      <w:numFmt w:val="decimal"/>
      <w:pStyle w:val="ListNumber2"/>
      <w:lvlText w:val="%1."/>
      <w:lvlJc w:val="left"/>
      <w:pPr>
        <w:ind w:left="700" w:hanging="360"/>
      </w:p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15:restartNumberingAfterBreak="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15:restartNumberingAfterBreak="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5C5031F"/>
    <w:multiLevelType w:val="hybridMultilevel"/>
    <w:tmpl w:val="F73441BA"/>
    <w:lvl w:ilvl="0" w:tplc="F47CBC9A">
      <w:numFmt w:val="bullet"/>
      <w:lvlText w:val="•"/>
      <w:lvlJc w:val="left"/>
      <w:pPr>
        <w:ind w:left="838" w:hanging="350"/>
      </w:pPr>
      <w:rPr>
        <w:rFonts w:ascii="Times New Roman" w:eastAsia="Times New Roman" w:hAnsi="Times New Roman" w:cs="Times New Roman" w:hint="default"/>
        <w:w w:val="110"/>
        <w:position w:val="-3"/>
        <w:sz w:val="28"/>
        <w:szCs w:val="28"/>
        <w:lang w:val="en-AU" w:eastAsia="en-AU" w:bidi="en-AU"/>
      </w:rPr>
    </w:lvl>
    <w:lvl w:ilvl="1" w:tplc="E95898C2">
      <w:numFmt w:val="bullet"/>
      <w:lvlText w:val="•"/>
      <w:lvlJc w:val="left"/>
      <w:pPr>
        <w:ind w:left="953" w:hanging="350"/>
      </w:pPr>
      <w:rPr>
        <w:lang w:val="en-AU" w:eastAsia="en-AU" w:bidi="en-AU"/>
      </w:rPr>
    </w:lvl>
    <w:lvl w:ilvl="2" w:tplc="E92AAB6E">
      <w:numFmt w:val="bullet"/>
      <w:lvlText w:val="•"/>
      <w:lvlJc w:val="left"/>
      <w:pPr>
        <w:ind w:left="1067" w:hanging="350"/>
      </w:pPr>
      <w:rPr>
        <w:lang w:val="en-AU" w:eastAsia="en-AU" w:bidi="en-AU"/>
      </w:rPr>
    </w:lvl>
    <w:lvl w:ilvl="3" w:tplc="084ED772">
      <w:numFmt w:val="bullet"/>
      <w:lvlText w:val="•"/>
      <w:lvlJc w:val="left"/>
      <w:pPr>
        <w:ind w:left="1181" w:hanging="350"/>
      </w:pPr>
      <w:rPr>
        <w:lang w:val="en-AU" w:eastAsia="en-AU" w:bidi="en-AU"/>
      </w:rPr>
    </w:lvl>
    <w:lvl w:ilvl="4" w:tplc="D1B47CB0">
      <w:numFmt w:val="bullet"/>
      <w:lvlText w:val="•"/>
      <w:lvlJc w:val="left"/>
      <w:pPr>
        <w:ind w:left="1295" w:hanging="350"/>
      </w:pPr>
      <w:rPr>
        <w:lang w:val="en-AU" w:eastAsia="en-AU" w:bidi="en-AU"/>
      </w:rPr>
    </w:lvl>
    <w:lvl w:ilvl="5" w:tplc="F2148962">
      <w:numFmt w:val="bullet"/>
      <w:lvlText w:val="•"/>
      <w:lvlJc w:val="left"/>
      <w:pPr>
        <w:ind w:left="1409" w:hanging="350"/>
      </w:pPr>
      <w:rPr>
        <w:lang w:val="en-AU" w:eastAsia="en-AU" w:bidi="en-AU"/>
      </w:rPr>
    </w:lvl>
    <w:lvl w:ilvl="6" w:tplc="E69C722E">
      <w:numFmt w:val="bullet"/>
      <w:lvlText w:val="•"/>
      <w:lvlJc w:val="left"/>
      <w:pPr>
        <w:ind w:left="1523" w:hanging="350"/>
      </w:pPr>
      <w:rPr>
        <w:lang w:val="en-AU" w:eastAsia="en-AU" w:bidi="en-AU"/>
      </w:rPr>
    </w:lvl>
    <w:lvl w:ilvl="7" w:tplc="CCE05326">
      <w:numFmt w:val="bullet"/>
      <w:lvlText w:val="•"/>
      <w:lvlJc w:val="left"/>
      <w:pPr>
        <w:ind w:left="1637" w:hanging="350"/>
      </w:pPr>
      <w:rPr>
        <w:lang w:val="en-AU" w:eastAsia="en-AU" w:bidi="en-AU"/>
      </w:rPr>
    </w:lvl>
    <w:lvl w:ilvl="8" w:tplc="5D26DEFC">
      <w:numFmt w:val="bullet"/>
      <w:lvlText w:val="•"/>
      <w:lvlJc w:val="left"/>
      <w:pPr>
        <w:ind w:left="1751" w:hanging="350"/>
      </w:pPr>
      <w:rPr>
        <w:lang w:val="en-AU" w:eastAsia="en-AU" w:bidi="en-AU"/>
      </w:r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15:restartNumberingAfterBreak="0">
    <w:nsid w:val="6F555866"/>
    <w:multiLevelType w:val="hybridMultilevel"/>
    <w:tmpl w:val="2864EBF2"/>
    <w:lvl w:ilvl="0" w:tplc="38CA2A40">
      <w:numFmt w:val="bullet"/>
      <w:lvlText w:val=""/>
      <w:lvlJc w:val="left"/>
      <w:pPr>
        <w:ind w:left="720" w:hanging="360"/>
      </w:pPr>
      <w:rPr>
        <w:rFonts w:ascii="Symbol" w:eastAsia="Aria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8"/>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1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0E4082"/>
    <w:rsid w:val="0000558E"/>
    <w:rsid w:val="00007B8D"/>
    <w:rsid w:val="000171AF"/>
    <w:rsid w:val="00017596"/>
    <w:rsid w:val="00021202"/>
    <w:rsid w:val="000232BF"/>
    <w:rsid w:val="000244E6"/>
    <w:rsid w:val="00024B19"/>
    <w:rsid w:val="0002517F"/>
    <w:rsid w:val="00030A6A"/>
    <w:rsid w:val="0003578C"/>
    <w:rsid w:val="00044B83"/>
    <w:rsid w:val="00045F7A"/>
    <w:rsid w:val="00052ACE"/>
    <w:rsid w:val="00062C24"/>
    <w:rsid w:val="00063247"/>
    <w:rsid w:val="00070CAB"/>
    <w:rsid w:val="00070F9F"/>
    <w:rsid w:val="0007137B"/>
    <w:rsid w:val="00074341"/>
    <w:rsid w:val="00085663"/>
    <w:rsid w:val="00085EBF"/>
    <w:rsid w:val="000915C4"/>
    <w:rsid w:val="000A683F"/>
    <w:rsid w:val="000A6C7B"/>
    <w:rsid w:val="000B7AB4"/>
    <w:rsid w:val="000C0E06"/>
    <w:rsid w:val="000C1012"/>
    <w:rsid w:val="000C22C1"/>
    <w:rsid w:val="000C3CDE"/>
    <w:rsid w:val="000D122C"/>
    <w:rsid w:val="000E1819"/>
    <w:rsid w:val="000E4082"/>
    <w:rsid w:val="000E6C72"/>
    <w:rsid w:val="000E7150"/>
    <w:rsid w:val="000F05BB"/>
    <w:rsid w:val="000F4ED9"/>
    <w:rsid w:val="000F6AE5"/>
    <w:rsid w:val="00102770"/>
    <w:rsid w:val="00106F7E"/>
    <w:rsid w:val="00107CC7"/>
    <w:rsid w:val="00116EB2"/>
    <w:rsid w:val="001218F6"/>
    <w:rsid w:val="00123794"/>
    <w:rsid w:val="00124609"/>
    <w:rsid w:val="00130C3C"/>
    <w:rsid w:val="0014449E"/>
    <w:rsid w:val="0014573B"/>
    <w:rsid w:val="001573E4"/>
    <w:rsid w:val="00160756"/>
    <w:rsid w:val="00166D07"/>
    <w:rsid w:val="00170114"/>
    <w:rsid w:val="0017232E"/>
    <w:rsid w:val="00173CC2"/>
    <w:rsid w:val="00174102"/>
    <w:rsid w:val="00176BFB"/>
    <w:rsid w:val="00180157"/>
    <w:rsid w:val="00182906"/>
    <w:rsid w:val="00185CB9"/>
    <w:rsid w:val="00186F77"/>
    <w:rsid w:val="001926A4"/>
    <w:rsid w:val="00192AD5"/>
    <w:rsid w:val="00195765"/>
    <w:rsid w:val="001A1D82"/>
    <w:rsid w:val="001A69C2"/>
    <w:rsid w:val="001B1639"/>
    <w:rsid w:val="001B45A0"/>
    <w:rsid w:val="001B6FC4"/>
    <w:rsid w:val="001C590F"/>
    <w:rsid w:val="001C6ACF"/>
    <w:rsid w:val="001D055E"/>
    <w:rsid w:val="001E0AC5"/>
    <w:rsid w:val="001E52DC"/>
    <w:rsid w:val="001F437C"/>
    <w:rsid w:val="001F492E"/>
    <w:rsid w:val="001F6DA3"/>
    <w:rsid w:val="002010BC"/>
    <w:rsid w:val="00202E03"/>
    <w:rsid w:val="00203FC1"/>
    <w:rsid w:val="0020492C"/>
    <w:rsid w:val="00207FDC"/>
    <w:rsid w:val="0021408F"/>
    <w:rsid w:val="002154F5"/>
    <w:rsid w:val="00215DDE"/>
    <w:rsid w:val="002174D4"/>
    <w:rsid w:val="0022044A"/>
    <w:rsid w:val="00221490"/>
    <w:rsid w:val="00224DB9"/>
    <w:rsid w:val="002268E7"/>
    <w:rsid w:val="0023162C"/>
    <w:rsid w:val="00233775"/>
    <w:rsid w:val="00233C77"/>
    <w:rsid w:val="0023615B"/>
    <w:rsid w:val="00237514"/>
    <w:rsid w:val="00237E5A"/>
    <w:rsid w:val="00241C86"/>
    <w:rsid w:val="0024531E"/>
    <w:rsid w:val="00251745"/>
    <w:rsid w:val="00263AC0"/>
    <w:rsid w:val="00264131"/>
    <w:rsid w:val="00264F95"/>
    <w:rsid w:val="0026772D"/>
    <w:rsid w:val="00274293"/>
    <w:rsid w:val="00275BA3"/>
    <w:rsid w:val="00286874"/>
    <w:rsid w:val="002926BD"/>
    <w:rsid w:val="00296B65"/>
    <w:rsid w:val="0029722A"/>
    <w:rsid w:val="002972E7"/>
    <w:rsid w:val="002A7DEF"/>
    <w:rsid w:val="002B22B9"/>
    <w:rsid w:val="002B7E2C"/>
    <w:rsid w:val="002C231E"/>
    <w:rsid w:val="002C5B4D"/>
    <w:rsid w:val="002D682B"/>
    <w:rsid w:val="002E1BE5"/>
    <w:rsid w:val="002E2BFC"/>
    <w:rsid w:val="002E31E9"/>
    <w:rsid w:val="002E7517"/>
    <w:rsid w:val="002F0641"/>
    <w:rsid w:val="002F298A"/>
    <w:rsid w:val="002F308D"/>
    <w:rsid w:val="002F39D2"/>
    <w:rsid w:val="002F7986"/>
    <w:rsid w:val="002F7D4B"/>
    <w:rsid w:val="00301B40"/>
    <w:rsid w:val="00305CC8"/>
    <w:rsid w:val="00307F6D"/>
    <w:rsid w:val="00310F13"/>
    <w:rsid w:val="00312B63"/>
    <w:rsid w:val="00313832"/>
    <w:rsid w:val="003177A2"/>
    <w:rsid w:val="003217CE"/>
    <w:rsid w:val="003219A2"/>
    <w:rsid w:val="003271B5"/>
    <w:rsid w:val="00327A1E"/>
    <w:rsid w:val="00331264"/>
    <w:rsid w:val="00334C8D"/>
    <w:rsid w:val="00344043"/>
    <w:rsid w:val="003518B3"/>
    <w:rsid w:val="00352800"/>
    <w:rsid w:val="003533E2"/>
    <w:rsid w:val="00361DEE"/>
    <w:rsid w:val="003647B9"/>
    <w:rsid w:val="00381971"/>
    <w:rsid w:val="003846F1"/>
    <w:rsid w:val="00384775"/>
    <w:rsid w:val="00386E23"/>
    <w:rsid w:val="003909A9"/>
    <w:rsid w:val="00390C35"/>
    <w:rsid w:val="00393FE6"/>
    <w:rsid w:val="003A0280"/>
    <w:rsid w:val="003A78FC"/>
    <w:rsid w:val="003A7BB4"/>
    <w:rsid w:val="003B1500"/>
    <w:rsid w:val="003B1A93"/>
    <w:rsid w:val="003B1FD5"/>
    <w:rsid w:val="003D3DDB"/>
    <w:rsid w:val="003D567A"/>
    <w:rsid w:val="003D7340"/>
    <w:rsid w:val="003F2F28"/>
    <w:rsid w:val="00410960"/>
    <w:rsid w:val="0042260B"/>
    <w:rsid w:val="00434B4B"/>
    <w:rsid w:val="00436934"/>
    <w:rsid w:val="004420A0"/>
    <w:rsid w:val="00442304"/>
    <w:rsid w:val="00442FD1"/>
    <w:rsid w:val="00445C24"/>
    <w:rsid w:val="00455E08"/>
    <w:rsid w:val="00457557"/>
    <w:rsid w:val="00463378"/>
    <w:rsid w:val="004762A1"/>
    <w:rsid w:val="00480B4B"/>
    <w:rsid w:val="00481EE4"/>
    <w:rsid w:val="00482747"/>
    <w:rsid w:val="004827BD"/>
    <w:rsid w:val="00483414"/>
    <w:rsid w:val="00485DC4"/>
    <w:rsid w:val="0049494C"/>
    <w:rsid w:val="004A43D1"/>
    <w:rsid w:val="004A55AE"/>
    <w:rsid w:val="004B085B"/>
    <w:rsid w:val="004B4412"/>
    <w:rsid w:val="004B60F3"/>
    <w:rsid w:val="004C348C"/>
    <w:rsid w:val="004D351E"/>
    <w:rsid w:val="004D55BA"/>
    <w:rsid w:val="004E0FE0"/>
    <w:rsid w:val="004E1675"/>
    <w:rsid w:val="004E22EC"/>
    <w:rsid w:val="004E557F"/>
    <w:rsid w:val="004F19EA"/>
    <w:rsid w:val="004F5102"/>
    <w:rsid w:val="005139EE"/>
    <w:rsid w:val="00524854"/>
    <w:rsid w:val="00530128"/>
    <w:rsid w:val="00532467"/>
    <w:rsid w:val="00543DF6"/>
    <w:rsid w:val="005538F3"/>
    <w:rsid w:val="0056080A"/>
    <w:rsid w:val="00562632"/>
    <w:rsid w:val="0056480A"/>
    <w:rsid w:val="00564A4D"/>
    <w:rsid w:val="005659C0"/>
    <w:rsid w:val="00567BA5"/>
    <w:rsid w:val="00571549"/>
    <w:rsid w:val="00571B35"/>
    <w:rsid w:val="00571D57"/>
    <w:rsid w:val="00577A09"/>
    <w:rsid w:val="00581DE6"/>
    <w:rsid w:val="005829C2"/>
    <w:rsid w:val="00583087"/>
    <w:rsid w:val="00584C49"/>
    <w:rsid w:val="00584D8F"/>
    <w:rsid w:val="00590223"/>
    <w:rsid w:val="0059333E"/>
    <w:rsid w:val="005933F3"/>
    <w:rsid w:val="0059481F"/>
    <w:rsid w:val="005A189C"/>
    <w:rsid w:val="005A37C0"/>
    <w:rsid w:val="005A404D"/>
    <w:rsid w:val="005B1E3C"/>
    <w:rsid w:val="005B2719"/>
    <w:rsid w:val="005B7D07"/>
    <w:rsid w:val="005C26CC"/>
    <w:rsid w:val="005C4022"/>
    <w:rsid w:val="005C4261"/>
    <w:rsid w:val="005C514A"/>
    <w:rsid w:val="005C6531"/>
    <w:rsid w:val="005D14E8"/>
    <w:rsid w:val="005E19B3"/>
    <w:rsid w:val="005F34D1"/>
    <w:rsid w:val="005F50E5"/>
    <w:rsid w:val="00600812"/>
    <w:rsid w:val="00615C6B"/>
    <w:rsid w:val="006161F2"/>
    <w:rsid w:val="006211B7"/>
    <w:rsid w:val="00632D6D"/>
    <w:rsid w:val="00642C3E"/>
    <w:rsid w:val="00646653"/>
    <w:rsid w:val="006612FA"/>
    <w:rsid w:val="0066261F"/>
    <w:rsid w:val="00662B4D"/>
    <w:rsid w:val="00663DAD"/>
    <w:rsid w:val="00666697"/>
    <w:rsid w:val="00670957"/>
    <w:rsid w:val="006721A2"/>
    <w:rsid w:val="00676679"/>
    <w:rsid w:val="00687613"/>
    <w:rsid w:val="006969B8"/>
    <w:rsid w:val="006A1A68"/>
    <w:rsid w:val="006A59B7"/>
    <w:rsid w:val="006B283B"/>
    <w:rsid w:val="006B4CF9"/>
    <w:rsid w:val="006B6E46"/>
    <w:rsid w:val="006B7AC8"/>
    <w:rsid w:val="006C130B"/>
    <w:rsid w:val="006C1FEB"/>
    <w:rsid w:val="006C60AE"/>
    <w:rsid w:val="006C738F"/>
    <w:rsid w:val="006D550F"/>
    <w:rsid w:val="006E61F9"/>
    <w:rsid w:val="006F49F3"/>
    <w:rsid w:val="00701CAB"/>
    <w:rsid w:val="00702F90"/>
    <w:rsid w:val="00707563"/>
    <w:rsid w:val="00707F9A"/>
    <w:rsid w:val="00717D5A"/>
    <w:rsid w:val="007213DF"/>
    <w:rsid w:val="0072348C"/>
    <w:rsid w:val="00724A37"/>
    <w:rsid w:val="007303C3"/>
    <w:rsid w:val="007317EB"/>
    <w:rsid w:val="00733169"/>
    <w:rsid w:val="007425D5"/>
    <w:rsid w:val="00743223"/>
    <w:rsid w:val="00746E01"/>
    <w:rsid w:val="007573F4"/>
    <w:rsid w:val="00757BDF"/>
    <w:rsid w:val="00763E5D"/>
    <w:rsid w:val="00765236"/>
    <w:rsid w:val="00765D2B"/>
    <w:rsid w:val="00767740"/>
    <w:rsid w:val="00777EE6"/>
    <w:rsid w:val="00782C38"/>
    <w:rsid w:val="00782EEA"/>
    <w:rsid w:val="0078699B"/>
    <w:rsid w:val="00792FDF"/>
    <w:rsid w:val="007938C5"/>
    <w:rsid w:val="007A4D1F"/>
    <w:rsid w:val="007B2322"/>
    <w:rsid w:val="007B2C72"/>
    <w:rsid w:val="007B3D8E"/>
    <w:rsid w:val="007B718C"/>
    <w:rsid w:val="007C1C53"/>
    <w:rsid w:val="007C4273"/>
    <w:rsid w:val="007C628C"/>
    <w:rsid w:val="007C74BB"/>
    <w:rsid w:val="007D1D4D"/>
    <w:rsid w:val="007E093F"/>
    <w:rsid w:val="007E11B6"/>
    <w:rsid w:val="007E1648"/>
    <w:rsid w:val="007E4904"/>
    <w:rsid w:val="007E4CB5"/>
    <w:rsid w:val="007F066B"/>
    <w:rsid w:val="007F3E5F"/>
    <w:rsid w:val="008023DD"/>
    <w:rsid w:val="008033C4"/>
    <w:rsid w:val="00805AD5"/>
    <w:rsid w:val="00806C88"/>
    <w:rsid w:val="0081034E"/>
    <w:rsid w:val="00827AE5"/>
    <w:rsid w:val="00833BC8"/>
    <w:rsid w:val="008344F6"/>
    <w:rsid w:val="0083510F"/>
    <w:rsid w:val="00835D98"/>
    <w:rsid w:val="00843704"/>
    <w:rsid w:val="00843DC0"/>
    <w:rsid w:val="00851209"/>
    <w:rsid w:val="008533F0"/>
    <w:rsid w:val="00865BE3"/>
    <w:rsid w:val="00870B93"/>
    <w:rsid w:val="00872B78"/>
    <w:rsid w:val="008825F9"/>
    <w:rsid w:val="00883544"/>
    <w:rsid w:val="008837AC"/>
    <w:rsid w:val="00891BFE"/>
    <w:rsid w:val="008A3E3C"/>
    <w:rsid w:val="008A587D"/>
    <w:rsid w:val="008A736B"/>
    <w:rsid w:val="008C1B0C"/>
    <w:rsid w:val="008C5486"/>
    <w:rsid w:val="008D1661"/>
    <w:rsid w:val="008D4CC9"/>
    <w:rsid w:val="008D7F74"/>
    <w:rsid w:val="008E7031"/>
    <w:rsid w:val="008F00E4"/>
    <w:rsid w:val="008F2354"/>
    <w:rsid w:val="008F25D0"/>
    <w:rsid w:val="00901CBE"/>
    <w:rsid w:val="009027B5"/>
    <w:rsid w:val="00910F3A"/>
    <w:rsid w:val="0091277B"/>
    <w:rsid w:val="00923268"/>
    <w:rsid w:val="009233EE"/>
    <w:rsid w:val="009268CB"/>
    <w:rsid w:val="00926D77"/>
    <w:rsid w:val="00927ACD"/>
    <w:rsid w:val="009341CD"/>
    <w:rsid w:val="009460AA"/>
    <w:rsid w:val="00951978"/>
    <w:rsid w:val="009578CF"/>
    <w:rsid w:val="009661DE"/>
    <w:rsid w:val="00975436"/>
    <w:rsid w:val="0098316C"/>
    <w:rsid w:val="00983E94"/>
    <w:rsid w:val="009856B7"/>
    <w:rsid w:val="00996B96"/>
    <w:rsid w:val="009A5FC3"/>
    <w:rsid w:val="009B2269"/>
    <w:rsid w:val="009B276C"/>
    <w:rsid w:val="009B74B0"/>
    <w:rsid w:val="009C1A4A"/>
    <w:rsid w:val="009C1B9F"/>
    <w:rsid w:val="009C29F7"/>
    <w:rsid w:val="009D6B46"/>
    <w:rsid w:val="009E2352"/>
    <w:rsid w:val="009E7098"/>
    <w:rsid w:val="009F0DBD"/>
    <w:rsid w:val="009F285A"/>
    <w:rsid w:val="009F2B1F"/>
    <w:rsid w:val="009F41BF"/>
    <w:rsid w:val="009F4940"/>
    <w:rsid w:val="009F5BA1"/>
    <w:rsid w:val="009F7641"/>
    <w:rsid w:val="00A02549"/>
    <w:rsid w:val="00A02A88"/>
    <w:rsid w:val="00A0562E"/>
    <w:rsid w:val="00A05D6B"/>
    <w:rsid w:val="00A0726D"/>
    <w:rsid w:val="00A22495"/>
    <w:rsid w:val="00A22BE5"/>
    <w:rsid w:val="00A32FBB"/>
    <w:rsid w:val="00A35C39"/>
    <w:rsid w:val="00A3761D"/>
    <w:rsid w:val="00A43990"/>
    <w:rsid w:val="00A43EF3"/>
    <w:rsid w:val="00A4478A"/>
    <w:rsid w:val="00A44852"/>
    <w:rsid w:val="00A52423"/>
    <w:rsid w:val="00A53183"/>
    <w:rsid w:val="00A57D04"/>
    <w:rsid w:val="00A60023"/>
    <w:rsid w:val="00A60A26"/>
    <w:rsid w:val="00A61598"/>
    <w:rsid w:val="00A63099"/>
    <w:rsid w:val="00A660CB"/>
    <w:rsid w:val="00A7015E"/>
    <w:rsid w:val="00A71180"/>
    <w:rsid w:val="00A73123"/>
    <w:rsid w:val="00A73788"/>
    <w:rsid w:val="00A75077"/>
    <w:rsid w:val="00A83365"/>
    <w:rsid w:val="00A84F46"/>
    <w:rsid w:val="00A871F4"/>
    <w:rsid w:val="00A94AA4"/>
    <w:rsid w:val="00A95BB3"/>
    <w:rsid w:val="00A966D5"/>
    <w:rsid w:val="00AA2034"/>
    <w:rsid w:val="00AB2714"/>
    <w:rsid w:val="00AC1B2C"/>
    <w:rsid w:val="00AC2608"/>
    <w:rsid w:val="00AC3264"/>
    <w:rsid w:val="00AC7223"/>
    <w:rsid w:val="00AE17E4"/>
    <w:rsid w:val="00AE1BF1"/>
    <w:rsid w:val="00AE394D"/>
    <w:rsid w:val="00AE7F02"/>
    <w:rsid w:val="00AF0857"/>
    <w:rsid w:val="00AF0DD2"/>
    <w:rsid w:val="00AF1228"/>
    <w:rsid w:val="00AF1ED6"/>
    <w:rsid w:val="00AF33E1"/>
    <w:rsid w:val="00B058BD"/>
    <w:rsid w:val="00B10D7D"/>
    <w:rsid w:val="00B13048"/>
    <w:rsid w:val="00B1716D"/>
    <w:rsid w:val="00B17A1D"/>
    <w:rsid w:val="00B207A0"/>
    <w:rsid w:val="00B37E38"/>
    <w:rsid w:val="00B424F5"/>
    <w:rsid w:val="00B4514D"/>
    <w:rsid w:val="00B514DD"/>
    <w:rsid w:val="00B52AF0"/>
    <w:rsid w:val="00B56E03"/>
    <w:rsid w:val="00B6150F"/>
    <w:rsid w:val="00B64265"/>
    <w:rsid w:val="00B8080B"/>
    <w:rsid w:val="00B87C39"/>
    <w:rsid w:val="00B927D8"/>
    <w:rsid w:val="00BA3C98"/>
    <w:rsid w:val="00BA4665"/>
    <w:rsid w:val="00BA79FD"/>
    <w:rsid w:val="00BB21E4"/>
    <w:rsid w:val="00BB2FB2"/>
    <w:rsid w:val="00BB3304"/>
    <w:rsid w:val="00BD2F5A"/>
    <w:rsid w:val="00BD3446"/>
    <w:rsid w:val="00BD3CD5"/>
    <w:rsid w:val="00BD6CD9"/>
    <w:rsid w:val="00BE04EF"/>
    <w:rsid w:val="00BE0FD6"/>
    <w:rsid w:val="00BE1F1B"/>
    <w:rsid w:val="00BE4241"/>
    <w:rsid w:val="00BE47B5"/>
    <w:rsid w:val="00BE5490"/>
    <w:rsid w:val="00BF314C"/>
    <w:rsid w:val="00C02584"/>
    <w:rsid w:val="00C0498A"/>
    <w:rsid w:val="00C110D8"/>
    <w:rsid w:val="00C21A18"/>
    <w:rsid w:val="00C25FA6"/>
    <w:rsid w:val="00C352F7"/>
    <w:rsid w:val="00C41241"/>
    <w:rsid w:val="00C41A55"/>
    <w:rsid w:val="00C43D02"/>
    <w:rsid w:val="00C47DAC"/>
    <w:rsid w:val="00C538A9"/>
    <w:rsid w:val="00C53B5A"/>
    <w:rsid w:val="00C54A52"/>
    <w:rsid w:val="00C54F5A"/>
    <w:rsid w:val="00C569B4"/>
    <w:rsid w:val="00C67A92"/>
    <w:rsid w:val="00C72C82"/>
    <w:rsid w:val="00C83BAC"/>
    <w:rsid w:val="00C86679"/>
    <w:rsid w:val="00C9340F"/>
    <w:rsid w:val="00C934AB"/>
    <w:rsid w:val="00CA22BC"/>
    <w:rsid w:val="00CA41E9"/>
    <w:rsid w:val="00CA489E"/>
    <w:rsid w:val="00CB4CAA"/>
    <w:rsid w:val="00CB666B"/>
    <w:rsid w:val="00CC213C"/>
    <w:rsid w:val="00CC7F1D"/>
    <w:rsid w:val="00CD549E"/>
    <w:rsid w:val="00CD727A"/>
    <w:rsid w:val="00CE1DF3"/>
    <w:rsid w:val="00CE7A08"/>
    <w:rsid w:val="00CF1E31"/>
    <w:rsid w:val="00D01CF0"/>
    <w:rsid w:val="00D0442A"/>
    <w:rsid w:val="00D05F47"/>
    <w:rsid w:val="00D173B2"/>
    <w:rsid w:val="00D30D94"/>
    <w:rsid w:val="00D3191A"/>
    <w:rsid w:val="00D35818"/>
    <w:rsid w:val="00D60D76"/>
    <w:rsid w:val="00D61388"/>
    <w:rsid w:val="00D61A54"/>
    <w:rsid w:val="00D64DEA"/>
    <w:rsid w:val="00D7168E"/>
    <w:rsid w:val="00D71E57"/>
    <w:rsid w:val="00D73E25"/>
    <w:rsid w:val="00D77EC5"/>
    <w:rsid w:val="00D80893"/>
    <w:rsid w:val="00D81EF4"/>
    <w:rsid w:val="00D846B5"/>
    <w:rsid w:val="00D92CF1"/>
    <w:rsid w:val="00D92D38"/>
    <w:rsid w:val="00D93B87"/>
    <w:rsid w:val="00D93C98"/>
    <w:rsid w:val="00D950F5"/>
    <w:rsid w:val="00DA06C6"/>
    <w:rsid w:val="00DA5598"/>
    <w:rsid w:val="00DA60C4"/>
    <w:rsid w:val="00DA7A74"/>
    <w:rsid w:val="00DB0F93"/>
    <w:rsid w:val="00DB1A67"/>
    <w:rsid w:val="00DB1C30"/>
    <w:rsid w:val="00DB5074"/>
    <w:rsid w:val="00DB723B"/>
    <w:rsid w:val="00DB7328"/>
    <w:rsid w:val="00DC6DA7"/>
    <w:rsid w:val="00DC7981"/>
    <w:rsid w:val="00DD572F"/>
    <w:rsid w:val="00DD7B24"/>
    <w:rsid w:val="00DE2FCA"/>
    <w:rsid w:val="00DE4EFA"/>
    <w:rsid w:val="00DE5520"/>
    <w:rsid w:val="00E00626"/>
    <w:rsid w:val="00E03C7D"/>
    <w:rsid w:val="00E04818"/>
    <w:rsid w:val="00E06442"/>
    <w:rsid w:val="00E07BFD"/>
    <w:rsid w:val="00E137FB"/>
    <w:rsid w:val="00E153AF"/>
    <w:rsid w:val="00E16751"/>
    <w:rsid w:val="00E17C29"/>
    <w:rsid w:val="00E22820"/>
    <w:rsid w:val="00E23993"/>
    <w:rsid w:val="00E25B8C"/>
    <w:rsid w:val="00E2686C"/>
    <w:rsid w:val="00E27BFF"/>
    <w:rsid w:val="00E27DC1"/>
    <w:rsid w:val="00E41151"/>
    <w:rsid w:val="00E52A21"/>
    <w:rsid w:val="00E53628"/>
    <w:rsid w:val="00E5790E"/>
    <w:rsid w:val="00E62107"/>
    <w:rsid w:val="00E65C85"/>
    <w:rsid w:val="00E66199"/>
    <w:rsid w:val="00E66EE6"/>
    <w:rsid w:val="00E7088A"/>
    <w:rsid w:val="00E72A24"/>
    <w:rsid w:val="00E755EC"/>
    <w:rsid w:val="00E7624D"/>
    <w:rsid w:val="00E836FA"/>
    <w:rsid w:val="00E90313"/>
    <w:rsid w:val="00E91BFF"/>
    <w:rsid w:val="00EA3067"/>
    <w:rsid w:val="00EA35F2"/>
    <w:rsid w:val="00EA3D42"/>
    <w:rsid w:val="00EA6B1B"/>
    <w:rsid w:val="00EB0845"/>
    <w:rsid w:val="00EB4EB9"/>
    <w:rsid w:val="00EB505D"/>
    <w:rsid w:val="00EB5C9B"/>
    <w:rsid w:val="00EC3782"/>
    <w:rsid w:val="00EC3C3D"/>
    <w:rsid w:val="00EC7A3E"/>
    <w:rsid w:val="00ED382A"/>
    <w:rsid w:val="00EE28F3"/>
    <w:rsid w:val="00EE7270"/>
    <w:rsid w:val="00EF2800"/>
    <w:rsid w:val="00EF5110"/>
    <w:rsid w:val="00EF5964"/>
    <w:rsid w:val="00EF7AAE"/>
    <w:rsid w:val="00F030FB"/>
    <w:rsid w:val="00F107B5"/>
    <w:rsid w:val="00F15882"/>
    <w:rsid w:val="00F171E0"/>
    <w:rsid w:val="00F20BD3"/>
    <w:rsid w:val="00F22D05"/>
    <w:rsid w:val="00F25CAC"/>
    <w:rsid w:val="00F27F81"/>
    <w:rsid w:val="00F30826"/>
    <w:rsid w:val="00F373A5"/>
    <w:rsid w:val="00F43995"/>
    <w:rsid w:val="00F47559"/>
    <w:rsid w:val="00F517C8"/>
    <w:rsid w:val="00F60021"/>
    <w:rsid w:val="00F64551"/>
    <w:rsid w:val="00F64C7B"/>
    <w:rsid w:val="00F676DD"/>
    <w:rsid w:val="00F70F74"/>
    <w:rsid w:val="00F71778"/>
    <w:rsid w:val="00F74602"/>
    <w:rsid w:val="00F75A26"/>
    <w:rsid w:val="00F835C9"/>
    <w:rsid w:val="00F83FAD"/>
    <w:rsid w:val="00F92C68"/>
    <w:rsid w:val="00F94585"/>
    <w:rsid w:val="00F952A0"/>
    <w:rsid w:val="00F967D4"/>
    <w:rsid w:val="00FA042E"/>
    <w:rsid w:val="00FA3C7F"/>
    <w:rsid w:val="00FA7865"/>
    <w:rsid w:val="00FB3616"/>
    <w:rsid w:val="00FB74E2"/>
    <w:rsid w:val="00FC200A"/>
    <w:rsid w:val="00FC5329"/>
    <w:rsid w:val="00FC5631"/>
    <w:rsid w:val="00FC6105"/>
    <w:rsid w:val="00FC759D"/>
    <w:rsid w:val="00FD5614"/>
    <w:rsid w:val="00FD574A"/>
    <w:rsid w:val="00FD707B"/>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00"/>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77EC5"/>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D77EC5"/>
    <w:rPr>
      <w:rFonts w:eastAsia="Calibri" w:cs="Times New Roman"/>
      <w:sz w:val="20"/>
      <w:szCs w:val="20"/>
    </w:rPr>
  </w:style>
  <w:style w:type="paragraph" w:styleId="NormalWeb">
    <w:name w:val="Normal (Web)"/>
    <w:basedOn w:val="Normal"/>
    <w:uiPriority w:val="99"/>
    <w:unhideWhenUsed/>
    <w:rsid w:val="00D77E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00626"/>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E00626"/>
    <w:rPr>
      <w:rFonts w:ascii="Arial" w:eastAsia="Calibri" w:hAnsi="Arial" w:cs="Times New Roman"/>
      <w:b/>
      <w:bCs/>
      <w:sz w:val="20"/>
      <w:szCs w:val="20"/>
    </w:rPr>
  </w:style>
  <w:style w:type="paragraph" w:styleId="BodyText">
    <w:name w:val="Body Text"/>
    <w:basedOn w:val="Normal"/>
    <w:link w:val="BodyTextChar"/>
    <w:uiPriority w:val="99"/>
    <w:unhideWhenUsed/>
    <w:rsid w:val="005D14E8"/>
    <w:pPr>
      <w:spacing w:after="120"/>
    </w:pPr>
  </w:style>
  <w:style w:type="character" w:customStyle="1" w:styleId="BodyTextChar">
    <w:name w:val="Body Text Char"/>
    <w:basedOn w:val="DefaultParagraphFont"/>
    <w:link w:val="BodyText"/>
    <w:uiPriority w:val="99"/>
    <w:rsid w:val="005D14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721171007">
      <w:bodyDiv w:val="1"/>
      <w:marLeft w:val="0"/>
      <w:marRight w:val="0"/>
      <w:marTop w:val="0"/>
      <w:marBottom w:val="0"/>
      <w:divBdr>
        <w:top w:val="none" w:sz="0" w:space="0" w:color="auto"/>
        <w:left w:val="none" w:sz="0" w:space="0" w:color="auto"/>
        <w:bottom w:val="none" w:sz="0" w:space="0" w:color="auto"/>
        <w:right w:val="none" w:sz="0" w:space="0" w:color="auto"/>
      </w:divBdr>
    </w:div>
    <w:div w:id="88717924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C41270-70B9-4227-8405-D894F4A1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4891</Words>
  <Characters>27881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2018-12-17T04:21:00Z</dcterms:created>
  <dcterms:modified xsi:type="dcterms:W3CDTF">2018-12-17T04:23:00Z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