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1F90651" wp14:editId="39741F0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3B3BEB">
            <w:t>FINAL</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4B6269">
            <w:t>6</w:t>
          </w:r>
          <w:r w:rsidR="000474DF">
            <w:t xml:space="preserve"> </w:t>
          </w:r>
          <w:r w:rsidR="00185BA5">
            <w:t>–</w:t>
          </w:r>
          <w:r w:rsidR="000474DF">
            <w:t xml:space="preserve"> </w:t>
          </w:r>
          <w:r w:rsidR="004B6269">
            <w:t>Alternative control services</w:t>
          </w:r>
        </w:p>
        <w:p w:rsidR="000A6C7B" w:rsidRPr="00327A1E" w:rsidRDefault="003B3BEB"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81070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013C24">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60957"/>
      <w:r>
        <w:lastRenderedPageBreak/>
        <w:t>Note</w:t>
      </w:r>
      <w:bookmarkEnd w:id="1"/>
      <w:bookmarkEnd w:id="2"/>
      <w:bookmarkEnd w:id="3"/>
    </w:p>
    <w:p w:rsidR="00013C24" w:rsidRDefault="00013C24" w:rsidP="00013C24">
      <w:pPr>
        <w:numPr>
          <w:ilvl w:val="0"/>
          <w:numId w:val="24"/>
        </w:numPr>
      </w:pPr>
      <w:r>
        <w:t>This attachment forms part of the AER's final decision on TasNetworks' distribution determination for 2017</w:t>
      </w:r>
      <w:r w:rsidRPr="00F02D30">
        <w:t>–</w:t>
      </w:r>
      <w:r>
        <w:t>19. It should be read with all other parts of the final decision.</w:t>
      </w:r>
    </w:p>
    <w:p w:rsidR="00013C24" w:rsidRDefault="00013C24" w:rsidP="00013C24">
      <w:r>
        <w:t xml:space="preserve">This final decision consists of an Overview </w:t>
      </w:r>
      <w:r w:rsidRPr="00F238A0">
        <w:t xml:space="preserve">and </w:t>
      </w:r>
      <w:r>
        <w:t>8</w:t>
      </w:r>
      <w:r w:rsidRPr="00F238A0">
        <w:t xml:space="preserve"> attachments. As</w:t>
      </w:r>
      <w:r>
        <w:t xml:space="preserve"> many issues were settled at the draft decision stage or required only minor updates we have not prepared final decision attachments for: </w:t>
      </w:r>
    </w:p>
    <w:p w:rsidR="00013C24" w:rsidRDefault="00013C24" w:rsidP="00013C24">
      <w:pPr>
        <w:pStyle w:val="AERbulletlistfirststyle"/>
      </w:pPr>
      <w:r>
        <w:t xml:space="preserve">Regulatory asset base </w:t>
      </w:r>
    </w:p>
    <w:p w:rsidR="00013C24" w:rsidRDefault="00013C24" w:rsidP="00013C24">
      <w:pPr>
        <w:pStyle w:val="AERbulletlistfirststyle"/>
      </w:pPr>
      <w:r>
        <w:t>Regulatory depreciation</w:t>
      </w:r>
    </w:p>
    <w:p w:rsidR="00013C24" w:rsidRDefault="00013C24" w:rsidP="00013C24">
      <w:pPr>
        <w:pStyle w:val="AERbulletlistfirststyle"/>
      </w:pPr>
      <w:r>
        <w:t>Capital expenditure</w:t>
      </w:r>
    </w:p>
    <w:p w:rsidR="00013C24" w:rsidRDefault="00013C24" w:rsidP="00013C24">
      <w:pPr>
        <w:pStyle w:val="AERbulletlistfirststyle"/>
      </w:pPr>
      <w:r>
        <w:t>Operating expenditure</w:t>
      </w:r>
    </w:p>
    <w:p w:rsidR="00013C24" w:rsidRDefault="00013C24" w:rsidP="00013C24">
      <w:pPr>
        <w:pStyle w:val="AERbulletlistfirststyle"/>
      </w:pPr>
      <w:r>
        <w:t>Corporate income tax</w:t>
      </w:r>
    </w:p>
    <w:p w:rsidR="00013C24" w:rsidRDefault="00013C24" w:rsidP="00013C24">
      <w:pPr>
        <w:pStyle w:val="AERbulletlistfirststyle"/>
      </w:pPr>
      <w:r>
        <w:t>Capital expenditure sharing scheme</w:t>
      </w:r>
    </w:p>
    <w:p w:rsidR="00013C24" w:rsidRDefault="00013C24" w:rsidP="00013C24">
      <w:pPr>
        <w:pStyle w:val="AERbulletlistfirststyle"/>
      </w:pPr>
      <w:r>
        <w:t>Service target performance incentive scheme</w:t>
      </w:r>
    </w:p>
    <w:p w:rsidR="00013C24" w:rsidRDefault="00013C24" w:rsidP="00013C24">
      <w:pPr>
        <w:pStyle w:val="AERbulletlistfirststyle"/>
      </w:pPr>
      <w:r>
        <w:t>Demand management incentive scheme</w:t>
      </w:r>
    </w:p>
    <w:p w:rsidR="00013C24" w:rsidRDefault="00013C24" w:rsidP="00013C24">
      <w:pPr>
        <w:pStyle w:val="AERbulletlistfirststyle"/>
      </w:pPr>
      <w:r>
        <w:t>Classification of services</w:t>
      </w:r>
    </w:p>
    <w:p w:rsidR="00013C24" w:rsidRDefault="00013C24" w:rsidP="00013C24">
      <w:pPr>
        <w:pStyle w:val="AERbulletlistfirststyle"/>
      </w:pPr>
      <w:r>
        <w:t>Pass through events</w:t>
      </w:r>
    </w:p>
    <w:p w:rsidR="00013C24" w:rsidRDefault="00013C24" w:rsidP="00013C24">
      <w:pPr>
        <w:pStyle w:val="AERbulletlistfirststyle"/>
      </w:pPr>
      <w:r>
        <w:t xml:space="preserve">Connection policy. </w:t>
      </w:r>
    </w:p>
    <w:p w:rsidR="00013C24" w:rsidRDefault="00013C24" w:rsidP="00013C24">
      <w:pPr>
        <w:numPr>
          <w:ilvl w:val="0"/>
          <w:numId w:val="24"/>
        </w:numPr>
      </w:pPr>
      <w:r>
        <w:t xml:space="preserve">The AER's final decision on these matters is set out in the Overview. For ease of reference the remaining attachments have been numbered consistently with the attachment numbering in our draft decision. </w:t>
      </w:r>
    </w:p>
    <w:p w:rsidR="00013C24" w:rsidRDefault="00013C24" w:rsidP="00013C24">
      <w:pPr>
        <w:numPr>
          <w:ilvl w:val="0"/>
          <w:numId w:val="24"/>
        </w:numPr>
      </w:pPr>
      <w:r>
        <w:t>The final decision therefore includes the following documents:</w:t>
      </w:r>
    </w:p>
    <w:p w:rsidR="00013C24" w:rsidRDefault="00013C24" w:rsidP="00013C24">
      <w:pPr>
        <w:numPr>
          <w:ilvl w:val="0"/>
          <w:numId w:val="24"/>
        </w:numPr>
      </w:pPr>
      <w:r>
        <w:t>Overview</w:t>
      </w:r>
    </w:p>
    <w:p w:rsidR="00013C24" w:rsidRDefault="00013C24" w:rsidP="00013C24">
      <w:pPr>
        <w:numPr>
          <w:ilvl w:val="0"/>
          <w:numId w:val="24"/>
        </w:numPr>
      </w:pPr>
      <w:r>
        <w:t>Attachment 1 – Annual revenue requirement</w:t>
      </w:r>
    </w:p>
    <w:p w:rsidR="00013C24" w:rsidRDefault="00013C24" w:rsidP="00013C24">
      <w:pPr>
        <w:numPr>
          <w:ilvl w:val="0"/>
          <w:numId w:val="24"/>
        </w:numPr>
      </w:pPr>
      <w:r>
        <w:t>Attachment 3 – Rate of return</w:t>
      </w:r>
    </w:p>
    <w:p w:rsidR="00013C24" w:rsidRDefault="00013C24" w:rsidP="00013C24">
      <w:pPr>
        <w:numPr>
          <w:ilvl w:val="0"/>
          <w:numId w:val="24"/>
        </w:numPr>
      </w:pPr>
      <w:r>
        <w:t>Attachment 4 – Value of imputation credits</w:t>
      </w:r>
    </w:p>
    <w:p w:rsidR="00013C24" w:rsidRDefault="00013C24" w:rsidP="00013C24">
      <w:pPr>
        <w:numPr>
          <w:ilvl w:val="0"/>
          <w:numId w:val="24"/>
        </w:numPr>
      </w:pPr>
      <w:r>
        <w:t>Attachment 9 – Efficiency benefit sharing scheme</w:t>
      </w:r>
    </w:p>
    <w:p w:rsidR="00013C24" w:rsidRDefault="00013C24" w:rsidP="00013C24">
      <w:pPr>
        <w:numPr>
          <w:ilvl w:val="0"/>
          <w:numId w:val="24"/>
        </w:numPr>
      </w:pPr>
      <w:r>
        <w:t>Attachment 14 – Control mechanisms</w:t>
      </w:r>
    </w:p>
    <w:p w:rsidR="00013C24" w:rsidRDefault="00013C24" w:rsidP="00013C24">
      <w:pPr>
        <w:numPr>
          <w:ilvl w:val="0"/>
          <w:numId w:val="24"/>
        </w:numPr>
      </w:pPr>
      <w:r>
        <w:t>Attachment 16 – Alternative control services</w:t>
      </w:r>
    </w:p>
    <w:p w:rsidR="00013C24" w:rsidRDefault="00013C24" w:rsidP="00013C24">
      <w:pPr>
        <w:numPr>
          <w:ilvl w:val="0"/>
          <w:numId w:val="24"/>
        </w:numPr>
      </w:pPr>
      <w:r>
        <w:t>Attachment 17 – Negotiated services framework and criteria</w:t>
      </w:r>
    </w:p>
    <w:p w:rsidR="00CE2A23" w:rsidRPr="00CE2A23" w:rsidRDefault="00013C24" w:rsidP="00CE2A23">
      <w:r>
        <w:t>Attachment 19 – Tariff structure statement</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60958"/>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1B4346"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60957" w:history="1">
            <w:r w:rsidR="001B4346" w:rsidRPr="002F56A0">
              <w:rPr>
                <w:rStyle w:val="Hyperlink"/>
              </w:rPr>
              <w:t>Note</w:t>
            </w:r>
            <w:r w:rsidR="001B4346">
              <w:rPr>
                <w:webHidden/>
              </w:rPr>
              <w:tab/>
            </w:r>
            <w:r w:rsidR="001B4346">
              <w:rPr>
                <w:webHidden/>
              </w:rPr>
              <w:fldChar w:fldCharType="begin"/>
            </w:r>
            <w:r w:rsidR="001B4346">
              <w:rPr>
                <w:webHidden/>
              </w:rPr>
              <w:instrText xml:space="preserve"> PAGEREF _Toc481060957 \h </w:instrText>
            </w:r>
            <w:r w:rsidR="001B4346">
              <w:rPr>
                <w:webHidden/>
              </w:rPr>
            </w:r>
            <w:r w:rsidR="001B4346">
              <w:rPr>
                <w:webHidden/>
              </w:rPr>
              <w:fldChar w:fldCharType="separate"/>
            </w:r>
            <w:r w:rsidR="001B4346">
              <w:rPr>
                <w:webHidden/>
              </w:rPr>
              <w:t>16-2</w:t>
            </w:r>
            <w:r w:rsidR="001B4346">
              <w:rPr>
                <w:webHidden/>
              </w:rPr>
              <w:fldChar w:fldCharType="end"/>
            </w:r>
          </w:hyperlink>
        </w:p>
        <w:p w:rsidR="001B4346" w:rsidRDefault="00B35986">
          <w:pPr>
            <w:pStyle w:val="TOC1"/>
            <w:rPr>
              <w:rFonts w:asciiTheme="minorHAnsi" w:eastAsiaTheme="minorEastAsia" w:hAnsiTheme="minorHAnsi"/>
              <w:b w:val="0"/>
              <w:color w:val="auto"/>
              <w:sz w:val="22"/>
              <w:lang w:val="en-AU" w:eastAsia="en-AU"/>
            </w:rPr>
          </w:pPr>
          <w:hyperlink w:anchor="_Toc481060958" w:history="1">
            <w:r w:rsidR="001B4346" w:rsidRPr="002F56A0">
              <w:rPr>
                <w:rStyle w:val="Hyperlink"/>
              </w:rPr>
              <w:t>Contents</w:t>
            </w:r>
            <w:r w:rsidR="001B4346">
              <w:rPr>
                <w:webHidden/>
              </w:rPr>
              <w:tab/>
            </w:r>
            <w:r w:rsidR="001B4346">
              <w:rPr>
                <w:webHidden/>
              </w:rPr>
              <w:fldChar w:fldCharType="begin"/>
            </w:r>
            <w:r w:rsidR="001B4346">
              <w:rPr>
                <w:webHidden/>
              </w:rPr>
              <w:instrText xml:space="preserve"> PAGEREF _Toc481060958 \h </w:instrText>
            </w:r>
            <w:r w:rsidR="001B4346">
              <w:rPr>
                <w:webHidden/>
              </w:rPr>
            </w:r>
            <w:r w:rsidR="001B4346">
              <w:rPr>
                <w:webHidden/>
              </w:rPr>
              <w:fldChar w:fldCharType="separate"/>
            </w:r>
            <w:r w:rsidR="001B4346">
              <w:rPr>
                <w:webHidden/>
              </w:rPr>
              <w:t>16-3</w:t>
            </w:r>
            <w:r w:rsidR="001B4346">
              <w:rPr>
                <w:webHidden/>
              </w:rPr>
              <w:fldChar w:fldCharType="end"/>
            </w:r>
          </w:hyperlink>
        </w:p>
        <w:p w:rsidR="001B4346" w:rsidRDefault="00B35986">
          <w:pPr>
            <w:pStyle w:val="TOC1"/>
            <w:rPr>
              <w:rFonts w:asciiTheme="minorHAnsi" w:eastAsiaTheme="minorEastAsia" w:hAnsiTheme="minorHAnsi"/>
              <w:b w:val="0"/>
              <w:color w:val="auto"/>
              <w:sz w:val="22"/>
              <w:lang w:val="en-AU" w:eastAsia="en-AU"/>
            </w:rPr>
          </w:pPr>
          <w:hyperlink w:anchor="_Toc481060959" w:history="1">
            <w:r w:rsidR="001B4346" w:rsidRPr="002F56A0">
              <w:rPr>
                <w:rStyle w:val="Hyperlink"/>
              </w:rPr>
              <w:t>Shortened forms</w:t>
            </w:r>
            <w:r w:rsidR="001B4346">
              <w:rPr>
                <w:webHidden/>
              </w:rPr>
              <w:tab/>
            </w:r>
            <w:r w:rsidR="001B4346">
              <w:rPr>
                <w:webHidden/>
              </w:rPr>
              <w:fldChar w:fldCharType="begin"/>
            </w:r>
            <w:r w:rsidR="001B4346">
              <w:rPr>
                <w:webHidden/>
              </w:rPr>
              <w:instrText xml:space="preserve"> PAGEREF _Toc481060959 \h </w:instrText>
            </w:r>
            <w:r w:rsidR="001B4346">
              <w:rPr>
                <w:webHidden/>
              </w:rPr>
            </w:r>
            <w:r w:rsidR="001B4346">
              <w:rPr>
                <w:webHidden/>
              </w:rPr>
              <w:fldChar w:fldCharType="separate"/>
            </w:r>
            <w:r w:rsidR="001B4346">
              <w:rPr>
                <w:webHidden/>
              </w:rPr>
              <w:t>16-4</w:t>
            </w:r>
            <w:r w:rsidR="001B4346">
              <w:rPr>
                <w:webHidden/>
              </w:rPr>
              <w:fldChar w:fldCharType="end"/>
            </w:r>
          </w:hyperlink>
        </w:p>
        <w:p w:rsidR="001B4346" w:rsidRDefault="00B35986">
          <w:pPr>
            <w:pStyle w:val="TOC1"/>
            <w:rPr>
              <w:rFonts w:asciiTheme="minorHAnsi" w:eastAsiaTheme="minorEastAsia" w:hAnsiTheme="minorHAnsi"/>
              <w:b w:val="0"/>
              <w:color w:val="auto"/>
              <w:sz w:val="22"/>
              <w:lang w:val="en-AU" w:eastAsia="en-AU"/>
            </w:rPr>
          </w:pPr>
          <w:hyperlink w:anchor="_Toc481060960" w:history="1">
            <w:r w:rsidR="001B4346" w:rsidRPr="002F56A0">
              <w:rPr>
                <w:rStyle w:val="Hyperlink"/>
              </w:rPr>
              <w:t>16</w:t>
            </w:r>
            <w:r w:rsidR="001B4346">
              <w:rPr>
                <w:rFonts w:asciiTheme="minorHAnsi" w:eastAsiaTheme="minorEastAsia" w:hAnsiTheme="minorHAnsi"/>
                <w:b w:val="0"/>
                <w:color w:val="auto"/>
                <w:sz w:val="22"/>
                <w:lang w:val="en-AU" w:eastAsia="en-AU"/>
              </w:rPr>
              <w:tab/>
            </w:r>
            <w:r w:rsidR="001B4346" w:rsidRPr="002F56A0">
              <w:rPr>
                <w:rStyle w:val="Hyperlink"/>
              </w:rPr>
              <w:t>Alternative control services</w:t>
            </w:r>
            <w:r w:rsidR="001B4346">
              <w:rPr>
                <w:webHidden/>
              </w:rPr>
              <w:tab/>
            </w:r>
            <w:r w:rsidR="001B4346">
              <w:rPr>
                <w:webHidden/>
              </w:rPr>
              <w:fldChar w:fldCharType="begin"/>
            </w:r>
            <w:r w:rsidR="001B4346">
              <w:rPr>
                <w:webHidden/>
              </w:rPr>
              <w:instrText xml:space="preserve"> PAGEREF _Toc481060960 \h </w:instrText>
            </w:r>
            <w:r w:rsidR="001B4346">
              <w:rPr>
                <w:webHidden/>
              </w:rPr>
            </w:r>
            <w:r w:rsidR="001B4346">
              <w:rPr>
                <w:webHidden/>
              </w:rPr>
              <w:fldChar w:fldCharType="separate"/>
            </w:r>
            <w:r w:rsidR="001B4346">
              <w:rPr>
                <w:webHidden/>
              </w:rPr>
              <w:t>16-6</w:t>
            </w:r>
            <w:r w:rsidR="001B4346">
              <w:rPr>
                <w:webHidden/>
              </w:rPr>
              <w:fldChar w:fldCharType="end"/>
            </w:r>
          </w:hyperlink>
        </w:p>
        <w:p w:rsidR="001B4346" w:rsidRDefault="00B35986">
          <w:pPr>
            <w:pStyle w:val="TOC2"/>
            <w:tabs>
              <w:tab w:val="left" w:pos="1276"/>
            </w:tabs>
            <w:rPr>
              <w:rFonts w:asciiTheme="minorHAnsi" w:eastAsiaTheme="minorEastAsia" w:hAnsiTheme="minorHAnsi"/>
              <w:b w:val="0"/>
              <w:color w:val="auto"/>
              <w:sz w:val="22"/>
              <w:lang w:eastAsia="en-AU"/>
            </w:rPr>
          </w:pPr>
          <w:hyperlink w:anchor="_Toc481060961" w:history="1">
            <w:r w:rsidR="001B4346" w:rsidRPr="002F56A0">
              <w:rPr>
                <w:rStyle w:val="Hyperlink"/>
              </w:rPr>
              <w:t>16.1</w:t>
            </w:r>
            <w:r w:rsidR="001B4346">
              <w:rPr>
                <w:rFonts w:asciiTheme="minorHAnsi" w:eastAsiaTheme="minorEastAsia" w:hAnsiTheme="minorHAnsi"/>
                <w:b w:val="0"/>
                <w:color w:val="auto"/>
                <w:sz w:val="22"/>
                <w:lang w:eastAsia="en-AU"/>
              </w:rPr>
              <w:tab/>
            </w:r>
            <w:r w:rsidR="001B4346" w:rsidRPr="002F56A0">
              <w:rPr>
                <w:rStyle w:val="Hyperlink"/>
              </w:rPr>
              <w:t>Ancillary network services</w:t>
            </w:r>
            <w:r w:rsidR="001B4346">
              <w:rPr>
                <w:webHidden/>
              </w:rPr>
              <w:tab/>
            </w:r>
            <w:r w:rsidR="001B4346">
              <w:rPr>
                <w:webHidden/>
              </w:rPr>
              <w:fldChar w:fldCharType="begin"/>
            </w:r>
            <w:r w:rsidR="001B4346">
              <w:rPr>
                <w:webHidden/>
              </w:rPr>
              <w:instrText xml:space="preserve"> PAGEREF _Toc481060961 \h </w:instrText>
            </w:r>
            <w:r w:rsidR="001B4346">
              <w:rPr>
                <w:webHidden/>
              </w:rPr>
            </w:r>
            <w:r w:rsidR="001B4346">
              <w:rPr>
                <w:webHidden/>
              </w:rPr>
              <w:fldChar w:fldCharType="separate"/>
            </w:r>
            <w:r w:rsidR="001B4346">
              <w:rPr>
                <w:webHidden/>
              </w:rPr>
              <w:t>16-6</w:t>
            </w:r>
            <w:r w:rsidR="001B4346">
              <w:rPr>
                <w:webHidden/>
              </w:rPr>
              <w:fldChar w:fldCharType="end"/>
            </w:r>
          </w:hyperlink>
        </w:p>
        <w:p w:rsidR="001B4346" w:rsidRDefault="00B35986">
          <w:pPr>
            <w:pStyle w:val="TOC3"/>
            <w:rPr>
              <w:rFonts w:asciiTheme="minorHAnsi" w:eastAsiaTheme="minorEastAsia" w:hAnsiTheme="minorHAnsi"/>
              <w:lang w:eastAsia="en-AU"/>
            </w:rPr>
          </w:pPr>
          <w:hyperlink w:anchor="_Toc481060962" w:history="1">
            <w:r w:rsidR="001B4346" w:rsidRPr="002F56A0">
              <w:rPr>
                <w:rStyle w:val="Hyperlink"/>
              </w:rPr>
              <w:t>16.1.1</w:t>
            </w:r>
            <w:r w:rsidR="001B4346">
              <w:rPr>
                <w:rFonts w:asciiTheme="minorHAnsi" w:eastAsiaTheme="minorEastAsia" w:hAnsiTheme="minorHAnsi"/>
                <w:lang w:eastAsia="en-AU"/>
              </w:rPr>
              <w:tab/>
            </w:r>
            <w:r w:rsidR="001B4346" w:rsidRPr="002F56A0">
              <w:rPr>
                <w:rStyle w:val="Hyperlink"/>
              </w:rPr>
              <w:t>Final decision</w:t>
            </w:r>
            <w:r w:rsidR="001B4346">
              <w:rPr>
                <w:webHidden/>
              </w:rPr>
              <w:tab/>
            </w:r>
            <w:r w:rsidR="001B4346">
              <w:rPr>
                <w:webHidden/>
              </w:rPr>
              <w:fldChar w:fldCharType="begin"/>
            </w:r>
            <w:r w:rsidR="001B4346">
              <w:rPr>
                <w:webHidden/>
              </w:rPr>
              <w:instrText xml:space="preserve"> PAGEREF _Toc481060962 \h </w:instrText>
            </w:r>
            <w:r w:rsidR="001B4346">
              <w:rPr>
                <w:webHidden/>
              </w:rPr>
            </w:r>
            <w:r w:rsidR="001B4346">
              <w:rPr>
                <w:webHidden/>
              </w:rPr>
              <w:fldChar w:fldCharType="separate"/>
            </w:r>
            <w:r w:rsidR="001B4346">
              <w:rPr>
                <w:webHidden/>
              </w:rPr>
              <w:t>16-6</w:t>
            </w:r>
            <w:r w:rsidR="001B4346">
              <w:rPr>
                <w:webHidden/>
              </w:rPr>
              <w:fldChar w:fldCharType="end"/>
            </w:r>
          </w:hyperlink>
        </w:p>
        <w:p w:rsidR="001B4346" w:rsidRDefault="00B35986">
          <w:pPr>
            <w:pStyle w:val="TOC3"/>
            <w:rPr>
              <w:rFonts w:asciiTheme="minorHAnsi" w:eastAsiaTheme="minorEastAsia" w:hAnsiTheme="minorHAnsi"/>
              <w:lang w:eastAsia="en-AU"/>
            </w:rPr>
          </w:pPr>
          <w:hyperlink w:anchor="_Toc481060963" w:history="1">
            <w:r w:rsidR="001B4346" w:rsidRPr="002F56A0">
              <w:rPr>
                <w:rStyle w:val="Hyperlink"/>
              </w:rPr>
              <w:t>16.1.2</w:t>
            </w:r>
            <w:r w:rsidR="001B4346">
              <w:rPr>
                <w:rFonts w:asciiTheme="minorHAnsi" w:eastAsiaTheme="minorEastAsia" w:hAnsiTheme="minorHAnsi"/>
                <w:lang w:eastAsia="en-AU"/>
              </w:rPr>
              <w:tab/>
            </w:r>
            <w:r w:rsidR="001B4346" w:rsidRPr="002F56A0">
              <w:rPr>
                <w:rStyle w:val="Hyperlink"/>
              </w:rPr>
              <w:t>TasNetworks' revised proposal</w:t>
            </w:r>
            <w:r w:rsidR="001B4346">
              <w:rPr>
                <w:webHidden/>
              </w:rPr>
              <w:tab/>
            </w:r>
            <w:r w:rsidR="001B4346">
              <w:rPr>
                <w:webHidden/>
              </w:rPr>
              <w:fldChar w:fldCharType="begin"/>
            </w:r>
            <w:r w:rsidR="001B4346">
              <w:rPr>
                <w:webHidden/>
              </w:rPr>
              <w:instrText xml:space="preserve"> PAGEREF _Toc481060963 \h </w:instrText>
            </w:r>
            <w:r w:rsidR="001B4346">
              <w:rPr>
                <w:webHidden/>
              </w:rPr>
            </w:r>
            <w:r w:rsidR="001B4346">
              <w:rPr>
                <w:webHidden/>
              </w:rPr>
              <w:fldChar w:fldCharType="separate"/>
            </w:r>
            <w:r w:rsidR="001B4346">
              <w:rPr>
                <w:webHidden/>
              </w:rPr>
              <w:t>16-9</w:t>
            </w:r>
            <w:r w:rsidR="001B4346">
              <w:rPr>
                <w:webHidden/>
              </w:rPr>
              <w:fldChar w:fldCharType="end"/>
            </w:r>
          </w:hyperlink>
        </w:p>
        <w:p w:rsidR="001B4346" w:rsidRDefault="00B35986">
          <w:pPr>
            <w:pStyle w:val="TOC3"/>
            <w:rPr>
              <w:rFonts w:asciiTheme="minorHAnsi" w:eastAsiaTheme="minorEastAsia" w:hAnsiTheme="minorHAnsi"/>
              <w:lang w:eastAsia="en-AU"/>
            </w:rPr>
          </w:pPr>
          <w:hyperlink w:anchor="_Toc481060964" w:history="1">
            <w:r w:rsidR="001B4346" w:rsidRPr="002F56A0">
              <w:rPr>
                <w:rStyle w:val="Hyperlink"/>
              </w:rPr>
              <w:t>16.1.3</w:t>
            </w:r>
            <w:r w:rsidR="001B4346">
              <w:rPr>
                <w:rFonts w:asciiTheme="minorHAnsi" w:eastAsiaTheme="minorEastAsia" w:hAnsiTheme="minorHAnsi"/>
                <w:lang w:eastAsia="en-AU"/>
              </w:rPr>
              <w:tab/>
            </w:r>
            <w:r w:rsidR="001B4346" w:rsidRPr="002F56A0">
              <w:rPr>
                <w:rStyle w:val="Hyperlink"/>
              </w:rPr>
              <w:t>Assessment approach</w:t>
            </w:r>
            <w:r w:rsidR="001B4346">
              <w:rPr>
                <w:webHidden/>
              </w:rPr>
              <w:tab/>
            </w:r>
            <w:r w:rsidR="001B4346">
              <w:rPr>
                <w:webHidden/>
              </w:rPr>
              <w:fldChar w:fldCharType="begin"/>
            </w:r>
            <w:r w:rsidR="001B4346">
              <w:rPr>
                <w:webHidden/>
              </w:rPr>
              <w:instrText xml:space="preserve"> PAGEREF _Toc481060964 \h </w:instrText>
            </w:r>
            <w:r w:rsidR="001B4346">
              <w:rPr>
                <w:webHidden/>
              </w:rPr>
            </w:r>
            <w:r w:rsidR="001B4346">
              <w:rPr>
                <w:webHidden/>
              </w:rPr>
              <w:fldChar w:fldCharType="separate"/>
            </w:r>
            <w:r w:rsidR="001B4346">
              <w:rPr>
                <w:webHidden/>
              </w:rPr>
              <w:t>16-9</w:t>
            </w:r>
            <w:r w:rsidR="001B4346">
              <w:rPr>
                <w:webHidden/>
              </w:rPr>
              <w:fldChar w:fldCharType="end"/>
            </w:r>
          </w:hyperlink>
        </w:p>
        <w:p w:rsidR="001B4346" w:rsidRDefault="00B35986">
          <w:pPr>
            <w:pStyle w:val="TOC3"/>
            <w:rPr>
              <w:rFonts w:asciiTheme="minorHAnsi" w:eastAsiaTheme="minorEastAsia" w:hAnsiTheme="minorHAnsi"/>
              <w:lang w:eastAsia="en-AU"/>
            </w:rPr>
          </w:pPr>
          <w:hyperlink w:anchor="_Toc481060965" w:history="1">
            <w:r w:rsidR="001B4346" w:rsidRPr="002F56A0">
              <w:rPr>
                <w:rStyle w:val="Hyperlink"/>
              </w:rPr>
              <w:t>16.1.4</w:t>
            </w:r>
            <w:r w:rsidR="001B4346">
              <w:rPr>
                <w:rFonts w:asciiTheme="minorHAnsi" w:eastAsiaTheme="minorEastAsia" w:hAnsiTheme="minorHAnsi"/>
                <w:lang w:eastAsia="en-AU"/>
              </w:rPr>
              <w:tab/>
            </w:r>
            <w:r w:rsidR="001B4346" w:rsidRPr="002F56A0">
              <w:rPr>
                <w:rStyle w:val="Hyperlink"/>
              </w:rPr>
              <w:t>Reasons for final decision</w:t>
            </w:r>
            <w:r w:rsidR="001B4346">
              <w:rPr>
                <w:webHidden/>
              </w:rPr>
              <w:tab/>
            </w:r>
            <w:r w:rsidR="001B4346">
              <w:rPr>
                <w:webHidden/>
              </w:rPr>
              <w:fldChar w:fldCharType="begin"/>
            </w:r>
            <w:r w:rsidR="001B4346">
              <w:rPr>
                <w:webHidden/>
              </w:rPr>
              <w:instrText xml:space="preserve"> PAGEREF _Toc481060965 \h </w:instrText>
            </w:r>
            <w:r w:rsidR="001B4346">
              <w:rPr>
                <w:webHidden/>
              </w:rPr>
            </w:r>
            <w:r w:rsidR="001B4346">
              <w:rPr>
                <w:webHidden/>
              </w:rPr>
              <w:fldChar w:fldCharType="separate"/>
            </w:r>
            <w:r w:rsidR="001B4346">
              <w:rPr>
                <w:webHidden/>
              </w:rPr>
              <w:t>16-10</w:t>
            </w:r>
            <w:r w:rsidR="001B4346">
              <w:rPr>
                <w:webHidden/>
              </w:rPr>
              <w:fldChar w:fldCharType="end"/>
            </w:r>
          </w:hyperlink>
        </w:p>
        <w:p w:rsidR="001B4346" w:rsidRDefault="00B35986">
          <w:pPr>
            <w:pStyle w:val="TOC2"/>
            <w:tabs>
              <w:tab w:val="left" w:pos="1276"/>
            </w:tabs>
            <w:rPr>
              <w:rFonts w:asciiTheme="minorHAnsi" w:eastAsiaTheme="minorEastAsia" w:hAnsiTheme="minorHAnsi"/>
              <w:b w:val="0"/>
              <w:color w:val="auto"/>
              <w:sz w:val="22"/>
              <w:lang w:eastAsia="en-AU"/>
            </w:rPr>
          </w:pPr>
          <w:hyperlink w:anchor="_Toc481060967" w:history="1">
            <w:r w:rsidR="001B4346" w:rsidRPr="002F56A0">
              <w:rPr>
                <w:rStyle w:val="Hyperlink"/>
              </w:rPr>
              <w:t>16.2</w:t>
            </w:r>
            <w:r w:rsidR="001B4346">
              <w:rPr>
                <w:rFonts w:asciiTheme="minorHAnsi" w:eastAsiaTheme="minorEastAsia" w:hAnsiTheme="minorHAnsi"/>
                <w:b w:val="0"/>
                <w:color w:val="auto"/>
                <w:sz w:val="22"/>
                <w:lang w:eastAsia="en-AU"/>
              </w:rPr>
              <w:tab/>
            </w:r>
            <w:r w:rsidR="001B4346" w:rsidRPr="002F56A0">
              <w:rPr>
                <w:rStyle w:val="Hyperlink"/>
              </w:rPr>
              <w:t>Public lighting</w:t>
            </w:r>
            <w:r w:rsidR="001B4346">
              <w:rPr>
                <w:webHidden/>
              </w:rPr>
              <w:tab/>
            </w:r>
            <w:r w:rsidR="001B4346">
              <w:rPr>
                <w:webHidden/>
              </w:rPr>
              <w:fldChar w:fldCharType="begin"/>
            </w:r>
            <w:r w:rsidR="001B4346">
              <w:rPr>
                <w:webHidden/>
              </w:rPr>
              <w:instrText xml:space="preserve"> PAGEREF _Toc481060967 \h </w:instrText>
            </w:r>
            <w:r w:rsidR="001B4346">
              <w:rPr>
                <w:webHidden/>
              </w:rPr>
            </w:r>
            <w:r w:rsidR="001B4346">
              <w:rPr>
                <w:webHidden/>
              </w:rPr>
              <w:fldChar w:fldCharType="separate"/>
            </w:r>
            <w:r w:rsidR="001B4346">
              <w:rPr>
                <w:webHidden/>
              </w:rPr>
              <w:t>16-13</w:t>
            </w:r>
            <w:r w:rsidR="001B4346">
              <w:rPr>
                <w:webHidden/>
              </w:rPr>
              <w:fldChar w:fldCharType="end"/>
            </w:r>
          </w:hyperlink>
        </w:p>
        <w:p w:rsidR="001B4346" w:rsidRDefault="00B35986">
          <w:pPr>
            <w:pStyle w:val="TOC3"/>
            <w:rPr>
              <w:rFonts w:asciiTheme="minorHAnsi" w:eastAsiaTheme="minorEastAsia" w:hAnsiTheme="minorHAnsi"/>
              <w:lang w:eastAsia="en-AU"/>
            </w:rPr>
          </w:pPr>
          <w:hyperlink w:anchor="_Toc481060968" w:history="1">
            <w:r w:rsidR="001B4346" w:rsidRPr="002F56A0">
              <w:rPr>
                <w:rStyle w:val="Hyperlink"/>
              </w:rPr>
              <w:t>16.2.1</w:t>
            </w:r>
            <w:r w:rsidR="001B4346">
              <w:rPr>
                <w:rFonts w:asciiTheme="minorHAnsi" w:eastAsiaTheme="minorEastAsia" w:hAnsiTheme="minorHAnsi"/>
                <w:lang w:eastAsia="en-AU"/>
              </w:rPr>
              <w:tab/>
            </w:r>
            <w:r w:rsidR="001B4346" w:rsidRPr="002F56A0">
              <w:rPr>
                <w:rStyle w:val="Hyperlink"/>
              </w:rPr>
              <w:t>Final decision</w:t>
            </w:r>
            <w:r w:rsidR="001B4346">
              <w:rPr>
                <w:webHidden/>
              </w:rPr>
              <w:tab/>
            </w:r>
            <w:r w:rsidR="001B4346">
              <w:rPr>
                <w:webHidden/>
              </w:rPr>
              <w:fldChar w:fldCharType="begin"/>
            </w:r>
            <w:r w:rsidR="001B4346">
              <w:rPr>
                <w:webHidden/>
              </w:rPr>
              <w:instrText xml:space="preserve"> PAGEREF _Toc481060968 \h </w:instrText>
            </w:r>
            <w:r w:rsidR="001B4346">
              <w:rPr>
                <w:webHidden/>
              </w:rPr>
            </w:r>
            <w:r w:rsidR="001B4346">
              <w:rPr>
                <w:webHidden/>
              </w:rPr>
              <w:fldChar w:fldCharType="separate"/>
            </w:r>
            <w:r w:rsidR="001B4346">
              <w:rPr>
                <w:webHidden/>
              </w:rPr>
              <w:t>16-13</w:t>
            </w:r>
            <w:r w:rsidR="001B4346">
              <w:rPr>
                <w:webHidden/>
              </w:rPr>
              <w:fldChar w:fldCharType="end"/>
            </w:r>
          </w:hyperlink>
        </w:p>
        <w:p w:rsidR="001B4346" w:rsidRDefault="00B35986">
          <w:pPr>
            <w:pStyle w:val="TOC3"/>
            <w:rPr>
              <w:rFonts w:asciiTheme="minorHAnsi" w:eastAsiaTheme="minorEastAsia" w:hAnsiTheme="minorHAnsi"/>
              <w:lang w:eastAsia="en-AU"/>
            </w:rPr>
          </w:pPr>
          <w:hyperlink w:anchor="_Toc481060969" w:history="1">
            <w:r w:rsidR="001B4346" w:rsidRPr="002F56A0">
              <w:rPr>
                <w:rStyle w:val="Hyperlink"/>
              </w:rPr>
              <w:t>16.2.2</w:t>
            </w:r>
            <w:r w:rsidR="001B4346">
              <w:rPr>
                <w:rFonts w:asciiTheme="minorHAnsi" w:eastAsiaTheme="minorEastAsia" w:hAnsiTheme="minorHAnsi"/>
                <w:lang w:eastAsia="en-AU"/>
              </w:rPr>
              <w:tab/>
            </w:r>
            <w:r w:rsidR="001B4346" w:rsidRPr="002F56A0">
              <w:rPr>
                <w:rStyle w:val="Hyperlink"/>
              </w:rPr>
              <w:t>TasNetworks' revised proposal</w:t>
            </w:r>
            <w:r w:rsidR="001B4346">
              <w:rPr>
                <w:webHidden/>
              </w:rPr>
              <w:tab/>
            </w:r>
            <w:r w:rsidR="001B4346">
              <w:rPr>
                <w:webHidden/>
              </w:rPr>
              <w:fldChar w:fldCharType="begin"/>
            </w:r>
            <w:r w:rsidR="001B4346">
              <w:rPr>
                <w:webHidden/>
              </w:rPr>
              <w:instrText xml:space="preserve"> PAGEREF _Toc481060969 \h </w:instrText>
            </w:r>
            <w:r w:rsidR="001B4346">
              <w:rPr>
                <w:webHidden/>
              </w:rPr>
            </w:r>
            <w:r w:rsidR="001B4346">
              <w:rPr>
                <w:webHidden/>
              </w:rPr>
              <w:fldChar w:fldCharType="separate"/>
            </w:r>
            <w:r w:rsidR="001B4346">
              <w:rPr>
                <w:webHidden/>
              </w:rPr>
              <w:t>16-14</w:t>
            </w:r>
            <w:r w:rsidR="001B4346">
              <w:rPr>
                <w:webHidden/>
              </w:rPr>
              <w:fldChar w:fldCharType="end"/>
            </w:r>
          </w:hyperlink>
        </w:p>
        <w:p w:rsidR="001B4346" w:rsidRDefault="00B35986">
          <w:pPr>
            <w:pStyle w:val="TOC3"/>
            <w:rPr>
              <w:rFonts w:asciiTheme="minorHAnsi" w:eastAsiaTheme="minorEastAsia" w:hAnsiTheme="minorHAnsi"/>
              <w:lang w:eastAsia="en-AU"/>
            </w:rPr>
          </w:pPr>
          <w:hyperlink w:anchor="_Toc481060970" w:history="1">
            <w:r w:rsidR="001B4346" w:rsidRPr="002F56A0">
              <w:rPr>
                <w:rStyle w:val="Hyperlink"/>
              </w:rPr>
              <w:t>16.2.3</w:t>
            </w:r>
            <w:r w:rsidR="001B4346">
              <w:rPr>
                <w:rFonts w:asciiTheme="minorHAnsi" w:eastAsiaTheme="minorEastAsia" w:hAnsiTheme="minorHAnsi"/>
                <w:lang w:eastAsia="en-AU"/>
              </w:rPr>
              <w:tab/>
            </w:r>
            <w:r w:rsidR="001B4346" w:rsidRPr="002F56A0">
              <w:rPr>
                <w:rStyle w:val="Hyperlink"/>
              </w:rPr>
              <w:t>Reasons for final decision</w:t>
            </w:r>
            <w:r w:rsidR="001B4346">
              <w:rPr>
                <w:webHidden/>
              </w:rPr>
              <w:tab/>
            </w:r>
            <w:r w:rsidR="001B4346">
              <w:rPr>
                <w:webHidden/>
              </w:rPr>
              <w:fldChar w:fldCharType="begin"/>
            </w:r>
            <w:r w:rsidR="001B4346">
              <w:rPr>
                <w:webHidden/>
              </w:rPr>
              <w:instrText xml:space="preserve"> PAGEREF _Toc481060970 \h </w:instrText>
            </w:r>
            <w:r w:rsidR="001B4346">
              <w:rPr>
                <w:webHidden/>
              </w:rPr>
            </w:r>
            <w:r w:rsidR="001B4346">
              <w:rPr>
                <w:webHidden/>
              </w:rPr>
              <w:fldChar w:fldCharType="separate"/>
            </w:r>
            <w:r w:rsidR="001B4346">
              <w:rPr>
                <w:webHidden/>
              </w:rPr>
              <w:t>16-14</w:t>
            </w:r>
            <w:r w:rsidR="001B4346">
              <w:rPr>
                <w:webHidden/>
              </w:rPr>
              <w:fldChar w:fldCharType="end"/>
            </w:r>
          </w:hyperlink>
        </w:p>
        <w:p w:rsidR="001B4346" w:rsidRDefault="00B35986">
          <w:pPr>
            <w:pStyle w:val="TOC2"/>
            <w:tabs>
              <w:tab w:val="left" w:pos="1276"/>
            </w:tabs>
            <w:rPr>
              <w:rFonts w:asciiTheme="minorHAnsi" w:eastAsiaTheme="minorEastAsia" w:hAnsiTheme="minorHAnsi"/>
              <w:b w:val="0"/>
              <w:color w:val="auto"/>
              <w:sz w:val="22"/>
              <w:lang w:eastAsia="en-AU"/>
            </w:rPr>
          </w:pPr>
          <w:hyperlink w:anchor="_Toc481060972" w:history="1">
            <w:r w:rsidR="001B4346" w:rsidRPr="002F56A0">
              <w:rPr>
                <w:rStyle w:val="Hyperlink"/>
              </w:rPr>
              <w:t>16.3</w:t>
            </w:r>
            <w:r w:rsidR="001B4346">
              <w:rPr>
                <w:rFonts w:asciiTheme="minorHAnsi" w:eastAsiaTheme="minorEastAsia" w:hAnsiTheme="minorHAnsi"/>
                <w:b w:val="0"/>
                <w:color w:val="auto"/>
                <w:sz w:val="22"/>
                <w:lang w:eastAsia="en-AU"/>
              </w:rPr>
              <w:tab/>
            </w:r>
            <w:r w:rsidR="001B4346" w:rsidRPr="002F56A0">
              <w:rPr>
                <w:rStyle w:val="Hyperlink"/>
              </w:rPr>
              <w:t>Metering</w:t>
            </w:r>
            <w:r w:rsidR="001B4346">
              <w:rPr>
                <w:webHidden/>
              </w:rPr>
              <w:tab/>
            </w:r>
            <w:r w:rsidR="001B4346">
              <w:rPr>
                <w:webHidden/>
              </w:rPr>
              <w:fldChar w:fldCharType="begin"/>
            </w:r>
            <w:r w:rsidR="001B4346">
              <w:rPr>
                <w:webHidden/>
              </w:rPr>
              <w:instrText xml:space="preserve"> PAGEREF _Toc481060972 \h </w:instrText>
            </w:r>
            <w:r w:rsidR="001B4346">
              <w:rPr>
                <w:webHidden/>
              </w:rPr>
            </w:r>
            <w:r w:rsidR="001B4346">
              <w:rPr>
                <w:webHidden/>
              </w:rPr>
              <w:fldChar w:fldCharType="separate"/>
            </w:r>
            <w:r w:rsidR="001B4346">
              <w:rPr>
                <w:webHidden/>
              </w:rPr>
              <w:t>16-15</w:t>
            </w:r>
            <w:r w:rsidR="001B4346">
              <w:rPr>
                <w:webHidden/>
              </w:rPr>
              <w:fldChar w:fldCharType="end"/>
            </w:r>
          </w:hyperlink>
        </w:p>
        <w:p w:rsidR="001B4346" w:rsidRDefault="00B35986">
          <w:pPr>
            <w:pStyle w:val="TOC3"/>
            <w:rPr>
              <w:rFonts w:asciiTheme="minorHAnsi" w:eastAsiaTheme="minorEastAsia" w:hAnsiTheme="minorHAnsi"/>
              <w:lang w:eastAsia="en-AU"/>
            </w:rPr>
          </w:pPr>
          <w:hyperlink w:anchor="_Toc481060973" w:history="1">
            <w:r w:rsidR="001B4346" w:rsidRPr="002F56A0">
              <w:rPr>
                <w:rStyle w:val="Hyperlink"/>
              </w:rPr>
              <w:t>16.3.1</w:t>
            </w:r>
            <w:r w:rsidR="001B4346">
              <w:rPr>
                <w:rFonts w:asciiTheme="minorHAnsi" w:eastAsiaTheme="minorEastAsia" w:hAnsiTheme="minorHAnsi"/>
                <w:lang w:eastAsia="en-AU"/>
              </w:rPr>
              <w:tab/>
            </w:r>
            <w:r w:rsidR="001B4346" w:rsidRPr="002F56A0">
              <w:rPr>
                <w:rStyle w:val="Hyperlink"/>
              </w:rPr>
              <w:t>Final decision</w:t>
            </w:r>
            <w:r w:rsidR="001B4346">
              <w:rPr>
                <w:webHidden/>
              </w:rPr>
              <w:tab/>
            </w:r>
            <w:r w:rsidR="001B4346">
              <w:rPr>
                <w:webHidden/>
              </w:rPr>
              <w:fldChar w:fldCharType="begin"/>
            </w:r>
            <w:r w:rsidR="001B4346">
              <w:rPr>
                <w:webHidden/>
              </w:rPr>
              <w:instrText xml:space="preserve"> PAGEREF _Toc481060973 \h </w:instrText>
            </w:r>
            <w:r w:rsidR="001B4346">
              <w:rPr>
                <w:webHidden/>
              </w:rPr>
            </w:r>
            <w:r w:rsidR="001B4346">
              <w:rPr>
                <w:webHidden/>
              </w:rPr>
              <w:fldChar w:fldCharType="separate"/>
            </w:r>
            <w:r w:rsidR="001B4346">
              <w:rPr>
                <w:webHidden/>
              </w:rPr>
              <w:t>16-16</w:t>
            </w:r>
            <w:r w:rsidR="001B4346">
              <w:rPr>
                <w:webHidden/>
              </w:rPr>
              <w:fldChar w:fldCharType="end"/>
            </w:r>
          </w:hyperlink>
        </w:p>
        <w:p w:rsidR="001B4346" w:rsidRDefault="00B35986">
          <w:pPr>
            <w:pStyle w:val="TOC3"/>
            <w:rPr>
              <w:rFonts w:asciiTheme="minorHAnsi" w:eastAsiaTheme="minorEastAsia" w:hAnsiTheme="minorHAnsi"/>
              <w:lang w:eastAsia="en-AU"/>
            </w:rPr>
          </w:pPr>
          <w:hyperlink w:anchor="_Toc481060974" w:history="1">
            <w:r w:rsidR="001B4346" w:rsidRPr="002F56A0">
              <w:rPr>
                <w:rStyle w:val="Hyperlink"/>
              </w:rPr>
              <w:t>16.3.2</w:t>
            </w:r>
            <w:r w:rsidR="001B4346">
              <w:rPr>
                <w:rFonts w:asciiTheme="minorHAnsi" w:eastAsiaTheme="minorEastAsia" w:hAnsiTheme="minorHAnsi"/>
                <w:lang w:eastAsia="en-AU"/>
              </w:rPr>
              <w:tab/>
            </w:r>
            <w:r w:rsidR="001B4346" w:rsidRPr="002F56A0">
              <w:rPr>
                <w:rStyle w:val="Hyperlink"/>
              </w:rPr>
              <w:t>TasNetworks' revised proposal</w:t>
            </w:r>
            <w:r w:rsidR="001B4346">
              <w:rPr>
                <w:webHidden/>
              </w:rPr>
              <w:tab/>
            </w:r>
            <w:r w:rsidR="001B4346">
              <w:rPr>
                <w:webHidden/>
              </w:rPr>
              <w:fldChar w:fldCharType="begin"/>
            </w:r>
            <w:r w:rsidR="001B4346">
              <w:rPr>
                <w:webHidden/>
              </w:rPr>
              <w:instrText xml:space="preserve"> PAGEREF _Toc481060974 \h </w:instrText>
            </w:r>
            <w:r w:rsidR="001B4346">
              <w:rPr>
                <w:webHidden/>
              </w:rPr>
            </w:r>
            <w:r w:rsidR="001B4346">
              <w:rPr>
                <w:webHidden/>
              </w:rPr>
              <w:fldChar w:fldCharType="separate"/>
            </w:r>
            <w:r w:rsidR="001B4346">
              <w:rPr>
                <w:webHidden/>
              </w:rPr>
              <w:t>16-17</w:t>
            </w:r>
            <w:r w:rsidR="001B4346">
              <w:rPr>
                <w:webHidden/>
              </w:rPr>
              <w:fldChar w:fldCharType="end"/>
            </w:r>
          </w:hyperlink>
        </w:p>
        <w:p w:rsidR="001B4346" w:rsidRDefault="00B35986">
          <w:pPr>
            <w:pStyle w:val="TOC1"/>
            <w:rPr>
              <w:rFonts w:asciiTheme="minorHAnsi" w:eastAsiaTheme="minorEastAsia" w:hAnsiTheme="minorHAnsi"/>
              <w:b w:val="0"/>
              <w:color w:val="auto"/>
              <w:sz w:val="22"/>
              <w:lang w:val="en-AU" w:eastAsia="en-AU"/>
            </w:rPr>
          </w:pPr>
          <w:hyperlink w:anchor="_Toc481060975" w:history="1">
            <w:r w:rsidR="001B4346" w:rsidRPr="002F56A0">
              <w:rPr>
                <w:rStyle w:val="Hyperlink"/>
              </w:rPr>
              <w:t>A</w:t>
            </w:r>
            <w:r w:rsidR="001B4346">
              <w:rPr>
                <w:rFonts w:asciiTheme="minorHAnsi" w:eastAsiaTheme="minorEastAsia" w:hAnsiTheme="minorHAnsi"/>
                <w:b w:val="0"/>
                <w:color w:val="auto"/>
                <w:sz w:val="22"/>
                <w:lang w:val="en-AU" w:eastAsia="en-AU"/>
              </w:rPr>
              <w:tab/>
            </w:r>
            <w:r w:rsidR="001B4346" w:rsidRPr="002F56A0">
              <w:rPr>
                <w:rStyle w:val="Hyperlink"/>
              </w:rPr>
              <w:t>Ancillary network services prices</w:t>
            </w:r>
            <w:r w:rsidR="001B4346">
              <w:rPr>
                <w:webHidden/>
              </w:rPr>
              <w:tab/>
            </w:r>
            <w:r w:rsidR="001B4346">
              <w:rPr>
                <w:webHidden/>
              </w:rPr>
              <w:fldChar w:fldCharType="begin"/>
            </w:r>
            <w:r w:rsidR="001B4346">
              <w:rPr>
                <w:webHidden/>
              </w:rPr>
              <w:instrText xml:space="preserve"> PAGEREF _Toc481060975 \h </w:instrText>
            </w:r>
            <w:r w:rsidR="001B4346">
              <w:rPr>
                <w:webHidden/>
              </w:rPr>
            </w:r>
            <w:r w:rsidR="001B4346">
              <w:rPr>
                <w:webHidden/>
              </w:rPr>
              <w:fldChar w:fldCharType="separate"/>
            </w:r>
            <w:r w:rsidR="001B4346">
              <w:rPr>
                <w:webHidden/>
              </w:rPr>
              <w:t>16-18</w:t>
            </w:r>
            <w:r w:rsidR="001B4346">
              <w:rPr>
                <w:webHidden/>
              </w:rPr>
              <w:fldChar w:fldCharType="end"/>
            </w:r>
          </w:hyperlink>
        </w:p>
        <w:p w:rsidR="001B4346" w:rsidRDefault="00B35986">
          <w:pPr>
            <w:pStyle w:val="TOC1"/>
            <w:rPr>
              <w:rFonts w:asciiTheme="minorHAnsi" w:eastAsiaTheme="minorEastAsia" w:hAnsiTheme="minorHAnsi"/>
              <w:b w:val="0"/>
              <w:color w:val="auto"/>
              <w:sz w:val="22"/>
              <w:lang w:val="en-AU" w:eastAsia="en-AU"/>
            </w:rPr>
          </w:pPr>
          <w:hyperlink w:anchor="_Toc481060976" w:history="1">
            <w:r w:rsidR="001B4346" w:rsidRPr="002F56A0">
              <w:rPr>
                <w:rStyle w:val="Hyperlink"/>
              </w:rPr>
              <w:t>B</w:t>
            </w:r>
            <w:r w:rsidR="001B4346">
              <w:rPr>
                <w:rFonts w:asciiTheme="minorHAnsi" w:eastAsiaTheme="minorEastAsia" w:hAnsiTheme="minorHAnsi"/>
                <w:b w:val="0"/>
                <w:color w:val="auto"/>
                <w:sz w:val="22"/>
                <w:lang w:val="en-AU" w:eastAsia="en-AU"/>
              </w:rPr>
              <w:tab/>
            </w:r>
            <w:r w:rsidR="001B4346" w:rsidRPr="002F56A0">
              <w:rPr>
                <w:rStyle w:val="Hyperlink"/>
              </w:rPr>
              <w:t>Public Lighting charges</w:t>
            </w:r>
            <w:r w:rsidR="001B4346">
              <w:rPr>
                <w:webHidden/>
              </w:rPr>
              <w:tab/>
            </w:r>
            <w:r w:rsidR="001B4346">
              <w:rPr>
                <w:webHidden/>
              </w:rPr>
              <w:fldChar w:fldCharType="begin"/>
            </w:r>
            <w:r w:rsidR="001B4346">
              <w:rPr>
                <w:webHidden/>
              </w:rPr>
              <w:instrText xml:space="preserve"> PAGEREF _Toc481060976 \h </w:instrText>
            </w:r>
            <w:r w:rsidR="001B4346">
              <w:rPr>
                <w:webHidden/>
              </w:rPr>
            </w:r>
            <w:r w:rsidR="001B4346">
              <w:rPr>
                <w:webHidden/>
              </w:rPr>
              <w:fldChar w:fldCharType="separate"/>
            </w:r>
            <w:r w:rsidR="001B4346">
              <w:rPr>
                <w:webHidden/>
              </w:rPr>
              <w:t>16-23</w:t>
            </w:r>
            <w:r w:rsidR="001B4346">
              <w:rPr>
                <w:webHidden/>
              </w:rPr>
              <w:fldChar w:fldCharType="end"/>
            </w:r>
          </w:hyperlink>
        </w:p>
        <w:p w:rsidR="001B4346" w:rsidRDefault="00B35986">
          <w:pPr>
            <w:pStyle w:val="TOC1"/>
            <w:rPr>
              <w:rFonts w:asciiTheme="minorHAnsi" w:eastAsiaTheme="minorEastAsia" w:hAnsiTheme="minorHAnsi"/>
              <w:b w:val="0"/>
              <w:color w:val="auto"/>
              <w:sz w:val="22"/>
              <w:lang w:val="en-AU" w:eastAsia="en-AU"/>
            </w:rPr>
          </w:pPr>
          <w:hyperlink w:anchor="_Toc481060977" w:history="1">
            <w:r w:rsidR="001B4346" w:rsidRPr="002F56A0">
              <w:rPr>
                <w:rStyle w:val="Hyperlink"/>
              </w:rPr>
              <w:t>C</w:t>
            </w:r>
            <w:r w:rsidR="001B4346">
              <w:rPr>
                <w:rFonts w:asciiTheme="minorHAnsi" w:eastAsiaTheme="minorEastAsia" w:hAnsiTheme="minorHAnsi"/>
                <w:b w:val="0"/>
                <w:color w:val="auto"/>
                <w:sz w:val="22"/>
                <w:lang w:val="en-AU" w:eastAsia="en-AU"/>
              </w:rPr>
              <w:tab/>
            </w:r>
            <w:r w:rsidR="001B4346" w:rsidRPr="002F56A0">
              <w:rPr>
                <w:rStyle w:val="Hyperlink"/>
              </w:rPr>
              <w:t>Metering prices</w:t>
            </w:r>
            <w:r w:rsidR="001B4346">
              <w:rPr>
                <w:webHidden/>
              </w:rPr>
              <w:tab/>
            </w:r>
            <w:r w:rsidR="001B4346">
              <w:rPr>
                <w:webHidden/>
              </w:rPr>
              <w:fldChar w:fldCharType="begin"/>
            </w:r>
            <w:r w:rsidR="001B4346">
              <w:rPr>
                <w:webHidden/>
              </w:rPr>
              <w:instrText xml:space="preserve"> PAGEREF _Toc481060977 \h </w:instrText>
            </w:r>
            <w:r w:rsidR="001B4346">
              <w:rPr>
                <w:webHidden/>
              </w:rPr>
            </w:r>
            <w:r w:rsidR="001B4346">
              <w:rPr>
                <w:webHidden/>
              </w:rPr>
              <w:fldChar w:fldCharType="separate"/>
            </w:r>
            <w:r w:rsidR="001B4346">
              <w:rPr>
                <w:webHidden/>
              </w:rPr>
              <w:t>16-25</w:t>
            </w:r>
            <w:r w:rsidR="001B4346">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60959"/>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4B6269" w:rsidP="004B6269">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60960"/>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Alternative control services</w:t>
      </w:r>
      <w:bookmarkEnd w:id="71"/>
    </w:p>
    <w:p w:rsidR="00B53B83" w:rsidRDefault="00B53B83" w:rsidP="00B53B83">
      <w:bookmarkStart w:id="72" w:name="_Toc403144136"/>
      <w:bookmarkStart w:id="73" w:name="_Toc417927185"/>
      <w:r w:rsidRPr="00D33C4E">
        <w:t>Alternative control services are services provided by distributors to specific customers. They do not form part of the distribution use of system revenue allowance approved by us for each distributor. Rather, distributors recover the costs of providing alternative control services through a selection of prices with most charged on a ‘user pays’ basis.</w:t>
      </w:r>
    </w:p>
    <w:p w:rsidR="00B53B83" w:rsidRDefault="00B53B83" w:rsidP="00B53B83">
      <w:r w:rsidRPr="009F6DC8">
        <w:t xml:space="preserve">In this attachment, we set out our </w:t>
      </w:r>
      <w:r>
        <w:t>final</w:t>
      </w:r>
      <w:r w:rsidRPr="009F6DC8">
        <w:t xml:space="preserve"> decision on the prices</w:t>
      </w:r>
      <w:r>
        <w:t xml:space="preserve"> TasNetworks</w:t>
      </w:r>
      <w:r w:rsidRPr="009F6DC8">
        <w:t xml:space="preserve"> is allowed to charge customers for the provision of </w:t>
      </w:r>
      <w:r>
        <w:t>alternative control services (</w:t>
      </w:r>
      <w:r w:rsidRPr="009F6DC8">
        <w:t>ancillary network services, public lighting and metering</w:t>
      </w:r>
      <w:r>
        <w:t>)</w:t>
      </w:r>
      <w:r w:rsidRPr="009F6DC8">
        <w:t>.</w:t>
      </w:r>
    </w:p>
    <w:p w:rsidR="00B53B83" w:rsidRDefault="00B53B83" w:rsidP="00B53B83">
      <w:pPr>
        <w:pStyle w:val="Heading2"/>
      </w:pPr>
      <w:bookmarkStart w:id="74" w:name="_Ref448732450"/>
      <w:bookmarkStart w:id="75" w:name="_Toc448736752"/>
      <w:bookmarkStart w:id="76" w:name="_Toc481060961"/>
      <w:bookmarkEnd w:id="72"/>
      <w:bookmarkEnd w:id="73"/>
      <w:r>
        <w:t>Ancillary network services</w:t>
      </w:r>
      <w:bookmarkEnd w:id="74"/>
      <w:bookmarkEnd w:id="75"/>
      <w:bookmarkEnd w:id="76"/>
    </w:p>
    <w:p w:rsidR="001E7A75" w:rsidRDefault="001E7A75" w:rsidP="001E7A75">
      <w:r>
        <w:t xml:space="preserve">Ancillary network services share the </w:t>
      </w:r>
      <w:r w:rsidRPr="000B4287">
        <w:t>common characteristic of being non-routine services provided to individual customers on an as requested basis</w:t>
      </w:r>
      <w:r>
        <w:t>. Ancillary network services are either grouped as 'fee based services' or 'quoted services' depending on the basis on which the service price is determined.</w:t>
      </w:r>
    </w:p>
    <w:p w:rsidR="001E7A75" w:rsidRPr="000B4287" w:rsidRDefault="001E7A75" w:rsidP="001E7A75">
      <w:r>
        <w:t>F</w:t>
      </w:r>
      <w:r w:rsidRPr="000B4287">
        <w:t>ee based service</w:t>
      </w:r>
      <w:r>
        <w:t xml:space="preserve"> price</w:t>
      </w:r>
      <w:r w:rsidRPr="000B4287">
        <w:t xml:space="preserve">s are predetermined, based on the cost </w:t>
      </w:r>
      <w:r>
        <w:t xml:space="preserve">inputs </w:t>
      </w:r>
      <w:r w:rsidRPr="000B4287">
        <w:t>and the average time taken to perform</w:t>
      </w:r>
      <w:r>
        <w:t xml:space="preserve"> each service</w:t>
      </w:r>
      <w:r w:rsidRPr="000B4287">
        <w:t>. These services tend to be homogenous in nature and scope, and can be costed in advance of supply with reasonable certainty.</w:t>
      </w:r>
    </w:p>
    <w:p w:rsidR="001E7A75" w:rsidRDefault="001E7A75" w:rsidP="001E7A75">
      <w:r w:rsidRPr="000B4287">
        <w:t>By comparison, prices for quoted services are based on quantities of labour and materials, with the quantities dependent on a particular task. Prices for quoted services are determined at the time of a customer's enquiry and reflect the individual requirements of the customer and service requested. It is not possible to list prices for quoted services in this decision (any such list would only be for illustrative purposes).</w:t>
      </w:r>
    </w:p>
    <w:p w:rsidR="00B53B83" w:rsidRPr="00B53B83" w:rsidRDefault="00B53B83" w:rsidP="001B4346">
      <w:pPr>
        <w:pStyle w:val="Heading3"/>
        <w:ind w:left="720"/>
      </w:pPr>
      <w:bookmarkStart w:id="77" w:name="_Toc448736753"/>
      <w:bookmarkStart w:id="78" w:name="_Toc481060962"/>
      <w:r>
        <w:t>Final decision</w:t>
      </w:r>
      <w:bookmarkEnd w:id="77"/>
      <w:bookmarkEnd w:id="78"/>
      <w:r>
        <w:t xml:space="preserve">  </w:t>
      </w:r>
    </w:p>
    <w:p w:rsidR="001E7A75" w:rsidRPr="001E7A75" w:rsidRDefault="001E7A75" w:rsidP="001E7A75">
      <w:r w:rsidRPr="001E7A75">
        <w:t xml:space="preserve">We accept TasNetworks' revised proposal for ancillary network services. We consider TasNetworks has </w:t>
      </w:r>
      <w:r w:rsidR="00B80B5C">
        <w:t>a</w:t>
      </w:r>
      <w:r w:rsidRPr="001E7A75">
        <w:t>ddressed the concerns we raised in our draft decision. Our reasoning is set out below.</w:t>
      </w:r>
    </w:p>
    <w:p w:rsidR="00B53B83" w:rsidRPr="007B0757" w:rsidRDefault="007B0757" w:rsidP="007B0757">
      <w:r w:rsidRPr="007B0757">
        <w:t xml:space="preserve">Appendix </w:t>
      </w:r>
      <w:r>
        <w:fldChar w:fldCharType="begin"/>
      </w:r>
      <w:r>
        <w:instrText xml:space="preserve"> REF _Ref466557911 \r \h </w:instrText>
      </w:r>
      <w:r>
        <w:fldChar w:fldCharType="separate"/>
      </w:r>
      <w:r w:rsidR="00013C24">
        <w:t>A</w:t>
      </w:r>
      <w:r>
        <w:fldChar w:fldCharType="end"/>
      </w:r>
      <w:r>
        <w:t xml:space="preserve"> contains our final</w:t>
      </w:r>
      <w:r w:rsidRPr="007B0757">
        <w:t xml:space="preserve"> decision </w:t>
      </w:r>
      <w:r w:rsidR="00B80B5C">
        <w:t xml:space="preserve">on the </w:t>
      </w:r>
      <w:r w:rsidRPr="007B0757">
        <w:t xml:space="preserve">prices TasNetworks can charge for ancillary network services for the first year of the 2017–19 regulatory control </w:t>
      </w:r>
      <w:proofErr w:type="gramStart"/>
      <w:r w:rsidRPr="007B0757">
        <w:t>period</w:t>
      </w:r>
      <w:proofErr w:type="gramEnd"/>
      <w:r w:rsidRPr="007B0757">
        <w:t xml:space="preserve">. </w:t>
      </w:r>
      <w:r>
        <w:fldChar w:fldCharType="begin"/>
      </w:r>
      <w:r>
        <w:instrText xml:space="preserve"> REF _Ref466557938 \h </w:instrText>
      </w:r>
      <w:r>
        <w:fldChar w:fldCharType="separate"/>
      </w:r>
      <w:r w:rsidR="00013C24">
        <w:t xml:space="preserve">Table </w:t>
      </w:r>
      <w:r w:rsidR="00013C24">
        <w:rPr>
          <w:noProof/>
        </w:rPr>
        <w:t>16</w:t>
      </w:r>
      <w:r w:rsidR="00013C24">
        <w:t>.</w:t>
      </w:r>
      <w:r w:rsidR="00013C24">
        <w:rPr>
          <w:noProof/>
        </w:rPr>
        <w:t>4</w:t>
      </w:r>
      <w:r>
        <w:fldChar w:fldCharType="end"/>
      </w:r>
      <w:r>
        <w:t xml:space="preserve"> </w:t>
      </w:r>
      <w:r w:rsidRPr="007B0757">
        <w:t xml:space="preserve">sets out the </w:t>
      </w:r>
      <w:r>
        <w:t xml:space="preserve">final </w:t>
      </w:r>
      <w:r w:rsidRPr="007B0757">
        <w:t>decision</w:t>
      </w:r>
      <w:r w:rsidR="008D5339">
        <w:t xml:space="preserve"> </w:t>
      </w:r>
      <w:r w:rsidRPr="007B0757">
        <w:t>prices for fee based services and</w:t>
      </w:r>
      <w:r>
        <w:t xml:space="preserve"> </w:t>
      </w:r>
      <w:r>
        <w:fldChar w:fldCharType="begin"/>
      </w:r>
      <w:r>
        <w:instrText xml:space="preserve"> REF  _Ref466557990 \* Lower \h </w:instrText>
      </w:r>
      <w:r>
        <w:fldChar w:fldCharType="separate"/>
      </w:r>
      <w:r w:rsidR="00013C24">
        <w:t xml:space="preserve">table </w:t>
      </w:r>
      <w:r w:rsidR="00013C24">
        <w:rPr>
          <w:noProof/>
        </w:rPr>
        <w:t>16</w:t>
      </w:r>
      <w:r w:rsidR="00013C24">
        <w:t>.</w:t>
      </w:r>
      <w:r w:rsidR="00013C24">
        <w:rPr>
          <w:noProof/>
        </w:rPr>
        <w:t>6</w:t>
      </w:r>
      <w:r>
        <w:fldChar w:fldCharType="end"/>
      </w:r>
      <w:r>
        <w:t xml:space="preserve"> </w:t>
      </w:r>
      <w:r w:rsidRPr="007B0757">
        <w:t xml:space="preserve">sets out the approved labour rates for quoted services. </w:t>
      </w:r>
      <w:r>
        <w:fldChar w:fldCharType="begin"/>
      </w:r>
      <w:r>
        <w:instrText xml:space="preserve"> REF _Ref466557966 \h </w:instrText>
      </w:r>
      <w:r>
        <w:fldChar w:fldCharType="separate"/>
      </w:r>
      <w:r w:rsidR="00013C24">
        <w:t xml:space="preserve">Table </w:t>
      </w:r>
      <w:r w:rsidR="00013C24">
        <w:rPr>
          <w:noProof/>
        </w:rPr>
        <w:t>16</w:t>
      </w:r>
      <w:r w:rsidR="00013C24">
        <w:t>.</w:t>
      </w:r>
      <w:r w:rsidR="00013C24">
        <w:rPr>
          <w:noProof/>
        </w:rPr>
        <w:t>5</w:t>
      </w:r>
      <w:r>
        <w:fldChar w:fldCharType="end"/>
      </w:r>
      <w:r>
        <w:t xml:space="preserve"> </w:t>
      </w:r>
      <w:r w:rsidRPr="007B0757">
        <w:t>sets out the quoted services.</w:t>
      </w:r>
      <w:r w:rsidR="00AA17F8">
        <w:t xml:space="preserve"> As stated in our draft decision, o</w:t>
      </w:r>
      <w:r w:rsidR="00AA17F8" w:rsidRPr="00AA17F8">
        <w:t xml:space="preserve">ur final decision prices </w:t>
      </w:r>
      <w:r w:rsidR="00AA17F8">
        <w:t>have</w:t>
      </w:r>
      <w:r w:rsidR="00AA17F8" w:rsidRPr="00AA17F8">
        <w:t xml:space="preserve"> be</w:t>
      </w:r>
      <w:r w:rsidR="00AA17F8">
        <w:t>en</w:t>
      </w:r>
      <w:r w:rsidR="00AA17F8" w:rsidRPr="00AA17F8">
        <w:t xml:space="preserve"> escalated into real 2017–18 dollar terms using the percentage changes in the annual A</w:t>
      </w:r>
      <w:r w:rsidR="00AA17F8">
        <w:t xml:space="preserve">ustralian </w:t>
      </w:r>
      <w:r w:rsidR="00AA17F8" w:rsidRPr="00AA17F8">
        <w:t>B</w:t>
      </w:r>
      <w:r w:rsidR="00AA17F8">
        <w:t xml:space="preserve">ureau of </w:t>
      </w:r>
      <w:r w:rsidR="00AA17F8" w:rsidRPr="00AA17F8">
        <w:t>S</w:t>
      </w:r>
      <w:r w:rsidR="00AA17F8">
        <w:t>tatistics (ABS)</w:t>
      </w:r>
      <w:r w:rsidR="00AA17F8" w:rsidRPr="00AA17F8">
        <w:t xml:space="preserve"> December quarter</w:t>
      </w:r>
      <w:r w:rsidR="00AA17F8">
        <w:t xml:space="preserve"> index</w:t>
      </w:r>
      <w:r w:rsidR="00AA17F8" w:rsidRPr="00AA17F8">
        <w:t>.</w:t>
      </w:r>
    </w:p>
    <w:p w:rsidR="00B53B83" w:rsidRDefault="00B53B83" w:rsidP="001B4346">
      <w:pPr>
        <w:pStyle w:val="HeadingBoldBlue"/>
        <w:keepNext/>
      </w:pPr>
      <w:r>
        <w:lastRenderedPageBreak/>
        <w:t>Form of control</w:t>
      </w:r>
    </w:p>
    <w:p w:rsidR="00B53B83" w:rsidRDefault="007B0757" w:rsidP="001B4346">
      <w:pPr>
        <w:keepNext/>
      </w:pPr>
      <w:r w:rsidRPr="007B0757">
        <w:t xml:space="preserve">Our </w:t>
      </w:r>
      <w:r>
        <w:t>final</w:t>
      </w:r>
      <w:r w:rsidRPr="007B0757">
        <w:t xml:space="preserve"> decision is to apply price caps as the forms of control to ancillary network services. </w:t>
      </w:r>
      <w:r>
        <w:fldChar w:fldCharType="begin"/>
      </w:r>
      <w:r>
        <w:instrText xml:space="preserve"> REF _Ref442296615 \h </w:instrText>
      </w:r>
      <w:r>
        <w:fldChar w:fldCharType="separate"/>
      </w:r>
      <w:r w:rsidR="00013C24">
        <w:t xml:space="preserve">Figure </w:t>
      </w:r>
      <w:r w:rsidR="00013C24">
        <w:rPr>
          <w:noProof/>
        </w:rPr>
        <w:t>16</w:t>
      </w:r>
      <w:r w:rsidR="00013C24">
        <w:t>.</w:t>
      </w:r>
      <w:r w:rsidR="00013C24">
        <w:rPr>
          <w:noProof/>
        </w:rPr>
        <w:t>1</w:t>
      </w:r>
      <w:r>
        <w:fldChar w:fldCharType="end"/>
      </w:r>
      <w:r w:rsidRPr="007B0757">
        <w:t xml:space="preserve"> and </w:t>
      </w:r>
      <w:r>
        <w:fldChar w:fldCharType="begin"/>
      </w:r>
      <w:r>
        <w:instrText xml:space="preserve"> REF  _Ref442368944 \* Lower \h </w:instrText>
      </w:r>
      <w:r>
        <w:fldChar w:fldCharType="separate"/>
      </w:r>
      <w:r w:rsidR="00013C24">
        <w:t xml:space="preserve">figure </w:t>
      </w:r>
      <w:r w:rsidR="00013C24">
        <w:rPr>
          <w:noProof/>
        </w:rPr>
        <w:t>16</w:t>
      </w:r>
      <w:r w:rsidR="00013C24">
        <w:t>.</w:t>
      </w:r>
      <w:r w:rsidR="00013C24">
        <w:rPr>
          <w:noProof/>
        </w:rPr>
        <w:t>2</w:t>
      </w:r>
      <w:r>
        <w:fldChar w:fldCharType="end"/>
      </w:r>
      <w:r w:rsidRPr="007B0757">
        <w:t xml:space="preserve"> set out the control mechanism formulas for fee based and quoted services, respectively. They are consistent with our final framew</w:t>
      </w:r>
      <w:r>
        <w:t>ork and approach (final F&amp;A).</w:t>
      </w:r>
      <w:r>
        <w:rPr>
          <w:rStyle w:val="FootnoteReference"/>
        </w:rPr>
        <w:footnoteReference w:id="1"/>
      </w:r>
    </w:p>
    <w:p w:rsidR="00B53B83" w:rsidRDefault="00B53B83" w:rsidP="00B53B83">
      <w:pPr>
        <w:pStyle w:val="HeadingBoldBlue"/>
      </w:pPr>
      <w:r>
        <w:t>Form of control—fee based services</w:t>
      </w:r>
    </w:p>
    <w:p w:rsidR="0001671E" w:rsidRPr="00E24F68" w:rsidRDefault="007B0757" w:rsidP="007B0757">
      <w:pPr>
        <w:pStyle w:val="ListParagraph"/>
        <w:numPr>
          <w:ilvl w:val="0"/>
          <w:numId w:val="24"/>
        </w:numPr>
      </w:pPr>
      <w:r w:rsidRPr="007B0757">
        <w:t xml:space="preserve">Under </w:t>
      </w:r>
      <w:r w:rsidR="001E7A75" w:rsidRPr="007B0757">
        <w:t>a price cap</w:t>
      </w:r>
      <w:r w:rsidR="001E7A75">
        <w:t xml:space="preserve"> control mechanism,</w:t>
      </w:r>
      <w:r w:rsidR="001E7A75" w:rsidRPr="007B0757">
        <w:t xml:space="preserve"> </w:t>
      </w:r>
      <w:r w:rsidRPr="007B0757">
        <w:t>a schedule of prices</w:t>
      </w:r>
      <w:r w:rsidR="001E7A75">
        <w:t xml:space="preserve"> are set</w:t>
      </w:r>
      <w:r w:rsidRPr="007B0757">
        <w:t xml:space="preserve"> for 2017–18 (set out in </w:t>
      </w:r>
      <w:r>
        <w:fldChar w:fldCharType="begin"/>
      </w:r>
      <w:r>
        <w:instrText xml:space="preserve"> REF  _Ref466557938 \* Lower \h </w:instrText>
      </w:r>
      <w:r>
        <w:fldChar w:fldCharType="separate"/>
      </w:r>
      <w:r w:rsidR="00013C24">
        <w:t xml:space="preserve">table </w:t>
      </w:r>
      <w:r w:rsidR="00013C24">
        <w:rPr>
          <w:noProof/>
        </w:rPr>
        <w:t>16</w:t>
      </w:r>
      <w:r w:rsidR="00013C24">
        <w:t>.</w:t>
      </w:r>
      <w:r w:rsidR="00013C24">
        <w:rPr>
          <w:noProof/>
        </w:rPr>
        <w:t>4</w:t>
      </w:r>
      <w:r>
        <w:fldChar w:fldCharType="end"/>
      </w:r>
      <w:r w:rsidRPr="007B0757">
        <w:t xml:space="preserve"> in appendix </w:t>
      </w:r>
      <w:r>
        <w:fldChar w:fldCharType="begin"/>
      </w:r>
      <w:r>
        <w:instrText xml:space="preserve"> REF _Ref466557911 \r \h </w:instrText>
      </w:r>
      <w:r>
        <w:fldChar w:fldCharType="separate"/>
      </w:r>
      <w:r w:rsidR="00013C24">
        <w:t>A</w:t>
      </w:r>
      <w:r>
        <w:fldChar w:fldCharType="end"/>
      </w:r>
      <w:r w:rsidRPr="007B0757">
        <w:t>)</w:t>
      </w:r>
      <w:r w:rsidR="001E7A75">
        <w:t xml:space="preserve"> then f</w:t>
      </w:r>
      <w:r w:rsidRPr="007B0757">
        <w:t xml:space="preserve">or 2018–19 the prices for fee based services are determined by adjusting the previous year's prices by the formula in </w:t>
      </w:r>
      <w:r>
        <w:fldChar w:fldCharType="begin"/>
      </w:r>
      <w:r>
        <w:instrText xml:space="preserve"> REF  _Ref442296615 \* Lower \h </w:instrText>
      </w:r>
      <w:r>
        <w:fldChar w:fldCharType="separate"/>
      </w:r>
      <w:r w:rsidR="00013C24">
        <w:t xml:space="preserve">figure </w:t>
      </w:r>
      <w:r w:rsidR="00013C24">
        <w:rPr>
          <w:noProof/>
        </w:rPr>
        <w:t>16</w:t>
      </w:r>
      <w:r w:rsidR="00013C24">
        <w:t>.</w:t>
      </w:r>
      <w:r w:rsidR="00013C24">
        <w:rPr>
          <w:noProof/>
        </w:rPr>
        <w:t>1</w:t>
      </w:r>
      <w:r>
        <w:fldChar w:fldCharType="end"/>
      </w:r>
      <w:r w:rsidRPr="007B0757">
        <w:t>. The X</w:t>
      </w:r>
      <w:r w:rsidR="001E7A75">
        <w:t> </w:t>
      </w:r>
      <w:r w:rsidRPr="007B0757">
        <w:t>factors in this formula adjust for annual labour price growth.</w:t>
      </w:r>
    </w:p>
    <w:p w:rsidR="0001671E" w:rsidRDefault="0001671E" w:rsidP="0001671E">
      <w:pPr>
        <w:pStyle w:val="Caption"/>
      </w:pPr>
      <w:bookmarkStart w:id="79" w:name="_Ref442296615"/>
      <w:r>
        <w:t xml:space="preserve">Figure </w:t>
      </w:r>
      <w:r w:rsidRPr="00DD4C3A">
        <w:fldChar w:fldCharType="begin"/>
      </w:r>
      <w:r>
        <w:instrText xml:space="preserve"> STYLEREF 1 \s </w:instrText>
      </w:r>
      <w:r w:rsidRPr="00DD4C3A">
        <w:fldChar w:fldCharType="separate"/>
      </w:r>
      <w:r w:rsidR="00013C24">
        <w:rPr>
          <w:noProof/>
        </w:rPr>
        <w:t>16</w:t>
      </w:r>
      <w:r w:rsidRPr="00DD4C3A">
        <w:fldChar w:fldCharType="end"/>
      </w:r>
      <w:r>
        <w:t>.</w:t>
      </w:r>
      <w:r w:rsidRPr="00DD4C3A">
        <w:fldChar w:fldCharType="begin"/>
      </w:r>
      <w:r>
        <w:instrText xml:space="preserve"> SEQ Figure \* ARABIC \s 1 </w:instrText>
      </w:r>
      <w:r w:rsidRPr="00DD4C3A">
        <w:fldChar w:fldCharType="separate"/>
      </w:r>
      <w:r w:rsidR="00013C24">
        <w:rPr>
          <w:noProof/>
        </w:rPr>
        <w:t>1</w:t>
      </w:r>
      <w:r w:rsidRPr="00DD4C3A">
        <w:fldChar w:fldCharType="end"/>
      </w:r>
      <w:bookmarkEnd w:id="79"/>
      <w:r>
        <w:tab/>
        <w:t>Fee based ancillary network services formula</w:t>
      </w:r>
    </w:p>
    <w:bookmarkStart w:id="80" w:name="_Ref441762819"/>
    <w:bookmarkStart w:id="81" w:name="_Ref430936816"/>
    <w:p w:rsidR="007B0757" w:rsidRPr="007B0757" w:rsidRDefault="007B0757" w:rsidP="007B0757">
      <w:pPr>
        <w:numPr>
          <w:ilvl w:val="0"/>
          <w:numId w:val="24"/>
        </w:numPr>
      </w:pPr>
      <w:r w:rsidRPr="007B0757">
        <w:rPr>
          <w:position w:val="-12"/>
        </w:rPr>
        <w:object w:dxaOrig="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18.15pt" o:ole="">
            <v:imagedata r:id="rId15" o:title=""/>
          </v:shape>
          <o:OLEObject Type="Embed" ProgID="Equation.3" ShapeID="_x0000_i1025" DrawAspect="Content" ObjectID="_1554802961" r:id="rId16"/>
        </w:object>
      </w:r>
      <w:r w:rsidRPr="007B0757">
        <w:tab/>
      </w:r>
      <w:r w:rsidRPr="007B0757">
        <w:tab/>
      </w:r>
      <w:r w:rsidRPr="007B0757">
        <w:tab/>
      </w:r>
      <w:r w:rsidRPr="007B0757">
        <w:tab/>
      </w:r>
      <w:r w:rsidRPr="007B0757">
        <w:tab/>
      </w:r>
      <w:r w:rsidRPr="007B0757">
        <w:tab/>
      </w:r>
      <w:r w:rsidRPr="007B0757">
        <w:tab/>
      </w:r>
      <w:r w:rsidRPr="007B0757">
        <w:tab/>
      </w:r>
      <w:proofErr w:type="spellStart"/>
      <w:r w:rsidRPr="007B0757">
        <w:t>i</w:t>
      </w:r>
      <w:proofErr w:type="spellEnd"/>
      <w:r w:rsidRPr="007B0757">
        <w:t>=1,...,n and t=</w:t>
      </w:r>
      <w:r w:rsidR="001E7A75">
        <w:t xml:space="preserve">1, </w:t>
      </w:r>
      <w:r w:rsidRPr="007B0757">
        <w:t>2</w:t>
      </w:r>
    </w:p>
    <w:p w:rsidR="007B0757" w:rsidRPr="007B0757" w:rsidRDefault="007B0757" w:rsidP="007B0757">
      <w:pPr>
        <w:numPr>
          <w:ilvl w:val="0"/>
          <w:numId w:val="24"/>
        </w:numPr>
      </w:pPr>
      <w:r w:rsidRPr="007B0757">
        <w:rPr>
          <w:position w:val="-12"/>
        </w:rPr>
        <w:object w:dxaOrig="2840" w:dyaOrig="380">
          <v:shape id="_x0000_i1026" type="#_x0000_t75" style="width:140.85pt;height:18.15pt" o:ole="">
            <v:imagedata r:id="rId17" o:title=""/>
          </v:shape>
          <o:OLEObject Type="Embed" ProgID="Equation.3" ShapeID="_x0000_i1026" DrawAspect="Content" ObjectID="_1554802962" r:id="rId18"/>
        </w:object>
      </w:r>
    </w:p>
    <w:p w:rsidR="007B0757" w:rsidRPr="007B0757" w:rsidRDefault="007B0757" w:rsidP="007B0757">
      <w:pPr>
        <w:numPr>
          <w:ilvl w:val="0"/>
          <w:numId w:val="24"/>
        </w:numPr>
      </w:pPr>
      <w:r w:rsidRPr="007B0757">
        <w:t>Where:</w:t>
      </w:r>
    </w:p>
    <w:p w:rsidR="007B0757" w:rsidRPr="007B0757" w:rsidRDefault="007B0757" w:rsidP="007B0757">
      <w:pPr>
        <w:numPr>
          <w:ilvl w:val="0"/>
          <w:numId w:val="24"/>
        </w:numPr>
      </w:pPr>
      <w:r w:rsidRPr="007B0757">
        <w:rPr>
          <w:position w:val="-12"/>
        </w:rPr>
        <w:object w:dxaOrig="279" w:dyaOrig="380">
          <v:shape id="_x0000_i1027" type="#_x0000_t75" style="width:11.9pt;height:18.15pt" o:ole="">
            <v:imagedata r:id="rId19" o:title=""/>
          </v:shape>
          <o:OLEObject Type="Embed" ProgID="Equation.3" ShapeID="_x0000_i1027" DrawAspect="Content" ObjectID="_1554802963" r:id="rId20"/>
        </w:object>
      </w:r>
      <w:r w:rsidRPr="007B0757">
        <w:tab/>
      </w:r>
      <w:r w:rsidRPr="007B0757">
        <w:tab/>
        <w:t xml:space="preserve">is the cap on the price of service </w:t>
      </w:r>
      <w:proofErr w:type="spellStart"/>
      <w:r w:rsidRPr="007B0757">
        <w:t>i</w:t>
      </w:r>
      <w:proofErr w:type="spellEnd"/>
      <w:r w:rsidRPr="007B0757">
        <w:t xml:space="preserve"> in year t</w:t>
      </w:r>
    </w:p>
    <w:p w:rsidR="007B0757" w:rsidRPr="007B0757" w:rsidRDefault="0014728F" w:rsidP="007B0757">
      <w:pPr>
        <w:numPr>
          <w:ilvl w:val="0"/>
          <w:numId w:val="24"/>
        </w:numPr>
      </w:pPr>
      <w:r w:rsidRPr="0014728F">
        <w:rPr>
          <w:position w:val="-12"/>
        </w:rPr>
        <w:object w:dxaOrig="279" w:dyaOrig="380">
          <v:shape id="_x0000_i1028" type="#_x0000_t75" style="width:11.9pt;height:18.15pt" o:ole="">
            <v:imagedata r:id="rId21" o:title=""/>
          </v:shape>
          <o:OLEObject Type="Embed" ProgID="Equation.3" ShapeID="_x0000_i1028" DrawAspect="Content" ObjectID="_1554802964" r:id="rId22"/>
        </w:object>
      </w:r>
      <w:r w:rsidR="007B0757" w:rsidRPr="007B0757">
        <w:tab/>
      </w:r>
      <w:r w:rsidR="007B0757" w:rsidRPr="007B0757">
        <w:tab/>
        <w:t xml:space="preserve">is the price of service </w:t>
      </w:r>
      <w:proofErr w:type="spellStart"/>
      <w:r w:rsidR="007B0757" w:rsidRPr="007B0757">
        <w:t>i</w:t>
      </w:r>
      <w:proofErr w:type="spellEnd"/>
      <w:r w:rsidR="007B0757" w:rsidRPr="007B0757">
        <w:t xml:space="preserve"> in year t</w:t>
      </w:r>
    </w:p>
    <w:p w:rsidR="007B0757" w:rsidRPr="007B0757" w:rsidRDefault="0014728F" w:rsidP="007B0757">
      <w:pPr>
        <w:numPr>
          <w:ilvl w:val="0"/>
          <w:numId w:val="24"/>
        </w:numPr>
      </w:pPr>
      <w:r w:rsidRPr="0014728F">
        <w:rPr>
          <w:position w:val="-12"/>
        </w:rPr>
        <w:object w:dxaOrig="420" w:dyaOrig="380">
          <v:shape id="_x0000_i1029" type="#_x0000_t75" style="width:18.15pt;height:18.15pt" o:ole="">
            <v:imagedata r:id="rId23" o:title=""/>
          </v:shape>
          <o:OLEObject Type="Embed" ProgID="Equation.3" ShapeID="_x0000_i1029" DrawAspect="Content" ObjectID="_1554802965" r:id="rId24"/>
        </w:object>
      </w:r>
      <w:r w:rsidR="007B0757" w:rsidRPr="007B0757">
        <w:tab/>
        <w:t xml:space="preserve">is the cap on the price of service </w:t>
      </w:r>
      <w:proofErr w:type="spellStart"/>
      <w:r w:rsidR="007B0757" w:rsidRPr="007B0757">
        <w:t>i</w:t>
      </w:r>
      <w:proofErr w:type="spellEnd"/>
      <w:r w:rsidR="007B0757" w:rsidRPr="007B0757">
        <w:t xml:space="preserve"> in year t–1</w:t>
      </w:r>
    </w:p>
    <w:p w:rsidR="007B0757" w:rsidRPr="007B0757" w:rsidRDefault="0014728F" w:rsidP="007B0757">
      <w:pPr>
        <w:numPr>
          <w:ilvl w:val="0"/>
          <w:numId w:val="24"/>
        </w:numPr>
      </w:pPr>
      <w:r w:rsidRPr="0014728F">
        <w:rPr>
          <w:position w:val="-6"/>
        </w:rPr>
        <w:object w:dxaOrig="139" w:dyaOrig="240">
          <v:shape id="_x0000_i1030" type="#_x0000_t75" style="width:8.15pt;height:12.5pt" o:ole="">
            <v:imagedata r:id="rId25" o:title=""/>
          </v:shape>
          <o:OLEObject Type="Embed" ProgID="Equation.3" ShapeID="_x0000_i1030" DrawAspect="Content" ObjectID="_1554802966" r:id="rId26"/>
        </w:object>
      </w:r>
      <w:r w:rsidR="007B0757" w:rsidRPr="007B0757">
        <w:tab/>
      </w:r>
      <w:r w:rsidR="007B0757" w:rsidRPr="007B0757">
        <w:tab/>
        <w:t>is the regulatory year</w:t>
      </w:r>
    </w:p>
    <w:p w:rsidR="007B0757" w:rsidRPr="007B0757" w:rsidRDefault="0014728F" w:rsidP="007B0757">
      <w:pPr>
        <w:numPr>
          <w:ilvl w:val="0"/>
          <w:numId w:val="24"/>
        </w:numPr>
      </w:pPr>
      <w:r w:rsidRPr="0014728F">
        <w:rPr>
          <w:position w:val="-12"/>
        </w:rPr>
        <w:object w:dxaOrig="720" w:dyaOrig="380">
          <v:shape id="_x0000_i1031" type="#_x0000_t75" style="width:37.55pt;height:18.15pt" o:ole="">
            <v:imagedata r:id="rId27" o:title=""/>
          </v:shape>
          <o:OLEObject Type="Embed" ProgID="Equation.3" ShapeID="_x0000_i1031" DrawAspect="Content" ObjectID="_1554802967" r:id="rId28"/>
        </w:object>
      </w:r>
      <w:r w:rsidR="007B0757" w:rsidRPr="007B0757">
        <w:t>is the annual percentage change in the ABS consumer price index (CPI) All Groups, Weighted Average of Eight Capital Cities</w:t>
      </w:r>
      <w:r w:rsidR="007B0757" w:rsidRPr="0014728F">
        <w:rPr>
          <w:rStyle w:val="FootnoteReference"/>
        </w:rPr>
        <w:footnoteReference w:id="2"/>
      </w:r>
      <w:r w:rsidR="007B0757" w:rsidRPr="007B0757">
        <w:t xml:space="preserve"> from the December quarter in year t–2 to the December quarter in year t–1, calculated using the following method:</w:t>
      </w:r>
    </w:p>
    <w:p w:rsidR="007B0757" w:rsidRPr="007B0757" w:rsidRDefault="007B0757" w:rsidP="0014728F">
      <w:pPr>
        <w:pStyle w:val="ListContinue"/>
      </w:pPr>
      <w:r w:rsidRPr="007B0757">
        <w:t>The ABS CPI All Groups, Weighted Average of Eight Capital Cities for the December quarter in regulatory year t–1</w:t>
      </w:r>
    </w:p>
    <w:p w:rsidR="007B0757" w:rsidRPr="007B0757" w:rsidRDefault="007B0757" w:rsidP="0014728F">
      <w:pPr>
        <w:pStyle w:val="ListContinue"/>
      </w:pPr>
      <w:r w:rsidRPr="007B0757">
        <w:t>divided by</w:t>
      </w:r>
    </w:p>
    <w:p w:rsidR="007B0757" w:rsidRPr="007B0757" w:rsidRDefault="007B0757" w:rsidP="0014728F">
      <w:pPr>
        <w:pStyle w:val="ListContinue"/>
      </w:pPr>
      <w:r w:rsidRPr="007B0757">
        <w:t>The ABS CPI All Groups, Weighted Average of Eight Capital Cities for the December quarter in regulatory year t–2</w:t>
      </w:r>
    </w:p>
    <w:p w:rsidR="007B0757" w:rsidRPr="007B0757" w:rsidRDefault="007B0757" w:rsidP="0014728F">
      <w:pPr>
        <w:pStyle w:val="ListContinue"/>
      </w:pPr>
      <w:r w:rsidRPr="007B0757">
        <w:t>minus one.</w:t>
      </w:r>
    </w:p>
    <w:p w:rsidR="007B0757" w:rsidRPr="007B0757" w:rsidRDefault="007B0757" w:rsidP="007B0757">
      <w:pPr>
        <w:numPr>
          <w:ilvl w:val="0"/>
          <w:numId w:val="24"/>
        </w:numPr>
      </w:pPr>
      <w:r w:rsidRPr="007B0757">
        <w:lastRenderedPageBreak/>
        <w:t>For example, for 2018–19, year t–2 is the December quarter 2016 and year t–1 is the December quarter 2017.</w:t>
      </w:r>
    </w:p>
    <w:p w:rsidR="007B0757" w:rsidRPr="007B0757" w:rsidRDefault="0014728F" w:rsidP="007B0757">
      <w:pPr>
        <w:numPr>
          <w:ilvl w:val="0"/>
          <w:numId w:val="24"/>
        </w:numPr>
      </w:pPr>
      <w:r w:rsidRPr="0014728F">
        <w:rPr>
          <w:position w:val="-12"/>
        </w:rPr>
        <w:object w:dxaOrig="340" w:dyaOrig="380">
          <v:shape id="_x0000_i1032" type="#_x0000_t75" style="width:18.15pt;height:18.15pt" o:ole="">
            <v:imagedata r:id="rId29" o:title=""/>
          </v:shape>
          <o:OLEObject Type="Embed" ProgID="Equation.3" ShapeID="_x0000_i1032" DrawAspect="Content" ObjectID="_1554802968" r:id="rId30"/>
        </w:object>
      </w:r>
      <w:r w:rsidR="007B0757" w:rsidRPr="007B0757">
        <w:tab/>
      </w:r>
      <w:proofErr w:type="gramStart"/>
      <w:r w:rsidR="007B0757" w:rsidRPr="007B0757">
        <w:t>is</w:t>
      </w:r>
      <w:proofErr w:type="gramEnd"/>
      <w:r w:rsidR="007B0757" w:rsidRPr="007B0757">
        <w:t xml:space="preserve"> the X factor for service </w:t>
      </w:r>
      <w:proofErr w:type="spellStart"/>
      <w:r w:rsidR="007B0757" w:rsidRPr="007B0757">
        <w:t>i</w:t>
      </w:r>
      <w:proofErr w:type="spellEnd"/>
      <w:r w:rsidR="007B0757" w:rsidRPr="007B0757">
        <w:t xml:space="preserve"> in year t. The X factor is zero for fee based services.</w:t>
      </w:r>
    </w:p>
    <w:p w:rsidR="007B0757" w:rsidRPr="007B0757" w:rsidRDefault="00704F2D" w:rsidP="007B0757">
      <w:pPr>
        <w:numPr>
          <w:ilvl w:val="0"/>
          <w:numId w:val="24"/>
        </w:numPr>
      </w:pPr>
      <w:r>
        <w:t>O</w:t>
      </w:r>
      <w:r w:rsidR="007B0757" w:rsidRPr="007B0757">
        <w:t>ur final F&amp;A erroneously stated the X factor in this formula would incorporate annual adjustments for updates to the trailing cost of debt.</w:t>
      </w:r>
      <w:r w:rsidR="007B0757" w:rsidRPr="0014728F">
        <w:rPr>
          <w:rStyle w:val="FootnoteReference"/>
        </w:rPr>
        <w:footnoteReference w:id="3"/>
      </w:r>
      <w:r w:rsidR="007B0757" w:rsidRPr="0014728F">
        <w:rPr>
          <w:rStyle w:val="FootnoteReference"/>
        </w:rPr>
        <w:t xml:space="preserve"> </w:t>
      </w:r>
      <w:r w:rsidR="007B0757" w:rsidRPr="007B0757">
        <w:t xml:space="preserve">However, these services do not incorporate a cost of capital and therefore the X factors will not be updated in this manner. Rather, consistent with the price caps applied to these services in other jurisdictions, the X factors will adjust for annual labour price growth. TasNetworks did not propose any labour price growth adjustments for fee based services. </w:t>
      </w:r>
      <w:r w:rsidR="0014728F">
        <w:t>We</w:t>
      </w:r>
      <w:r w:rsidR="007B0757" w:rsidRPr="007B0757">
        <w:t xml:space="preserve"> accepted </w:t>
      </w:r>
      <w:r w:rsidR="0014728F">
        <w:t>this</w:t>
      </w:r>
      <w:r w:rsidR="007B0757" w:rsidRPr="007B0757">
        <w:t xml:space="preserve"> approach</w:t>
      </w:r>
      <w:r w:rsidR="0014728F">
        <w:t xml:space="preserve"> in our draft decision</w:t>
      </w:r>
      <w:r w:rsidR="007B0757" w:rsidRPr="007B0757">
        <w:t>.</w:t>
      </w:r>
      <w:r w:rsidR="0014728F">
        <w:rPr>
          <w:rStyle w:val="FootnoteReference"/>
        </w:rPr>
        <w:footnoteReference w:id="4"/>
      </w:r>
    </w:p>
    <w:bookmarkEnd w:id="80"/>
    <w:bookmarkEnd w:id="81"/>
    <w:p w:rsidR="00B53B83" w:rsidRDefault="00B53B83" w:rsidP="00B53B83">
      <w:pPr>
        <w:pStyle w:val="HeadingBoldBlue"/>
      </w:pPr>
      <w:r>
        <w:t>Form of control—quoted services</w:t>
      </w:r>
    </w:p>
    <w:p w:rsidR="0014728F" w:rsidRPr="0014728F" w:rsidRDefault="0014728F" w:rsidP="0014728F">
      <w:r>
        <w:t>Our final</w:t>
      </w:r>
      <w:r w:rsidRPr="0014728F">
        <w:t xml:space="preserve"> decision applies a price cap formula to determine the cost build-up of services that are priced on a ‘quoted’ basis.</w:t>
      </w:r>
      <w:r>
        <w:rPr>
          <w:rStyle w:val="FootnoteReference"/>
        </w:rPr>
        <w:footnoteReference w:id="5"/>
      </w:r>
      <w:r w:rsidRPr="0014728F">
        <w:t xml:space="preserve"> </w:t>
      </w:r>
      <w:r>
        <w:fldChar w:fldCharType="begin"/>
      </w:r>
      <w:r>
        <w:instrText xml:space="preserve"> REF _Ref442368944 \h </w:instrText>
      </w:r>
      <w:r>
        <w:fldChar w:fldCharType="separate"/>
      </w:r>
      <w:r w:rsidR="00013C24">
        <w:t xml:space="preserve">Figure </w:t>
      </w:r>
      <w:r w:rsidR="00013C24">
        <w:rPr>
          <w:noProof/>
        </w:rPr>
        <w:t>16</w:t>
      </w:r>
      <w:r w:rsidR="00013C24">
        <w:t>.</w:t>
      </w:r>
      <w:r w:rsidR="00013C24">
        <w:rPr>
          <w:noProof/>
        </w:rPr>
        <w:t>2</w:t>
      </w:r>
      <w:r>
        <w:fldChar w:fldCharType="end"/>
      </w:r>
      <w:r>
        <w:t xml:space="preserve"> </w:t>
      </w:r>
      <w:r w:rsidRPr="0014728F">
        <w:t xml:space="preserve">sets out the price cap formula and </w:t>
      </w:r>
      <w:r>
        <w:fldChar w:fldCharType="begin"/>
      </w:r>
      <w:r>
        <w:instrText xml:space="preserve"> REF  _Ref466557990 \* Lower \h </w:instrText>
      </w:r>
      <w:r>
        <w:fldChar w:fldCharType="separate"/>
      </w:r>
      <w:r w:rsidR="00013C24">
        <w:t xml:space="preserve">table </w:t>
      </w:r>
      <w:r w:rsidR="00013C24">
        <w:rPr>
          <w:noProof/>
        </w:rPr>
        <w:t>16</w:t>
      </w:r>
      <w:r w:rsidR="00013C24">
        <w:t>.</w:t>
      </w:r>
      <w:r w:rsidR="00013C24">
        <w:rPr>
          <w:noProof/>
        </w:rPr>
        <w:t>6</w:t>
      </w:r>
      <w:r>
        <w:fldChar w:fldCharType="end"/>
      </w:r>
      <w:r>
        <w:t xml:space="preserve"> </w:t>
      </w:r>
      <w:r w:rsidRPr="0014728F">
        <w:t xml:space="preserve">in appendix </w:t>
      </w:r>
      <w:r>
        <w:fldChar w:fldCharType="begin"/>
      </w:r>
      <w:r>
        <w:instrText xml:space="preserve"> REF _Ref466557911 \r \h </w:instrText>
      </w:r>
      <w:r>
        <w:fldChar w:fldCharType="separate"/>
      </w:r>
      <w:proofErr w:type="gramStart"/>
      <w:r w:rsidR="00013C24">
        <w:t>A</w:t>
      </w:r>
      <w:proofErr w:type="gramEnd"/>
      <w:r>
        <w:fldChar w:fldCharType="end"/>
      </w:r>
      <w:r w:rsidR="00704F2D">
        <w:t xml:space="preserve"> sets out the final</w:t>
      </w:r>
      <w:r w:rsidRPr="0014728F">
        <w:t xml:space="preserve"> decision 2017–18 labour rates for quoted services.</w:t>
      </w:r>
    </w:p>
    <w:p w:rsidR="00326134" w:rsidRDefault="00326134" w:rsidP="00326134">
      <w:pPr>
        <w:pStyle w:val="Caption"/>
      </w:pPr>
      <w:bookmarkStart w:id="82" w:name="_Ref442368944"/>
      <w:r>
        <w:t xml:space="preserve">Figure </w:t>
      </w:r>
      <w:r w:rsidRPr="005078EF">
        <w:fldChar w:fldCharType="begin"/>
      </w:r>
      <w:r>
        <w:instrText xml:space="preserve"> STYLEREF 1 \s </w:instrText>
      </w:r>
      <w:r w:rsidRPr="005078EF">
        <w:fldChar w:fldCharType="separate"/>
      </w:r>
      <w:r w:rsidR="00013C24">
        <w:rPr>
          <w:noProof/>
        </w:rPr>
        <w:t>16</w:t>
      </w:r>
      <w:r w:rsidRPr="005078EF">
        <w:fldChar w:fldCharType="end"/>
      </w:r>
      <w:r>
        <w:t>.</w:t>
      </w:r>
      <w:r w:rsidRPr="005078EF">
        <w:fldChar w:fldCharType="begin"/>
      </w:r>
      <w:r>
        <w:instrText xml:space="preserve"> SEQ Figure \* ARABIC \s 1 </w:instrText>
      </w:r>
      <w:r w:rsidRPr="005078EF">
        <w:fldChar w:fldCharType="separate"/>
      </w:r>
      <w:r w:rsidR="00013C24">
        <w:rPr>
          <w:noProof/>
        </w:rPr>
        <w:t>2</w:t>
      </w:r>
      <w:r w:rsidRPr="005078EF">
        <w:fldChar w:fldCharType="end"/>
      </w:r>
      <w:bookmarkEnd w:id="82"/>
      <w:r>
        <w:t xml:space="preserve"> </w:t>
      </w:r>
      <w:r>
        <w:tab/>
      </w:r>
      <w:r>
        <w:tab/>
        <w:t>Quoted services formula</w:t>
      </w:r>
    </w:p>
    <w:p w:rsidR="00326134" w:rsidRPr="00326134" w:rsidRDefault="00326134" w:rsidP="00326134">
      <m:oMathPara>
        <m:oMathParaPr>
          <m:jc m:val="left"/>
        </m:oMathParaPr>
        <m:oMath>
          <m:r>
            <w:rPr>
              <w:rFonts w:ascii="Cambria Math" w:hAnsi="Cambria Math"/>
            </w:rPr>
            <m:t>Price=Labour+Contractor Services+Materials</m:t>
          </m:r>
        </m:oMath>
      </m:oMathPara>
    </w:p>
    <w:p w:rsidR="00326134" w:rsidRPr="001C4D2E" w:rsidRDefault="00326134" w:rsidP="00326134">
      <w:r w:rsidRPr="001C4D2E">
        <w:t>Where:</w:t>
      </w:r>
    </w:p>
    <w:p w:rsidR="00326134" w:rsidRPr="001C4D2E" w:rsidRDefault="00326134" w:rsidP="00326134">
      <m:oMath>
        <m:r>
          <w:rPr>
            <w:rFonts w:ascii="Cambria Math" w:hAnsi="Cambria Math"/>
          </w:rPr>
          <m:t>Labour</m:t>
        </m:r>
      </m:oMath>
      <w:r w:rsidRPr="001C4D2E">
        <w:t xml:space="preserve"> consists of all labour costs directly incurred in the provision of the service which may include labour on-costs, fleet on-costs and overheads. Labour is escalated annually by </w:t>
      </w:r>
      <w:r w:rsidR="0014728F" w:rsidRPr="0014728F">
        <w:rPr>
          <w:position w:val="-12"/>
        </w:rPr>
        <w:object w:dxaOrig="1840" w:dyaOrig="380">
          <v:shape id="_x0000_i1033" type="#_x0000_t75" style="width:90.8pt;height:18.15pt" o:ole="">
            <v:imagedata r:id="rId31" o:title=""/>
          </v:shape>
          <o:OLEObject Type="Embed" ProgID="Equation.3" ShapeID="_x0000_i1033" DrawAspect="Content" ObjectID="_1554802969" r:id="rId32"/>
        </w:object>
      </w:r>
      <w:r w:rsidRPr="001C4D2E">
        <w:t>where:</w:t>
      </w:r>
    </w:p>
    <w:p w:rsidR="00326134" w:rsidRPr="001C4D2E" w:rsidRDefault="0014728F" w:rsidP="0014728F">
      <w:r w:rsidRPr="0014728F">
        <w:rPr>
          <w:position w:val="-12"/>
        </w:rPr>
        <w:object w:dxaOrig="560" w:dyaOrig="380">
          <v:shape id="_x0000_i1034" type="#_x0000_t75" style="width:30.7pt;height:18.15pt" o:ole="">
            <v:imagedata r:id="rId33" o:title=""/>
          </v:shape>
          <o:OLEObject Type="Embed" ProgID="Equation.3" ShapeID="_x0000_i1034" DrawAspect="Content" ObjectID="_1554802970" r:id="rId34"/>
        </w:object>
      </w:r>
      <w:proofErr w:type="gramStart"/>
      <w:r w:rsidR="00326134" w:rsidRPr="001C4D2E">
        <w:t>is</w:t>
      </w:r>
      <w:proofErr w:type="gramEnd"/>
      <w:r w:rsidR="00326134" w:rsidRPr="001C4D2E">
        <w:t xml:space="preserve"> the annual percentage change in the ABS CPI All Groups, Weighted Average of Eight Capital Cities</w:t>
      </w:r>
      <w:r w:rsidR="00326134" w:rsidRPr="00661E11">
        <w:rPr>
          <w:rStyle w:val="FootnoteReference"/>
        </w:rPr>
        <w:footnoteReference w:id="6"/>
      </w:r>
      <w:r w:rsidR="005C4F03">
        <w:t xml:space="preserve"> from the December quarter in year t–2 to the December</w:t>
      </w:r>
      <w:r w:rsidR="00326134" w:rsidRPr="001C4D2E">
        <w:t xml:space="preserve"> quarter in year t–1, calculated using the following method:</w:t>
      </w:r>
    </w:p>
    <w:p w:rsidR="00326134" w:rsidRPr="001C4D2E" w:rsidRDefault="00326134" w:rsidP="0014728F">
      <w:pPr>
        <w:pStyle w:val="ListContinue"/>
      </w:pPr>
      <w:r w:rsidRPr="001C4D2E">
        <w:t xml:space="preserve">The ABS CPI All Groups, Weighted Average of Eight Capital Cities for the </w:t>
      </w:r>
      <w:r w:rsidR="005C4F03">
        <w:t xml:space="preserve">December </w:t>
      </w:r>
      <w:r w:rsidRPr="001C4D2E">
        <w:t>quarter in regulatory year t–1</w:t>
      </w:r>
    </w:p>
    <w:p w:rsidR="00326134" w:rsidRPr="001C4D2E" w:rsidRDefault="00326134" w:rsidP="0014728F">
      <w:pPr>
        <w:pStyle w:val="ListContinue"/>
      </w:pPr>
      <w:r w:rsidRPr="001C4D2E">
        <w:t>divided by</w:t>
      </w:r>
    </w:p>
    <w:p w:rsidR="00326134" w:rsidRPr="001C4D2E" w:rsidRDefault="00326134" w:rsidP="0014728F">
      <w:pPr>
        <w:pStyle w:val="ListContinue"/>
      </w:pPr>
      <w:r w:rsidRPr="001C4D2E">
        <w:lastRenderedPageBreak/>
        <w:t xml:space="preserve">The ABS CPI All Groups, Weighted Average of Eight Capital Cities for the </w:t>
      </w:r>
      <w:r w:rsidR="005C4F03">
        <w:t>December</w:t>
      </w:r>
      <w:r w:rsidRPr="001C4D2E">
        <w:t xml:space="preserve"> quarter in regulatory year t–2</w:t>
      </w:r>
    </w:p>
    <w:p w:rsidR="00326134" w:rsidRDefault="00326134" w:rsidP="0014728F">
      <w:pPr>
        <w:pStyle w:val="ListContinue"/>
      </w:pPr>
      <w:r w:rsidRPr="001C4D2E">
        <w:t>minus one.</w:t>
      </w:r>
    </w:p>
    <w:p w:rsidR="005C4F03" w:rsidRDefault="005C4F03" w:rsidP="005C4F03">
      <w:pPr>
        <w:numPr>
          <w:ilvl w:val="0"/>
          <w:numId w:val="24"/>
        </w:numPr>
      </w:pPr>
      <w:r w:rsidRPr="007B0757">
        <w:t>For example, for 2018–19, year t–2 is the December quarter 2016 and year t–1 is the December quarter 2017.</w:t>
      </w:r>
    </w:p>
    <w:p w:rsidR="005C4F03" w:rsidRPr="001C4D2E" w:rsidRDefault="005C4F03" w:rsidP="005C4F03">
      <w:r w:rsidRPr="005C4F03">
        <w:rPr>
          <w:position w:val="-12"/>
        </w:rPr>
        <w:object w:dxaOrig="340" w:dyaOrig="380">
          <v:shape id="_x0000_i1035" type="#_x0000_t75" style="width:18.15pt;height:18.15pt" o:ole="">
            <v:imagedata r:id="rId35" o:title=""/>
          </v:shape>
          <o:OLEObject Type="Embed" ProgID="Equation.3" ShapeID="_x0000_i1035" DrawAspect="Content" ObjectID="_1554802971" r:id="rId36"/>
        </w:object>
      </w:r>
      <w:r w:rsidRPr="001C4D2E">
        <w:t xml:space="preserve"> </w:t>
      </w:r>
      <w:proofErr w:type="gramStart"/>
      <w:r w:rsidRPr="001C4D2E">
        <w:t>is</w:t>
      </w:r>
      <w:proofErr w:type="gramEnd"/>
      <w:r w:rsidRPr="001C4D2E">
        <w:t xml:space="preserve"> the X factor for service </w:t>
      </w:r>
      <w:proofErr w:type="spellStart"/>
      <w:r w:rsidRPr="001C4D2E">
        <w:t>i</w:t>
      </w:r>
      <w:proofErr w:type="spellEnd"/>
      <w:r w:rsidRPr="001C4D2E">
        <w:t xml:space="preserve"> in year t</w:t>
      </w:r>
      <w:r>
        <w:t>. The X factor is zero for quoted services.</w:t>
      </w:r>
      <w:r>
        <w:rPr>
          <w:rStyle w:val="FootnoteReference"/>
        </w:rPr>
        <w:footnoteReference w:id="7"/>
      </w:r>
      <w:r>
        <w:t xml:space="preserve"> </w:t>
      </w:r>
    </w:p>
    <w:p w:rsidR="00326134" w:rsidRPr="001C4D2E" w:rsidRDefault="00326134" w:rsidP="00326134">
      <m:oMath>
        <m:r>
          <w:rPr>
            <w:rFonts w:ascii="Cambria Math" w:hAnsi="Cambria Math"/>
          </w:rPr>
          <m:t xml:space="preserve">Contractor Services </m:t>
        </m:r>
      </m:oMath>
      <w:r w:rsidRPr="001C4D2E">
        <w:tab/>
        <w:t>reflect all costs associated with the use of external labour including overheads and any direct costs incurred. The contracted services charge applies the rates under existing contractual arrangements. Direct costs incurred are passed on to the customer.</w:t>
      </w:r>
    </w:p>
    <w:p w:rsidR="00B53B83" w:rsidRDefault="00326134" w:rsidP="00326134">
      <m:oMath>
        <m:r>
          <w:rPr>
            <w:rFonts w:ascii="Cambria Math" w:hAnsi="Cambria Math"/>
          </w:rPr>
          <m:t>Mater</m:t>
        </m:r>
        <m:r>
          <w:rPr>
            <w:rFonts w:ascii="Cambria Math" w:hAnsi="Cambria Math"/>
          </w:rPr>
          <m:t>ials</m:t>
        </m:r>
      </m:oMath>
      <w:r w:rsidRPr="001C4D2E">
        <w:tab/>
        <w:t>reflect the cost of materials directly incurred in the provision of the service, material storage and logistics on-costs and overheads.</w:t>
      </w:r>
    </w:p>
    <w:p w:rsidR="00B53B83" w:rsidRPr="00B53B83" w:rsidRDefault="001C1A91" w:rsidP="001B4346">
      <w:pPr>
        <w:pStyle w:val="Heading3"/>
        <w:ind w:left="720"/>
      </w:pPr>
      <w:bookmarkStart w:id="83" w:name="_Toc448736754"/>
      <w:bookmarkStart w:id="84" w:name="_Toc481060963"/>
      <w:r>
        <w:t>TasNetworks</w:t>
      </w:r>
      <w:r w:rsidR="00B53B83" w:rsidRPr="00B53B83">
        <w:t xml:space="preserve">' </w:t>
      </w:r>
      <w:r w:rsidR="00DD23D0">
        <w:t>revised</w:t>
      </w:r>
      <w:r w:rsidR="00B53B83" w:rsidRPr="00B53B83">
        <w:t xml:space="preserve"> proposal</w:t>
      </w:r>
      <w:bookmarkEnd w:id="83"/>
      <w:bookmarkEnd w:id="84"/>
      <w:r w:rsidR="00B53B83" w:rsidRPr="00B53B83">
        <w:t xml:space="preserve">  </w:t>
      </w:r>
    </w:p>
    <w:p w:rsidR="00B53B83" w:rsidRDefault="00704F2D" w:rsidP="00B53B83">
      <w:r>
        <w:t>TasNetworks' revised proposal did not accept our draft decision on the following:</w:t>
      </w:r>
      <w:r>
        <w:rPr>
          <w:rStyle w:val="FootnoteReference"/>
        </w:rPr>
        <w:footnoteReference w:id="8"/>
      </w:r>
    </w:p>
    <w:p w:rsidR="00704F2D" w:rsidRDefault="00704F2D" w:rsidP="00704F2D">
      <w:pPr>
        <w:pStyle w:val="AERbulletlistfirststyle"/>
      </w:pPr>
      <w:r>
        <w:t>implied administration labour rate</w:t>
      </w:r>
    </w:p>
    <w:p w:rsidR="00704F2D" w:rsidRDefault="00704F2D" w:rsidP="00704F2D">
      <w:pPr>
        <w:pStyle w:val="AERbulletlistfirststyle"/>
      </w:pPr>
      <w:r>
        <w:t>premium service margins</w:t>
      </w:r>
    </w:p>
    <w:p w:rsidR="00704F2D" w:rsidRDefault="00704F2D" w:rsidP="00704F2D">
      <w:pPr>
        <w:pStyle w:val="AERbulletlistfirststyle"/>
      </w:pPr>
      <w:r>
        <w:t>after hours services.</w:t>
      </w:r>
    </w:p>
    <w:p w:rsidR="00356967" w:rsidRPr="008530C0" w:rsidRDefault="00356967" w:rsidP="00356967">
      <w:r>
        <w:t>However, TasNetworks' revised proposal did accept ou</w:t>
      </w:r>
      <w:r w:rsidR="008D5339">
        <w:t>r</w:t>
      </w:r>
      <w:r>
        <w:t xml:space="preserve"> draft decision that the new design and construction services should be quoted services rather than fee based services as TasNetworks initially proposed.</w:t>
      </w:r>
      <w:r>
        <w:rPr>
          <w:rStyle w:val="FootnoteReference"/>
        </w:rPr>
        <w:footnoteReference w:id="9"/>
      </w:r>
    </w:p>
    <w:p w:rsidR="00B53B83" w:rsidRPr="00B53B83" w:rsidRDefault="00B53B83" w:rsidP="001B4346">
      <w:pPr>
        <w:pStyle w:val="Heading3"/>
        <w:ind w:left="720"/>
      </w:pPr>
      <w:bookmarkStart w:id="85" w:name="_Toc433704557"/>
      <w:bookmarkStart w:id="86" w:name="_Toc448736755"/>
      <w:bookmarkStart w:id="87" w:name="_Toc481060964"/>
      <w:r w:rsidRPr="00B53B83">
        <w:t>Assessment approach</w:t>
      </w:r>
      <w:bookmarkEnd w:id="85"/>
      <w:bookmarkEnd w:id="86"/>
      <w:bookmarkEnd w:id="87"/>
    </w:p>
    <w:p w:rsidR="006A4508" w:rsidRDefault="006A4508" w:rsidP="00D2610C">
      <w:r>
        <w:t>Our final decision assessment approach is the same as our draft decision. We have also considered TasNetworks revised regulatory proposal.</w:t>
      </w:r>
      <w:r>
        <w:rPr>
          <w:rStyle w:val="FootnoteReference"/>
        </w:rPr>
        <w:footnoteReference w:id="10"/>
      </w:r>
    </w:p>
    <w:p w:rsidR="00D2610C" w:rsidRDefault="00D2610C" w:rsidP="00D2610C">
      <w:r w:rsidRPr="00D2610C">
        <w:t xml:space="preserve">Our </w:t>
      </w:r>
      <w:r>
        <w:t xml:space="preserve">draft decision undertook a detailed assessment of TasNetworks' initial proposal by focussing on </w:t>
      </w:r>
      <w:r w:rsidRPr="00D2610C">
        <w:t>the key inputs used by</w:t>
      </w:r>
      <w:r>
        <w:t xml:space="preserve"> TasNetworks in its cost build</w:t>
      </w:r>
      <w:r>
        <w:noBreakHyphen/>
      </w:r>
      <w:r w:rsidRPr="00D2610C">
        <w:t>up of proposed prices for ancillary network services.</w:t>
      </w:r>
      <w:r>
        <w:rPr>
          <w:rStyle w:val="FootnoteReference"/>
        </w:rPr>
        <w:footnoteReference w:id="11"/>
      </w:r>
      <w:r>
        <w:t xml:space="preserve"> In summary, our draft decision considered:</w:t>
      </w:r>
    </w:p>
    <w:p w:rsidR="00D2610C" w:rsidRDefault="00D2610C" w:rsidP="00D2610C">
      <w:pPr>
        <w:pStyle w:val="AERbulletlistfirststyle"/>
      </w:pPr>
      <w:r>
        <w:lastRenderedPageBreak/>
        <w:t>maximum labour rates we developed for TasNetworks. Our findings were informed by maximum labour rates we developed for our assessment of ancillary network services in other jurisdictions.</w:t>
      </w:r>
    </w:p>
    <w:p w:rsidR="00D2610C" w:rsidRDefault="00D2610C" w:rsidP="00D2610C">
      <w:pPr>
        <w:pStyle w:val="AERbulletlistfirststyle"/>
      </w:pPr>
      <w:r>
        <w:t>since labour is the key input in determining an efficient level of prices for ancillary network services, we focused on comparing TasNetworks' proposed total labour rates against our maximum total labour rates</w:t>
      </w:r>
    </w:p>
    <w:p w:rsidR="00D2610C" w:rsidRDefault="00D2610C" w:rsidP="00D2610C">
      <w:pPr>
        <w:pStyle w:val="AERbulletlistfirststyle"/>
      </w:pPr>
      <w:r>
        <w:t xml:space="preserve">the other </w:t>
      </w:r>
      <w:r w:rsidR="00781F0D">
        <w:t>material cost</w:t>
      </w:r>
      <w:r>
        <w:t xml:space="preserve"> inputs</w:t>
      </w:r>
      <w:r w:rsidR="00781F0D">
        <w:t xml:space="preserve"> which determine the final price for services</w:t>
      </w:r>
      <w:r>
        <w:t>, being:</w:t>
      </w:r>
    </w:p>
    <w:p w:rsidR="00D2610C" w:rsidRDefault="00D2610C" w:rsidP="00D2610C">
      <w:pPr>
        <w:pStyle w:val="AERbulletlistsecondstyle"/>
      </w:pPr>
      <w:r>
        <w:t>proposed times take</w:t>
      </w:r>
      <w:r w:rsidR="00781F0D">
        <w:t>n</w:t>
      </w:r>
      <w:r>
        <w:t xml:space="preserve"> to perform the services</w:t>
      </w:r>
      <w:r w:rsidR="00781F0D">
        <w:t>, and</w:t>
      </w:r>
    </w:p>
    <w:p w:rsidR="00781F0D" w:rsidRDefault="00781F0D" w:rsidP="00D2610C">
      <w:pPr>
        <w:pStyle w:val="AERbulletlistsecondstyle"/>
      </w:pPr>
      <w:r>
        <w:t>escalators and allocators applied by TasNetworks.</w:t>
      </w:r>
    </w:p>
    <w:p w:rsidR="00781F0D" w:rsidRDefault="006A4508" w:rsidP="00781F0D">
      <w:r>
        <w:t xml:space="preserve">As per section 16.1.4.1 of our draft decision, we </w:t>
      </w:r>
      <w:r w:rsidR="005654A2">
        <w:t xml:space="preserve">developed </w:t>
      </w:r>
      <w:r>
        <w:t>maximum total labour rates</w:t>
      </w:r>
      <w:r w:rsidR="005654A2">
        <w:t xml:space="preserve"> for our TasNetworks assessment based on maximum total labour rates we developed for our assessment of ancillary network services in other jurisdictions.</w:t>
      </w:r>
      <w:r w:rsidR="005654A2">
        <w:rPr>
          <w:rStyle w:val="FootnoteReference"/>
        </w:rPr>
        <w:footnoteReference w:id="12"/>
      </w:r>
      <w:r w:rsidR="005654A2">
        <w:t xml:space="preserve"> </w:t>
      </w:r>
      <w:r w:rsidR="002078EC" w:rsidRPr="002078EC">
        <w:t>W</w:t>
      </w:r>
      <w:r w:rsidR="002078EC">
        <w:t>here TasNetworks' labour rates we</w:t>
      </w:r>
      <w:r w:rsidR="002078EC" w:rsidRPr="002078EC">
        <w:t>re lower than our maximum total labour rates, we accept</w:t>
      </w:r>
      <w:r w:rsidR="002078EC">
        <w:t>ed</w:t>
      </w:r>
      <w:r w:rsidR="002078EC" w:rsidRPr="002078EC">
        <w:t xml:space="preserve"> these lower rates as inputs for deriving ancillary network services prices. Where TasNetwork</w:t>
      </w:r>
      <w:r w:rsidR="002078EC">
        <w:t xml:space="preserve">s' proposed labour rates were higher, we applied </w:t>
      </w:r>
      <w:r w:rsidR="002078EC" w:rsidRPr="002078EC">
        <w:t>our maximum total labour rates</w:t>
      </w:r>
      <w:r w:rsidR="002078EC">
        <w:t xml:space="preserve">—which we consider are efficient— </w:t>
      </w:r>
      <w:r w:rsidR="002078EC" w:rsidRPr="002078EC">
        <w:t>to determine ancillary network service prices.</w:t>
      </w:r>
      <w:r w:rsidR="005654A2">
        <w:t xml:space="preserve"> Our maximum total </w:t>
      </w:r>
      <w:r w:rsidR="002078EC">
        <w:t xml:space="preserve">labour rates are set out in </w:t>
      </w:r>
      <w:r w:rsidR="002078EC">
        <w:fldChar w:fldCharType="begin"/>
      </w:r>
      <w:r w:rsidR="002078EC">
        <w:instrText xml:space="preserve"> REF  _Ref466633285 \* Lower \h </w:instrText>
      </w:r>
      <w:r w:rsidR="002078EC">
        <w:fldChar w:fldCharType="separate"/>
      </w:r>
      <w:r w:rsidR="00013C24">
        <w:t xml:space="preserve">table </w:t>
      </w:r>
      <w:r w:rsidR="00013C24">
        <w:rPr>
          <w:noProof/>
        </w:rPr>
        <w:t>16</w:t>
      </w:r>
      <w:r w:rsidR="00013C24">
        <w:t>.</w:t>
      </w:r>
      <w:r w:rsidR="00013C24">
        <w:rPr>
          <w:noProof/>
        </w:rPr>
        <w:t>1</w:t>
      </w:r>
      <w:r w:rsidR="002078EC">
        <w:fldChar w:fldCharType="end"/>
      </w:r>
      <w:r w:rsidR="002078EC">
        <w:t>.</w:t>
      </w:r>
    </w:p>
    <w:p w:rsidR="005654A2" w:rsidRDefault="005654A2" w:rsidP="005654A2">
      <w:pPr>
        <w:pStyle w:val="Caption"/>
      </w:pPr>
      <w:bookmarkStart w:id="88" w:name="_Ref466633285"/>
      <w:r>
        <w:t xml:space="preserve">Table </w:t>
      </w:r>
      <w:fldSimple w:instr=" STYLEREF 1 \s ">
        <w:r w:rsidR="00013C24">
          <w:rPr>
            <w:noProof/>
          </w:rPr>
          <w:t>16</w:t>
        </w:r>
      </w:fldSimple>
      <w:r>
        <w:t>.</w:t>
      </w:r>
      <w:fldSimple w:instr=" SEQ Table \* ARABIC \s 1 ">
        <w:r w:rsidR="00013C24">
          <w:rPr>
            <w:noProof/>
          </w:rPr>
          <w:t>1</w:t>
        </w:r>
      </w:fldSimple>
      <w:bookmarkEnd w:id="88"/>
      <w:r>
        <w:tab/>
        <w:t>Maximum total labour rates</w:t>
      </w:r>
    </w:p>
    <w:tbl>
      <w:tblPr>
        <w:tblStyle w:val="AERtable-numbers"/>
        <w:tblW w:w="0" w:type="auto"/>
        <w:tblLook w:val="04A0" w:firstRow="1" w:lastRow="0" w:firstColumn="1" w:lastColumn="0" w:noHBand="0" w:noVBand="1"/>
      </w:tblPr>
      <w:tblGrid>
        <w:gridCol w:w="4346"/>
        <w:gridCol w:w="4347"/>
      </w:tblGrid>
      <w:tr w:rsidR="005654A2" w:rsidTr="001E7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5654A2" w:rsidRPr="005654A2" w:rsidRDefault="005654A2" w:rsidP="005654A2">
            <w:r w:rsidRPr="00BB1EF0">
              <w:t>AER labour category</w:t>
            </w:r>
          </w:p>
        </w:tc>
        <w:tc>
          <w:tcPr>
            <w:tcW w:w="4347" w:type="dxa"/>
            <w:tcBorders>
              <w:top w:val="nil"/>
              <w:left w:val="nil"/>
              <w:bottom w:val="nil"/>
              <w:right w:val="nil"/>
            </w:tcBorders>
            <w:hideMark/>
          </w:tcPr>
          <w:p w:rsidR="005654A2" w:rsidRPr="005654A2" w:rsidRDefault="005654A2" w:rsidP="002078EC">
            <w:pPr>
              <w:cnfStyle w:val="100000000000" w:firstRow="1" w:lastRow="0" w:firstColumn="0" w:lastColumn="0" w:oddVBand="0" w:evenVBand="0" w:oddHBand="0" w:evenHBand="0" w:firstRowFirstColumn="0" w:firstRowLastColumn="0" w:lastRowFirstColumn="0" w:lastRowLastColumn="0"/>
            </w:pPr>
            <w:r w:rsidRPr="00BB1EF0">
              <w:t>AER maximum total labour rates ($201</w:t>
            </w:r>
            <w:r w:rsidR="002078EC">
              <w:t>7–18</w:t>
            </w:r>
            <w:r w:rsidRPr="00BB1EF0">
              <w:t>)</w:t>
            </w:r>
          </w:p>
        </w:tc>
      </w:tr>
      <w:tr w:rsidR="005654A2" w:rsidTr="001E7A75">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5654A2" w:rsidRPr="005654A2" w:rsidRDefault="005654A2" w:rsidP="005654A2">
            <w:r w:rsidRPr="00BB1EF0">
              <w:t>Administration</w:t>
            </w:r>
          </w:p>
        </w:tc>
        <w:tc>
          <w:tcPr>
            <w:tcW w:w="4347" w:type="dxa"/>
            <w:tcBorders>
              <w:top w:val="nil"/>
              <w:left w:val="nil"/>
              <w:bottom w:val="nil"/>
              <w:right w:val="nil"/>
            </w:tcBorders>
            <w:hideMark/>
          </w:tcPr>
          <w:p w:rsidR="005654A2" w:rsidRPr="005654A2" w:rsidRDefault="005654A2" w:rsidP="002078EC">
            <w:pPr>
              <w:cnfStyle w:val="000000000000" w:firstRow="0" w:lastRow="0" w:firstColumn="0" w:lastColumn="0" w:oddVBand="0" w:evenVBand="0" w:oddHBand="0" w:evenHBand="0" w:firstRowFirstColumn="0" w:firstRowLastColumn="0" w:lastRowFirstColumn="0" w:lastRowLastColumn="0"/>
            </w:pPr>
            <w:r w:rsidRPr="00BB1EF0">
              <w:t>9</w:t>
            </w:r>
            <w:r w:rsidR="002078EC">
              <w:t>8</w:t>
            </w:r>
            <w:r w:rsidRPr="00BB1EF0">
              <w:t>.</w:t>
            </w:r>
            <w:r w:rsidR="002078EC">
              <w:t>95</w:t>
            </w:r>
          </w:p>
        </w:tc>
      </w:tr>
      <w:tr w:rsidR="005654A2" w:rsidTr="001E7A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5654A2" w:rsidRPr="005654A2" w:rsidRDefault="005654A2" w:rsidP="005654A2">
            <w:r w:rsidRPr="00BB1EF0">
              <w:t>Technical</w:t>
            </w:r>
          </w:p>
        </w:tc>
        <w:tc>
          <w:tcPr>
            <w:tcW w:w="4347" w:type="dxa"/>
            <w:tcBorders>
              <w:top w:val="nil"/>
              <w:left w:val="nil"/>
              <w:bottom w:val="nil"/>
              <w:right w:val="nil"/>
            </w:tcBorders>
            <w:hideMark/>
          </w:tcPr>
          <w:p w:rsidR="005654A2" w:rsidRPr="005654A2" w:rsidRDefault="002078EC" w:rsidP="005654A2">
            <w:pPr>
              <w:cnfStyle w:val="000000010000" w:firstRow="0" w:lastRow="0" w:firstColumn="0" w:lastColumn="0" w:oddVBand="0" w:evenVBand="0" w:oddHBand="0" w:evenHBand="1" w:firstRowFirstColumn="0" w:firstRowLastColumn="0" w:lastRowFirstColumn="0" w:lastRowLastColumn="0"/>
            </w:pPr>
            <w:r>
              <w:t>197.52</w:t>
            </w:r>
          </w:p>
        </w:tc>
      </w:tr>
      <w:tr w:rsidR="005654A2" w:rsidTr="001E7A75">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5654A2" w:rsidRPr="005654A2" w:rsidRDefault="005654A2" w:rsidP="005654A2">
            <w:r w:rsidRPr="00BB1EF0">
              <w:t>Engineer</w:t>
            </w:r>
          </w:p>
        </w:tc>
        <w:tc>
          <w:tcPr>
            <w:tcW w:w="4347" w:type="dxa"/>
            <w:tcBorders>
              <w:top w:val="nil"/>
              <w:left w:val="nil"/>
              <w:bottom w:val="nil"/>
              <w:right w:val="nil"/>
            </w:tcBorders>
            <w:hideMark/>
          </w:tcPr>
          <w:p w:rsidR="005654A2" w:rsidRPr="005654A2" w:rsidRDefault="002078EC" w:rsidP="005654A2">
            <w:pPr>
              <w:cnfStyle w:val="000000000000" w:firstRow="0" w:lastRow="0" w:firstColumn="0" w:lastColumn="0" w:oddVBand="0" w:evenVBand="0" w:oddHBand="0" w:evenHBand="0" w:firstRowFirstColumn="0" w:firstRowLastColumn="0" w:lastRowFirstColumn="0" w:lastRowLastColumn="0"/>
            </w:pPr>
            <w:r>
              <w:t>191.17</w:t>
            </w:r>
          </w:p>
        </w:tc>
      </w:tr>
      <w:tr w:rsidR="005654A2" w:rsidTr="001E7A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nil"/>
              <w:right w:val="nil"/>
            </w:tcBorders>
            <w:hideMark/>
          </w:tcPr>
          <w:p w:rsidR="005654A2" w:rsidRPr="005654A2" w:rsidRDefault="005654A2" w:rsidP="005654A2">
            <w:r w:rsidRPr="00BB1EF0">
              <w:t>Field worker</w:t>
            </w:r>
          </w:p>
        </w:tc>
        <w:tc>
          <w:tcPr>
            <w:tcW w:w="4347" w:type="dxa"/>
            <w:tcBorders>
              <w:top w:val="nil"/>
              <w:left w:val="nil"/>
              <w:bottom w:val="nil"/>
              <w:right w:val="nil"/>
            </w:tcBorders>
            <w:hideMark/>
          </w:tcPr>
          <w:p w:rsidR="005654A2" w:rsidRPr="005654A2" w:rsidRDefault="002078EC" w:rsidP="005654A2">
            <w:pPr>
              <w:cnfStyle w:val="000000010000" w:firstRow="0" w:lastRow="0" w:firstColumn="0" w:lastColumn="0" w:oddVBand="0" w:evenVBand="0" w:oddHBand="0" w:evenHBand="1" w:firstRowFirstColumn="0" w:firstRowLastColumn="0" w:lastRowFirstColumn="0" w:lastRowLastColumn="0"/>
            </w:pPr>
            <w:r>
              <w:t>173.16</w:t>
            </w:r>
          </w:p>
        </w:tc>
      </w:tr>
      <w:tr w:rsidR="005654A2" w:rsidTr="001E7A75">
        <w:tc>
          <w:tcPr>
            <w:cnfStyle w:val="001000000000" w:firstRow="0" w:lastRow="0" w:firstColumn="1" w:lastColumn="0" w:oddVBand="0" w:evenVBand="0" w:oddHBand="0" w:evenHBand="0" w:firstRowFirstColumn="0" w:firstRowLastColumn="0" w:lastRowFirstColumn="0" w:lastRowLastColumn="0"/>
            <w:tcW w:w="4346" w:type="dxa"/>
            <w:tcBorders>
              <w:top w:val="nil"/>
              <w:left w:val="nil"/>
              <w:bottom w:val="single" w:sz="4" w:space="0" w:color="365F91"/>
              <w:right w:val="nil"/>
            </w:tcBorders>
            <w:hideMark/>
          </w:tcPr>
          <w:p w:rsidR="005654A2" w:rsidRPr="005654A2" w:rsidRDefault="005654A2" w:rsidP="005654A2">
            <w:r w:rsidRPr="00BB1EF0">
              <w:t>Senior engineer</w:t>
            </w:r>
          </w:p>
        </w:tc>
        <w:tc>
          <w:tcPr>
            <w:tcW w:w="4347" w:type="dxa"/>
            <w:tcBorders>
              <w:top w:val="nil"/>
              <w:left w:val="nil"/>
              <w:bottom w:val="single" w:sz="4" w:space="0" w:color="365F91"/>
              <w:right w:val="nil"/>
            </w:tcBorders>
            <w:hideMark/>
          </w:tcPr>
          <w:p w:rsidR="005654A2" w:rsidRPr="005654A2" w:rsidRDefault="002078EC" w:rsidP="005654A2">
            <w:pPr>
              <w:cnfStyle w:val="000000000000" w:firstRow="0" w:lastRow="0" w:firstColumn="0" w:lastColumn="0" w:oddVBand="0" w:evenVBand="0" w:oddHBand="0" w:evenHBand="0" w:firstRowFirstColumn="0" w:firstRowLastColumn="0" w:lastRowFirstColumn="0" w:lastRowLastColumn="0"/>
            </w:pPr>
            <w:r>
              <w:t>247.36</w:t>
            </w:r>
          </w:p>
        </w:tc>
      </w:tr>
    </w:tbl>
    <w:p w:rsidR="005654A2" w:rsidRDefault="002078EC" w:rsidP="005654A2">
      <w:pPr>
        <w:pStyle w:val="AERtablesource"/>
      </w:pPr>
      <w:r>
        <w:t>Source:</w:t>
      </w:r>
      <w:r>
        <w:tab/>
      </w:r>
      <w:r w:rsidR="005654A2">
        <w:t>AER analysis.</w:t>
      </w:r>
    </w:p>
    <w:p w:rsidR="002078EC" w:rsidRDefault="002078EC" w:rsidP="002078EC">
      <w:r>
        <w:t xml:space="preserve">Our </w:t>
      </w:r>
      <w:r w:rsidRPr="002078EC">
        <w:t>assess</w:t>
      </w:r>
      <w:r>
        <w:t>ment of</w:t>
      </w:r>
      <w:r w:rsidRPr="002078EC">
        <w:t xml:space="preserve"> the proposed times taken to perform the service as well as the escalators and allocators applied by TasNetworks is informed by benchmarking against </w:t>
      </w:r>
      <w:r>
        <w:t xml:space="preserve">similar </w:t>
      </w:r>
      <w:r w:rsidRPr="002078EC">
        <w:t>inputs applied by other distributors.</w:t>
      </w:r>
    </w:p>
    <w:p w:rsidR="00B53B83" w:rsidRPr="008530C0" w:rsidRDefault="00B53B83" w:rsidP="001B4346">
      <w:pPr>
        <w:pStyle w:val="Heading3"/>
        <w:ind w:left="720"/>
      </w:pPr>
      <w:bookmarkStart w:id="89" w:name="_Ref430936976"/>
      <w:bookmarkStart w:id="90" w:name="_Toc433704558"/>
      <w:bookmarkStart w:id="91" w:name="_Toc448736756"/>
      <w:bookmarkStart w:id="92" w:name="_Toc481060965"/>
      <w:r w:rsidRPr="008530C0">
        <w:t>Reasons for final decision</w:t>
      </w:r>
      <w:bookmarkEnd w:id="89"/>
      <w:bookmarkEnd w:id="90"/>
      <w:bookmarkEnd w:id="91"/>
      <w:bookmarkEnd w:id="92"/>
    </w:p>
    <w:p w:rsidR="00B53B83" w:rsidRDefault="00356967" w:rsidP="00B53B83">
      <w:r>
        <w:t xml:space="preserve">The following discusses the reasons for our final decision for each aspect raised in </w:t>
      </w:r>
      <w:r w:rsidR="00D05E38">
        <w:t xml:space="preserve">TasNetworks' revised proposal </w:t>
      </w:r>
      <w:r>
        <w:t xml:space="preserve">on </w:t>
      </w:r>
      <w:r w:rsidR="00D05E38">
        <w:t>ancillary network services.</w:t>
      </w:r>
    </w:p>
    <w:p w:rsidR="008530C0" w:rsidRDefault="008530C0" w:rsidP="001B4346">
      <w:pPr>
        <w:pStyle w:val="HeadingBoldBlue"/>
      </w:pPr>
      <w:r>
        <w:lastRenderedPageBreak/>
        <w:t>Implied administration labour rate</w:t>
      </w:r>
    </w:p>
    <w:p w:rsidR="00356967" w:rsidRDefault="00356967" w:rsidP="00356967">
      <w:r>
        <w:t>We accept TasNetworks' revised proposal that a modelling inconsistency in its initial proposal led to our draft decision consideration that the supervision and customer team costs in its fee based services model were inefficient.</w:t>
      </w:r>
      <w:r>
        <w:rPr>
          <w:rStyle w:val="FootnoteReference"/>
        </w:rPr>
        <w:footnoteReference w:id="13"/>
      </w:r>
      <w:r>
        <w:t xml:space="preserve"> TasNetworks has resolved this modelling inconsistency for its revised proposal. Our final decision accepts the revised proposal supervision and customer team costs as efficient.</w:t>
      </w:r>
    </w:p>
    <w:p w:rsidR="00356967" w:rsidRDefault="00356967" w:rsidP="00356967">
      <w:r>
        <w:t>Our draft decision did not accept the administration and customer team costs in TasNetworks' fee based services model as the underlying 'implied' administration labour rate exceeded the maximum total labour rate we considered to be efficient.</w:t>
      </w:r>
      <w:r w:rsidRPr="004426D2">
        <w:rPr>
          <w:rStyle w:val="FootnoteReference"/>
        </w:rPr>
        <w:footnoteReference w:id="14"/>
      </w:r>
      <w:r w:rsidRPr="004426D2">
        <w:rPr>
          <w:rStyle w:val="FootnoteReference"/>
        </w:rPr>
        <w:t xml:space="preserve"> </w:t>
      </w:r>
      <w:r>
        <w:t>Consequently, we substituted in our efficient labour rate into the fee based services model which reduced TasNetworks' proposed fee based service prices.</w:t>
      </w:r>
    </w:p>
    <w:p w:rsidR="00356967" w:rsidRDefault="00356967" w:rsidP="00356967">
      <w:r>
        <w:t>In response to our draft decision, TasNetworks noted its actual administration labour rate is below the draft decision efficient labour rate.</w:t>
      </w:r>
      <w:r>
        <w:rPr>
          <w:rStyle w:val="FootnoteReference"/>
        </w:rPr>
        <w:footnoteReference w:id="15"/>
      </w:r>
      <w:r>
        <w:t xml:space="preserve"> However, a modelling inconsistency relating to its overhead allocations meant its initial proposal administration and customer team costs were higher than they should have been.</w:t>
      </w:r>
      <w:r w:rsidR="00E27034">
        <w:t xml:space="preserve"> Therefore, using the AER's draft decision method to calculate the 'implied' administration labour rate (dividing total cost by time spent on the service) </w:t>
      </w:r>
      <w:r>
        <w:t xml:space="preserve">resulted in </w:t>
      </w:r>
      <w:r w:rsidR="00E27034">
        <w:t xml:space="preserve">the consideration </w:t>
      </w:r>
      <w:r w:rsidR="00AD72E0">
        <w:t xml:space="preserve">that </w:t>
      </w:r>
      <w:r w:rsidR="00E27034">
        <w:t>th</w:t>
      </w:r>
      <w:r w:rsidR="003B20BC">
        <w:t>is</w:t>
      </w:r>
      <w:r w:rsidR="00E27034">
        <w:t xml:space="preserve"> labour rate </w:t>
      </w:r>
      <w:r>
        <w:t>was inefficient.</w:t>
      </w:r>
    </w:p>
    <w:p w:rsidR="00356967" w:rsidRDefault="00356967" w:rsidP="00356967">
      <w:r>
        <w:t xml:space="preserve">TasNetworks noted that while it had correctly attributed total overheads to ancillary reference services consistent with its cost allocation method, it had </w:t>
      </w:r>
      <w:r w:rsidR="003B20BC">
        <w:t>incorrectly attributed all</w:t>
      </w:r>
      <w:r>
        <w:t xml:space="preserve"> overheads directly to the supervision and customer team costs.</w:t>
      </w:r>
      <w:r>
        <w:rPr>
          <w:rStyle w:val="FootnoteReference"/>
        </w:rPr>
        <w:footnoteReference w:id="16"/>
      </w:r>
      <w:r>
        <w:t xml:space="preserve"> Instead a smaller allocation should have been directly attributed to the supervision and customer team costs with the remainder attributed to services on an indirect basis.</w:t>
      </w:r>
    </w:p>
    <w:p w:rsidR="00356967" w:rsidRDefault="00356967" w:rsidP="00356967">
      <w:r>
        <w:t>TasNetworks</w:t>
      </w:r>
      <w:r w:rsidR="00E27034">
        <w:t>'</w:t>
      </w:r>
      <w:r>
        <w:t xml:space="preserve"> revised proposal</w:t>
      </w:r>
      <w:r w:rsidR="003B20BC">
        <w:t xml:space="preserve"> has</w:t>
      </w:r>
      <w:r>
        <w:t xml:space="preserve"> corrected the overhead allocations in its fee based services model which also demonstrates compliance that the underlying labour rate does not exceed the total maximum labour rate which we consider to be efficient.</w:t>
      </w:r>
      <w:r>
        <w:rPr>
          <w:rStyle w:val="FootnoteReference"/>
        </w:rPr>
        <w:footnoteReference w:id="17"/>
      </w:r>
    </w:p>
    <w:p w:rsidR="008530C0" w:rsidRDefault="008530C0" w:rsidP="001B4346">
      <w:pPr>
        <w:pStyle w:val="HeadingBoldBlue"/>
      </w:pPr>
      <w:r>
        <w:t>Premium service margins</w:t>
      </w:r>
    </w:p>
    <w:p w:rsidR="003B20BC" w:rsidRDefault="003B20BC" w:rsidP="003B20BC">
      <w:r>
        <w:t>We accept TasNetworks' revised proposal premium service margins which are applied to fee based services performed outside of 'normal scheduling'.</w:t>
      </w:r>
    </w:p>
    <w:p w:rsidR="003B20BC" w:rsidRDefault="00690FF2" w:rsidP="003B20BC">
      <w:r>
        <w:lastRenderedPageBreak/>
        <w:t>Our draft decision</w:t>
      </w:r>
      <w:r w:rsidR="003B20BC">
        <w:t xml:space="preserve"> did not accept TasNetworks' initial proposal premium service margins as we considered insufficient evidence </w:t>
      </w:r>
      <w:r>
        <w:t>was</w:t>
      </w:r>
      <w:r w:rsidR="003B20BC">
        <w:t xml:space="preserve"> provided to support the levels of margins proposed.</w:t>
      </w:r>
      <w:r w:rsidR="003B20BC">
        <w:rPr>
          <w:rStyle w:val="FootnoteReference"/>
        </w:rPr>
        <w:footnoteReference w:id="18"/>
      </w:r>
      <w:r w:rsidR="003B20BC">
        <w:t xml:space="preserve"> As we had no reliable substitute, </w:t>
      </w:r>
      <w:r>
        <w:t>we</w:t>
      </w:r>
      <w:r w:rsidR="003B20BC">
        <w:t xml:space="preserve"> removed the margins from TasNetworks' </w:t>
      </w:r>
      <w:r w:rsidR="003B20BC" w:rsidRPr="00547ABE">
        <w:t>fee based services model which reduced</w:t>
      </w:r>
      <w:r w:rsidR="003B20BC">
        <w:t xml:space="preserve"> its </w:t>
      </w:r>
      <w:r w:rsidR="003B20BC" w:rsidRPr="00547ABE">
        <w:t>fee based service prices.</w:t>
      </w:r>
    </w:p>
    <w:p w:rsidR="003B20BC" w:rsidRDefault="003B20BC" w:rsidP="003B20BC">
      <w:r>
        <w:t>In response to our draft decision, TasNetworks identified higher costs incurred for services performed outside normal scheduling.</w:t>
      </w:r>
      <w:r>
        <w:rPr>
          <w:rStyle w:val="FootnoteReference"/>
        </w:rPr>
        <w:footnoteReference w:id="19"/>
      </w:r>
      <w:r>
        <w:t xml:space="preserve"> Where it was not possible to derive precise cost estimates, TasNetworks acknowledged it exercised judgement rather than </w:t>
      </w:r>
      <w:r w:rsidR="00AD72E0">
        <w:t>reliance on hard data</w:t>
      </w:r>
      <w:r>
        <w:t>. It noted it would improve its data capture and quality to assist in the ongoing refinement of establishing its</w:t>
      </w:r>
      <w:r w:rsidR="00690FF2">
        <w:t xml:space="preserve"> fee based services</w:t>
      </w:r>
      <w:r>
        <w:t xml:space="preserve"> prices.</w:t>
      </w:r>
      <w:r>
        <w:rPr>
          <w:rStyle w:val="FootnoteReference"/>
        </w:rPr>
        <w:footnoteReference w:id="20"/>
      </w:r>
    </w:p>
    <w:p w:rsidR="003B20BC" w:rsidRDefault="003B20BC" w:rsidP="003B20BC">
      <w:r>
        <w:t xml:space="preserve">We accept TasNetworks incurs additional costs in providing services outside normal scheduling. While </w:t>
      </w:r>
      <w:r w:rsidR="00690FF2">
        <w:t>TasNetworks</w:t>
      </w:r>
      <w:r>
        <w:t xml:space="preserve"> has exercised some judgement</w:t>
      </w:r>
      <w:r w:rsidRPr="003B20BC">
        <w:t xml:space="preserve"> </w:t>
      </w:r>
      <w:r>
        <w:t>at times, we consider it has undertaken its best endeavours to address our draft decision concerns and to calculate premium service margins that are more</w:t>
      </w:r>
      <w:r w:rsidRPr="003B20BC">
        <w:t xml:space="preserve"> </w:t>
      </w:r>
      <w:r>
        <w:t xml:space="preserve">cost reflective. Therefore, we accept the revised proposal margins. A comparison of TasNetworks' proposed margins is set out in </w:t>
      </w:r>
      <w:r>
        <w:fldChar w:fldCharType="begin"/>
      </w:r>
      <w:r>
        <w:instrText xml:space="preserve"> REF  _Ref473651958 \* Lower \h </w:instrText>
      </w:r>
      <w:r>
        <w:fldChar w:fldCharType="separate"/>
      </w:r>
      <w:r w:rsidR="00013C24">
        <w:t xml:space="preserve">table </w:t>
      </w:r>
      <w:r w:rsidR="00013C24">
        <w:rPr>
          <w:noProof/>
        </w:rPr>
        <w:t>16</w:t>
      </w:r>
      <w:r w:rsidR="00013C24">
        <w:t>.</w:t>
      </w:r>
      <w:r w:rsidR="00013C24">
        <w:rPr>
          <w:noProof/>
        </w:rPr>
        <w:t>2</w:t>
      </w:r>
      <w:r>
        <w:fldChar w:fldCharType="end"/>
      </w:r>
      <w:r>
        <w:t>.</w:t>
      </w:r>
    </w:p>
    <w:p w:rsidR="003B20BC" w:rsidRDefault="003B20BC" w:rsidP="003B20BC">
      <w:pPr>
        <w:pStyle w:val="Caption"/>
      </w:pPr>
      <w:bookmarkStart w:id="93" w:name="_Ref473651958"/>
      <w:r>
        <w:t xml:space="preserve">Table </w:t>
      </w:r>
      <w:r w:rsidRPr="003B20BC">
        <w:fldChar w:fldCharType="begin"/>
      </w:r>
      <w:r>
        <w:instrText xml:space="preserve"> STYLEREF 1 \s </w:instrText>
      </w:r>
      <w:r w:rsidRPr="003B20BC">
        <w:fldChar w:fldCharType="separate"/>
      </w:r>
      <w:r w:rsidR="00013C24">
        <w:rPr>
          <w:noProof/>
        </w:rPr>
        <w:t>16</w:t>
      </w:r>
      <w:r w:rsidRPr="003B20BC">
        <w:fldChar w:fldCharType="end"/>
      </w:r>
      <w:r>
        <w:t>.</w:t>
      </w:r>
      <w:r w:rsidRPr="003B20BC">
        <w:fldChar w:fldCharType="begin"/>
      </w:r>
      <w:r>
        <w:instrText xml:space="preserve"> SEQ Table \* ARABIC \s 1 </w:instrText>
      </w:r>
      <w:r w:rsidRPr="003B20BC">
        <w:fldChar w:fldCharType="separate"/>
      </w:r>
      <w:r w:rsidR="00013C24">
        <w:rPr>
          <w:noProof/>
        </w:rPr>
        <w:t>2</w:t>
      </w:r>
      <w:r w:rsidRPr="003B20BC">
        <w:fldChar w:fldCharType="end"/>
      </w:r>
      <w:bookmarkEnd w:id="93"/>
      <w:r>
        <w:tab/>
        <w:t>TasNetworks proposed premium service margins</w:t>
      </w:r>
    </w:p>
    <w:tbl>
      <w:tblPr>
        <w:tblStyle w:val="AERtable-numbers"/>
        <w:tblW w:w="0" w:type="auto"/>
        <w:tblLook w:val="04A0" w:firstRow="1" w:lastRow="0" w:firstColumn="1" w:lastColumn="0" w:noHBand="0" w:noVBand="1"/>
      </w:tblPr>
      <w:tblGrid>
        <w:gridCol w:w="2897"/>
        <w:gridCol w:w="2898"/>
        <w:gridCol w:w="2898"/>
      </w:tblGrid>
      <w:tr w:rsidR="003B20BC" w:rsidTr="007E3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3B20BC" w:rsidRPr="003B20BC" w:rsidRDefault="003B20BC" w:rsidP="003B20BC">
            <w:r>
              <w:t>Premium service</w:t>
            </w:r>
          </w:p>
        </w:tc>
        <w:tc>
          <w:tcPr>
            <w:tcW w:w="2898" w:type="dxa"/>
          </w:tcPr>
          <w:p w:rsidR="003B20BC" w:rsidRPr="003B20BC" w:rsidRDefault="003B20BC" w:rsidP="003B20BC">
            <w:pPr>
              <w:cnfStyle w:val="100000000000" w:firstRow="1" w:lastRow="0" w:firstColumn="0" w:lastColumn="0" w:oddVBand="0" w:evenVBand="0" w:oddHBand="0" w:evenHBand="0" w:firstRowFirstColumn="0" w:firstRowLastColumn="0" w:lastRowFirstColumn="0" w:lastRowLastColumn="0"/>
            </w:pPr>
            <w:r>
              <w:t>Initial proposal margin</w:t>
            </w:r>
          </w:p>
        </w:tc>
        <w:tc>
          <w:tcPr>
            <w:tcW w:w="2898" w:type="dxa"/>
          </w:tcPr>
          <w:p w:rsidR="003B20BC" w:rsidRPr="003B20BC" w:rsidRDefault="003B20BC" w:rsidP="003B20BC">
            <w:pPr>
              <w:cnfStyle w:val="100000000000" w:firstRow="1" w:lastRow="0" w:firstColumn="0" w:lastColumn="0" w:oddVBand="0" w:evenVBand="0" w:oddHBand="0" w:evenHBand="0" w:firstRowFirstColumn="0" w:firstRowLastColumn="0" w:lastRowFirstColumn="0" w:lastRowLastColumn="0"/>
            </w:pPr>
            <w:r>
              <w:t>Revised proposal margin</w:t>
            </w:r>
          </w:p>
        </w:tc>
      </w:tr>
      <w:tr w:rsidR="003B20BC" w:rsidTr="007E355C">
        <w:tc>
          <w:tcPr>
            <w:cnfStyle w:val="001000000000" w:firstRow="0" w:lastRow="0" w:firstColumn="1" w:lastColumn="0" w:oddVBand="0" w:evenVBand="0" w:oddHBand="0" w:evenHBand="0" w:firstRowFirstColumn="0" w:firstRowLastColumn="0" w:lastRowFirstColumn="0" w:lastRowLastColumn="0"/>
            <w:tcW w:w="2897" w:type="dxa"/>
          </w:tcPr>
          <w:p w:rsidR="003B20BC" w:rsidRPr="003B20BC" w:rsidRDefault="003B20BC" w:rsidP="003B20BC">
            <w:r>
              <w:t>Non-scheduled visit</w:t>
            </w:r>
          </w:p>
        </w:tc>
        <w:tc>
          <w:tcPr>
            <w:tcW w:w="2898" w:type="dxa"/>
          </w:tcPr>
          <w:p w:rsidR="003B20BC" w:rsidRPr="003B20BC" w:rsidRDefault="003B20BC" w:rsidP="003B20BC">
            <w:pPr>
              <w:cnfStyle w:val="000000000000" w:firstRow="0" w:lastRow="0" w:firstColumn="0" w:lastColumn="0" w:oddVBand="0" w:evenVBand="0" w:oddHBand="0" w:evenHBand="0" w:firstRowFirstColumn="0" w:firstRowLastColumn="0" w:lastRowFirstColumn="0" w:lastRowLastColumn="0"/>
            </w:pPr>
            <w:r>
              <w:t>25 per cent</w:t>
            </w:r>
          </w:p>
        </w:tc>
        <w:tc>
          <w:tcPr>
            <w:tcW w:w="2898" w:type="dxa"/>
          </w:tcPr>
          <w:p w:rsidR="003B20BC" w:rsidRPr="003B20BC" w:rsidRDefault="003B20BC" w:rsidP="003B20BC">
            <w:pPr>
              <w:cnfStyle w:val="000000000000" w:firstRow="0" w:lastRow="0" w:firstColumn="0" w:lastColumn="0" w:oddVBand="0" w:evenVBand="0" w:oddHBand="0" w:evenHBand="0" w:firstRowFirstColumn="0" w:firstRowLastColumn="0" w:lastRowFirstColumn="0" w:lastRowLastColumn="0"/>
            </w:pPr>
            <w:r>
              <w:t>10 per cent</w:t>
            </w:r>
          </w:p>
        </w:tc>
      </w:tr>
      <w:tr w:rsidR="003B20BC" w:rsidTr="007E35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3B20BC" w:rsidRPr="003B20BC" w:rsidRDefault="003B20BC" w:rsidP="003B20BC">
            <w:r>
              <w:t>After hours</w:t>
            </w:r>
          </w:p>
        </w:tc>
        <w:tc>
          <w:tcPr>
            <w:tcW w:w="2898" w:type="dxa"/>
          </w:tcPr>
          <w:p w:rsidR="003B20BC" w:rsidRPr="003B20BC" w:rsidRDefault="003B20BC" w:rsidP="003B20BC">
            <w:pPr>
              <w:cnfStyle w:val="000000010000" w:firstRow="0" w:lastRow="0" w:firstColumn="0" w:lastColumn="0" w:oddVBand="0" w:evenVBand="0" w:oddHBand="0" w:evenHBand="1" w:firstRowFirstColumn="0" w:firstRowLastColumn="0" w:lastRowFirstColumn="0" w:lastRowLastColumn="0"/>
            </w:pPr>
            <w:r>
              <w:t>50 per cent</w:t>
            </w:r>
          </w:p>
        </w:tc>
        <w:tc>
          <w:tcPr>
            <w:tcW w:w="2898" w:type="dxa"/>
          </w:tcPr>
          <w:p w:rsidR="003B20BC" w:rsidRPr="003B20BC" w:rsidRDefault="003B20BC" w:rsidP="003B20BC">
            <w:pPr>
              <w:cnfStyle w:val="000000010000" w:firstRow="0" w:lastRow="0" w:firstColumn="0" w:lastColumn="0" w:oddVBand="0" w:evenVBand="0" w:oddHBand="0" w:evenHBand="1" w:firstRowFirstColumn="0" w:firstRowLastColumn="0" w:lastRowFirstColumn="0" w:lastRowLastColumn="0"/>
            </w:pPr>
            <w:r>
              <w:t>10 per cent</w:t>
            </w:r>
          </w:p>
        </w:tc>
      </w:tr>
      <w:tr w:rsidR="003B20BC" w:rsidTr="007E355C">
        <w:tc>
          <w:tcPr>
            <w:cnfStyle w:val="001000000000" w:firstRow="0" w:lastRow="0" w:firstColumn="1" w:lastColumn="0" w:oddVBand="0" w:evenVBand="0" w:oddHBand="0" w:evenHBand="0" w:firstRowFirstColumn="0" w:firstRowLastColumn="0" w:lastRowFirstColumn="0" w:lastRowLastColumn="0"/>
            <w:tcW w:w="2897" w:type="dxa"/>
          </w:tcPr>
          <w:p w:rsidR="003B20BC" w:rsidRPr="003B20BC" w:rsidRDefault="003B20BC" w:rsidP="003B20BC">
            <w:r>
              <w:t xml:space="preserve">Same </w:t>
            </w:r>
            <w:r w:rsidRPr="003B20BC">
              <w:t>day premium</w:t>
            </w:r>
          </w:p>
        </w:tc>
        <w:tc>
          <w:tcPr>
            <w:tcW w:w="2898" w:type="dxa"/>
          </w:tcPr>
          <w:p w:rsidR="003B20BC" w:rsidRPr="003B20BC" w:rsidRDefault="003B20BC" w:rsidP="003B20BC">
            <w:pPr>
              <w:cnfStyle w:val="000000000000" w:firstRow="0" w:lastRow="0" w:firstColumn="0" w:lastColumn="0" w:oddVBand="0" w:evenVBand="0" w:oddHBand="0" w:evenHBand="0" w:firstRowFirstColumn="0" w:firstRowLastColumn="0" w:lastRowFirstColumn="0" w:lastRowLastColumn="0"/>
            </w:pPr>
            <w:r>
              <w:t>100 per cent</w:t>
            </w:r>
          </w:p>
        </w:tc>
        <w:tc>
          <w:tcPr>
            <w:tcW w:w="2898" w:type="dxa"/>
          </w:tcPr>
          <w:p w:rsidR="003B20BC" w:rsidRPr="003B20BC" w:rsidRDefault="003B20BC" w:rsidP="003B20BC">
            <w:pPr>
              <w:cnfStyle w:val="000000000000" w:firstRow="0" w:lastRow="0" w:firstColumn="0" w:lastColumn="0" w:oddVBand="0" w:evenVBand="0" w:oddHBand="0" w:evenHBand="0" w:firstRowFirstColumn="0" w:firstRowLastColumn="0" w:lastRowFirstColumn="0" w:lastRowLastColumn="0"/>
            </w:pPr>
            <w:r>
              <w:t>5 per cent</w:t>
            </w:r>
          </w:p>
        </w:tc>
      </w:tr>
    </w:tbl>
    <w:p w:rsidR="003B20BC" w:rsidRDefault="003B20BC" w:rsidP="003B20BC">
      <w:pPr>
        <w:pStyle w:val="AERtablesource"/>
      </w:pPr>
      <w:r>
        <w:t>Source:</w:t>
      </w:r>
      <w:r>
        <w:tab/>
        <w:t xml:space="preserve">TasNetworks, </w:t>
      </w:r>
      <w:r w:rsidRPr="00D80EB3">
        <w:rPr>
          <w:rStyle w:val="AERtextitalic"/>
        </w:rPr>
        <w:t>TN058 - Fee based services fees model</w:t>
      </w:r>
      <w:r>
        <w:t xml:space="preserve">, January 2016; TasNetworks, </w:t>
      </w:r>
      <w:r w:rsidRPr="00D80EB3">
        <w:rPr>
          <w:rStyle w:val="AERtextitalic"/>
        </w:rPr>
        <w:t>RTN002</w:t>
      </w:r>
      <w:r w:rsidRPr="00D80EB3">
        <w:rPr>
          <w:rStyle w:val="AERtextitalic"/>
        </w:rPr>
        <w:softHyphen/>
        <w:t>_Alternative Control - Revised fee based services model</w:t>
      </w:r>
      <w:r>
        <w:t>, December 2016.</w:t>
      </w:r>
    </w:p>
    <w:p w:rsidR="00B53B83" w:rsidRDefault="008530C0" w:rsidP="001B4346">
      <w:pPr>
        <w:pStyle w:val="HeadingBoldBlue"/>
      </w:pPr>
      <w:r>
        <w:t>After hours services</w:t>
      </w:r>
    </w:p>
    <w:p w:rsidR="00690FF2" w:rsidRDefault="00690FF2" w:rsidP="00690FF2">
      <w:r>
        <w:t>We accept TasNetworks' revised proposal for after hours fee based services. We consider the proposed increase travel and back office times more accurately reflect the costs incurred for providing these services than was allowed in our draft decision.</w:t>
      </w:r>
    </w:p>
    <w:p w:rsidR="00690FF2" w:rsidRDefault="00690FF2" w:rsidP="00690FF2">
      <w:r>
        <w:t>Our draft decision considered that TasNetworks' proposed task times of 240 minutes (including travel time) to perform its after hours services were overstated and therefore not efficient.</w:t>
      </w:r>
      <w:r>
        <w:rPr>
          <w:rStyle w:val="FootnoteReference"/>
        </w:rPr>
        <w:footnoteReference w:id="21"/>
      </w:r>
      <w:r>
        <w:t xml:space="preserve"> Consequently we substituted in the highest time taken for the particular </w:t>
      </w:r>
      <w:r>
        <w:lastRenderedPageBreak/>
        <w:t>service during business hours which we considered efficient. We also applied an increase to the labour costs for these services to recognise that labour costs for after hours services are higher than those incurred during business hours.</w:t>
      </w:r>
    </w:p>
    <w:p w:rsidR="00690FF2" w:rsidRDefault="00690FF2" w:rsidP="00690FF2">
      <w:r>
        <w:t xml:space="preserve">TasNetworks largely accepted our draft decision. However, it considered the travel time for after hour services </w:t>
      </w:r>
      <w:r w:rsidR="00912A8E">
        <w:t xml:space="preserve">should </w:t>
      </w:r>
      <w:r>
        <w:t>be increased universally to 60 minutes as there are no efficiencies gained for after hour services given the relatively low number provided.</w:t>
      </w:r>
      <w:r>
        <w:rPr>
          <w:rStyle w:val="FootnoteReference"/>
        </w:rPr>
        <w:footnoteReference w:id="22"/>
      </w:r>
      <w:r>
        <w:t xml:space="preserve"> TasNetworks considered a travel time of 30 minutes each way</w:t>
      </w:r>
      <w:r w:rsidR="00916B08">
        <w:t xml:space="preserve"> from relevant depots</w:t>
      </w:r>
      <w:r>
        <w:t xml:space="preserve"> would be necessary to cover the whole of Tasmania.</w:t>
      </w:r>
    </w:p>
    <w:p w:rsidR="00690FF2" w:rsidRDefault="00690FF2" w:rsidP="00690FF2">
      <w:r>
        <w:t>We accept the proposed increase in travel time to 60 minutes. We acknowledge there are unlikely to be any efficiencies in scheduling after hours services given the relatively low historic number of after hours services provided (less than five per annum). Given TasNetworks' network layout, we consider 30 minute travel time each way reasonable.</w:t>
      </w:r>
    </w:p>
    <w:p w:rsidR="00690FF2" w:rsidRDefault="00690FF2" w:rsidP="00690FF2">
      <w:r>
        <w:t>TasNetworks also noted that further investigation into its back office services identified that after hour services require additional calls and follow ups with clients and crews than is required for services undertaken during normal scheduling.</w:t>
      </w:r>
      <w:r>
        <w:rPr>
          <w:rStyle w:val="FootnoteReference"/>
        </w:rPr>
        <w:footnoteReference w:id="23"/>
      </w:r>
      <w:r>
        <w:t xml:space="preserve"> Therefore it proposed an increase to 16 minutes for back office times for after hours services.</w:t>
      </w:r>
    </w:p>
    <w:p w:rsidR="00690FF2" w:rsidRPr="004029A3" w:rsidRDefault="00690FF2" w:rsidP="00690FF2">
      <w:r>
        <w:t xml:space="preserve">We accept the proposed increase in back office times for after hours services. We consider 16 minutes a reasonable time to undertake these tasks and </w:t>
      </w:r>
      <w:r w:rsidR="008D5339">
        <w:t xml:space="preserve">it </w:t>
      </w:r>
      <w:r>
        <w:t>is lower than benchmark back office times incurred by other distributors.</w:t>
      </w:r>
      <w:r>
        <w:rPr>
          <w:rStyle w:val="FootnoteReference"/>
        </w:rPr>
        <w:footnoteReference w:id="24"/>
      </w:r>
    </w:p>
    <w:p w:rsidR="008530C0" w:rsidRDefault="008530C0" w:rsidP="001B4346">
      <w:pPr>
        <w:pStyle w:val="HeadingBoldBlue"/>
      </w:pPr>
      <w:r>
        <w:t>New design and construction services</w:t>
      </w:r>
    </w:p>
    <w:p w:rsidR="008530C0" w:rsidRPr="008530C0" w:rsidRDefault="009614BB" w:rsidP="008530C0">
      <w:r>
        <w:t xml:space="preserve">TasNetworks accepted our draft decision that </w:t>
      </w:r>
      <w:r w:rsidR="000F66BD">
        <w:t>its</w:t>
      </w:r>
      <w:r>
        <w:t xml:space="preserve"> new design and construction services should be quoted services rather than as fee based services.</w:t>
      </w:r>
      <w:r>
        <w:rPr>
          <w:rStyle w:val="FootnoteReference"/>
        </w:rPr>
        <w:footnoteReference w:id="25"/>
      </w:r>
    </w:p>
    <w:p w:rsidR="00132D43" w:rsidRDefault="009614BB" w:rsidP="00912A8E">
      <w:pPr>
        <w:pStyle w:val="Heading2"/>
      </w:pPr>
      <w:bookmarkStart w:id="94" w:name="_Toc480297163"/>
      <w:bookmarkStart w:id="95" w:name="_Toc481060966"/>
      <w:bookmarkStart w:id="96" w:name="_Toc481060967"/>
      <w:bookmarkEnd w:id="94"/>
      <w:bookmarkEnd w:id="95"/>
      <w:r>
        <w:t>Public lighting</w:t>
      </w:r>
      <w:bookmarkEnd w:id="96"/>
    </w:p>
    <w:p w:rsidR="00C54526" w:rsidRPr="00C54526" w:rsidRDefault="00C54526" w:rsidP="001B4346">
      <w:pPr>
        <w:pStyle w:val="Heading3"/>
        <w:ind w:left="720"/>
      </w:pPr>
      <w:bookmarkStart w:id="97" w:name="_Toc481060968"/>
      <w:r w:rsidRPr="00C54526">
        <w:t>Final decision</w:t>
      </w:r>
      <w:bookmarkEnd w:id="97"/>
      <w:r w:rsidRPr="00C54526">
        <w:t xml:space="preserve">  </w:t>
      </w:r>
    </w:p>
    <w:p w:rsidR="00C54526" w:rsidRDefault="00C54526" w:rsidP="00C54526">
      <w:pPr>
        <w:spacing w:line="240" w:lineRule="auto"/>
      </w:pPr>
      <w:r w:rsidRPr="00C54526">
        <w:t xml:space="preserve">We accept TasNetworks' revised proposal for </w:t>
      </w:r>
      <w:r>
        <w:t>public lighting</w:t>
      </w:r>
      <w:r w:rsidRPr="00C54526">
        <w:t>.</w:t>
      </w:r>
      <w:r w:rsidR="00C75305">
        <w:t xml:space="preserve"> The charges for the operation and maintenance of public lighting are set out in appendix B.</w:t>
      </w:r>
    </w:p>
    <w:p w:rsidR="00C75305" w:rsidRPr="001B4346" w:rsidRDefault="00C75305" w:rsidP="001B4346">
      <w:pPr>
        <w:pStyle w:val="HeadingBoldBlue"/>
      </w:pPr>
      <w:r w:rsidRPr="001B4346">
        <w:t>Form of control mechanism</w:t>
      </w:r>
    </w:p>
    <w:p w:rsidR="00591159" w:rsidRPr="00591159" w:rsidRDefault="00591159" w:rsidP="00591159">
      <w:r>
        <w:t xml:space="preserve">Our final decision </w:t>
      </w:r>
      <w:r w:rsidRPr="00591159">
        <w:t>appl</w:t>
      </w:r>
      <w:r>
        <w:t>ies</w:t>
      </w:r>
      <w:r w:rsidRPr="00591159">
        <w:t xml:space="preserve"> price caps for individual public lighting services as the form of control. This means a schedule of prices is set for the first year. For the following </w:t>
      </w:r>
      <w:r w:rsidRPr="00591159">
        <w:lastRenderedPageBreak/>
        <w:t>years the previous year’s prices are adjusted by CPI and an X factor. The control mechanism formula is set out below:</w:t>
      </w:r>
    </w:p>
    <w:p w:rsidR="00591159" w:rsidRPr="00591159" w:rsidRDefault="00591159" w:rsidP="00591159">
      <w:r w:rsidRPr="00591159">
        <w:object w:dxaOrig="780" w:dyaOrig="380">
          <v:shape id="_x0000_i1036" type="#_x0000_t75" style="width:38.8pt;height:18.8pt" o:ole="">
            <v:imagedata r:id="rId37" o:title=""/>
          </v:shape>
          <o:OLEObject Type="Embed" ProgID="Equation.3" ShapeID="_x0000_i1036" DrawAspect="Content" ObjectID="_1554802972" r:id="rId38"/>
        </w:object>
      </w:r>
      <w:r w:rsidRPr="00591159">
        <w:tab/>
      </w:r>
      <w:r w:rsidRPr="00591159">
        <w:tab/>
      </w:r>
      <w:r w:rsidRPr="00591159">
        <w:tab/>
      </w:r>
      <w:r w:rsidRPr="00591159">
        <w:tab/>
      </w:r>
      <w:r w:rsidRPr="00591159">
        <w:tab/>
      </w:r>
      <w:r w:rsidRPr="00591159">
        <w:tab/>
      </w:r>
      <w:r w:rsidRPr="00591159">
        <w:tab/>
      </w:r>
      <w:r w:rsidRPr="00591159">
        <w:tab/>
      </w:r>
      <w:proofErr w:type="spellStart"/>
      <w:r w:rsidRPr="00591159">
        <w:t>i</w:t>
      </w:r>
      <w:proofErr w:type="spellEnd"/>
      <w:r w:rsidRPr="00591159">
        <w:t>=1,...</w:t>
      </w:r>
      <w:proofErr w:type="gramStart"/>
      <w:r w:rsidRPr="00591159">
        <w:t>,n</w:t>
      </w:r>
      <w:proofErr w:type="gramEnd"/>
      <w:r w:rsidRPr="00591159">
        <w:t xml:space="preserve"> and t=1,…2</w:t>
      </w:r>
    </w:p>
    <w:p w:rsidR="00591159" w:rsidRPr="00591159" w:rsidRDefault="00591159" w:rsidP="00591159">
      <w:r w:rsidRPr="00591159">
        <w:object w:dxaOrig="3200" w:dyaOrig="380">
          <v:shape id="_x0000_i1037" type="#_x0000_t75" style="width:159.05pt;height:18.8pt" o:ole="">
            <v:imagedata r:id="rId39" o:title=""/>
          </v:shape>
          <o:OLEObject Type="Embed" ProgID="Equation.3" ShapeID="_x0000_i1037" DrawAspect="Content" ObjectID="_1554802973" r:id="rId40"/>
        </w:object>
      </w:r>
    </w:p>
    <w:p w:rsidR="00591159" w:rsidRPr="00591159" w:rsidRDefault="00591159" w:rsidP="00591159">
      <w:r w:rsidRPr="00591159">
        <w:t>Where:</w:t>
      </w:r>
    </w:p>
    <w:p w:rsidR="00591159" w:rsidRPr="00591159" w:rsidRDefault="00591159" w:rsidP="00591159">
      <w:r w:rsidRPr="00591159">
        <w:object w:dxaOrig="300" w:dyaOrig="380">
          <v:shape id="_x0000_i1038" type="#_x0000_t75" style="width:13.75pt;height:18.8pt" o:ole="">
            <v:imagedata r:id="rId41" o:title=""/>
          </v:shape>
          <o:OLEObject Type="Embed" ProgID="Equation.3" ShapeID="_x0000_i1038" DrawAspect="Content" ObjectID="_1554802974" r:id="rId42"/>
        </w:object>
      </w:r>
      <w:r w:rsidRPr="00591159">
        <w:tab/>
      </w:r>
      <w:r w:rsidRPr="00591159">
        <w:tab/>
      </w:r>
      <w:proofErr w:type="gramStart"/>
      <w:r w:rsidRPr="00591159">
        <w:t>is</w:t>
      </w:r>
      <w:proofErr w:type="gramEnd"/>
      <w:r w:rsidRPr="00591159">
        <w:t xml:space="preserve"> the cap on the price of service </w:t>
      </w:r>
      <w:proofErr w:type="spellStart"/>
      <w:r w:rsidRPr="001B4346">
        <w:rPr>
          <w:rStyle w:val="Emphasis"/>
        </w:rPr>
        <w:t>i</w:t>
      </w:r>
      <w:proofErr w:type="spellEnd"/>
      <w:r w:rsidRPr="00591159">
        <w:t xml:space="preserve"> in year </w:t>
      </w:r>
      <w:r w:rsidRPr="001B4346">
        <w:rPr>
          <w:rStyle w:val="Emphasis"/>
        </w:rPr>
        <w:t>t</w:t>
      </w:r>
    </w:p>
    <w:p w:rsidR="00591159" w:rsidRPr="00591159" w:rsidRDefault="00591159" w:rsidP="00591159">
      <w:r w:rsidRPr="00591159">
        <w:object w:dxaOrig="279" w:dyaOrig="380">
          <v:shape id="_x0000_i1039" type="#_x0000_t75" style="width:13.75pt;height:18.8pt" o:ole="">
            <v:imagedata r:id="rId43" o:title=""/>
          </v:shape>
          <o:OLEObject Type="Embed" ProgID="Equation.3" ShapeID="_x0000_i1039" DrawAspect="Content" ObjectID="_1554802975" r:id="rId44"/>
        </w:object>
      </w:r>
      <w:r w:rsidRPr="00591159">
        <w:tab/>
      </w:r>
      <w:r w:rsidRPr="00591159">
        <w:tab/>
      </w:r>
      <w:proofErr w:type="gramStart"/>
      <w:r w:rsidRPr="00591159">
        <w:t>is</w:t>
      </w:r>
      <w:proofErr w:type="gramEnd"/>
      <w:r w:rsidRPr="00591159">
        <w:t xml:space="preserve"> the price of service </w:t>
      </w:r>
      <w:proofErr w:type="spellStart"/>
      <w:r w:rsidRPr="001B4346">
        <w:rPr>
          <w:rStyle w:val="Emphasis"/>
        </w:rPr>
        <w:t>i</w:t>
      </w:r>
      <w:proofErr w:type="spellEnd"/>
      <w:r w:rsidRPr="00591159">
        <w:t xml:space="preserve"> in year </w:t>
      </w:r>
      <w:r w:rsidRPr="001B4346">
        <w:rPr>
          <w:rStyle w:val="Emphasis"/>
        </w:rPr>
        <w:t>t</w:t>
      </w:r>
      <w:r w:rsidRPr="00591159">
        <w:t>. The initial value is to be decided in the determination.</w:t>
      </w:r>
    </w:p>
    <w:p w:rsidR="00591159" w:rsidRPr="00591159" w:rsidRDefault="00591159" w:rsidP="00591159">
      <w:r w:rsidRPr="00591159">
        <w:object w:dxaOrig="420" w:dyaOrig="380">
          <v:shape id="_x0000_i1040" type="#_x0000_t75" style="width:18.15pt;height:18.8pt" o:ole="">
            <v:imagedata r:id="rId45" o:title=""/>
          </v:shape>
          <o:OLEObject Type="Embed" ProgID="Equation.3" ShapeID="_x0000_i1040" DrawAspect="Content" ObjectID="_1554802976" r:id="rId46"/>
        </w:object>
      </w:r>
      <w:r w:rsidRPr="00591159">
        <w:tab/>
      </w:r>
      <w:proofErr w:type="gramStart"/>
      <w:r w:rsidRPr="00591159">
        <w:t>is</w:t>
      </w:r>
      <w:proofErr w:type="gramEnd"/>
      <w:r w:rsidRPr="00591159">
        <w:t xml:space="preserve"> the cap on the price of service </w:t>
      </w:r>
      <w:proofErr w:type="spellStart"/>
      <w:r w:rsidRPr="001B4346">
        <w:rPr>
          <w:rStyle w:val="Emphasis"/>
        </w:rPr>
        <w:t>i</w:t>
      </w:r>
      <w:proofErr w:type="spellEnd"/>
      <w:r w:rsidRPr="00591159">
        <w:t xml:space="preserve"> in year </w:t>
      </w:r>
      <w:r w:rsidRPr="001B4346">
        <w:rPr>
          <w:rStyle w:val="Emphasis"/>
        </w:rPr>
        <w:t>t</w:t>
      </w:r>
    </w:p>
    <w:p w:rsidR="00591159" w:rsidRPr="00591159" w:rsidRDefault="00591159" w:rsidP="00591159">
      <w:r w:rsidRPr="00591159">
        <w:object w:dxaOrig="139" w:dyaOrig="240">
          <v:shape id="_x0000_i1041" type="#_x0000_t75" style="width:6.25pt;height:13.75pt" o:ole="">
            <v:imagedata r:id="rId47" o:title=""/>
          </v:shape>
          <o:OLEObject Type="Embed" ProgID="Equation.3" ShapeID="_x0000_i1041" DrawAspect="Content" ObjectID="_1554802977" r:id="rId48"/>
        </w:object>
      </w:r>
      <w:r w:rsidRPr="00591159">
        <w:tab/>
      </w:r>
      <w:r w:rsidRPr="00591159">
        <w:tab/>
      </w:r>
      <w:proofErr w:type="gramStart"/>
      <w:r w:rsidRPr="00591159">
        <w:t>is</w:t>
      </w:r>
      <w:proofErr w:type="gramEnd"/>
      <w:r w:rsidRPr="00591159">
        <w:t xml:space="preserve"> the regulatory year</w:t>
      </w:r>
    </w:p>
    <w:p w:rsidR="00591159" w:rsidRPr="00591159" w:rsidRDefault="00591159" w:rsidP="00591159">
      <w:pPr>
        <w:numPr>
          <w:ilvl w:val="0"/>
          <w:numId w:val="24"/>
        </w:numPr>
      </w:pPr>
      <w:r w:rsidRPr="00591159">
        <w:object w:dxaOrig="720" w:dyaOrig="380">
          <v:shape id="_x0000_i1042" type="#_x0000_t75" style="width:37.55pt;height:18.8pt" o:ole="">
            <v:imagedata r:id="rId49" o:title=""/>
          </v:shape>
          <o:OLEObject Type="Embed" ProgID="Equation.3" ShapeID="_x0000_i1042" DrawAspect="Content" ObjectID="_1554802978" r:id="rId50"/>
        </w:object>
      </w:r>
      <w:r w:rsidRPr="00591159">
        <w:t xml:space="preserve"> is the annual percentage change in the ABS consumer price index (CPI) All Groups, Weighted Average of Eight Capital Cities</w:t>
      </w:r>
      <w:r w:rsidRPr="001B4346">
        <w:rPr>
          <w:rStyle w:val="FootnoteReference"/>
        </w:rPr>
        <w:footnoteReference w:id="26"/>
      </w:r>
      <w:r w:rsidRPr="00591159">
        <w:t xml:space="preserve"> from the December quarter in year t–2 to the December quarter in year t–1, calculated using the following method:</w:t>
      </w:r>
    </w:p>
    <w:p w:rsidR="00591159" w:rsidRPr="001C4D2E" w:rsidRDefault="00591159" w:rsidP="00591159">
      <w:pPr>
        <w:pStyle w:val="ListContinue"/>
      </w:pPr>
      <w:r w:rsidRPr="001C4D2E">
        <w:t xml:space="preserve">The ABS CPI All Groups, Weighted Average of Eight Capital Cities for the </w:t>
      </w:r>
      <w:r>
        <w:t>December</w:t>
      </w:r>
      <w:r w:rsidRPr="001C4D2E">
        <w:t xml:space="preserve"> quarter in regulatory year t–1</w:t>
      </w:r>
    </w:p>
    <w:p w:rsidR="00591159" w:rsidRPr="001C4D2E" w:rsidRDefault="00591159" w:rsidP="00591159">
      <w:pPr>
        <w:pStyle w:val="ListContinue"/>
      </w:pPr>
      <w:r w:rsidRPr="001C4D2E">
        <w:t>divided by</w:t>
      </w:r>
    </w:p>
    <w:p w:rsidR="00591159" w:rsidRPr="001C4D2E" w:rsidRDefault="00591159" w:rsidP="00591159">
      <w:pPr>
        <w:pStyle w:val="ListContinue"/>
      </w:pPr>
      <w:r w:rsidRPr="001C4D2E">
        <w:t xml:space="preserve">The ABS CPI All Groups, Weighted Average of Eight Capital Cities for the </w:t>
      </w:r>
      <w:r>
        <w:t>December</w:t>
      </w:r>
      <w:r w:rsidRPr="001C4D2E">
        <w:t xml:space="preserve"> quarter in regulatory year t–2</w:t>
      </w:r>
    </w:p>
    <w:p w:rsidR="00591159" w:rsidRPr="001C4D2E" w:rsidRDefault="00591159" w:rsidP="00591159">
      <w:pPr>
        <w:pStyle w:val="ListContinue"/>
      </w:pPr>
      <w:r w:rsidRPr="001C4D2E">
        <w:t>minus one.</w:t>
      </w:r>
    </w:p>
    <w:p w:rsidR="00591159" w:rsidRPr="00BD4624" w:rsidRDefault="00591159" w:rsidP="00591159">
      <w:pPr>
        <w:numPr>
          <w:ilvl w:val="0"/>
          <w:numId w:val="24"/>
        </w:numPr>
      </w:pPr>
      <w:r w:rsidRPr="001C4D2E">
        <w:t>For example, for</w:t>
      </w:r>
      <w:r>
        <w:t xml:space="preserve"> </w:t>
      </w:r>
      <w:r w:rsidRPr="001C4D2E">
        <w:t>2018</w:t>
      </w:r>
      <w:r>
        <w:t>–19,</w:t>
      </w:r>
      <w:r w:rsidRPr="001C4D2E">
        <w:t xml:space="preserve"> year t–2 is the </w:t>
      </w:r>
      <w:r>
        <w:t>December</w:t>
      </w:r>
      <w:r w:rsidRPr="001C4D2E">
        <w:t xml:space="preserve"> quarter 2016 and</w:t>
      </w:r>
      <w:r>
        <w:t xml:space="preserve"> year</w:t>
      </w:r>
      <w:r w:rsidRPr="001C4D2E">
        <w:t xml:space="preserve"> t–1 is the </w:t>
      </w:r>
      <w:r>
        <w:t>December</w:t>
      </w:r>
      <w:r w:rsidRPr="001C4D2E">
        <w:t xml:space="preserve"> quarter 2017.</w:t>
      </w:r>
    </w:p>
    <w:p w:rsidR="00591159" w:rsidRPr="00100B0B" w:rsidRDefault="00591159" w:rsidP="00591159">
      <w:r w:rsidRPr="00591159">
        <w:object w:dxaOrig="340" w:dyaOrig="380">
          <v:shape id="_x0000_i1043" type="#_x0000_t75" style="width:18.8pt;height:18.8pt" o:ole="">
            <v:imagedata r:id="rId51" o:title=""/>
          </v:shape>
          <o:OLEObject Type="Embed" ProgID="Equation.3" ShapeID="_x0000_i1043" DrawAspect="Content" ObjectID="_1554802979" r:id="rId52"/>
        </w:object>
      </w:r>
      <w:r>
        <w:tab/>
      </w:r>
      <w:proofErr w:type="gramStart"/>
      <w:r>
        <w:t>are</w:t>
      </w:r>
      <w:proofErr w:type="gramEnd"/>
      <w:r w:rsidRPr="00BD4624">
        <w:t xml:space="preserve"> the </w:t>
      </w:r>
      <w:r>
        <w:t>values set out in the public lighting decision model</w:t>
      </w:r>
      <w:r w:rsidR="00275AFC">
        <w:t xml:space="preserve"> and for 201</w:t>
      </w:r>
      <w:r w:rsidR="00F05167">
        <w:t>8</w:t>
      </w:r>
      <w:r w:rsidR="00275AFC">
        <w:t>–1</w:t>
      </w:r>
      <w:r w:rsidR="00F05167">
        <w:t>9</w:t>
      </w:r>
      <w:r w:rsidR="00275AFC">
        <w:t xml:space="preserve"> is set at  -0.62 per cent.</w:t>
      </w:r>
    </w:p>
    <w:p w:rsidR="00C54526" w:rsidRDefault="00C54526" w:rsidP="001B4346">
      <w:pPr>
        <w:pStyle w:val="Heading3"/>
        <w:ind w:left="720"/>
      </w:pPr>
      <w:bookmarkStart w:id="98" w:name="_Toc481060969"/>
      <w:r w:rsidRPr="00C54526">
        <w:t>TasNetworks' revised proposal</w:t>
      </w:r>
      <w:bookmarkEnd w:id="98"/>
      <w:r w:rsidRPr="00C54526">
        <w:t xml:space="preserve">  </w:t>
      </w:r>
    </w:p>
    <w:p w:rsidR="00C54526" w:rsidRDefault="00C54526" w:rsidP="00C54526">
      <w:pPr>
        <w:spacing w:line="240" w:lineRule="auto"/>
      </w:pPr>
      <w:r>
        <w:t xml:space="preserve">TasNetworks accepts our draft decision for public lighting. </w:t>
      </w:r>
    </w:p>
    <w:p w:rsidR="00C54526" w:rsidRDefault="00C54526" w:rsidP="001B4346">
      <w:pPr>
        <w:pStyle w:val="Heading3"/>
        <w:ind w:left="720"/>
      </w:pPr>
      <w:bookmarkStart w:id="99" w:name="_Toc481060970"/>
      <w:r w:rsidRPr="00C54526">
        <w:t>Reasons for final decision</w:t>
      </w:r>
      <w:bookmarkEnd w:id="99"/>
    </w:p>
    <w:p w:rsidR="00C54526" w:rsidRDefault="00C54526" w:rsidP="00C54526">
      <w:pPr>
        <w:spacing w:line="240" w:lineRule="auto"/>
      </w:pPr>
      <w:r>
        <w:lastRenderedPageBreak/>
        <w:t>The Consumer Challenge Panel's David He</w:t>
      </w:r>
      <w:r w:rsidR="0014665D">
        <w:t>a</w:t>
      </w:r>
      <w:r>
        <w:t>db</w:t>
      </w:r>
      <w:r w:rsidR="0014665D">
        <w:t>er</w:t>
      </w:r>
      <w:r>
        <w:t>ry stated that</w:t>
      </w:r>
      <w:r w:rsidR="002D0DBE">
        <w:t xml:space="preserve"> TasNetworks has not </w:t>
      </w:r>
      <w:r w:rsidR="00C75305">
        <w:t>demonstrated</w:t>
      </w:r>
      <w:r w:rsidR="002D0DBE">
        <w:t xml:space="preserve"> that its public lighting prices are refle</w:t>
      </w:r>
      <w:r w:rsidR="008133CE">
        <w:t>ctive of its costs</w:t>
      </w:r>
      <w:r>
        <w:t>.</w:t>
      </w:r>
      <w:r w:rsidR="0014665D">
        <w:rPr>
          <w:rStyle w:val="FootnoteReference"/>
        </w:rPr>
        <w:footnoteReference w:id="27"/>
      </w:r>
    </w:p>
    <w:p w:rsidR="004543C4" w:rsidRDefault="00C54526" w:rsidP="004543C4">
      <w:r>
        <w:t>We consider that TasNetworks</w:t>
      </w:r>
      <w:r w:rsidR="00912A8E">
        <w:t>’</w:t>
      </w:r>
      <w:r>
        <w:t xml:space="preserve"> </w:t>
      </w:r>
      <w:r w:rsidR="00831F27">
        <w:t xml:space="preserve">public lighting </w:t>
      </w:r>
      <w:r>
        <w:t xml:space="preserve">proposal </w:t>
      </w:r>
      <w:r w:rsidR="0014665D">
        <w:t xml:space="preserve">has demonstrated that it is </w:t>
      </w:r>
      <w:r>
        <w:t>reflective of its cost</w:t>
      </w:r>
      <w:r w:rsidR="00831F27">
        <w:t>s</w:t>
      </w:r>
      <w:r>
        <w:t xml:space="preserve"> </w:t>
      </w:r>
      <w:r w:rsidR="004543C4">
        <w:t xml:space="preserve">and that the existing pricing approach is appropriate. </w:t>
      </w:r>
    </w:p>
    <w:p w:rsidR="00F25730" w:rsidRDefault="00831F27" w:rsidP="004543C4">
      <w:pPr>
        <w:spacing w:line="240" w:lineRule="auto"/>
      </w:pPr>
      <w:r>
        <w:t>Across the NEM distributors</w:t>
      </w:r>
      <w:r w:rsidR="00F25730">
        <w:t xml:space="preserve"> typically</w:t>
      </w:r>
      <w:r>
        <w:t xml:space="preserve"> apply the same prices for public lighting across different regions.</w:t>
      </w:r>
      <w:r w:rsidR="00F25730" w:rsidRPr="00F25730">
        <w:t xml:space="preserve"> TasNetworks only</w:t>
      </w:r>
      <w:r w:rsidR="002D0DBE">
        <w:t xml:space="preserve"> has</w:t>
      </w:r>
      <w:r w:rsidR="00F25730" w:rsidRPr="00F25730">
        <w:t xml:space="preserve"> around 46,000 public lights</w:t>
      </w:r>
      <w:r w:rsidR="001412B5">
        <w:t xml:space="preserve"> across Tasmania</w:t>
      </w:r>
      <w:r w:rsidR="00F25730" w:rsidRPr="00F25730">
        <w:t>, a relatively small number that we do not consider justifying breaking down the costs into different regions.</w:t>
      </w:r>
      <w:r w:rsidR="008133CE">
        <w:t xml:space="preserve"> This would require additional administrative cost allocations by TasNetworks that may not result in substantial improvements in cost reflectivity.</w:t>
      </w:r>
    </w:p>
    <w:p w:rsidR="001412B5" w:rsidRDefault="00022C01" w:rsidP="00022C01">
      <w:r>
        <w:t xml:space="preserve">The </w:t>
      </w:r>
      <w:r w:rsidR="00912A8E">
        <w:t>submission</w:t>
      </w:r>
      <w:r>
        <w:rPr>
          <w:rStyle w:val="FootnoteReference"/>
        </w:rPr>
        <w:footnoteReference w:id="28"/>
      </w:r>
      <w:r>
        <w:t xml:space="preserve"> </w:t>
      </w:r>
      <w:r w:rsidRPr="008C7999">
        <w:t>refer</w:t>
      </w:r>
      <w:r>
        <w:t>s</w:t>
      </w:r>
      <w:r w:rsidRPr="008C7999">
        <w:t xml:space="preserve"> to 100w sodium vapour light being $43.64 p.a. and </w:t>
      </w:r>
      <w:r>
        <w:t xml:space="preserve">the </w:t>
      </w:r>
      <w:r w:rsidRPr="008C7999">
        <w:t>400w sodium vapour light being $47.67 p.a</w:t>
      </w:r>
      <w:r w:rsidR="00FC74B7">
        <w:t>.</w:t>
      </w:r>
      <w:r>
        <w:t xml:space="preserve"> in the draft decision</w:t>
      </w:r>
      <w:r w:rsidRPr="008C7999">
        <w:t>.</w:t>
      </w:r>
      <w:r>
        <w:t xml:space="preserve"> </w:t>
      </w:r>
      <w:r w:rsidRPr="008C7999">
        <w:t>These prices are</w:t>
      </w:r>
      <w:r w:rsidR="00912A8E">
        <w:t>,</w:t>
      </w:r>
      <w:r>
        <w:t xml:space="preserve"> however</w:t>
      </w:r>
      <w:r w:rsidR="00912A8E">
        <w:t>,</w:t>
      </w:r>
      <w:r w:rsidRPr="008C7999">
        <w:t xml:space="preserve"> actually cents per day. The</w:t>
      </w:r>
      <w:r w:rsidR="00F06274">
        <w:t>y</w:t>
      </w:r>
      <w:r w:rsidRPr="008C7999">
        <w:t xml:space="preserve"> </w:t>
      </w:r>
      <w:r>
        <w:t>correspond</w:t>
      </w:r>
      <w:r w:rsidR="00F06274">
        <w:t xml:space="preserve"> to</w:t>
      </w:r>
      <w:r>
        <w:t xml:space="preserve"> </w:t>
      </w:r>
      <w:r w:rsidRPr="008C7999">
        <w:t xml:space="preserve">annual prices </w:t>
      </w:r>
      <w:r w:rsidR="00F06274">
        <w:t>of</w:t>
      </w:r>
      <w:r w:rsidR="00F06274" w:rsidRPr="008C7999">
        <w:t xml:space="preserve"> </w:t>
      </w:r>
      <w:r w:rsidRPr="008C7999">
        <w:t>$159.31 and $174.03 respectively.</w:t>
      </w:r>
      <w:r>
        <w:t xml:space="preserve"> </w:t>
      </w:r>
      <w:r w:rsidR="00F06274">
        <w:t xml:space="preserve">The main driver of the difference in these costs is the difference in the Luminaire Unit prices. </w:t>
      </w:r>
    </w:p>
    <w:p w:rsidR="00022C01" w:rsidRDefault="00F06274" w:rsidP="00022C01">
      <w:r>
        <w:t>TasNetworks</w:t>
      </w:r>
      <w:r w:rsidR="00912A8E">
        <w:t>’</w:t>
      </w:r>
      <w:r>
        <w:t xml:space="preserve"> </w:t>
      </w:r>
      <w:r w:rsidR="00022C01">
        <w:t>public lighting model provides a</w:t>
      </w:r>
      <w:r>
        <w:t xml:space="preserve"> build-up and</w:t>
      </w:r>
      <w:r w:rsidR="00022C01">
        <w:t xml:space="preserve"> breakdown of all of the components </w:t>
      </w:r>
      <w:r w:rsidR="007A66A7">
        <w:t xml:space="preserve">and costs </w:t>
      </w:r>
      <w:r w:rsidR="00022C01">
        <w:t>that make up the published</w:t>
      </w:r>
      <w:r>
        <w:t xml:space="preserve"> public lighting</w:t>
      </w:r>
      <w:r w:rsidR="00022C01">
        <w:t xml:space="preserve"> prices.</w:t>
      </w:r>
    </w:p>
    <w:p w:rsidR="002D0DBE" w:rsidRPr="00F25730" w:rsidRDefault="002D0DBE" w:rsidP="00F25730">
      <w:r>
        <w:t>Public lighting costs do not tend to vary significantly across Tasmania's different regions. Whilst there will be additional costs involved in servicing public lights in more remote regions, there are also savings compared to the traffic management costs involved in servicing public lights in more built up</w:t>
      </w:r>
      <w:r w:rsidR="001412B5">
        <w:t xml:space="preserve"> urban</w:t>
      </w:r>
      <w:r>
        <w:t xml:space="preserve"> areas. </w:t>
      </w:r>
    </w:p>
    <w:p w:rsidR="004543C4" w:rsidRDefault="004543C4" w:rsidP="00C54526">
      <w:pPr>
        <w:spacing w:line="240" w:lineRule="auto"/>
      </w:pPr>
      <w:r w:rsidRPr="004543C4">
        <w:t>If the costs were further disaggregated by Tasmanian region, or urban compared to rural, it is not expected that this would result in any significant change in prices. To attempt to break prices down further would increase TasNetworks</w:t>
      </w:r>
      <w:r w:rsidR="00912A8E">
        <w:t>’</w:t>
      </w:r>
      <w:r w:rsidRPr="004543C4">
        <w:t xml:space="preserve"> administrative costs without providing any </w:t>
      </w:r>
      <w:r w:rsidR="00B76620">
        <w:t xml:space="preserve">substantial </w:t>
      </w:r>
      <w:r w:rsidRPr="004543C4">
        <w:t xml:space="preserve">improvement in cost reflectivity to customers. </w:t>
      </w:r>
    </w:p>
    <w:p w:rsidR="00831F27" w:rsidRDefault="00912A8E" w:rsidP="00C54526">
      <w:pPr>
        <w:spacing w:line="240" w:lineRule="auto"/>
      </w:pPr>
      <w:r>
        <w:t>We do</w:t>
      </w:r>
      <w:r w:rsidR="00831F27">
        <w:t xml:space="preserve"> not consider setting prices by region will result in any significant changes in prices</w:t>
      </w:r>
      <w:r w:rsidR="00F25730">
        <w:t xml:space="preserve"> in Tasmania. T</w:t>
      </w:r>
      <w:r w:rsidR="00831F27">
        <w:t>he AER's experience</w:t>
      </w:r>
      <w:r w:rsidR="00F25730">
        <w:t xml:space="preserve"> across the NEM</w:t>
      </w:r>
      <w:r w:rsidR="008D371F">
        <w:t xml:space="preserve"> in public lighting</w:t>
      </w:r>
      <w:r w:rsidR="00831F27">
        <w:t xml:space="preserve"> is</w:t>
      </w:r>
      <w:r w:rsidR="00F25730">
        <w:t xml:space="preserve"> also</w:t>
      </w:r>
      <w:r w:rsidR="00831F27">
        <w:t xml:space="preserve"> that </w:t>
      </w:r>
      <w:r w:rsidR="008133CE">
        <w:t xml:space="preserve">proposals to </w:t>
      </w:r>
      <w:r w:rsidR="008D371F">
        <w:t xml:space="preserve">implement differential costs by location </w:t>
      </w:r>
      <w:r w:rsidR="008133CE">
        <w:t>have</w:t>
      </w:r>
      <w:r w:rsidR="008D371F">
        <w:t xml:space="preserve"> not</w:t>
      </w:r>
      <w:r w:rsidR="00F25730">
        <w:t xml:space="preserve"> been</w:t>
      </w:r>
      <w:r w:rsidR="00831F27">
        <w:t xml:space="preserve"> </w:t>
      </w:r>
      <w:r w:rsidR="008D371F">
        <w:t>supported by</w:t>
      </w:r>
      <w:r w:rsidR="001412B5">
        <w:t xml:space="preserve"> the majority of </w:t>
      </w:r>
      <w:r w:rsidR="008D371F">
        <w:t>local council</w:t>
      </w:r>
      <w:r w:rsidR="001412B5" w:rsidRPr="001412B5">
        <w:t xml:space="preserve"> stakeholders</w:t>
      </w:r>
      <w:r w:rsidR="00831F27">
        <w:t>.</w:t>
      </w:r>
    </w:p>
    <w:p w:rsidR="00C54526" w:rsidRDefault="00831F27" w:rsidP="008C7999">
      <w:pPr>
        <w:spacing w:line="240" w:lineRule="auto"/>
      </w:pPr>
      <w:r>
        <w:t>Final public lighting prices are set out</w:t>
      </w:r>
      <w:r w:rsidR="00CE7BB8">
        <w:t xml:space="preserve"> in Appendix B. </w:t>
      </w:r>
      <w:r>
        <w:t xml:space="preserve"> </w:t>
      </w:r>
    </w:p>
    <w:p w:rsidR="00132D43" w:rsidRDefault="009614BB" w:rsidP="00132D43">
      <w:pPr>
        <w:pStyle w:val="Heading2"/>
      </w:pPr>
      <w:bookmarkStart w:id="100" w:name="_Toc480297168"/>
      <w:bookmarkStart w:id="101" w:name="_Toc481060971"/>
      <w:bookmarkStart w:id="102" w:name="_Toc481060972"/>
      <w:bookmarkEnd w:id="100"/>
      <w:bookmarkEnd w:id="101"/>
      <w:r>
        <w:t>Metering</w:t>
      </w:r>
      <w:bookmarkEnd w:id="102"/>
    </w:p>
    <w:p w:rsidR="00EF63C4" w:rsidRDefault="00AA24C3" w:rsidP="00105A32">
      <w:r w:rsidRPr="00AA24C3">
        <w:t xml:space="preserve">We are responsible for the economic regulation of </w:t>
      </w:r>
      <w:r>
        <w:t xml:space="preserve">regulated </w:t>
      </w:r>
      <w:r w:rsidRPr="00AA24C3">
        <w:t xml:space="preserve">metering services provided by </w:t>
      </w:r>
      <w:r>
        <w:t>TasNetworks</w:t>
      </w:r>
      <w:r w:rsidRPr="00AA24C3">
        <w:t>.</w:t>
      </w:r>
      <w:r>
        <w:t xml:space="preserve"> </w:t>
      </w:r>
      <w:r w:rsidR="00EF63C4">
        <w:t xml:space="preserve">As set out in our draft decision, TasNetworks only provides </w:t>
      </w:r>
      <w:r>
        <w:t xml:space="preserve">regulated </w:t>
      </w:r>
      <w:r w:rsidR="00EF63C4">
        <w:t>type 6 metering services.</w:t>
      </w:r>
      <w:r w:rsidR="00EF63C4">
        <w:rPr>
          <w:rStyle w:val="FootnoteReference"/>
        </w:rPr>
        <w:footnoteReference w:id="29"/>
      </w:r>
      <w:r w:rsidR="00EF63C4">
        <w:t xml:space="preserve"> Therefore, our final decision sets out a charging structure and control mechanism relating to type 6 metering only.</w:t>
      </w:r>
    </w:p>
    <w:p w:rsidR="00105A32" w:rsidRDefault="00105A32" w:rsidP="001B4346">
      <w:pPr>
        <w:pStyle w:val="Heading3"/>
        <w:ind w:left="720"/>
      </w:pPr>
      <w:bookmarkStart w:id="103" w:name="_Toc481060973"/>
      <w:r>
        <w:lastRenderedPageBreak/>
        <w:t>Final decision</w:t>
      </w:r>
      <w:bookmarkEnd w:id="103"/>
    </w:p>
    <w:p w:rsidR="00105A32" w:rsidRDefault="00AA24C3" w:rsidP="00105A32">
      <w:r>
        <w:t>TasNetworks accepted our draft decision.</w:t>
      </w:r>
      <w:r>
        <w:rPr>
          <w:rStyle w:val="FootnoteReference"/>
        </w:rPr>
        <w:footnoteReference w:id="30"/>
      </w:r>
      <w:r>
        <w:t xml:space="preserve"> Therefore, o</w:t>
      </w:r>
      <w:r w:rsidR="00105A32" w:rsidRPr="0042039E">
        <w:t>ur final decisi</w:t>
      </w:r>
      <w:r w:rsidR="00105A32">
        <w:t>on has</w:t>
      </w:r>
      <w:r w:rsidR="00AA17F8">
        <w:t xml:space="preserve"> only</w:t>
      </w:r>
      <w:r w:rsidR="00105A32">
        <w:t xml:space="preserve"> updated the inputs in TasNetworks'</w:t>
      </w:r>
      <w:r w:rsidR="00105A32" w:rsidRPr="0042039E">
        <w:t xml:space="preserve"> </w:t>
      </w:r>
      <w:r w:rsidR="00105A32">
        <w:t>metering</w:t>
      </w:r>
      <w:r w:rsidR="00105A32" w:rsidRPr="0042039E">
        <w:t xml:space="preserve"> model to reflect</w:t>
      </w:r>
      <w:r w:rsidR="002562B3">
        <w:t xml:space="preserve"> actual metering capital expenditure in 2015-16,</w:t>
      </w:r>
      <w:r w:rsidR="00105A32" w:rsidRPr="0042039E">
        <w:t xml:space="preserve"> our final decision weighted average cost of capital and the most recent </w:t>
      </w:r>
      <w:r w:rsidR="00105A32">
        <w:t>CPI</w:t>
      </w:r>
      <w:r w:rsidR="00105A32" w:rsidRPr="0042039E">
        <w:t xml:space="preserve"> escalation. The final decision</w:t>
      </w:r>
      <w:r w:rsidR="00105A32">
        <w:t xml:space="preserve"> first year</w:t>
      </w:r>
      <w:r w:rsidR="00105A32" w:rsidRPr="0042039E">
        <w:t xml:space="preserve"> </w:t>
      </w:r>
      <w:r w:rsidR="00AA17F8" w:rsidRPr="007B0757">
        <w:t>of the 2017–19 regulatory control period</w:t>
      </w:r>
      <w:r w:rsidR="00AA17F8">
        <w:t xml:space="preserve"> </w:t>
      </w:r>
      <w:r w:rsidR="00105A32">
        <w:t>metering</w:t>
      </w:r>
      <w:r w:rsidR="00105A32" w:rsidRPr="0042039E">
        <w:t xml:space="preserve"> prices resulting from these input updates are set out in </w:t>
      </w:r>
      <w:r w:rsidR="00105A32">
        <w:t xml:space="preserve">appendix </w:t>
      </w:r>
      <w:r w:rsidR="007B261F">
        <w:fldChar w:fldCharType="begin"/>
      </w:r>
      <w:r w:rsidR="007B261F">
        <w:instrText xml:space="preserve"> REF _Ref480289474 \r \h </w:instrText>
      </w:r>
      <w:r w:rsidR="007B261F">
        <w:fldChar w:fldCharType="separate"/>
      </w:r>
      <w:r w:rsidR="00013C24">
        <w:t>C</w:t>
      </w:r>
      <w:r w:rsidR="007B261F">
        <w:fldChar w:fldCharType="end"/>
      </w:r>
      <w:r w:rsidR="00105A32" w:rsidRPr="0042039E">
        <w:t>.</w:t>
      </w:r>
    </w:p>
    <w:p w:rsidR="007E355C" w:rsidRDefault="007E355C" w:rsidP="001B4346">
      <w:pPr>
        <w:pStyle w:val="HeadingBoldBlue"/>
      </w:pPr>
      <w:bookmarkStart w:id="104" w:name="_Ref454528724"/>
      <w:r>
        <w:t>Form of control mechanism</w:t>
      </w:r>
      <w:bookmarkEnd w:id="104"/>
    </w:p>
    <w:p w:rsidR="007E355C" w:rsidRDefault="007E355C" w:rsidP="007E355C">
      <w:r>
        <w:t>Our final decision applies</w:t>
      </w:r>
      <w:r w:rsidRPr="00CB408C">
        <w:t xml:space="preserve"> price caps </w:t>
      </w:r>
      <w:r>
        <w:t xml:space="preserve">as the form of control </w:t>
      </w:r>
      <w:r w:rsidRPr="00CB408C">
        <w:t>for individual type 6</w:t>
      </w:r>
      <w:r>
        <w:t> </w:t>
      </w:r>
      <w:r w:rsidRPr="00CB408C">
        <w:t>metering services. This means a schedule of prices is set for the first year</w:t>
      </w:r>
      <w:r>
        <w:t xml:space="preserve"> (set out in appendix</w:t>
      </w:r>
      <w:r w:rsidR="00916B08">
        <w:t xml:space="preserve"> </w:t>
      </w:r>
      <w:r w:rsidR="00916B08">
        <w:fldChar w:fldCharType="begin"/>
      </w:r>
      <w:r w:rsidR="00916B08">
        <w:instrText xml:space="preserve"> REF _Ref477501617 \r \h </w:instrText>
      </w:r>
      <w:r w:rsidR="00916B08">
        <w:fldChar w:fldCharType="separate"/>
      </w:r>
      <w:r w:rsidR="00013C24">
        <w:t>C</w:t>
      </w:r>
      <w:r w:rsidR="00916B08">
        <w:fldChar w:fldCharType="end"/>
      </w:r>
      <w:r w:rsidRPr="00CB408C">
        <w:t>. For the following years the previous year’s prices are adjusted by CPI and an X factor. The control mechanism formula is set out below:</w:t>
      </w:r>
    </w:p>
    <w:p w:rsidR="007E355C" w:rsidRPr="00BD4624" w:rsidRDefault="007E355C" w:rsidP="007E355C">
      <w:r w:rsidRPr="007E355C">
        <w:rPr>
          <w:position w:val="-12"/>
        </w:rPr>
        <w:object w:dxaOrig="800" w:dyaOrig="380">
          <v:shape id="_x0000_i1044" type="#_x0000_t75" style="width:40.7pt;height:20.65pt" o:ole="">
            <v:imagedata r:id="rId53" o:title=""/>
          </v:shape>
          <o:OLEObject Type="Embed" ProgID="Equation.3" ShapeID="_x0000_i1044" DrawAspect="Content" ObjectID="_1554802980" r:id="rId54"/>
        </w:object>
      </w:r>
      <w:r>
        <w:tab/>
      </w:r>
      <w:r>
        <w:tab/>
      </w:r>
      <w:r>
        <w:tab/>
      </w:r>
      <w:r>
        <w:tab/>
      </w:r>
      <w:r>
        <w:tab/>
      </w:r>
      <w:r>
        <w:tab/>
      </w:r>
      <w:r>
        <w:tab/>
      </w:r>
      <w:r>
        <w:tab/>
      </w:r>
      <w:proofErr w:type="spellStart"/>
      <w:r>
        <w:t>i</w:t>
      </w:r>
      <w:proofErr w:type="spellEnd"/>
      <w:r>
        <w:t>=1,...</w:t>
      </w:r>
      <w:proofErr w:type="gramStart"/>
      <w:r>
        <w:t>,n</w:t>
      </w:r>
      <w:proofErr w:type="gramEnd"/>
      <w:r>
        <w:t xml:space="preserve"> and t=1,…2</w:t>
      </w:r>
    </w:p>
    <w:p w:rsidR="007E355C" w:rsidRPr="00BD4624" w:rsidRDefault="007E355C" w:rsidP="007E355C">
      <w:r w:rsidRPr="007E355C">
        <w:rPr>
          <w:position w:val="-12"/>
        </w:rPr>
        <w:object w:dxaOrig="3300" w:dyaOrig="380">
          <v:shape id="_x0000_i1045" type="#_x0000_t75" style="width:162.8pt;height:20.65pt" o:ole="">
            <v:imagedata r:id="rId55" o:title=""/>
          </v:shape>
          <o:OLEObject Type="Embed" ProgID="Equation.3" ShapeID="_x0000_i1045" DrawAspect="Content" ObjectID="_1554802981" r:id="rId56"/>
        </w:object>
      </w:r>
    </w:p>
    <w:p w:rsidR="007E355C" w:rsidRPr="00BD4624" w:rsidRDefault="007E355C" w:rsidP="007E355C">
      <w:r w:rsidRPr="000700B4">
        <w:t>Where:</w:t>
      </w:r>
    </w:p>
    <w:p w:rsidR="007E355C" w:rsidRPr="00BD4624" w:rsidRDefault="007E355C" w:rsidP="007E355C">
      <w:r w:rsidRPr="007E355C">
        <w:rPr>
          <w:position w:val="-12"/>
        </w:rPr>
        <w:object w:dxaOrig="300" w:dyaOrig="380">
          <v:shape id="_x0000_i1046" type="#_x0000_t75" style="width:13.75pt;height:20.65pt" o:ole="">
            <v:imagedata r:id="rId57" o:title=""/>
          </v:shape>
          <o:OLEObject Type="Embed" ProgID="Equation.3" ShapeID="_x0000_i1046" DrawAspect="Content" ObjectID="_1554802982" r:id="rId58"/>
        </w:object>
      </w:r>
      <w:r>
        <w:tab/>
      </w:r>
      <w:r>
        <w:tab/>
      </w:r>
      <w:proofErr w:type="gramStart"/>
      <w:r w:rsidRPr="00BD4624">
        <w:t>is</w:t>
      </w:r>
      <w:proofErr w:type="gramEnd"/>
      <w:r w:rsidRPr="00BD4624">
        <w:t xml:space="preserve"> the cap on the price of service </w:t>
      </w:r>
      <w:proofErr w:type="spellStart"/>
      <w:r w:rsidRPr="001B4346">
        <w:rPr>
          <w:rStyle w:val="Emphasis"/>
        </w:rPr>
        <w:t>i</w:t>
      </w:r>
      <w:proofErr w:type="spellEnd"/>
      <w:r w:rsidRPr="00BD4624">
        <w:t xml:space="preserve"> in year </w:t>
      </w:r>
      <w:r w:rsidRPr="001B4346">
        <w:rPr>
          <w:rStyle w:val="Emphasis"/>
        </w:rPr>
        <w:t>t</w:t>
      </w:r>
    </w:p>
    <w:p w:rsidR="007E355C" w:rsidRDefault="007E355C" w:rsidP="007E355C">
      <w:r w:rsidRPr="007E355C">
        <w:rPr>
          <w:position w:val="-12"/>
        </w:rPr>
        <w:object w:dxaOrig="300" w:dyaOrig="380">
          <v:shape id="_x0000_i1047" type="#_x0000_t75" style="width:13.75pt;height:20.65pt" o:ole="">
            <v:imagedata r:id="rId59" o:title=""/>
          </v:shape>
          <o:OLEObject Type="Embed" ProgID="Equation.3" ShapeID="_x0000_i1047" DrawAspect="Content" ObjectID="_1554802983" r:id="rId60"/>
        </w:object>
      </w:r>
      <w:r>
        <w:tab/>
      </w:r>
      <w:r>
        <w:tab/>
      </w:r>
      <w:proofErr w:type="gramStart"/>
      <w:r w:rsidRPr="00BD4624">
        <w:t>is</w:t>
      </w:r>
      <w:proofErr w:type="gramEnd"/>
      <w:r w:rsidRPr="00BD4624">
        <w:t xml:space="preserve"> the price of service </w:t>
      </w:r>
      <w:proofErr w:type="spellStart"/>
      <w:r w:rsidRPr="001B4346">
        <w:rPr>
          <w:rStyle w:val="Emphasis"/>
        </w:rPr>
        <w:t>i</w:t>
      </w:r>
      <w:proofErr w:type="spellEnd"/>
      <w:r w:rsidRPr="00BD4624">
        <w:t xml:space="preserve"> in year </w:t>
      </w:r>
      <w:r w:rsidRPr="001B4346">
        <w:rPr>
          <w:rStyle w:val="Emphasis"/>
        </w:rPr>
        <w:t>t</w:t>
      </w:r>
      <w:r w:rsidRPr="00BD4624">
        <w:t>. The initial value is to be decided in the determination.</w:t>
      </w:r>
    </w:p>
    <w:p w:rsidR="007E355C" w:rsidRDefault="007E355C" w:rsidP="007E355C">
      <w:r w:rsidRPr="007E355C">
        <w:rPr>
          <w:position w:val="-12"/>
        </w:rPr>
        <w:object w:dxaOrig="420" w:dyaOrig="380">
          <v:shape id="_x0000_i1048" type="#_x0000_t75" style="width:18.8pt;height:20.65pt" o:ole="">
            <v:imagedata r:id="rId61" o:title=""/>
          </v:shape>
          <o:OLEObject Type="Embed" ProgID="Equation.3" ShapeID="_x0000_i1048" DrawAspect="Content" ObjectID="_1554802984" r:id="rId62"/>
        </w:object>
      </w:r>
      <w:r>
        <w:tab/>
      </w:r>
      <w:proofErr w:type="gramStart"/>
      <w:r w:rsidRPr="00BD4624">
        <w:t>is</w:t>
      </w:r>
      <w:proofErr w:type="gramEnd"/>
      <w:r w:rsidRPr="00BD4624">
        <w:t xml:space="preserve"> the cap on the price of service </w:t>
      </w:r>
      <w:proofErr w:type="spellStart"/>
      <w:r w:rsidRPr="001B4346">
        <w:rPr>
          <w:rStyle w:val="Emphasis"/>
        </w:rPr>
        <w:t>i</w:t>
      </w:r>
      <w:proofErr w:type="spellEnd"/>
      <w:r w:rsidRPr="00BD4624">
        <w:t xml:space="preserve"> in year </w:t>
      </w:r>
      <w:r w:rsidRPr="001B4346">
        <w:rPr>
          <w:rStyle w:val="Emphasis"/>
        </w:rPr>
        <w:t>t</w:t>
      </w:r>
    </w:p>
    <w:p w:rsidR="007E355C" w:rsidRPr="00BD4624" w:rsidRDefault="007E355C" w:rsidP="007E355C">
      <w:r w:rsidRPr="007E355C">
        <w:rPr>
          <w:position w:val="-6"/>
        </w:rPr>
        <w:object w:dxaOrig="139" w:dyaOrig="240">
          <v:shape id="_x0000_i1049" type="#_x0000_t75" style="width:6.25pt;height:13.75pt" o:ole="">
            <v:imagedata r:id="rId63" o:title=""/>
          </v:shape>
          <o:OLEObject Type="Embed" ProgID="Equation.3" ShapeID="_x0000_i1049" DrawAspect="Content" ObjectID="_1554802985" r:id="rId64"/>
        </w:object>
      </w:r>
      <w:r>
        <w:tab/>
      </w:r>
      <w:r>
        <w:tab/>
      </w:r>
      <w:proofErr w:type="gramStart"/>
      <w:r>
        <w:t>is</w:t>
      </w:r>
      <w:proofErr w:type="gramEnd"/>
      <w:r>
        <w:t xml:space="preserve"> the regulatory year</w:t>
      </w:r>
    </w:p>
    <w:p w:rsidR="007E355C" w:rsidRPr="001C4D2E" w:rsidRDefault="007E355C" w:rsidP="007E355C">
      <w:pPr>
        <w:numPr>
          <w:ilvl w:val="0"/>
          <w:numId w:val="24"/>
        </w:numPr>
      </w:pPr>
      <w:r w:rsidRPr="007E355C">
        <w:rPr>
          <w:position w:val="-12"/>
        </w:rPr>
        <w:object w:dxaOrig="720" w:dyaOrig="380">
          <v:shape id="_x0000_i1050" type="#_x0000_t75" style="width:37.55pt;height:20.65pt" o:ole="">
            <v:imagedata r:id="rId65" o:title=""/>
          </v:shape>
          <o:OLEObject Type="Embed" ProgID="Equation.3" ShapeID="_x0000_i1050" DrawAspect="Content" ObjectID="_1554802986" r:id="rId66"/>
        </w:object>
      </w:r>
      <w:r w:rsidRPr="00384389">
        <w:t xml:space="preserve"> </w:t>
      </w:r>
      <w:r w:rsidRPr="001C4D2E">
        <w:t>is the annual percentage change in the ABS consumer price index (CPI) All Groups, Weighted Average of Eight Capital Cities</w:t>
      </w:r>
      <w:r>
        <w:rPr>
          <w:rStyle w:val="FootnoteReference"/>
        </w:rPr>
        <w:footnoteReference w:id="31"/>
      </w:r>
      <w:r w:rsidRPr="001C4D2E">
        <w:t xml:space="preserve"> from the </w:t>
      </w:r>
      <w:r>
        <w:t>December</w:t>
      </w:r>
      <w:r w:rsidRPr="001C4D2E">
        <w:t xml:space="preserve"> quarter in year</w:t>
      </w:r>
      <w:r>
        <w:t> </w:t>
      </w:r>
      <w:r w:rsidRPr="001C4D2E">
        <w:t xml:space="preserve">t–2 to the </w:t>
      </w:r>
      <w:r>
        <w:t>December</w:t>
      </w:r>
      <w:r w:rsidRPr="001C4D2E">
        <w:t xml:space="preserve"> quarter in year t–1, calcul</w:t>
      </w:r>
      <w:r>
        <w:t>ated using the following method:</w:t>
      </w:r>
    </w:p>
    <w:p w:rsidR="007E355C" w:rsidRPr="001C4D2E" w:rsidRDefault="007E355C" w:rsidP="007E355C">
      <w:pPr>
        <w:pStyle w:val="ListContinue"/>
      </w:pPr>
      <w:r w:rsidRPr="001C4D2E">
        <w:t xml:space="preserve">The ABS CPI All Groups, Weighted Average of Eight Capital Cities for the </w:t>
      </w:r>
      <w:r>
        <w:t>December</w:t>
      </w:r>
      <w:r w:rsidRPr="001C4D2E">
        <w:t xml:space="preserve"> quarter in regulatory year t–1</w:t>
      </w:r>
    </w:p>
    <w:p w:rsidR="007E355C" w:rsidRPr="001C4D2E" w:rsidRDefault="007E355C" w:rsidP="007E355C">
      <w:pPr>
        <w:pStyle w:val="ListContinue"/>
      </w:pPr>
      <w:r w:rsidRPr="001C4D2E">
        <w:t>divided by</w:t>
      </w:r>
    </w:p>
    <w:p w:rsidR="007E355C" w:rsidRPr="001C4D2E" w:rsidRDefault="007E355C" w:rsidP="007E355C">
      <w:pPr>
        <w:pStyle w:val="ListContinue"/>
      </w:pPr>
      <w:r w:rsidRPr="001C4D2E">
        <w:t xml:space="preserve">The ABS CPI All Groups, Weighted Average of Eight Capital Cities for the </w:t>
      </w:r>
      <w:r>
        <w:t>December</w:t>
      </w:r>
      <w:r w:rsidRPr="001C4D2E">
        <w:t xml:space="preserve"> quarter in regulatory year t–2</w:t>
      </w:r>
    </w:p>
    <w:p w:rsidR="007E355C" w:rsidRPr="001C4D2E" w:rsidRDefault="007E355C" w:rsidP="007E355C">
      <w:pPr>
        <w:pStyle w:val="ListContinue"/>
      </w:pPr>
      <w:r w:rsidRPr="001C4D2E">
        <w:lastRenderedPageBreak/>
        <w:t>minus one.</w:t>
      </w:r>
    </w:p>
    <w:p w:rsidR="007E355C" w:rsidRPr="00BD4624" w:rsidRDefault="007E355C" w:rsidP="007E355C">
      <w:pPr>
        <w:numPr>
          <w:ilvl w:val="0"/>
          <w:numId w:val="24"/>
        </w:numPr>
      </w:pPr>
      <w:r w:rsidRPr="001C4D2E">
        <w:t>For example, for</w:t>
      </w:r>
      <w:r>
        <w:t xml:space="preserve"> </w:t>
      </w:r>
      <w:r w:rsidRPr="001C4D2E">
        <w:t>2018</w:t>
      </w:r>
      <w:r>
        <w:t>–19,</w:t>
      </w:r>
      <w:r w:rsidRPr="001C4D2E">
        <w:t xml:space="preserve"> year t–2 is the </w:t>
      </w:r>
      <w:r>
        <w:t>December</w:t>
      </w:r>
      <w:r w:rsidRPr="001C4D2E">
        <w:t xml:space="preserve"> quarter 2016 and</w:t>
      </w:r>
      <w:r>
        <w:t xml:space="preserve"> year</w:t>
      </w:r>
      <w:r w:rsidRPr="001C4D2E">
        <w:t xml:space="preserve"> t–1 is the </w:t>
      </w:r>
      <w:r>
        <w:t>December</w:t>
      </w:r>
      <w:r w:rsidRPr="001C4D2E">
        <w:t xml:space="preserve"> quarter 2017.</w:t>
      </w:r>
    </w:p>
    <w:p w:rsidR="007E355C" w:rsidRPr="00BD4624" w:rsidRDefault="007E355C" w:rsidP="007E355C">
      <w:r w:rsidRPr="007E355C">
        <w:rPr>
          <w:position w:val="-12"/>
        </w:rPr>
        <w:object w:dxaOrig="340" w:dyaOrig="380">
          <v:shape id="_x0000_i1051" type="#_x0000_t75" style="width:20.65pt;height:20.65pt" o:ole="">
            <v:imagedata r:id="rId67" o:title=""/>
          </v:shape>
          <o:OLEObject Type="Embed" ProgID="Equation.3" ShapeID="_x0000_i1051" DrawAspect="Content" ObjectID="_1554802987" r:id="rId68"/>
        </w:object>
      </w:r>
      <w:r>
        <w:tab/>
      </w:r>
      <w:proofErr w:type="gramStart"/>
      <w:r w:rsidRPr="00BD4624">
        <w:t>is</w:t>
      </w:r>
      <w:proofErr w:type="gramEnd"/>
      <w:r w:rsidRPr="00BD4624">
        <w:t xml:space="preserve"> the </w:t>
      </w:r>
      <w:r>
        <w:t xml:space="preserve">values set out in </w:t>
      </w:r>
      <w:r>
        <w:fldChar w:fldCharType="begin"/>
      </w:r>
      <w:r>
        <w:instrText xml:space="preserve"> REF  _Ref457997338 \* Lower \h </w:instrText>
      </w:r>
      <w:r>
        <w:fldChar w:fldCharType="separate"/>
      </w:r>
      <w:r w:rsidR="00013C24">
        <w:t xml:space="preserve">table </w:t>
      </w:r>
      <w:r w:rsidR="00013C24">
        <w:rPr>
          <w:noProof/>
        </w:rPr>
        <w:t>16</w:t>
      </w:r>
      <w:r w:rsidR="00013C24">
        <w:t>.</w:t>
      </w:r>
      <w:r w:rsidR="00013C24">
        <w:rPr>
          <w:noProof/>
        </w:rPr>
        <w:t>3</w:t>
      </w:r>
      <w:r>
        <w:fldChar w:fldCharType="end"/>
      </w:r>
      <w:r>
        <w:t>.</w:t>
      </w:r>
    </w:p>
    <w:p w:rsidR="007E355C" w:rsidRDefault="007E355C" w:rsidP="007E355C">
      <w:pPr>
        <w:pStyle w:val="Caption"/>
      </w:pPr>
      <w:bookmarkStart w:id="105" w:name="_Ref457997338"/>
      <w:bookmarkStart w:id="106" w:name="_Ref457997335"/>
      <w:r>
        <w:t xml:space="preserve">Table </w:t>
      </w:r>
      <w:r w:rsidRPr="007E355C">
        <w:fldChar w:fldCharType="begin"/>
      </w:r>
      <w:r>
        <w:instrText xml:space="preserve"> STYLEREF 1 \s </w:instrText>
      </w:r>
      <w:r w:rsidRPr="007E355C">
        <w:fldChar w:fldCharType="separate"/>
      </w:r>
      <w:r w:rsidR="00013C24">
        <w:rPr>
          <w:noProof/>
        </w:rPr>
        <w:t>16</w:t>
      </w:r>
      <w:r w:rsidRPr="007E355C">
        <w:fldChar w:fldCharType="end"/>
      </w:r>
      <w:r>
        <w:t>.</w:t>
      </w:r>
      <w:r w:rsidRPr="007E355C">
        <w:fldChar w:fldCharType="begin"/>
      </w:r>
      <w:r>
        <w:instrText xml:space="preserve"> SEQ Table \* ARABIC \s 1 </w:instrText>
      </w:r>
      <w:r w:rsidRPr="007E355C">
        <w:fldChar w:fldCharType="separate"/>
      </w:r>
      <w:r w:rsidR="00013C24">
        <w:rPr>
          <w:noProof/>
        </w:rPr>
        <w:t>3</w:t>
      </w:r>
      <w:r w:rsidRPr="007E355C">
        <w:fldChar w:fldCharType="end"/>
      </w:r>
      <w:bookmarkEnd w:id="105"/>
      <w:r>
        <w:tab/>
        <w:t>X factor for annual metering charges</w:t>
      </w:r>
      <w:bookmarkEnd w:id="106"/>
    </w:p>
    <w:tbl>
      <w:tblPr>
        <w:tblStyle w:val="AERtable-numbers"/>
        <w:tblW w:w="0" w:type="auto"/>
        <w:tblLook w:val="04A0" w:firstRow="1" w:lastRow="0" w:firstColumn="1" w:lastColumn="0" w:noHBand="0" w:noVBand="1"/>
      </w:tblPr>
      <w:tblGrid>
        <w:gridCol w:w="4346"/>
        <w:gridCol w:w="4347"/>
      </w:tblGrid>
      <w:tr w:rsidR="007E355C" w:rsidTr="007E3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E355C" w:rsidRDefault="007E355C" w:rsidP="007E355C"/>
        </w:tc>
        <w:tc>
          <w:tcPr>
            <w:tcW w:w="4347" w:type="dxa"/>
          </w:tcPr>
          <w:p w:rsidR="007E355C" w:rsidRPr="007E355C" w:rsidRDefault="007E355C" w:rsidP="007E355C">
            <w:pPr>
              <w:cnfStyle w:val="100000000000" w:firstRow="1" w:lastRow="0" w:firstColumn="0" w:lastColumn="0" w:oddVBand="0" w:evenVBand="0" w:oddHBand="0" w:evenHBand="0" w:firstRowFirstColumn="0" w:firstRowLastColumn="0" w:lastRowFirstColumn="0" w:lastRowLastColumn="0"/>
            </w:pPr>
            <w:r>
              <w:t>2018–19</w:t>
            </w:r>
          </w:p>
        </w:tc>
      </w:tr>
      <w:tr w:rsidR="007E355C" w:rsidTr="007E355C">
        <w:tc>
          <w:tcPr>
            <w:cnfStyle w:val="001000000000" w:firstRow="0" w:lastRow="0" w:firstColumn="1" w:lastColumn="0" w:oddVBand="0" w:evenVBand="0" w:oddHBand="0" w:evenHBand="0" w:firstRowFirstColumn="0" w:firstRowLastColumn="0" w:lastRowFirstColumn="0" w:lastRowLastColumn="0"/>
            <w:tcW w:w="4346" w:type="dxa"/>
          </w:tcPr>
          <w:p w:rsidR="007E355C" w:rsidRPr="007E355C" w:rsidRDefault="007E355C" w:rsidP="007E355C">
            <w:r>
              <w:t>X factor (non–capital component)</w:t>
            </w:r>
          </w:p>
        </w:tc>
        <w:tc>
          <w:tcPr>
            <w:tcW w:w="4347" w:type="dxa"/>
          </w:tcPr>
          <w:p w:rsidR="007E355C" w:rsidRPr="007E355C" w:rsidRDefault="007E355C" w:rsidP="007E355C">
            <w:pPr>
              <w:cnfStyle w:val="000000000000" w:firstRow="0" w:lastRow="0" w:firstColumn="0" w:lastColumn="0" w:oddVBand="0" w:evenVBand="0" w:oddHBand="0" w:evenHBand="0" w:firstRowFirstColumn="0" w:firstRowLastColumn="0" w:lastRowFirstColumn="0" w:lastRowLastColumn="0"/>
            </w:pPr>
            <w:r>
              <w:t>0.0</w:t>
            </w:r>
          </w:p>
        </w:tc>
      </w:tr>
      <w:tr w:rsidR="007E355C" w:rsidTr="007E35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E355C" w:rsidRPr="007E355C" w:rsidRDefault="007E355C" w:rsidP="007E355C">
            <w:r>
              <w:t>X</w:t>
            </w:r>
            <w:r w:rsidRPr="007E355C">
              <w:t xml:space="preserve"> factor (capital component)</w:t>
            </w:r>
          </w:p>
        </w:tc>
        <w:tc>
          <w:tcPr>
            <w:tcW w:w="4347" w:type="dxa"/>
          </w:tcPr>
          <w:p w:rsidR="007E355C" w:rsidRPr="007E355C" w:rsidRDefault="007E355C" w:rsidP="007E355C">
            <w:pPr>
              <w:cnfStyle w:val="000000010000" w:firstRow="0" w:lastRow="0" w:firstColumn="0" w:lastColumn="0" w:oddVBand="0" w:evenVBand="0" w:oddHBand="0" w:evenHBand="1" w:firstRowFirstColumn="0" w:firstRowLastColumn="0" w:lastRowFirstColumn="0" w:lastRowLastColumn="0"/>
            </w:pPr>
            <w:r>
              <w:t>0.0</w:t>
            </w:r>
          </w:p>
        </w:tc>
      </w:tr>
    </w:tbl>
    <w:p w:rsidR="007E355C" w:rsidRPr="00213CD9" w:rsidRDefault="007E355C" w:rsidP="007E355C">
      <w:pPr>
        <w:pStyle w:val="AERtablesource"/>
      </w:pPr>
      <w:r>
        <w:t xml:space="preserve">Source: </w:t>
      </w:r>
      <w:r>
        <w:tab/>
        <w:t>AER analysis.</w:t>
      </w:r>
    </w:p>
    <w:p w:rsidR="00105A32" w:rsidRPr="00105A32" w:rsidRDefault="00105A32" w:rsidP="001B4346">
      <w:pPr>
        <w:pStyle w:val="Heading3"/>
        <w:ind w:left="720"/>
      </w:pPr>
      <w:bookmarkStart w:id="107" w:name="_Toc481060974"/>
      <w:r w:rsidRPr="00105A32">
        <w:t>TasNetworks' revised proposal</w:t>
      </w:r>
      <w:bookmarkEnd w:id="107"/>
    </w:p>
    <w:p w:rsidR="007E355C" w:rsidRPr="009E1096" w:rsidRDefault="00105A32" w:rsidP="00690FF2">
      <w:r>
        <w:t>TasNetworks' accepted our draft decision on metering.</w:t>
      </w:r>
      <w:r>
        <w:rPr>
          <w:rStyle w:val="FootnoteReference"/>
        </w:rPr>
        <w:footnoteReference w:id="32"/>
      </w:r>
      <w:r w:rsidRPr="0042039E">
        <w:t xml:space="preserve"> </w:t>
      </w:r>
    </w:p>
    <w:p w:rsidR="00132D43" w:rsidRDefault="0046594F" w:rsidP="00132D43">
      <w:pPr>
        <w:pStyle w:val="Heading7"/>
      </w:pPr>
      <w:bookmarkStart w:id="108" w:name="_Ref466557911"/>
      <w:bookmarkStart w:id="109" w:name="_Toc481060975"/>
      <w:r>
        <w:lastRenderedPageBreak/>
        <w:t>Ancillary network services</w:t>
      </w:r>
      <w:bookmarkEnd w:id="108"/>
      <w:r w:rsidR="007E355C">
        <w:t xml:space="preserve"> prices</w:t>
      </w:r>
      <w:bookmarkEnd w:id="109"/>
    </w:p>
    <w:p w:rsidR="0046594F" w:rsidRDefault="0046594F" w:rsidP="0046594F">
      <w:pPr>
        <w:pStyle w:val="Caption"/>
      </w:pPr>
      <w:bookmarkStart w:id="110" w:name="_Ref466557938"/>
      <w:r>
        <w:t xml:space="preserve">Table </w:t>
      </w:r>
      <w:fldSimple w:instr=" STYLEREF 1 \s ">
        <w:r w:rsidR="00013C24">
          <w:rPr>
            <w:noProof/>
          </w:rPr>
          <w:t>16</w:t>
        </w:r>
      </w:fldSimple>
      <w:r w:rsidR="005654A2">
        <w:t>.</w:t>
      </w:r>
      <w:fldSimple w:instr=" SEQ Table \* ARABIC \s 1 ">
        <w:r w:rsidR="00013C24">
          <w:rPr>
            <w:noProof/>
          </w:rPr>
          <w:t>4</w:t>
        </w:r>
      </w:fldSimple>
      <w:bookmarkEnd w:id="110"/>
      <w:r>
        <w:tab/>
        <w:t>Fee based ancillary network service prices for 2017–18,</w:t>
      </w:r>
      <w:r w:rsidR="00592694">
        <w:t xml:space="preserve"> AER</w:t>
      </w:r>
      <w:r>
        <w:t xml:space="preserve"> final decision ($201</w:t>
      </w:r>
      <w:r w:rsidR="00AA17F8">
        <w:t>7</w:t>
      </w:r>
      <w:r>
        <w:t>–1</w:t>
      </w:r>
      <w:r w:rsidR="00AA17F8">
        <w:t>8</w:t>
      </w:r>
      <w:r>
        <w:t>)</w:t>
      </w:r>
    </w:p>
    <w:tbl>
      <w:tblPr>
        <w:tblStyle w:val="AERtable-numbers"/>
        <w:tblW w:w="8755" w:type="dxa"/>
        <w:tblLook w:val="04A0" w:firstRow="1" w:lastRow="0" w:firstColumn="1" w:lastColumn="0" w:noHBand="0" w:noVBand="1"/>
      </w:tblPr>
      <w:tblGrid>
        <w:gridCol w:w="5495"/>
        <w:gridCol w:w="3260"/>
      </w:tblGrid>
      <w:tr w:rsidR="009871AD" w:rsidTr="001B43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Fee based service</w:t>
            </w:r>
          </w:p>
        </w:tc>
        <w:tc>
          <w:tcPr>
            <w:tcW w:w="3260" w:type="dxa"/>
          </w:tcPr>
          <w:p w:rsidR="009871AD" w:rsidRPr="0046594F" w:rsidRDefault="009871AD" w:rsidP="0046594F">
            <w:pPr>
              <w:cnfStyle w:val="100000000000" w:firstRow="1" w:lastRow="0" w:firstColumn="0" w:lastColumn="0" w:oddVBand="0" w:evenVBand="0" w:oddHBand="0" w:evenHBand="0" w:firstRowFirstColumn="0" w:firstRowLastColumn="0" w:lastRowFirstColumn="0" w:lastRowLastColumn="0"/>
            </w:pPr>
            <w:r>
              <w:t>Final decision price</w:t>
            </w:r>
            <w:r w:rsidR="009614BB">
              <w:t>s</w:t>
            </w:r>
          </w:p>
        </w:tc>
      </w:tr>
      <w:tr w:rsidR="009871AD" w:rsidRPr="00601E72"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sidRPr="00601E72">
              <w:rPr>
                <w:rStyle w:val="Strong"/>
              </w:rPr>
              <w:t>Energisation, de</w:t>
            </w:r>
            <w:r w:rsidRPr="00601E72">
              <w:rPr>
                <w:rStyle w:val="Strong"/>
              </w:rPr>
              <w:noBreakHyphen/>
              <w:t>energisation, re</w:t>
            </w:r>
            <w:r w:rsidRPr="00601E72">
              <w:rPr>
                <w:rStyle w:val="Strong"/>
              </w:rPr>
              <w:noBreakHyphen/>
              <w:t>energisation and special reads</w:t>
            </w:r>
          </w:p>
        </w:tc>
        <w:tc>
          <w:tcPr>
            <w:tcW w:w="3260" w:type="dxa"/>
          </w:tcPr>
          <w:p w:rsidR="009871AD" w:rsidRPr="00601E72" w:rsidRDefault="009871AD" w:rsidP="0046594F">
            <w:pPr>
              <w:cnfStyle w:val="000000000000" w:firstRow="0" w:lastRow="0" w:firstColumn="0" w:lastColumn="0" w:oddVBand="0" w:evenVBand="0" w:oddHBand="0" w:evenHBand="0" w:firstRowFirstColumn="0" w:firstRowLastColumn="0" w:lastRowFirstColumn="0" w:lastRowLastColumn="0"/>
              <w:rPr>
                <w:rStyle w:val="Strong"/>
              </w:rPr>
            </w:pP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Site visit – no appointment</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59.53</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Site visit – non</w:t>
            </w:r>
            <w:r>
              <w:noBreakHyphen/>
              <w:t>scheduled visit</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131.59</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Site visit – same day premium service</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222.84</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Site visit – after hours</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350.32</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Site visit – credit action or site issues</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138.47</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Site visit – credit action pillar box/pole top</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248.47</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Site visit – current transformer (CT) metering</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129.03</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Site visit – pillar box/pole top</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248.47</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Site visit – pillar box/pole top wasted visit</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148.13</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Transfer of </w:t>
            </w:r>
            <w:r w:rsidRPr="0046594F">
              <w:t>retailer</w:t>
            </w:r>
          </w:p>
        </w:tc>
        <w:tc>
          <w:tcPr>
            <w:tcW w:w="3260" w:type="dxa"/>
          </w:tcPr>
          <w:p w:rsidR="009871AD" w:rsidRPr="0046594F" w:rsidRDefault="009871AD" w:rsidP="0046594F">
            <w:pPr>
              <w:cnfStyle w:val="000000000000" w:firstRow="0" w:lastRow="0" w:firstColumn="0" w:lastColumn="0" w:oddVBand="0" w:evenVBand="0" w:oddHBand="0" w:evenHBand="0" w:firstRowFirstColumn="0" w:firstRowLastColumn="0" w:lastRowFirstColumn="0" w:lastRowLastColumn="0"/>
            </w:pPr>
            <w:r>
              <w:t>0.00</w:t>
            </w:r>
          </w:p>
        </w:tc>
      </w:tr>
      <w:tr w:rsidR="009871AD" w:rsidRPr="00601E72"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sidRPr="00601E72">
              <w:rPr>
                <w:rStyle w:val="Strong"/>
              </w:rPr>
              <w:t>Meter alteration</w:t>
            </w:r>
          </w:p>
        </w:tc>
        <w:tc>
          <w:tcPr>
            <w:tcW w:w="3260" w:type="dxa"/>
          </w:tcPr>
          <w:p w:rsidR="009871AD" w:rsidRPr="00601E72" w:rsidRDefault="009871AD" w:rsidP="0046594F">
            <w:pPr>
              <w:cnfStyle w:val="000000010000" w:firstRow="0" w:lastRow="0" w:firstColumn="0" w:lastColumn="0" w:oddVBand="0" w:evenVBand="0" w:oddHBand="0" w:evenHBand="1" w:firstRowFirstColumn="0" w:firstRowLastColumn="0" w:lastRowFirstColumn="0" w:lastRowLastColumn="0"/>
              <w:rPr>
                <w:rStyle w:val="Strong"/>
              </w:rPr>
            </w:pP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Tariff alteration – single phase</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139.88</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Tariff alteration – multi phase</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183.33</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Adjust time clock</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81.24</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Install pulse outputs</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129.03</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Remove meter – single phase</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139.88</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Remove </w:t>
            </w:r>
            <w:r w:rsidRPr="0046594F">
              <w:t>meter – multi phase</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183.33</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Meter alteration – after hours visit</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429.47</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Meter alteration – wasted visit</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85.58</w:t>
            </w:r>
          </w:p>
        </w:tc>
      </w:tr>
      <w:tr w:rsidR="009871AD" w:rsidRPr="00601E72"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sidRPr="00601E72">
              <w:rPr>
                <w:rStyle w:val="Strong"/>
              </w:rPr>
              <w:t>Meter test</w:t>
            </w:r>
          </w:p>
        </w:tc>
        <w:tc>
          <w:tcPr>
            <w:tcW w:w="3260" w:type="dxa"/>
          </w:tcPr>
          <w:p w:rsidR="009871AD" w:rsidRPr="00601E72" w:rsidRDefault="009871AD" w:rsidP="0046594F">
            <w:pPr>
              <w:cnfStyle w:val="000000000000" w:firstRow="0" w:lastRow="0" w:firstColumn="0" w:lastColumn="0" w:oddVBand="0" w:evenVBand="0" w:oddHBand="0" w:evenHBand="0" w:firstRowFirstColumn="0" w:firstRowLastColumn="0" w:lastRowFirstColumn="0" w:lastRowLastColumn="0"/>
              <w:rPr>
                <w:rStyle w:val="Strong"/>
              </w:rPr>
            </w:pP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Meter test – single phase</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215.91</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Meter test – multi phase</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411.38</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Meter test – current </w:t>
            </w:r>
            <w:r w:rsidRPr="0046594F">
              <w:t>transformer (CT)</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454.83</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Meter test – after hours</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825.24</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Meter test – wasted visit</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85.58</w:t>
            </w:r>
          </w:p>
        </w:tc>
      </w:tr>
      <w:tr w:rsidR="009871AD" w:rsidRPr="00601E72"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sidRPr="00601E72">
              <w:rPr>
                <w:rStyle w:val="Strong"/>
              </w:rPr>
              <w:t>Supply abolishment</w:t>
            </w:r>
          </w:p>
        </w:tc>
        <w:tc>
          <w:tcPr>
            <w:tcW w:w="3260" w:type="dxa"/>
          </w:tcPr>
          <w:p w:rsidR="009871AD" w:rsidRPr="00601E72" w:rsidRDefault="009871AD" w:rsidP="0046594F">
            <w:pPr>
              <w:cnfStyle w:val="000000000000" w:firstRow="0" w:lastRow="0" w:firstColumn="0" w:lastColumn="0" w:oddVBand="0" w:evenVBand="0" w:oddHBand="0" w:evenHBand="0" w:firstRowFirstColumn="0" w:firstRowLastColumn="0" w:lastRowFirstColumn="0" w:lastRowLastColumn="0"/>
              <w:rPr>
                <w:rStyle w:val="Strong"/>
              </w:rPr>
            </w:pP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Remove service and meters</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260.72</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lastRenderedPageBreak/>
              <w:t>Supply abolishment – after hours</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655.77</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Supply abolishment – wasted </w:t>
            </w:r>
            <w:r w:rsidRPr="0046594F">
              <w:t>visit</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169.51</w:t>
            </w:r>
          </w:p>
        </w:tc>
      </w:tr>
      <w:tr w:rsidR="009871AD" w:rsidRPr="00DE7DBB"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Pr>
                <w:rStyle w:val="Strong"/>
              </w:rPr>
              <w:t>Truck tee</w:t>
            </w:r>
            <w:r>
              <w:rPr>
                <w:rStyle w:val="Strong"/>
              </w:rPr>
              <w:noBreakHyphen/>
            </w:r>
            <w:r w:rsidRPr="0046594F">
              <w:rPr>
                <w:rStyle w:val="Strong"/>
              </w:rPr>
              <w:t>up</w:t>
            </w:r>
          </w:p>
        </w:tc>
        <w:tc>
          <w:tcPr>
            <w:tcW w:w="3260" w:type="dxa"/>
          </w:tcPr>
          <w:p w:rsidR="009871AD" w:rsidRPr="00DE7DBB" w:rsidRDefault="009871AD" w:rsidP="0046594F">
            <w:pPr>
              <w:cnfStyle w:val="000000000000" w:firstRow="0" w:lastRow="0" w:firstColumn="0" w:lastColumn="0" w:oddVBand="0" w:evenVBand="0" w:oddHBand="0" w:evenHBand="0" w:firstRowFirstColumn="0" w:firstRowLastColumn="0" w:lastRowFirstColumn="0" w:lastRowLastColumn="0"/>
              <w:rPr>
                <w:rStyle w:val="Strong"/>
              </w:rPr>
            </w:pP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Tee</w:t>
            </w:r>
            <w:r>
              <w:noBreakHyphen/>
              <w:t>up/appointment</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146.27</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Tee</w:t>
            </w:r>
            <w:r>
              <w:noBreakHyphen/>
              <w:t>up/appointment – after hours</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655.77</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Tee</w:t>
            </w:r>
            <w:r>
              <w:noBreakHyphen/>
              <w:t>up/appointment – no truck – after hours</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350.32</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Tee</w:t>
            </w:r>
            <w:r>
              <w:noBreakHyphen/>
              <w:t>up/appointment – wasted visit</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95.94</w:t>
            </w:r>
          </w:p>
        </w:tc>
      </w:tr>
      <w:tr w:rsidR="009871AD" w:rsidRPr="00DE7DBB"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sidRPr="00DE7DBB">
              <w:rPr>
                <w:rStyle w:val="Strong"/>
              </w:rPr>
              <w:t>Miscellaneous services</w:t>
            </w:r>
          </w:p>
        </w:tc>
        <w:tc>
          <w:tcPr>
            <w:tcW w:w="3260" w:type="dxa"/>
          </w:tcPr>
          <w:p w:rsidR="009871AD" w:rsidRPr="00DE7DBB" w:rsidRDefault="009871AD" w:rsidP="0046594F">
            <w:pPr>
              <w:cnfStyle w:val="000000010000" w:firstRow="0" w:lastRow="0" w:firstColumn="0" w:lastColumn="0" w:oddVBand="0" w:evenVBand="0" w:oddHBand="0" w:evenHBand="1" w:firstRowFirstColumn="0" w:firstRowLastColumn="0" w:lastRowFirstColumn="0" w:lastRowLastColumn="0"/>
              <w:rPr>
                <w:rStyle w:val="Strong"/>
              </w:rPr>
            </w:pP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Open turret</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137.77</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Data download</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276.20</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Alteration to unmetered supply</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213.28</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Meter relocation</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165.69</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Miscellaneous services</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125.19</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Miscellaneous services – after hours</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559.33</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Miscellaneous services – wasted </w:t>
            </w:r>
            <w:r w:rsidRPr="0046594F">
              <w:t>visit</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100.01</w:t>
            </w:r>
          </w:p>
        </w:tc>
      </w:tr>
      <w:tr w:rsidR="009871AD" w:rsidRPr="00DE7DBB"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sidRPr="00DE7DBB">
              <w:rPr>
                <w:rStyle w:val="Strong"/>
              </w:rPr>
              <w:t>Connection establishment charges</w:t>
            </w:r>
          </w:p>
        </w:tc>
        <w:tc>
          <w:tcPr>
            <w:tcW w:w="3260" w:type="dxa"/>
          </w:tcPr>
          <w:p w:rsidR="009871AD" w:rsidRPr="00DE7DBB" w:rsidRDefault="009871AD" w:rsidP="0046594F">
            <w:pPr>
              <w:cnfStyle w:val="000000010000" w:firstRow="0" w:lastRow="0" w:firstColumn="0" w:lastColumn="0" w:oddVBand="0" w:evenVBand="0" w:oddHBand="0" w:evenHBand="1" w:firstRowFirstColumn="0" w:firstRowLastColumn="0" w:lastRowFirstColumn="0" w:lastRowLastColumn="0"/>
              <w:rPr>
                <w:rStyle w:val="Strong"/>
              </w:rPr>
            </w:pP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Overhead service, single span – single phase</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551.02</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Overhead service, single span – multi phase</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777.13</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Underground service in turret/cabinet – single phase</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180.57</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Underground </w:t>
            </w:r>
            <w:r w:rsidRPr="0046594F">
              <w:t>service in turret/cabinet – multi phase</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226.46</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Underground service with pole mounted fuse – single phase</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422.33</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Underground service with pole mounted fuse – multi phase</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530.44</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Basic connection – after hours</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1010.36</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Connection establishment – wasted visit</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154.43</w:t>
            </w:r>
          </w:p>
        </w:tc>
      </w:tr>
      <w:tr w:rsidR="009871AD" w:rsidRPr="00DE7DBB"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sidRPr="00DE7DBB">
              <w:rPr>
                <w:rStyle w:val="Strong"/>
              </w:rPr>
              <w:t>Renewable energy connection</w:t>
            </w:r>
          </w:p>
        </w:tc>
        <w:tc>
          <w:tcPr>
            <w:tcW w:w="3260" w:type="dxa"/>
          </w:tcPr>
          <w:p w:rsidR="009871AD" w:rsidRPr="00DE7DBB" w:rsidRDefault="009871AD" w:rsidP="0046594F">
            <w:pPr>
              <w:cnfStyle w:val="000000000000" w:firstRow="0" w:lastRow="0" w:firstColumn="0" w:lastColumn="0" w:oddVBand="0" w:evenVBand="0" w:oddHBand="0" w:evenHBand="0" w:firstRowFirstColumn="0" w:firstRowLastColumn="0" w:lastRowFirstColumn="0" w:lastRowLastColumn="0"/>
              <w:rPr>
                <w:rStyle w:val="Strong"/>
              </w:rPr>
            </w:pP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Modify existing connection for micro embedded generation – single phase</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171.17</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Modify existing connection for micro embedded generation – multi phase</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214.61</w:t>
            </w:r>
          </w:p>
        </w:tc>
      </w:tr>
      <w:tr w:rsidR="009871AD"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Renewable energy connection – after hours</w:t>
            </w:r>
          </w:p>
        </w:tc>
        <w:tc>
          <w:tcPr>
            <w:tcW w:w="3260" w:type="dxa"/>
          </w:tcPr>
          <w:p w:rsidR="009871AD" w:rsidRPr="0046594F" w:rsidRDefault="005C6278" w:rsidP="0046594F">
            <w:pPr>
              <w:cnfStyle w:val="000000010000" w:firstRow="0" w:lastRow="0" w:firstColumn="0" w:lastColumn="0" w:oddVBand="0" w:evenVBand="0" w:oddHBand="0" w:evenHBand="1" w:firstRowFirstColumn="0" w:firstRowLastColumn="0" w:lastRowFirstColumn="0" w:lastRowLastColumn="0"/>
            </w:pPr>
            <w:r>
              <w:t>809.11</w:t>
            </w:r>
          </w:p>
        </w:tc>
      </w:tr>
      <w:tr w:rsidR="009871AD"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Renewable energy – wasted visit</w:t>
            </w:r>
          </w:p>
        </w:tc>
        <w:tc>
          <w:tcPr>
            <w:tcW w:w="3260" w:type="dxa"/>
          </w:tcPr>
          <w:p w:rsidR="009871AD" w:rsidRPr="0046594F" w:rsidRDefault="005C6278" w:rsidP="0046594F">
            <w:pPr>
              <w:cnfStyle w:val="000000000000" w:firstRow="0" w:lastRow="0" w:firstColumn="0" w:lastColumn="0" w:oddVBand="0" w:evenVBand="0" w:oddHBand="0" w:evenHBand="0" w:firstRowFirstColumn="0" w:firstRowLastColumn="0" w:lastRowFirstColumn="0" w:lastRowLastColumn="0"/>
            </w:pPr>
            <w:r>
              <w:t>116.87</w:t>
            </w:r>
          </w:p>
        </w:tc>
      </w:tr>
      <w:tr w:rsidR="009871AD" w:rsidRPr="00DE7DBB"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sidRPr="00DE7DBB">
              <w:rPr>
                <w:rStyle w:val="Strong"/>
              </w:rPr>
              <w:t>Temporary disconnection charges</w:t>
            </w:r>
          </w:p>
        </w:tc>
        <w:tc>
          <w:tcPr>
            <w:tcW w:w="3260" w:type="dxa"/>
          </w:tcPr>
          <w:p w:rsidR="009871AD" w:rsidRPr="00DE7DBB" w:rsidRDefault="009871AD" w:rsidP="0046594F">
            <w:pPr>
              <w:cnfStyle w:val="000000010000" w:firstRow="0" w:lastRow="0" w:firstColumn="0" w:lastColumn="0" w:oddVBand="0" w:evenVBand="0" w:oddHBand="0" w:evenHBand="1" w:firstRowFirstColumn="0" w:firstRowLastColumn="0" w:lastRowFirstColumn="0" w:lastRowLastColumn="0"/>
              <w:rPr>
                <w:rStyle w:val="Strong"/>
              </w:rPr>
            </w:pPr>
          </w:p>
        </w:tc>
      </w:tr>
      <w:tr w:rsidR="009871AD" w:rsidRPr="007A7D31"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Disconnect/reconnect overhead service for facia repairs – single phase</w:t>
            </w:r>
          </w:p>
        </w:tc>
        <w:tc>
          <w:tcPr>
            <w:tcW w:w="3260" w:type="dxa"/>
          </w:tcPr>
          <w:p w:rsidR="009871AD" w:rsidRPr="0046594F" w:rsidRDefault="00DB6616" w:rsidP="0046594F">
            <w:pPr>
              <w:cnfStyle w:val="000000000000" w:firstRow="0" w:lastRow="0" w:firstColumn="0" w:lastColumn="0" w:oddVBand="0" w:evenVBand="0" w:oddHBand="0" w:evenHBand="0" w:firstRowFirstColumn="0" w:firstRowLastColumn="0" w:lastRowFirstColumn="0" w:lastRowLastColumn="0"/>
            </w:pPr>
            <w:r>
              <w:t>322.67</w:t>
            </w:r>
          </w:p>
        </w:tc>
      </w:tr>
      <w:tr w:rsidR="009871AD" w:rsidRPr="007A7D31"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Disconnect/connect </w:t>
            </w:r>
            <w:r w:rsidRPr="0046594F">
              <w:t>overhead service for facia repairs – multi phase</w:t>
            </w:r>
          </w:p>
        </w:tc>
        <w:tc>
          <w:tcPr>
            <w:tcW w:w="3260" w:type="dxa"/>
          </w:tcPr>
          <w:p w:rsidR="009871AD" w:rsidRPr="0046594F" w:rsidRDefault="00DB6616" w:rsidP="0046594F">
            <w:pPr>
              <w:cnfStyle w:val="000000010000" w:firstRow="0" w:lastRow="0" w:firstColumn="0" w:lastColumn="0" w:oddVBand="0" w:evenVBand="0" w:oddHBand="0" w:evenHBand="1" w:firstRowFirstColumn="0" w:firstRowLastColumn="0" w:lastRowFirstColumn="0" w:lastRowLastColumn="0"/>
            </w:pPr>
            <w:r>
              <w:t>413.89</w:t>
            </w:r>
          </w:p>
        </w:tc>
      </w:tr>
      <w:tr w:rsidR="009871AD" w:rsidRPr="007A7D31"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lastRenderedPageBreak/>
              <w:t>Temporary disconnect/reconnect – after hours</w:t>
            </w:r>
          </w:p>
        </w:tc>
        <w:tc>
          <w:tcPr>
            <w:tcW w:w="3260" w:type="dxa"/>
          </w:tcPr>
          <w:p w:rsidR="009871AD" w:rsidRPr="0046594F" w:rsidRDefault="005C6278" w:rsidP="0046594F">
            <w:pPr>
              <w:cnfStyle w:val="000000000000" w:firstRow="0" w:lastRow="0" w:firstColumn="0" w:lastColumn="0" w:oddVBand="0" w:evenVBand="0" w:oddHBand="0" w:evenHBand="0" w:firstRowFirstColumn="0" w:firstRowLastColumn="0" w:lastRowFirstColumn="0" w:lastRowLastColumn="0"/>
            </w:pPr>
            <w:r>
              <w:t>852.57</w:t>
            </w:r>
          </w:p>
        </w:tc>
      </w:tr>
      <w:tr w:rsidR="009871AD" w:rsidRPr="007A7D31"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Temporary disconnect/reconnect – wasted visit</w:t>
            </w:r>
          </w:p>
        </w:tc>
        <w:tc>
          <w:tcPr>
            <w:tcW w:w="3260" w:type="dxa"/>
          </w:tcPr>
          <w:p w:rsidR="009871AD" w:rsidRPr="0046594F" w:rsidRDefault="005C6278" w:rsidP="0046594F">
            <w:pPr>
              <w:cnfStyle w:val="000000010000" w:firstRow="0" w:lastRow="0" w:firstColumn="0" w:lastColumn="0" w:oddVBand="0" w:evenVBand="0" w:oddHBand="0" w:evenHBand="1" w:firstRowFirstColumn="0" w:firstRowLastColumn="0" w:lastRowFirstColumn="0" w:lastRowLastColumn="0"/>
            </w:pPr>
            <w:r>
              <w:t>185.85</w:t>
            </w:r>
          </w:p>
        </w:tc>
      </w:tr>
      <w:tr w:rsidR="009871AD" w:rsidRPr="007A7D31"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pPr>
              <w:rPr>
                <w:rStyle w:val="Strong"/>
              </w:rPr>
            </w:pPr>
            <w:r w:rsidRPr="00144B7B">
              <w:rPr>
                <w:rStyle w:val="Strong"/>
              </w:rPr>
              <w:t>Basic connection alteration</w:t>
            </w:r>
          </w:p>
        </w:tc>
        <w:tc>
          <w:tcPr>
            <w:tcW w:w="3260" w:type="dxa"/>
          </w:tcPr>
          <w:p w:rsidR="009871AD" w:rsidRPr="007A7D31" w:rsidRDefault="009871AD" w:rsidP="0046594F">
            <w:pPr>
              <w:cnfStyle w:val="000000000000" w:firstRow="0" w:lastRow="0" w:firstColumn="0" w:lastColumn="0" w:oddVBand="0" w:evenVBand="0" w:oddHBand="0" w:evenHBand="0" w:firstRowFirstColumn="0" w:firstRowLastColumn="0" w:lastRowFirstColumn="0" w:lastRowLastColumn="0"/>
            </w:pPr>
          </w:p>
        </w:tc>
      </w:tr>
      <w:tr w:rsidR="009871AD" w:rsidRPr="007A7D31"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Connection alteration – overhead </w:t>
            </w:r>
            <w:r w:rsidRPr="0046594F">
              <w:t>single phase</w:t>
            </w:r>
          </w:p>
        </w:tc>
        <w:tc>
          <w:tcPr>
            <w:tcW w:w="3260" w:type="dxa"/>
          </w:tcPr>
          <w:p w:rsidR="009871AD" w:rsidRPr="0046594F" w:rsidRDefault="005C6278" w:rsidP="0046594F">
            <w:pPr>
              <w:cnfStyle w:val="000000010000" w:firstRow="0" w:lastRow="0" w:firstColumn="0" w:lastColumn="0" w:oddVBand="0" w:evenVBand="0" w:oddHBand="0" w:evenHBand="1" w:firstRowFirstColumn="0" w:firstRowLastColumn="0" w:lastRowFirstColumn="0" w:lastRowLastColumn="0"/>
            </w:pPr>
            <w:r>
              <w:t>322.67</w:t>
            </w:r>
          </w:p>
        </w:tc>
      </w:tr>
      <w:tr w:rsidR="009871AD" w:rsidRPr="007A7D31"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Connection alteration – overhead multi phase</w:t>
            </w:r>
          </w:p>
        </w:tc>
        <w:tc>
          <w:tcPr>
            <w:tcW w:w="3260" w:type="dxa"/>
          </w:tcPr>
          <w:p w:rsidR="009871AD" w:rsidRPr="0046594F" w:rsidRDefault="005C6278" w:rsidP="0046594F">
            <w:pPr>
              <w:cnfStyle w:val="000000000000" w:firstRow="0" w:lastRow="0" w:firstColumn="0" w:lastColumn="0" w:oddVBand="0" w:evenVBand="0" w:oddHBand="0" w:evenHBand="0" w:firstRowFirstColumn="0" w:firstRowLastColumn="0" w:lastRowFirstColumn="0" w:lastRowLastColumn="0"/>
            </w:pPr>
            <w:r>
              <w:t>413.89</w:t>
            </w:r>
          </w:p>
        </w:tc>
      </w:tr>
      <w:tr w:rsidR="009871AD" w:rsidRPr="007A7D31"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Connection of new consumer mains to an existing installation – underground single phase to turret or pole</w:t>
            </w:r>
          </w:p>
        </w:tc>
        <w:tc>
          <w:tcPr>
            <w:tcW w:w="3260" w:type="dxa"/>
          </w:tcPr>
          <w:p w:rsidR="009871AD" w:rsidRPr="0046594F" w:rsidRDefault="005C6278" w:rsidP="0046594F">
            <w:pPr>
              <w:cnfStyle w:val="000000010000" w:firstRow="0" w:lastRow="0" w:firstColumn="0" w:lastColumn="0" w:oddVBand="0" w:evenVBand="0" w:oddHBand="0" w:evenHBand="1" w:firstRowFirstColumn="0" w:firstRowLastColumn="0" w:lastRowFirstColumn="0" w:lastRowLastColumn="0"/>
            </w:pPr>
            <w:r>
              <w:t>225.21</w:t>
            </w:r>
          </w:p>
        </w:tc>
      </w:tr>
      <w:tr w:rsidR="009871AD" w:rsidRPr="007A7D31"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Connection of new consumer mains to an existing</w:t>
            </w:r>
            <w:r w:rsidRPr="0046594F">
              <w:t xml:space="preserve"> installation – underground multi phase to turret or pole</w:t>
            </w:r>
          </w:p>
        </w:tc>
        <w:tc>
          <w:tcPr>
            <w:tcW w:w="3260" w:type="dxa"/>
          </w:tcPr>
          <w:p w:rsidR="009871AD" w:rsidRPr="0046594F" w:rsidRDefault="005C6278" w:rsidP="0046594F">
            <w:pPr>
              <w:cnfStyle w:val="000000000000" w:firstRow="0" w:lastRow="0" w:firstColumn="0" w:lastColumn="0" w:oddVBand="0" w:evenVBand="0" w:oddHBand="0" w:evenHBand="0" w:firstRowFirstColumn="0" w:firstRowLastColumn="0" w:lastRowFirstColumn="0" w:lastRowLastColumn="0"/>
            </w:pPr>
            <w:r>
              <w:t>275.55</w:t>
            </w:r>
          </w:p>
        </w:tc>
      </w:tr>
      <w:tr w:rsidR="009871AD" w:rsidRPr="007A7D31"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Augment single phase overhead service to multi phase supply</w:t>
            </w:r>
          </w:p>
        </w:tc>
        <w:tc>
          <w:tcPr>
            <w:tcW w:w="3260" w:type="dxa"/>
          </w:tcPr>
          <w:p w:rsidR="009871AD" w:rsidRPr="0046594F" w:rsidRDefault="005C6278" w:rsidP="0046594F">
            <w:pPr>
              <w:cnfStyle w:val="000000010000" w:firstRow="0" w:lastRow="0" w:firstColumn="0" w:lastColumn="0" w:oddVBand="0" w:evenVBand="0" w:oddHBand="0" w:evenHBand="1" w:firstRowFirstColumn="0" w:firstRowLastColumn="0" w:lastRowFirstColumn="0" w:lastRowLastColumn="0"/>
            </w:pPr>
            <w:r>
              <w:t>845.55</w:t>
            </w:r>
          </w:p>
        </w:tc>
      </w:tr>
      <w:tr w:rsidR="009871AD" w:rsidRPr="007A7D31"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Augment multi phase overhead service to single phase supply</w:t>
            </w:r>
          </w:p>
        </w:tc>
        <w:tc>
          <w:tcPr>
            <w:tcW w:w="3260" w:type="dxa"/>
          </w:tcPr>
          <w:p w:rsidR="009871AD" w:rsidRPr="0046594F" w:rsidRDefault="005C6278" w:rsidP="0046594F">
            <w:pPr>
              <w:cnfStyle w:val="000000000000" w:firstRow="0" w:lastRow="0" w:firstColumn="0" w:lastColumn="0" w:oddVBand="0" w:evenVBand="0" w:oddHBand="0" w:evenHBand="0" w:firstRowFirstColumn="0" w:firstRowLastColumn="0" w:lastRowFirstColumn="0" w:lastRowLastColumn="0"/>
            </w:pPr>
            <w:r>
              <w:t>619.44</w:t>
            </w:r>
          </w:p>
        </w:tc>
      </w:tr>
      <w:tr w:rsidR="009871AD" w:rsidRPr="007A7D31"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Augment single phase overhead </w:t>
            </w:r>
            <w:r w:rsidRPr="0046594F">
              <w:t>service to underground supply (turret)</w:t>
            </w:r>
          </w:p>
        </w:tc>
        <w:tc>
          <w:tcPr>
            <w:tcW w:w="3260" w:type="dxa"/>
          </w:tcPr>
          <w:p w:rsidR="009871AD" w:rsidRPr="0046594F" w:rsidRDefault="005C6278" w:rsidP="0046594F">
            <w:pPr>
              <w:cnfStyle w:val="000000010000" w:firstRow="0" w:lastRow="0" w:firstColumn="0" w:lastColumn="0" w:oddVBand="0" w:evenVBand="0" w:oddHBand="0" w:evenHBand="1" w:firstRowFirstColumn="0" w:firstRowLastColumn="0" w:lastRowFirstColumn="0" w:lastRowLastColumn="0"/>
            </w:pPr>
            <w:r>
              <w:t>392.32</w:t>
            </w:r>
          </w:p>
        </w:tc>
      </w:tr>
      <w:tr w:rsidR="009871AD" w:rsidRPr="007A7D31"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Augment multi phase overhead service to underground supply (turret)</w:t>
            </w:r>
          </w:p>
        </w:tc>
        <w:tc>
          <w:tcPr>
            <w:tcW w:w="3260" w:type="dxa"/>
          </w:tcPr>
          <w:p w:rsidR="009871AD" w:rsidRPr="0046594F" w:rsidRDefault="005C6278" w:rsidP="0046594F">
            <w:pPr>
              <w:cnfStyle w:val="000000000000" w:firstRow="0" w:lastRow="0" w:firstColumn="0" w:lastColumn="0" w:oddVBand="0" w:evenVBand="0" w:oddHBand="0" w:evenHBand="0" w:firstRowFirstColumn="0" w:firstRowLastColumn="0" w:lastRowFirstColumn="0" w:lastRowLastColumn="0"/>
            </w:pPr>
            <w:r>
              <w:t>483.53</w:t>
            </w:r>
          </w:p>
        </w:tc>
      </w:tr>
      <w:tr w:rsidR="009871AD" w:rsidRPr="007A7D31"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Augment single phase overhead service to underground supply (pole)</w:t>
            </w:r>
          </w:p>
        </w:tc>
        <w:tc>
          <w:tcPr>
            <w:tcW w:w="3260" w:type="dxa"/>
          </w:tcPr>
          <w:p w:rsidR="009871AD" w:rsidRPr="0046594F" w:rsidRDefault="005C6278" w:rsidP="0046594F">
            <w:pPr>
              <w:cnfStyle w:val="000000010000" w:firstRow="0" w:lastRow="0" w:firstColumn="0" w:lastColumn="0" w:oddVBand="0" w:evenVBand="0" w:oddHBand="0" w:evenHBand="1" w:firstRowFirstColumn="0" w:firstRowLastColumn="0" w:lastRowFirstColumn="0" w:lastRowLastColumn="0"/>
            </w:pPr>
            <w:r>
              <w:t>490.75</w:t>
            </w:r>
          </w:p>
        </w:tc>
      </w:tr>
      <w:tr w:rsidR="009871AD" w:rsidRPr="007A7D31"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 xml:space="preserve">Augment multi phase overhead service </w:t>
            </w:r>
            <w:r w:rsidRPr="0046594F">
              <w:t>to underground supply (pole)</w:t>
            </w:r>
          </w:p>
        </w:tc>
        <w:tc>
          <w:tcPr>
            <w:tcW w:w="3260" w:type="dxa"/>
          </w:tcPr>
          <w:p w:rsidR="009871AD" w:rsidRPr="0046594F" w:rsidRDefault="005C6278" w:rsidP="0046594F">
            <w:pPr>
              <w:cnfStyle w:val="000000000000" w:firstRow="0" w:lastRow="0" w:firstColumn="0" w:lastColumn="0" w:oddVBand="0" w:evenVBand="0" w:oddHBand="0" w:evenHBand="0" w:firstRowFirstColumn="0" w:firstRowLastColumn="0" w:lastRowFirstColumn="0" w:lastRowLastColumn="0"/>
            </w:pPr>
            <w:r>
              <w:t>598.84</w:t>
            </w:r>
          </w:p>
        </w:tc>
      </w:tr>
      <w:tr w:rsidR="009871AD" w:rsidRPr="007A7D31" w:rsidTr="0098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Basic connection alteration – after hours</w:t>
            </w:r>
          </w:p>
        </w:tc>
        <w:tc>
          <w:tcPr>
            <w:tcW w:w="3260" w:type="dxa"/>
          </w:tcPr>
          <w:p w:rsidR="009871AD" w:rsidRPr="0046594F" w:rsidRDefault="005C6278" w:rsidP="0046594F">
            <w:pPr>
              <w:cnfStyle w:val="000000010000" w:firstRow="0" w:lastRow="0" w:firstColumn="0" w:lastColumn="0" w:oddVBand="0" w:evenVBand="0" w:oddHBand="0" w:evenHBand="1" w:firstRowFirstColumn="0" w:firstRowLastColumn="0" w:lastRowFirstColumn="0" w:lastRowLastColumn="0"/>
            </w:pPr>
            <w:r>
              <w:t>1082.17</w:t>
            </w:r>
          </w:p>
        </w:tc>
      </w:tr>
      <w:tr w:rsidR="009871AD" w:rsidRPr="007A7D31" w:rsidTr="009871AD">
        <w:tc>
          <w:tcPr>
            <w:cnfStyle w:val="001000000000" w:firstRow="0" w:lastRow="0" w:firstColumn="1" w:lastColumn="0" w:oddVBand="0" w:evenVBand="0" w:oddHBand="0" w:evenHBand="0" w:firstRowFirstColumn="0" w:firstRowLastColumn="0" w:lastRowFirstColumn="0" w:lastRowLastColumn="0"/>
            <w:tcW w:w="5495" w:type="dxa"/>
          </w:tcPr>
          <w:p w:rsidR="009871AD" w:rsidRPr="0046594F" w:rsidRDefault="009871AD" w:rsidP="0046594F">
            <w:r>
              <w:t>Basic connection – wasted visit</w:t>
            </w:r>
          </w:p>
        </w:tc>
        <w:tc>
          <w:tcPr>
            <w:tcW w:w="3260" w:type="dxa"/>
          </w:tcPr>
          <w:p w:rsidR="009871AD" w:rsidRPr="0046594F" w:rsidRDefault="005C6278" w:rsidP="006F06A3">
            <w:pPr>
              <w:cnfStyle w:val="000000000000" w:firstRow="0" w:lastRow="0" w:firstColumn="0" w:lastColumn="0" w:oddVBand="0" w:evenVBand="0" w:oddHBand="0" w:evenHBand="0" w:firstRowFirstColumn="0" w:firstRowLastColumn="0" w:lastRowFirstColumn="0" w:lastRowLastColumn="0"/>
            </w:pPr>
            <w:r>
              <w:t>17</w:t>
            </w:r>
            <w:r w:rsidR="006F06A3">
              <w:t>4</w:t>
            </w:r>
            <w:r>
              <w:t>.45</w:t>
            </w:r>
          </w:p>
        </w:tc>
      </w:tr>
    </w:tbl>
    <w:p w:rsidR="0046594F" w:rsidRDefault="00496047" w:rsidP="00496047">
      <w:pPr>
        <w:pStyle w:val="AERtablesource"/>
      </w:pPr>
      <w:r w:rsidRPr="00496047">
        <w:t>Source:</w:t>
      </w:r>
      <w:r w:rsidRPr="00496047">
        <w:tab/>
        <w:t xml:space="preserve">AER analysis; </w:t>
      </w:r>
      <w:r w:rsidR="002131D4">
        <w:t xml:space="preserve">TasNetworks, </w:t>
      </w:r>
      <w:r w:rsidR="002131D4" w:rsidRPr="00D80EB3">
        <w:rPr>
          <w:rStyle w:val="AERtextitalic"/>
        </w:rPr>
        <w:t>RTN002</w:t>
      </w:r>
      <w:r w:rsidR="002131D4" w:rsidRPr="00D80EB3">
        <w:rPr>
          <w:rStyle w:val="AERtextitalic"/>
        </w:rPr>
        <w:softHyphen/>
        <w:t>_Alternative Control - Revised fee based services model</w:t>
      </w:r>
      <w:r w:rsidR="002131D4">
        <w:t>, December 2016</w:t>
      </w:r>
      <w:r w:rsidR="006F06A3">
        <w:t>, AER, Final decision - TasNetworks fee based services model - April 2017</w:t>
      </w:r>
      <w:r w:rsidR="002131D4">
        <w:t>.</w:t>
      </w:r>
    </w:p>
    <w:p w:rsidR="00592694" w:rsidRPr="00592694" w:rsidRDefault="00592694" w:rsidP="00592694">
      <w:pPr>
        <w:pStyle w:val="Caption"/>
      </w:pPr>
      <w:bookmarkStart w:id="111" w:name="_Ref466557966"/>
      <w:r>
        <w:t xml:space="preserve">Table </w:t>
      </w:r>
      <w:fldSimple w:instr=" STYLEREF 1 \s ">
        <w:r w:rsidR="00013C24">
          <w:rPr>
            <w:noProof/>
          </w:rPr>
          <w:t>16</w:t>
        </w:r>
      </w:fldSimple>
      <w:r w:rsidR="005654A2">
        <w:t>.</w:t>
      </w:r>
      <w:fldSimple w:instr=" SEQ Table \* ARABIC \s 1 ">
        <w:r w:rsidR="00013C24">
          <w:rPr>
            <w:noProof/>
          </w:rPr>
          <w:t>5</w:t>
        </w:r>
      </w:fldSimple>
      <w:bookmarkEnd w:id="111"/>
      <w:r>
        <w:tab/>
        <w:t>TasNetworks' quoted services, AER final decision</w:t>
      </w:r>
    </w:p>
    <w:tbl>
      <w:tblPr>
        <w:tblStyle w:val="AERtable-text0"/>
        <w:tblW w:w="0" w:type="auto"/>
        <w:tblLook w:val="04A0" w:firstRow="1" w:lastRow="0" w:firstColumn="1" w:lastColumn="0" w:noHBand="0" w:noVBand="1"/>
      </w:tblPr>
      <w:tblGrid>
        <w:gridCol w:w="1951"/>
        <w:gridCol w:w="2835"/>
        <w:gridCol w:w="3907"/>
      </w:tblGrid>
      <w:tr w:rsidR="00592694" w:rsidTr="001B4346">
        <w:trPr>
          <w:cnfStyle w:val="100000000000" w:firstRow="1" w:lastRow="0" w:firstColumn="0" w:lastColumn="0" w:oddVBand="0" w:evenVBand="0" w:oddHBand="0" w:evenHBand="0" w:firstRowFirstColumn="0" w:firstRowLastColumn="0" w:lastRowFirstColumn="0" w:lastRowLastColumn="0"/>
          <w:tblHeader/>
        </w:trPr>
        <w:tc>
          <w:tcPr>
            <w:tcW w:w="1951" w:type="dxa"/>
          </w:tcPr>
          <w:p w:rsidR="00592694" w:rsidRPr="00592694" w:rsidRDefault="00592694" w:rsidP="00592694">
            <w:r>
              <w:t>Quoted service</w:t>
            </w:r>
            <w:r w:rsidRPr="00592694">
              <w:t xml:space="preserve"> group</w:t>
            </w:r>
          </w:p>
        </w:tc>
        <w:tc>
          <w:tcPr>
            <w:tcW w:w="2835" w:type="dxa"/>
          </w:tcPr>
          <w:p w:rsidR="00592694" w:rsidRPr="00592694" w:rsidRDefault="00592694" w:rsidP="00592694">
            <w:r>
              <w:t>Service name</w:t>
            </w:r>
          </w:p>
        </w:tc>
        <w:tc>
          <w:tcPr>
            <w:tcW w:w="3907" w:type="dxa"/>
          </w:tcPr>
          <w:p w:rsidR="00592694" w:rsidRPr="00592694" w:rsidRDefault="00592694" w:rsidP="00592694">
            <w:r>
              <w:t>Description</w:t>
            </w:r>
          </w:p>
        </w:tc>
      </w:tr>
      <w:tr w:rsidR="00592694" w:rsidRPr="00934485" w:rsidTr="007B0757">
        <w:tc>
          <w:tcPr>
            <w:tcW w:w="8693" w:type="dxa"/>
            <w:gridSpan w:val="3"/>
          </w:tcPr>
          <w:p w:rsidR="00592694" w:rsidRPr="00592694" w:rsidRDefault="00592694" w:rsidP="00592694">
            <w:pPr>
              <w:rPr>
                <w:rStyle w:val="Strong"/>
              </w:rPr>
            </w:pPr>
            <w:r w:rsidRPr="00934485">
              <w:rPr>
                <w:rStyle w:val="Strong"/>
              </w:rPr>
              <w:t>New design and construction fees</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Default="00592694" w:rsidP="00592694"/>
        </w:tc>
        <w:tc>
          <w:tcPr>
            <w:tcW w:w="2835" w:type="dxa"/>
          </w:tcPr>
          <w:p w:rsidR="00592694" w:rsidRPr="00592694" w:rsidRDefault="00592694" w:rsidP="00592694">
            <w:r>
              <w:t>Standard application fee</w:t>
            </w:r>
          </w:p>
        </w:tc>
        <w:tc>
          <w:tcPr>
            <w:tcW w:w="3907" w:type="dxa"/>
          </w:tcPr>
          <w:p w:rsidR="00592694" w:rsidRPr="00592694" w:rsidRDefault="00592694" w:rsidP="00592694">
            <w:r>
              <w:t>Administrative costs of application assessment</w:t>
            </w:r>
          </w:p>
        </w:tc>
      </w:tr>
      <w:tr w:rsidR="00592694" w:rsidTr="007B0757">
        <w:tc>
          <w:tcPr>
            <w:tcW w:w="1951" w:type="dxa"/>
          </w:tcPr>
          <w:p w:rsidR="00592694" w:rsidRDefault="00592694" w:rsidP="00592694"/>
        </w:tc>
        <w:tc>
          <w:tcPr>
            <w:tcW w:w="2835" w:type="dxa"/>
          </w:tcPr>
          <w:p w:rsidR="00592694" w:rsidRPr="00592694" w:rsidRDefault="00592694" w:rsidP="00592694">
            <w:r>
              <w:t>Application fee – Customer choice</w:t>
            </w:r>
          </w:p>
        </w:tc>
        <w:tc>
          <w:tcPr>
            <w:tcW w:w="3907" w:type="dxa"/>
          </w:tcPr>
          <w:p w:rsidR="00592694" w:rsidRPr="00592694" w:rsidRDefault="00592694" w:rsidP="00592694">
            <w:r>
              <w:t>Connection assessment costs and preparation of specifications for a customer choice project</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Default="00592694" w:rsidP="00592694"/>
        </w:tc>
        <w:tc>
          <w:tcPr>
            <w:tcW w:w="2835" w:type="dxa"/>
          </w:tcPr>
          <w:p w:rsidR="00592694" w:rsidRPr="00592694" w:rsidRDefault="00592694" w:rsidP="00592694">
            <w:r>
              <w:t xml:space="preserve">Design cost – </w:t>
            </w:r>
            <w:r w:rsidRPr="00592694">
              <w:t xml:space="preserve">Design audit fee (small)– minimum service </w:t>
            </w:r>
          </w:p>
        </w:tc>
        <w:tc>
          <w:tcPr>
            <w:tcW w:w="3907" w:type="dxa"/>
          </w:tcPr>
          <w:p w:rsidR="00592694" w:rsidRPr="00592694" w:rsidRDefault="00592694" w:rsidP="00592694">
            <w:r w:rsidRPr="006B4038">
              <w:t>Audit of a design incorporating low or high voltage</w:t>
            </w:r>
            <w:r w:rsidRPr="00592694">
              <w:t xml:space="preserve"> elements</w:t>
            </w:r>
          </w:p>
        </w:tc>
      </w:tr>
      <w:tr w:rsidR="00592694" w:rsidTr="007B0757">
        <w:tc>
          <w:tcPr>
            <w:tcW w:w="1951" w:type="dxa"/>
          </w:tcPr>
          <w:p w:rsidR="00592694" w:rsidRDefault="00592694" w:rsidP="00592694"/>
        </w:tc>
        <w:tc>
          <w:tcPr>
            <w:tcW w:w="2835" w:type="dxa"/>
          </w:tcPr>
          <w:p w:rsidR="00592694" w:rsidRPr="00592694" w:rsidRDefault="00592694" w:rsidP="00592694">
            <w:r>
              <w:t xml:space="preserve">Design cost – </w:t>
            </w:r>
            <w:r w:rsidRPr="00592694">
              <w:t>Design audit fee (large) – minimum service</w:t>
            </w:r>
          </w:p>
        </w:tc>
        <w:tc>
          <w:tcPr>
            <w:tcW w:w="3907" w:type="dxa"/>
          </w:tcPr>
          <w:p w:rsidR="00592694" w:rsidRPr="00592694" w:rsidRDefault="00592694" w:rsidP="00592694">
            <w:r w:rsidRPr="006B4038">
              <w:t>Audit of a design incorporating high voltage and</w:t>
            </w:r>
            <w:r w:rsidRPr="00592694">
              <w:t xml:space="preserve"> low voltage elements</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Default="00592694" w:rsidP="00592694"/>
        </w:tc>
        <w:tc>
          <w:tcPr>
            <w:tcW w:w="2835" w:type="dxa"/>
          </w:tcPr>
          <w:p w:rsidR="00592694" w:rsidRPr="00592694" w:rsidRDefault="00592694" w:rsidP="00592694">
            <w:r>
              <w:t xml:space="preserve">Design cost – </w:t>
            </w:r>
            <w:r w:rsidRPr="00592694">
              <w:t>Design audit fee (major) – minimum service</w:t>
            </w:r>
          </w:p>
        </w:tc>
        <w:tc>
          <w:tcPr>
            <w:tcW w:w="3907" w:type="dxa"/>
          </w:tcPr>
          <w:p w:rsidR="00592694" w:rsidRPr="00592694" w:rsidRDefault="00592694" w:rsidP="00592694">
            <w:r w:rsidRPr="006B4038">
              <w:t>Audit of a design incorporating high voltage, low</w:t>
            </w:r>
            <w:r w:rsidRPr="00592694">
              <w:t xml:space="preserve"> voltage and substation elements</w:t>
            </w:r>
          </w:p>
        </w:tc>
      </w:tr>
      <w:tr w:rsidR="00592694" w:rsidTr="007B0757">
        <w:tc>
          <w:tcPr>
            <w:tcW w:w="1951" w:type="dxa"/>
          </w:tcPr>
          <w:p w:rsidR="00592694" w:rsidRDefault="00592694" w:rsidP="00592694"/>
        </w:tc>
        <w:tc>
          <w:tcPr>
            <w:tcW w:w="2835" w:type="dxa"/>
          </w:tcPr>
          <w:p w:rsidR="00592694" w:rsidRPr="00592694" w:rsidRDefault="00592694" w:rsidP="00592694">
            <w:r>
              <w:t xml:space="preserve">Design </w:t>
            </w:r>
            <w:r w:rsidRPr="00592694">
              <w:t xml:space="preserve">cost – Design audit fee (small)– maximum service </w:t>
            </w:r>
          </w:p>
        </w:tc>
        <w:tc>
          <w:tcPr>
            <w:tcW w:w="3907" w:type="dxa"/>
          </w:tcPr>
          <w:p w:rsidR="00592694" w:rsidRPr="00592694" w:rsidRDefault="00592694" w:rsidP="00592694">
            <w:r w:rsidRPr="00855469">
              <w:t>Audit of a design incorporating low or high voltage</w:t>
            </w:r>
            <w:r w:rsidRPr="00592694">
              <w:t xml:space="preserve"> elements including a site visit</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Default="00592694" w:rsidP="00592694"/>
        </w:tc>
        <w:tc>
          <w:tcPr>
            <w:tcW w:w="2835" w:type="dxa"/>
          </w:tcPr>
          <w:p w:rsidR="00592694" w:rsidRPr="00592694" w:rsidRDefault="00592694" w:rsidP="00592694">
            <w:r>
              <w:t xml:space="preserve">Design </w:t>
            </w:r>
            <w:r w:rsidRPr="00592694">
              <w:t>cost – Design audit fee (large) – maximum service</w:t>
            </w:r>
          </w:p>
        </w:tc>
        <w:tc>
          <w:tcPr>
            <w:tcW w:w="3907" w:type="dxa"/>
          </w:tcPr>
          <w:p w:rsidR="00592694" w:rsidRPr="00592694" w:rsidRDefault="00592694" w:rsidP="00592694">
            <w:r w:rsidRPr="00855469">
              <w:t>Audit of a design incorporating high voltage and</w:t>
            </w:r>
            <w:r w:rsidRPr="00592694">
              <w:t xml:space="preserve"> low voltage elements including a site visit</w:t>
            </w:r>
          </w:p>
        </w:tc>
      </w:tr>
      <w:tr w:rsidR="00592694" w:rsidTr="007B0757">
        <w:tc>
          <w:tcPr>
            <w:tcW w:w="1951" w:type="dxa"/>
          </w:tcPr>
          <w:p w:rsidR="00592694" w:rsidRDefault="00592694" w:rsidP="00592694"/>
        </w:tc>
        <w:tc>
          <w:tcPr>
            <w:tcW w:w="2835" w:type="dxa"/>
          </w:tcPr>
          <w:p w:rsidR="00592694" w:rsidRPr="00592694" w:rsidRDefault="00592694" w:rsidP="00592694">
            <w:r>
              <w:t xml:space="preserve">Design cost – </w:t>
            </w:r>
            <w:r w:rsidRPr="00592694">
              <w:t>Design audit fee (major) – maximum service</w:t>
            </w:r>
          </w:p>
        </w:tc>
        <w:tc>
          <w:tcPr>
            <w:tcW w:w="3907" w:type="dxa"/>
          </w:tcPr>
          <w:p w:rsidR="00592694" w:rsidRPr="00592694" w:rsidRDefault="00592694" w:rsidP="00592694">
            <w:r w:rsidRPr="00855469">
              <w:t>Audit of a design incorporating high voltage, low</w:t>
            </w:r>
            <w:r w:rsidRPr="00592694">
              <w:t xml:space="preserve"> voltage and substation elements including a site visit</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Default="00592694" w:rsidP="00592694"/>
        </w:tc>
        <w:tc>
          <w:tcPr>
            <w:tcW w:w="2835" w:type="dxa"/>
          </w:tcPr>
          <w:p w:rsidR="00592694" w:rsidRPr="00592694" w:rsidRDefault="00592694" w:rsidP="00592694">
            <w:r>
              <w:t>Construction cost – Construction audit fee (small) – minimum service</w:t>
            </w:r>
          </w:p>
        </w:tc>
        <w:tc>
          <w:tcPr>
            <w:tcW w:w="3907" w:type="dxa"/>
          </w:tcPr>
          <w:p w:rsidR="00592694" w:rsidRPr="00592694" w:rsidRDefault="00592694" w:rsidP="00592694">
            <w:r w:rsidRPr="00855469">
              <w:t>Audit of low or high voltage construction with 1</w:t>
            </w:r>
            <w:r w:rsidRPr="00592694">
              <w:rPr>
                <w:rFonts w:ascii="Cambria Math" w:hAnsi="Cambria Math" w:cs="Cambria Math"/>
              </w:rPr>
              <w:t>‐</w:t>
            </w:r>
            <w:r w:rsidRPr="00592694">
              <w:t>3 project audit gates</w:t>
            </w:r>
          </w:p>
        </w:tc>
      </w:tr>
      <w:tr w:rsidR="00592694" w:rsidTr="007B0757">
        <w:tc>
          <w:tcPr>
            <w:tcW w:w="1951" w:type="dxa"/>
          </w:tcPr>
          <w:p w:rsidR="00592694" w:rsidRPr="00855469" w:rsidRDefault="00592694" w:rsidP="00592694"/>
        </w:tc>
        <w:tc>
          <w:tcPr>
            <w:tcW w:w="2835" w:type="dxa"/>
            <w:vAlign w:val="top"/>
          </w:tcPr>
          <w:p w:rsidR="00592694" w:rsidRPr="00592694" w:rsidRDefault="00592694" w:rsidP="00592694">
            <w:r w:rsidRPr="00855469">
              <w:t>Construction cost</w:t>
            </w:r>
            <w:r w:rsidRPr="00592694">
              <w:t xml:space="preserve"> – Construction audit fee (large) – minimum service</w:t>
            </w:r>
          </w:p>
        </w:tc>
        <w:tc>
          <w:tcPr>
            <w:tcW w:w="3907" w:type="dxa"/>
          </w:tcPr>
          <w:p w:rsidR="00592694" w:rsidRPr="00592694" w:rsidRDefault="00592694" w:rsidP="00592694">
            <w:r w:rsidRPr="00855469">
              <w:t>Audit of high voltage and low voltage construction</w:t>
            </w:r>
            <w:r w:rsidRPr="00592694">
              <w:t xml:space="preserve"> with 1</w:t>
            </w:r>
            <w:r w:rsidRPr="00592694">
              <w:rPr>
                <w:rFonts w:ascii="Cambria Math" w:hAnsi="Cambria Math" w:cs="Cambria Math"/>
              </w:rPr>
              <w:t>‐</w:t>
            </w:r>
            <w:r w:rsidRPr="00592694">
              <w:t>3 project audit gates</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Pr="00855469" w:rsidRDefault="00592694" w:rsidP="00592694"/>
        </w:tc>
        <w:tc>
          <w:tcPr>
            <w:tcW w:w="2835" w:type="dxa"/>
            <w:vAlign w:val="top"/>
          </w:tcPr>
          <w:p w:rsidR="00592694" w:rsidRPr="00592694" w:rsidRDefault="00592694" w:rsidP="00592694">
            <w:r w:rsidRPr="00855469">
              <w:t>Construction cost</w:t>
            </w:r>
            <w:r w:rsidRPr="00592694">
              <w:t xml:space="preserve"> – Construction audit fee (major) – minimum service</w:t>
            </w:r>
          </w:p>
        </w:tc>
        <w:tc>
          <w:tcPr>
            <w:tcW w:w="3907" w:type="dxa"/>
          </w:tcPr>
          <w:p w:rsidR="00592694" w:rsidRPr="00592694" w:rsidRDefault="00592694" w:rsidP="00592694">
            <w:r w:rsidRPr="00855469">
              <w:t>Audit of high voltage, low voltage and substation</w:t>
            </w:r>
            <w:r w:rsidRPr="00592694">
              <w:t xml:space="preserve"> construction with 1</w:t>
            </w:r>
            <w:r w:rsidRPr="00592694">
              <w:rPr>
                <w:rFonts w:ascii="Cambria Math" w:hAnsi="Cambria Math" w:cs="Cambria Math"/>
              </w:rPr>
              <w:t>‐</w:t>
            </w:r>
            <w:r w:rsidRPr="00592694">
              <w:t>3 project audit gates</w:t>
            </w:r>
          </w:p>
        </w:tc>
      </w:tr>
      <w:tr w:rsidR="00592694" w:rsidTr="007B0757">
        <w:tc>
          <w:tcPr>
            <w:tcW w:w="1951" w:type="dxa"/>
          </w:tcPr>
          <w:p w:rsidR="00592694" w:rsidRPr="00855469" w:rsidRDefault="00592694" w:rsidP="00592694"/>
        </w:tc>
        <w:tc>
          <w:tcPr>
            <w:tcW w:w="2835" w:type="dxa"/>
            <w:vAlign w:val="top"/>
          </w:tcPr>
          <w:p w:rsidR="00592694" w:rsidRPr="00592694" w:rsidRDefault="00592694" w:rsidP="00592694">
            <w:r w:rsidRPr="00855469">
              <w:t>Construction cost – Cons</w:t>
            </w:r>
            <w:r w:rsidRPr="00592694">
              <w:t>truction audit fee (small) – maximum service</w:t>
            </w:r>
          </w:p>
        </w:tc>
        <w:tc>
          <w:tcPr>
            <w:tcW w:w="3907" w:type="dxa"/>
          </w:tcPr>
          <w:p w:rsidR="00592694" w:rsidRPr="00592694" w:rsidRDefault="00592694" w:rsidP="00592694">
            <w:r w:rsidRPr="00855469">
              <w:t>Audit of low or high voltage construction with 5</w:t>
            </w:r>
            <w:r w:rsidRPr="00592694">
              <w:rPr>
                <w:rFonts w:ascii="Cambria Math" w:hAnsi="Cambria Math" w:cs="Cambria Math"/>
              </w:rPr>
              <w:t>‐</w:t>
            </w:r>
            <w:r w:rsidRPr="00592694">
              <w:t>7 project audit gates</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Pr="00855469" w:rsidRDefault="00592694" w:rsidP="00592694"/>
        </w:tc>
        <w:tc>
          <w:tcPr>
            <w:tcW w:w="2835" w:type="dxa"/>
            <w:vAlign w:val="top"/>
          </w:tcPr>
          <w:p w:rsidR="00592694" w:rsidRPr="00592694" w:rsidRDefault="00592694" w:rsidP="00592694">
            <w:r w:rsidRPr="00855469">
              <w:t>Construction cost</w:t>
            </w:r>
            <w:r w:rsidRPr="00592694">
              <w:t xml:space="preserve"> – Construction audit fee (large) – maximum service</w:t>
            </w:r>
          </w:p>
        </w:tc>
        <w:tc>
          <w:tcPr>
            <w:tcW w:w="3907" w:type="dxa"/>
          </w:tcPr>
          <w:p w:rsidR="00592694" w:rsidRPr="00592694" w:rsidRDefault="00592694" w:rsidP="00592694">
            <w:r w:rsidRPr="00855469">
              <w:t>Audit of high voltage and low voltage construction</w:t>
            </w:r>
            <w:r w:rsidRPr="00592694">
              <w:t xml:space="preserve"> with 5</w:t>
            </w:r>
            <w:r w:rsidRPr="00592694">
              <w:rPr>
                <w:rFonts w:ascii="Cambria Math" w:hAnsi="Cambria Math" w:cs="Cambria Math"/>
              </w:rPr>
              <w:t>‐</w:t>
            </w:r>
            <w:r w:rsidRPr="00592694">
              <w:t>7 project audit gates</w:t>
            </w:r>
          </w:p>
        </w:tc>
      </w:tr>
      <w:tr w:rsidR="00592694" w:rsidTr="007B0757">
        <w:tc>
          <w:tcPr>
            <w:tcW w:w="1951" w:type="dxa"/>
          </w:tcPr>
          <w:p w:rsidR="00592694" w:rsidRPr="00855469" w:rsidRDefault="00592694" w:rsidP="00592694"/>
        </w:tc>
        <w:tc>
          <w:tcPr>
            <w:tcW w:w="2835" w:type="dxa"/>
            <w:vAlign w:val="top"/>
          </w:tcPr>
          <w:p w:rsidR="00592694" w:rsidRPr="00592694" w:rsidRDefault="00592694" w:rsidP="00592694">
            <w:r w:rsidRPr="00855469">
              <w:t>Construction cost</w:t>
            </w:r>
            <w:r w:rsidRPr="00592694">
              <w:t xml:space="preserve"> – Construction audit fee (major) – maximum service</w:t>
            </w:r>
          </w:p>
        </w:tc>
        <w:tc>
          <w:tcPr>
            <w:tcW w:w="3907" w:type="dxa"/>
          </w:tcPr>
          <w:p w:rsidR="00592694" w:rsidRPr="00592694" w:rsidRDefault="00592694" w:rsidP="00592694">
            <w:r w:rsidRPr="00855469">
              <w:t>Audit of high voltage, low voltage and substation</w:t>
            </w:r>
            <w:r w:rsidRPr="00592694">
              <w:t xml:space="preserve"> construction with 5</w:t>
            </w:r>
            <w:r w:rsidRPr="00592694">
              <w:rPr>
                <w:rFonts w:ascii="Cambria Math" w:hAnsi="Cambria Math" w:cs="Cambria Math"/>
              </w:rPr>
              <w:t>‐</w:t>
            </w:r>
            <w:r w:rsidRPr="00592694">
              <w:t>7 project audit gates</w:t>
            </w:r>
          </w:p>
        </w:tc>
      </w:tr>
      <w:tr w:rsidR="00592694" w:rsidRPr="00934485"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Pr="00592694" w:rsidRDefault="00592694" w:rsidP="00592694">
            <w:pPr>
              <w:rPr>
                <w:rStyle w:val="Strong"/>
              </w:rPr>
            </w:pPr>
            <w:r w:rsidRPr="00934485">
              <w:rPr>
                <w:rStyle w:val="Strong"/>
              </w:rPr>
              <w:t>Non-standard services</w:t>
            </w:r>
          </w:p>
        </w:tc>
        <w:tc>
          <w:tcPr>
            <w:tcW w:w="2835" w:type="dxa"/>
            <w:vAlign w:val="top"/>
          </w:tcPr>
          <w:p w:rsidR="00592694" w:rsidRPr="00934485" w:rsidRDefault="00592694" w:rsidP="00592694">
            <w:pPr>
              <w:rPr>
                <w:rStyle w:val="Strong"/>
              </w:rPr>
            </w:pPr>
          </w:p>
        </w:tc>
        <w:tc>
          <w:tcPr>
            <w:tcW w:w="3907" w:type="dxa"/>
          </w:tcPr>
          <w:p w:rsidR="00592694" w:rsidRPr="00934485" w:rsidRDefault="00592694" w:rsidP="00592694">
            <w:pPr>
              <w:rPr>
                <w:rStyle w:val="Strong"/>
              </w:rPr>
            </w:pPr>
          </w:p>
        </w:tc>
      </w:tr>
      <w:tr w:rsidR="00592694" w:rsidTr="007B0757">
        <w:tc>
          <w:tcPr>
            <w:tcW w:w="1951" w:type="dxa"/>
          </w:tcPr>
          <w:p w:rsidR="00592694" w:rsidRDefault="00592694" w:rsidP="00592694"/>
        </w:tc>
        <w:tc>
          <w:tcPr>
            <w:tcW w:w="2835" w:type="dxa"/>
          </w:tcPr>
          <w:p w:rsidR="00592694" w:rsidRDefault="00592694" w:rsidP="00592694"/>
        </w:tc>
        <w:tc>
          <w:tcPr>
            <w:tcW w:w="3907" w:type="dxa"/>
          </w:tcPr>
          <w:p w:rsidR="00592694" w:rsidRPr="00592694" w:rsidRDefault="00592694" w:rsidP="00592694">
            <w:r>
              <w:t>Removal or relocation of TasNetworks' assets at a customer's request (for example, the Tasmanian Government) request</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Default="00592694" w:rsidP="00592694"/>
        </w:tc>
        <w:tc>
          <w:tcPr>
            <w:tcW w:w="2835" w:type="dxa"/>
          </w:tcPr>
          <w:p w:rsidR="00592694" w:rsidRDefault="00592694" w:rsidP="00592694"/>
        </w:tc>
        <w:tc>
          <w:tcPr>
            <w:tcW w:w="3907" w:type="dxa"/>
          </w:tcPr>
          <w:p w:rsidR="00592694" w:rsidRPr="00592694" w:rsidRDefault="00592694" w:rsidP="00592694">
            <w:r>
              <w:t>Services provided at</w:t>
            </w:r>
            <w:r w:rsidRPr="00592694">
              <w:t xml:space="preserve"> a higher standard than the standard service, due to a customer's request</w:t>
            </w:r>
          </w:p>
        </w:tc>
      </w:tr>
      <w:tr w:rsidR="00592694" w:rsidTr="007B0757">
        <w:tc>
          <w:tcPr>
            <w:tcW w:w="1951" w:type="dxa"/>
          </w:tcPr>
          <w:p w:rsidR="00592694" w:rsidRDefault="00592694" w:rsidP="00592694"/>
        </w:tc>
        <w:tc>
          <w:tcPr>
            <w:tcW w:w="2835" w:type="dxa"/>
          </w:tcPr>
          <w:p w:rsidR="00592694" w:rsidRDefault="00592694" w:rsidP="00592694"/>
        </w:tc>
        <w:tc>
          <w:tcPr>
            <w:tcW w:w="3907" w:type="dxa"/>
          </w:tcPr>
          <w:p w:rsidR="00592694" w:rsidRPr="00592694" w:rsidRDefault="00592694" w:rsidP="00592694">
            <w:r>
              <w:t>Provision of public lighting schemes</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Default="00592694" w:rsidP="00592694"/>
        </w:tc>
        <w:tc>
          <w:tcPr>
            <w:tcW w:w="2835" w:type="dxa"/>
          </w:tcPr>
          <w:p w:rsidR="00592694" w:rsidRDefault="00592694" w:rsidP="00592694"/>
        </w:tc>
        <w:tc>
          <w:tcPr>
            <w:tcW w:w="3907" w:type="dxa"/>
          </w:tcPr>
          <w:p w:rsidR="00592694" w:rsidRPr="00592694" w:rsidRDefault="00592694" w:rsidP="00592694">
            <w:r>
              <w:t>Provision of overhead and underground subdivisions for developers</w:t>
            </w:r>
          </w:p>
        </w:tc>
      </w:tr>
      <w:tr w:rsidR="00592694" w:rsidTr="007B0757">
        <w:tc>
          <w:tcPr>
            <w:tcW w:w="1951" w:type="dxa"/>
          </w:tcPr>
          <w:p w:rsidR="00592694" w:rsidRDefault="00592694" w:rsidP="00592694"/>
        </w:tc>
        <w:tc>
          <w:tcPr>
            <w:tcW w:w="2835" w:type="dxa"/>
          </w:tcPr>
          <w:p w:rsidR="00592694" w:rsidRDefault="00592694" w:rsidP="00592694"/>
        </w:tc>
        <w:tc>
          <w:tcPr>
            <w:tcW w:w="3907" w:type="dxa"/>
          </w:tcPr>
          <w:p w:rsidR="00592694" w:rsidRPr="00592694" w:rsidRDefault="00592694" w:rsidP="00592694">
            <w:r>
              <w:t>Design work for a new connection</w:t>
            </w:r>
          </w:p>
        </w:tc>
      </w:tr>
      <w:tr w:rsidR="00592694" w:rsidTr="007B0757">
        <w:trPr>
          <w:cnfStyle w:val="000000010000" w:firstRow="0" w:lastRow="0" w:firstColumn="0" w:lastColumn="0" w:oddVBand="0" w:evenVBand="0" w:oddHBand="0" w:evenHBand="1" w:firstRowFirstColumn="0" w:firstRowLastColumn="0" w:lastRowFirstColumn="0" w:lastRowLastColumn="0"/>
        </w:trPr>
        <w:tc>
          <w:tcPr>
            <w:tcW w:w="1951" w:type="dxa"/>
          </w:tcPr>
          <w:p w:rsidR="00592694" w:rsidRDefault="00592694" w:rsidP="00592694"/>
        </w:tc>
        <w:tc>
          <w:tcPr>
            <w:tcW w:w="2835" w:type="dxa"/>
          </w:tcPr>
          <w:p w:rsidR="00592694" w:rsidRDefault="00592694" w:rsidP="00592694"/>
        </w:tc>
        <w:tc>
          <w:tcPr>
            <w:tcW w:w="3907" w:type="dxa"/>
          </w:tcPr>
          <w:p w:rsidR="00592694" w:rsidRPr="00592694" w:rsidRDefault="00592694" w:rsidP="00592694">
            <w:r>
              <w:t xml:space="preserve">Relocation of assets at the </w:t>
            </w:r>
            <w:r w:rsidRPr="00592694">
              <w:t>request of a third party</w:t>
            </w:r>
          </w:p>
        </w:tc>
      </w:tr>
      <w:tr w:rsidR="00592694" w:rsidTr="007B0757">
        <w:tc>
          <w:tcPr>
            <w:tcW w:w="1951" w:type="dxa"/>
          </w:tcPr>
          <w:p w:rsidR="00592694" w:rsidRDefault="00592694" w:rsidP="00592694"/>
        </w:tc>
        <w:tc>
          <w:tcPr>
            <w:tcW w:w="2835" w:type="dxa"/>
          </w:tcPr>
          <w:p w:rsidR="00592694" w:rsidRDefault="00592694" w:rsidP="00592694"/>
        </w:tc>
        <w:tc>
          <w:tcPr>
            <w:tcW w:w="3907" w:type="dxa"/>
          </w:tcPr>
          <w:p w:rsidR="00592694" w:rsidRPr="00592694" w:rsidRDefault="00592694" w:rsidP="00592694">
            <w:r>
              <w:t>Services that are provided through a non</w:t>
            </w:r>
            <w:r>
              <w:noBreakHyphen/>
              <w:t>standard process at a customer's request (for example, more frequent meter reading)</w:t>
            </w:r>
          </w:p>
        </w:tc>
      </w:tr>
    </w:tbl>
    <w:p w:rsidR="00B53B83" w:rsidRDefault="00592694" w:rsidP="00592694">
      <w:pPr>
        <w:pStyle w:val="AERtablesource"/>
      </w:pPr>
      <w:r w:rsidRPr="00592694">
        <w:t>Source:</w:t>
      </w:r>
      <w:r w:rsidRPr="00592694">
        <w:tab/>
        <w:t xml:space="preserve">AER analysis; TasNetworks, </w:t>
      </w:r>
      <w:r w:rsidRPr="007B0757">
        <w:rPr>
          <w:rStyle w:val="AERtextitalic"/>
        </w:rPr>
        <w:t>Tasmanian distribution regulatory proposal—Regulatory control period 1 July 2017 to 30 June 2019</w:t>
      </w:r>
      <w:r w:rsidRPr="00592694">
        <w:t>, 29 January 2016, p. 147; TasNetworks</w:t>
      </w:r>
      <w:r w:rsidRPr="007B0757">
        <w:rPr>
          <w:rStyle w:val="AERtextitalic"/>
        </w:rPr>
        <w:t>, Indicative pricing schedule: Regulatory control period 1 July 2017 to 30 June 2019</w:t>
      </w:r>
      <w:r w:rsidRPr="00592694">
        <w:t>, January 2016.</w:t>
      </w:r>
    </w:p>
    <w:p w:rsidR="007B0757" w:rsidRDefault="007B0757" w:rsidP="007B0757">
      <w:pPr>
        <w:pStyle w:val="Caption"/>
      </w:pPr>
      <w:bookmarkStart w:id="112" w:name="_Ref466557990"/>
      <w:r>
        <w:t xml:space="preserve">Table </w:t>
      </w:r>
      <w:fldSimple w:instr=" STYLEREF 1 \s ">
        <w:r w:rsidR="00013C24">
          <w:rPr>
            <w:noProof/>
          </w:rPr>
          <w:t>16</w:t>
        </w:r>
      </w:fldSimple>
      <w:r w:rsidR="005654A2">
        <w:t>.</w:t>
      </w:r>
      <w:fldSimple w:instr=" SEQ Table \* ARABIC \s 1 ">
        <w:r w:rsidR="00013C24">
          <w:rPr>
            <w:noProof/>
          </w:rPr>
          <w:t>6</w:t>
        </w:r>
      </w:fldSimple>
      <w:bookmarkEnd w:id="112"/>
      <w:r>
        <w:tab/>
        <w:t>Quoted service hourly labour rates for 2017–18, AER final decision ($2017–18)</w:t>
      </w:r>
    </w:p>
    <w:tbl>
      <w:tblPr>
        <w:tblStyle w:val="AERtable-numbers"/>
        <w:tblW w:w="8755" w:type="dxa"/>
        <w:tblLook w:val="04A0" w:firstRow="1" w:lastRow="0" w:firstColumn="1" w:lastColumn="0" w:noHBand="0" w:noVBand="1"/>
      </w:tblPr>
      <w:tblGrid>
        <w:gridCol w:w="4361"/>
        <w:gridCol w:w="4394"/>
      </w:tblGrid>
      <w:tr w:rsidR="00D93429" w:rsidTr="001B43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Labour type</w:t>
            </w:r>
          </w:p>
        </w:tc>
        <w:tc>
          <w:tcPr>
            <w:tcW w:w="4394" w:type="dxa"/>
          </w:tcPr>
          <w:p w:rsidR="00D93429" w:rsidRPr="007B0757" w:rsidRDefault="00D93429" w:rsidP="007B0757">
            <w:pPr>
              <w:cnfStyle w:val="100000000000" w:firstRow="1" w:lastRow="0" w:firstColumn="0" w:lastColumn="0" w:oddVBand="0" w:evenVBand="0" w:oddHBand="0" w:evenHBand="0" w:firstRowFirstColumn="0" w:firstRowLastColumn="0" w:lastRowFirstColumn="0" w:lastRowLastColumn="0"/>
            </w:pPr>
            <w:r>
              <w:t>AER final decision</w:t>
            </w:r>
          </w:p>
        </w:tc>
      </w:tr>
      <w:tr w:rsidR="00D93429" w:rsidTr="00D93429">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Cable joiner</w:t>
            </w:r>
          </w:p>
        </w:tc>
        <w:tc>
          <w:tcPr>
            <w:tcW w:w="4394" w:type="dxa"/>
          </w:tcPr>
          <w:p w:rsidR="00D93429" w:rsidRPr="007B0757" w:rsidRDefault="00D93429" w:rsidP="007B0757">
            <w:pPr>
              <w:cnfStyle w:val="000000000000" w:firstRow="0" w:lastRow="0" w:firstColumn="0" w:lastColumn="0" w:oddVBand="0" w:evenVBand="0" w:oddHBand="0" w:evenHBand="0" w:firstRowFirstColumn="0" w:firstRowLastColumn="0" w:lastRowFirstColumn="0" w:lastRowLastColumn="0"/>
            </w:pPr>
            <w:r>
              <w:t>60.56</w:t>
            </w:r>
          </w:p>
        </w:tc>
      </w:tr>
      <w:tr w:rsidR="00D93429" w:rsidTr="00D93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Customer connections – commercial metering</w:t>
            </w:r>
          </w:p>
        </w:tc>
        <w:tc>
          <w:tcPr>
            <w:tcW w:w="4394" w:type="dxa"/>
          </w:tcPr>
          <w:p w:rsidR="00D93429" w:rsidRPr="007B0757" w:rsidRDefault="00D93429" w:rsidP="007B0757">
            <w:pPr>
              <w:cnfStyle w:val="000000010000" w:firstRow="0" w:lastRow="0" w:firstColumn="0" w:lastColumn="0" w:oddVBand="0" w:evenVBand="0" w:oddHBand="0" w:evenHBand="1" w:firstRowFirstColumn="0" w:firstRowLastColumn="0" w:lastRowFirstColumn="0" w:lastRowLastColumn="0"/>
            </w:pPr>
            <w:r>
              <w:t>63.09</w:t>
            </w:r>
          </w:p>
        </w:tc>
      </w:tr>
      <w:tr w:rsidR="00D93429" w:rsidTr="00D93429">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Customer connections – service crew</w:t>
            </w:r>
          </w:p>
        </w:tc>
        <w:tc>
          <w:tcPr>
            <w:tcW w:w="4394" w:type="dxa"/>
          </w:tcPr>
          <w:p w:rsidR="00D93429" w:rsidRPr="007B0757" w:rsidRDefault="00D93429" w:rsidP="007B0757">
            <w:pPr>
              <w:cnfStyle w:val="000000000000" w:firstRow="0" w:lastRow="0" w:firstColumn="0" w:lastColumn="0" w:oddVBand="0" w:evenVBand="0" w:oddHBand="0" w:evenHBand="0" w:firstRowFirstColumn="0" w:firstRowLastColumn="0" w:lastRowFirstColumn="0" w:lastRowLastColumn="0"/>
            </w:pPr>
            <w:r>
              <w:t>62.13</w:t>
            </w:r>
          </w:p>
        </w:tc>
      </w:tr>
      <w:tr w:rsidR="00D93429" w:rsidTr="00D93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Desi</w:t>
            </w:r>
            <w:r w:rsidRPr="007B0757">
              <w:t>gner</w:t>
            </w:r>
          </w:p>
        </w:tc>
        <w:tc>
          <w:tcPr>
            <w:tcW w:w="4394" w:type="dxa"/>
          </w:tcPr>
          <w:p w:rsidR="00D93429" w:rsidRPr="007B0757" w:rsidRDefault="00D93429" w:rsidP="007B0757">
            <w:pPr>
              <w:cnfStyle w:val="000000010000" w:firstRow="0" w:lastRow="0" w:firstColumn="0" w:lastColumn="0" w:oddVBand="0" w:evenVBand="0" w:oddHBand="0" w:evenHBand="1" w:firstRowFirstColumn="0" w:firstRowLastColumn="0" w:lastRowFirstColumn="0" w:lastRowLastColumn="0"/>
            </w:pPr>
            <w:r>
              <w:t>70.05</w:t>
            </w:r>
          </w:p>
        </w:tc>
      </w:tr>
      <w:tr w:rsidR="00D93429" w:rsidTr="00D93429">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lastRenderedPageBreak/>
              <w:t>Distribution electrical technician</w:t>
            </w:r>
          </w:p>
        </w:tc>
        <w:tc>
          <w:tcPr>
            <w:tcW w:w="4394" w:type="dxa"/>
          </w:tcPr>
          <w:p w:rsidR="00D93429" w:rsidRPr="007B0757" w:rsidRDefault="00D93429" w:rsidP="007B0757">
            <w:pPr>
              <w:cnfStyle w:val="000000000000" w:firstRow="0" w:lastRow="0" w:firstColumn="0" w:lastColumn="0" w:oddVBand="0" w:evenVBand="0" w:oddHBand="0" w:evenHBand="0" w:firstRowFirstColumn="0" w:firstRowLastColumn="0" w:lastRowFirstColumn="0" w:lastRowLastColumn="0"/>
            </w:pPr>
            <w:r>
              <w:t>62.25</w:t>
            </w:r>
          </w:p>
        </w:tc>
      </w:tr>
      <w:tr w:rsidR="00D93429" w:rsidTr="00D93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Distribution linesman</w:t>
            </w:r>
          </w:p>
        </w:tc>
        <w:tc>
          <w:tcPr>
            <w:tcW w:w="4394" w:type="dxa"/>
          </w:tcPr>
          <w:p w:rsidR="00D93429" w:rsidRPr="007B0757" w:rsidRDefault="00D93429" w:rsidP="007B0757">
            <w:pPr>
              <w:cnfStyle w:val="000000010000" w:firstRow="0" w:lastRow="0" w:firstColumn="0" w:lastColumn="0" w:oddVBand="0" w:evenVBand="0" w:oddHBand="0" w:evenHBand="1" w:firstRowFirstColumn="0" w:firstRowLastColumn="0" w:lastRowFirstColumn="0" w:lastRowLastColumn="0"/>
            </w:pPr>
            <w:r>
              <w:t>56.35</w:t>
            </w:r>
          </w:p>
        </w:tc>
      </w:tr>
      <w:tr w:rsidR="00D93429" w:rsidTr="00D93429">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 xml:space="preserve">Distribution </w:t>
            </w:r>
            <w:r w:rsidRPr="007B0757">
              <w:t>linesman – live line</w:t>
            </w:r>
          </w:p>
        </w:tc>
        <w:tc>
          <w:tcPr>
            <w:tcW w:w="4394" w:type="dxa"/>
          </w:tcPr>
          <w:p w:rsidR="00D93429" w:rsidRPr="007B0757" w:rsidRDefault="00D93429" w:rsidP="007B0757">
            <w:pPr>
              <w:cnfStyle w:val="000000000000" w:firstRow="0" w:lastRow="0" w:firstColumn="0" w:lastColumn="0" w:oddVBand="0" w:evenVBand="0" w:oddHBand="0" w:evenHBand="0" w:firstRowFirstColumn="0" w:firstRowLastColumn="0" w:lastRowFirstColumn="0" w:lastRowLastColumn="0"/>
            </w:pPr>
            <w:r>
              <w:t>63.38</w:t>
            </w:r>
          </w:p>
        </w:tc>
      </w:tr>
      <w:tr w:rsidR="00D93429" w:rsidTr="00D93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Distribution operator</w:t>
            </w:r>
          </w:p>
        </w:tc>
        <w:tc>
          <w:tcPr>
            <w:tcW w:w="4394" w:type="dxa"/>
          </w:tcPr>
          <w:p w:rsidR="00D93429" w:rsidRPr="007B0757" w:rsidRDefault="00D93429" w:rsidP="007B0757">
            <w:pPr>
              <w:cnfStyle w:val="000000010000" w:firstRow="0" w:lastRow="0" w:firstColumn="0" w:lastColumn="0" w:oddVBand="0" w:evenVBand="0" w:oddHBand="0" w:evenHBand="1" w:firstRowFirstColumn="0" w:firstRowLastColumn="0" w:lastRowFirstColumn="0" w:lastRowLastColumn="0"/>
            </w:pPr>
            <w:r>
              <w:t>69.65</w:t>
            </w:r>
          </w:p>
        </w:tc>
      </w:tr>
      <w:tr w:rsidR="00D93429" w:rsidTr="00D93429">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Electrical inspector</w:t>
            </w:r>
          </w:p>
        </w:tc>
        <w:tc>
          <w:tcPr>
            <w:tcW w:w="4394" w:type="dxa"/>
          </w:tcPr>
          <w:p w:rsidR="00D93429" w:rsidRPr="007B0757" w:rsidRDefault="00D93429" w:rsidP="007B0757">
            <w:pPr>
              <w:cnfStyle w:val="000000000000" w:firstRow="0" w:lastRow="0" w:firstColumn="0" w:lastColumn="0" w:oddVBand="0" w:evenVBand="0" w:oddHBand="0" w:evenHBand="0" w:firstRowFirstColumn="0" w:firstRowLastColumn="0" w:lastRowFirstColumn="0" w:lastRowLastColumn="0"/>
            </w:pPr>
            <w:r>
              <w:t>58.32</w:t>
            </w:r>
          </w:p>
        </w:tc>
      </w:tr>
      <w:tr w:rsidR="00D93429" w:rsidTr="00D93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Field service co</w:t>
            </w:r>
            <w:r>
              <w:noBreakHyphen/>
              <w:t>ordinator</w:t>
            </w:r>
          </w:p>
        </w:tc>
        <w:tc>
          <w:tcPr>
            <w:tcW w:w="4394" w:type="dxa"/>
          </w:tcPr>
          <w:p w:rsidR="00D93429" w:rsidRPr="007B0757" w:rsidRDefault="00D93429" w:rsidP="007B0757">
            <w:pPr>
              <w:cnfStyle w:val="000000010000" w:firstRow="0" w:lastRow="0" w:firstColumn="0" w:lastColumn="0" w:oddVBand="0" w:evenVBand="0" w:oddHBand="0" w:evenHBand="1" w:firstRowFirstColumn="0" w:firstRowLastColumn="0" w:lastRowFirstColumn="0" w:lastRowLastColumn="0"/>
            </w:pPr>
            <w:r>
              <w:t>72.38</w:t>
            </w:r>
          </w:p>
        </w:tc>
      </w:tr>
      <w:tr w:rsidR="00D93429" w:rsidTr="00D93429">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Labourer – overhead</w:t>
            </w:r>
          </w:p>
        </w:tc>
        <w:tc>
          <w:tcPr>
            <w:tcW w:w="4394" w:type="dxa"/>
          </w:tcPr>
          <w:p w:rsidR="00D93429" w:rsidRPr="007B0757" w:rsidRDefault="00D93429" w:rsidP="007B0757">
            <w:pPr>
              <w:cnfStyle w:val="000000000000" w:firstRow="0" w:lastRow="0" w:firstColumn="0" w:lastColumn="0" w:oddVBand="0" w:evenVBand="0" w:oddHBand="0" w:evenHBand="0" w:firstRowFirstColumn="0" w:firstRowLastColumn="0" w:lastRowFirstColumn="0" w:lastRowLastColumn="0"/>
            </w:pPr>
            <w:r>
              <w:t>48.42</w:t>
            </w:r>
          </w:p>
        </w:tc>
      </w:tr>
      <w:tr w:rsidR="00D93429" w:rsidTr="00D93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Meter reader</w:t>
            </w:r>
          </w:p>
        </w:tc>
        <w:tc>
          <w:tcPr>
            <w:tcW w:w="4394" w:type="dxa"/>
          </w:tcPr>
          <w:p w:rsidR="00D93429" w:rsidRPr="007B0757" w:rsidRDefault="00D93429" w:rsidP="007B0757">
            <w:pPr>
              <w:cnfStyle w:val="000000010000" w:firstRow="0" w:lastRow="0" w:firstColumn="0" w:lastColumn="0" w:oddVBand="0" w:evenVBand="0" w:oddHBand="0" w:evenHBand="1" w:firstRowFirstColumn="0" w:firstRowLastColumn="0" w:lastRowFirstColumn="0" w:lastRowLastColumn="0"/>
            </w:pPr>
            <w:r>
              <w:t>48.23</w:t>
            </w:r>
          </w:p>
        </w:tc>
      </w:tr>
      <w:tr w:rsidR="00D93429" w:rsidTr="00D93429">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Pole tester</w:t>
            </w:r>
          </w:p>
        </w:tc>
        <w:tc>
          <w:tcPr>
            <w:tcW w:w="4394" w:type="dxa"/>
          </w:tcPr>
          <w:p w:rsidR="00D93429" w:rsidRPr="007B0757" w:rsidRDefault="00D93429" w:rsidP="007B0757">
            <w:pPr>
              <w:cnfStyle w:val="000000000000" w:firstRow="0" w:lastRow="0" w:firstColumn="0" w:lastColumn="0" w:oddVBand="0" w:evenVBand="0" w:oddHBand="0" w:evenHBand="0" w:firstRowFirstColumn="0" w:firstRowLastColumn="0" w:lastRowFirstColumn="0" w:lastRowLastColumn="0"/>
            </w:pPr>
            <w:r>
              <w:t>50.22</w:t>
            </w:r>
          </w:p>
        </w:tc>
      </w:tr>
      <w:tr w:rsidR="00D93429" w:rsidTr="00D934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D93429" w:rsidRPr="007B0757" w:rsidRDefault="00D93429" w:rsidP="007B0757">
            <w:r>
              <w:t>Project manager</w:t>
            </w:r>
          </w:p>
        </w:tc>
        <w:tc>
          <w:tcPr>
            <w:tcW w:w="4394" w:type="dxa"/>
          </w:tcPr>
          <w:p w:rsidR="00D93429" w:rsidRPr="007B0757" w:rsidRDefault="00D93429" w:rsidP="007B0757">
            <w:pPr>
              <w:cnfStyle w:val="000000010000" w:firstRow="0" w:lastRow="0" w:firstColumn="0" w:lastColumn="0" w:oddVBand="0" w:evenVBand="0" w:oddHBand="0" w:evenHBand="1" w:firstRowFirstColumn="0" w:firstRowLastColumn="0" w:lastRowFirstColumn="0" w:lastRowLastColumn="0"/>
            </w:pPr>
            <w:r>
              <w:t>86.06</w:t>
            </w:r>
          </w:p>
        </w:tc>
      </w:tr>
    </w:tbl>
    <w:p w:rsidR="007B0757" w:rsidRPr="007B0757" w:rsidRDefault="007B0757" w:rsidP="007B0757">
      <w:pPr>
        <w:pStyle w:val="AERtablesource"/>
      </w:pPr>
      <w:r w:rsidRPr="007B0757">
        <w:t>Source:</w:t>
      </w:r>
      <w:r w:rsidRPr="007B0757">
        <w:tab/>
        <w:t xml:space="preserve">AER analysis; TasNetworks, </w:t>
      </w:r>
      <w:r w:rsidRPr="007B0757">
        <w:rPr>
          <w:rStyle w:val="AERtextitalic"/>
        </w:rPr>
        <w:t>Indicative pricing schedule: Regulatory control period 1 July 2017 to 30 June 2019</w:t>
      </w:r>
      <w:r w:rsidRPr="007B0757">
        <w:t>, January 2016.</w:t>
      </w:r>
    </w:p>
    <w:p w:rsidR="00B53B83" w:rsidRDefault="007C42E1" w:rsidP="008133CE">
      <w:pPr>
        <w:pStyle w:val="Heading7"/>
      </w:pPr>
      <w:bookmarkStart w:id="113" w:name="_Toc481060976"/>
      <w:r>
        <w:lastRenderedPageBreak/>
        <w:t>Public Lighting charges</w:t>
      </w:r>
      <w:bookmarkEnd w:id="113"/>
    </w:p>
    <w:p w:rsidR="008133CE" w:rsidRDefault="004F0D4C" w:rsidP="004F0D4C">
      <w:pPr>
        <w:pStyle w:val="Caption"/>
      </w:pPr>
      <w:proofErr w:type="gramStart"/>
      <w:r>
        <w:t>Table 16.</w:t>
      </w:r>
      <w:proofErr w:type="gramEnd"/>
      <w:r w:rsidR="00275AFC">
        <w:fldChar w:fldCharType="begin"/>
      </w:r>
      <w:r w:rsidR="00275AFC">
        <w:instrText xml:space="preserve"> SEQ Table \* ARABIC </w:instrText>
      </w:r>
      <w:r w:rsidR="00275AFC">
        <w:fldChar w:fldCharType="separate"/>
      </w:r>
      <w:r w:rsidR="00013C24">
        <w:rPr>
          <w:noProof/>
        </w:rPr>
        <w:t>7</w:t>
      </w:r>
      <w:r w:rsidR="00275AFC">
        <w:rPr>
          <w:noProof/>
        </w:rPr>
        <w:fldChar w:fldCharType="end"/>
      </w:r>
      <w:r>
        <w:t xml:space="preserve"> Public Lighting Charges, </w:t>
      </w:r>
      <w:r w:rsidR="00275AFC">
        <w:t xml:space="preserve">Final </w:t>
      </w:r>
      <w:r>
        <w:t xml:space="preserve">decision </w:t>
      </w:r>
      <w:r w:rsidRPr="002F37FB">
        <w:t>($</w:t>
      </w:r>
      <w:r>
        <w:t xml:space="preserve"> nominal)</w:t>
      </w:r>
    </w:p>
    <w:tbl>
      <w:tblPr>
        <w:tblStyle w:val="AERtable-numbers"/>
        <w:tblW w:w="5000" w:type="pct"/>
        <w:tblLook w:val="04A0" w:firstRow="1" w:lastRow="0" w:firstColumn="1" w:lastColumn="0" w:noHBand="0" w:noVBand="1"/>
      </w:tblPr>
      <w:tblGrid>
        <w:gridCol w:w="2897"/>
        <w:gridCol w:w="2898"/>
        <w:gridCol w:w="2898"/>
      </w:tblGrid>
      <w:tr w:rsidR="00275AFC" w:rsidRPr="00946DA7" w:rsidTr="00275AFC">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tcPr>
          <w:p w:rsidR="00275AFC" w:rsidRPr="004F0D4C" w:rsidRDefault="00275AFC" w:rsidP="004F0D4C">
            <w:r>
              <w:t>Light Type</w:t>
            </w:r>
          </w:p>
        </w:tc>
        <w:tc>
          <w:tcPr>
            <w:tcW w:w="1667" w:type="pct"/>
          </w:tcPr>
          <w:p w:rsidR="00275AFC" w:rsidRDefault="00275AFC" w:rsidP="004F0D4C">
            <w:pPr>
              <w:cnfStyle w:val="100000000000" w:firstRow="1" w:lastRow="0" w:firstColumn="0" w:lastColumn="0" w:oddVBand="0" w:evenVBand="0" w:oddHBand="0" w:evenHBand="0" w:firstRowFirstColumn="0" w:firstRowLastColumn="0" w:lastRowFirstColumn="0" w:lastRowLastColumn="0"/>
            </w:pPr>
            <w:r>
              <w:t>2017-18</w:t>
            </w:r>
            <w:r w:rsidRPr="004F0D4C">
              <w:t xml:space="preserve"> (cents per light per day)</w:t>
            </w:r>
          </w:p>
          <w:p w:rsidR="00275AFC" w:rsidRPr="004F0D4C" w:rsidRDefault="003054AE" w:rsidP="00275AFC">
            <w:pPr>
              <w:cnfStyle w:val="100000000000" w:firstRow="1" w:lastRow="0" w:firstColumn="0" w:lastColumn="0" w:oddVBand="0" w:evenVBand="0" w:oddHBand="0" w:evenHBand="0" w:firstRowFirstColumn="0" w:firstRowLastColumn="0" w:lastRowFirstColumn="0" w:lastRowLastColumn="0"/>
            </w:pPr>
            <w:r>
              <w:t>Customer Owned</w:t>
            </w:r>
            <w:r>
              <w:rPr>
                <w:rStyle w:val="FootnoteReference"/>
              </w:rPr>
              <w:footnoteReference w:id="33"/>
            </w:r>
          </w:p>
        </w:tc>
        <w:tc>
          <w:tcPr>
            <w:tcW w:w="1667" w:type="pct"/>
          </w:tcPr>
          <w:p w:rsidR="00275AFC" w:rsidRPr="00275AFC" w:rsidRDefault="00275AFC" w:rsidP="00275AFC">
            <w:pPr>
              <w:cnfStyle w:val="100000000000" w:firstRow="1" w:lastRow="0" w:firstColumn="0" w:lastColumn="0" w:oddVBand="0" w:evenVBand="0" w:oddHBand="0" w:evenHBand="0" w:firstRowFirstColumn="0" w:firstRowLastColumn="0" w:lastRowFirstColumn="0" w:lastRowLastColumn="0"/>
            </w:pPr>
            <w:r w:rsidRPr="00275AFC">
              <w:t>2017-18 (cents per light per day)</w:t>
            </w:r>
          </w:p>
          <w:p w:rsidR="00275AFC" w:rsidRDefault="003054AE" w:rsidP="00275AFC">
            <w:pPr>
              <w:cnfStyle w:val="100000000000" w:firstRow="1" w:lastRow="0" w:firstColumn="0" w:lastColumn="0" w:oddVBand="0" w:evenVBand="0" w:oddHBand="0" w:evenHBand="0" w:firstRowFirstColumn="0" w:firstRowLastColumn="0" w:lastRowFirstColumn="0" w:lastRowLastColumn="0"/>
            </w:pPr>
            <w:r>
              <w:t>TasNetworks Owned</w:t>
            </w:r>
            <w:r>
              <w:rPr>
                <w:rStyle w:val="FootnoteReference"/>
              </w:rPr>
              <w:footnoteReference w:id="34"/>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32W Compact Fluorescent</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17.770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35.128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42W Compact Fluorescent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17.770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35.153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42W Compact Fluorescent - Bottom Pole Entry</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17.770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35.153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2x24W Compact Fluorescent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18.085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35.467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1x20W Fluorescent</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17.738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36.806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1x40W Fluorescent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17.757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35.672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2x20W Fluorescent</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18.022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37.089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2x24W Fluorescent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17.867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37.041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T5 Fluorescent 2 x 24W</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18.022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37.089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20 Fluorescent 1X20FL</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17.738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36.806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2x40W Fluorescent</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18.059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35.973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3x40W Fluorescent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21.858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45.238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4x20 Fluorescent</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18.589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37.655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4x40W Fluorescent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22.159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46.692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100W Sodium Vapour</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22.000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44.393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150W Sodium Vapour</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21.996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46.694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250W Sodium Vapour</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22.126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47.809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250W Sodium Vapour - Flood Light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22.126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51.816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400W Sodium Vapour</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22.170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48.651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400W Sodium Vapour - Flood Light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22.170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51.295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70W Sodium Vapour</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17.977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34.993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100W Incandescent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21.074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40.935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60W Incandescent</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17.576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31.974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18W LED</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33.488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lastRenderedPageBreak/>
              <w:t>25W LED</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33.488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18W LED Decorative - Bottom Pole Entry</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46.896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18W LED Decorative - Side Entry</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46.896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18W LED Decorative - Top Entry</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46.896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25W LED Decorative - Bottom Pole Entry</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46.896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25W LED Decorative - Side Entry</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46.896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25W LED Decorative - Top Entry</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46.896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30W LED</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33.488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88 LED Light</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12.043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33.488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100W Metal Halide</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21.997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44.544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150W Metal Halide</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22.140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47.261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250W Metal Halide</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22.140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48.104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400W Metal Halide</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22.828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53.376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70W Metal Halide</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18.481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33.817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250W Metal Halide - Flood Light</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22.140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53.523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400W Metal Halide - Flood Light</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22.828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53.376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125W Mercury Vapour</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21.109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44.261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250W Mercury Vapour</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21.109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44.728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400W Mercury Vapour</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21.259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46.842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50W Mercury Vapour</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17.640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32.688 </w:t>
            </w:r>
          </w:p>
        </w:tc>
      </w:tr>
      <w:tr w:rsidR="00275AFC" w:rsidRPr="00974310" w:rsidTr="00275AFC">
        <w:trPr>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80W Mercury Vapour Art decorative</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17.608 </w:t>
            </w:r>
          </w:p>
        </w:tc>
        <w:tc>
          <w:tcPr>
            <w:tcW w:w="1667" w:type="pct"/>
            <w:vAlign w:val="bottom"/>
          </w:tcPr>
          <w:p w:rsidR="00275AFC" w:rsidRPr="00275AFC" w:rsidRDefault="00275AFC" w:rsidP="00275AFC">
            <w:pPr>
              <w:cnfStyle w:val="000000000000" w:firstRow="0" w:lastRow="0" w:firstColumn="0" w:lastColumn="0" w:oddVBand="0" w:evenVBand="0" w:oddHBand="0" w:evenHBand="0" w:firstRowFirstColumn="0" w:firstRowLastColumn="0" w:lastRowFirstColumn="0" w:lastRowLastColumn="0"/>
            </w:pPr>
            <w:r w:rsidRPr="00275AFC">
              <w:t xml:space="preserve">49.313 </w:t>
            </w:r>
          </w:p>
        </w:tc>
      </w:tr>
      <w:tr w:rsidR="00275AFC" w:rsidRPr="00974310" w:rsidTr="00275AF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66" w:type="pct"/>
            <w:vAlign w:val="bottom"/>
          </w:tcPr>
          <w:p w:rsidR="00275AFC" w:rsidRPr="00275AFC" w:rsidRDefault="00275AFC" w:rsidP="00275AFC">
            <w:r w:rsidRPr="00275AFC">
              <w:t>80W Mercury Vapour</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17.608 </w:t>
            </w:r>
          </w:p>
        </w:tc>
        <w:tc>
          <w:tcPr>
            <w:tcW w:w="1667" w:type="pct"/>
            <w:vAlign w:val="bottom"/>
          </w:tcPr>
          <w:p w:rsidR="00275AFC" w:rsidRPr="00275AFC" w:rsidRDefault="00275AFC" w:rsidP="00275AFC">
            <w:pPr>
              <w:cnfStyle w:val="000000010000" w:firstRow="0" w:lastRow="0" w:firstColumn="0" w:lastColumn="0" w:oddVBand="0" w:evenVBand="0" w:oddHBand="0" w:evenHBand="1" w:firstRowFirstColumn="0" w:firstRowLastColumn="0" w:lastRowFirstColumn="0" w:lastRowLastColumn="0"/>
            </w:pPr>
            <w:r w:rsidRPr="00275AFC">
              <w:t xml:space="preserve">32.689 </w:t>
            </w:r>
          </w:p>
        </w:tc>
      </w:tr>
    </w:tbl>
    <w:p w:rsidR="00AF2B6C" w:rsidRDefault="00AF2B6C" w:rsidP="00AF2B6C"/>
    <w:p w:rsidR="008133CE" w:rsidRDefault="008133CE" w:rsidP="008133CE"/>
    <w:p w:rsidR="00AF2B6C" w:rsidRPr="008133CE" w:rsidRDefault="00AF2B6C" w:rsidP="008133CE"/>
    <w:p w:rsidR="00B53B83" w:rsidRDefault="00D93429" w:rsidP="00D93429">
      <w:pPr>
        <w:pStyle w:val="Heading7"/>
      </w:pPr>
      <w:bookmarkStart w:id="114" w:name="_Ref477501617"/>
      <w:bookmarkStart w:id="115" w:name="_Ref480289474"/>
      <w:bookmarkStart w:id="116" w:name="_Toc481060977"/>
      <w:r>
        <w:lastRenderedPageBreak/>
        <w:t>Metering prices</w:t>
      </w:r>
      <w:bookmarkEnd w:id="114"/>
      <w:bookmarkEnd w:id="115"/>
      <w:bookmarkEnd w:id="116"/>
    </w:p>
    <w:p w:rsidR="00D93429" w:rsidRDefault="00D93429" w:rsidP="00D93429">
      <w:pPr>
        <w:pStyle w:val="Caption"/>
      </w:pPr>
      <w:bookmarkStart w:id="117" w:name="_Ref460578354"/>
      <w:proofErr w:type="gramStart"/>
      <w:r>
        <w:t xml:space="preserve">Table </w:t>
      </w:r>
      <w:r w:rsidRPr="00D93429">
        <w:fldChar w:fldCharType="begin"/>
      </w:r>
      <w:r>
        <w:instrText xml:space="preserve"> STYLEREF 1 \s </w:instrText>
      </w:r>
      <w:r w:rsidRPr="00D93429">
        <w:fldChar w:fldCharType="separate"/>
      </w:r>
      <w:r w:rsidR="00013C24">
        <w:rPr>
          <w:noProof/>
        </w:rPr>
        <w:t>16</w:t>
      </w:r>
      <w:r w:rsidRPr="00D93429">
        <w:fldChar w:fldCharType="end"/>
      </w:r>
      <w:r>
        <w:t>.</w:t>
      </w:r>
      <w:proofErr w:type="gramEnd"/>
      <w:r w:rsidRPr="00D93429">
        <w:fldChar w:fldCharType="begin"/>
      </w:r>
      <w:r>
        <w:instrText xml:space="preserve"> SEQ Table \* ARABIC \s 1 </w:instrText>
      </w:r>
      <w:r w:rsidRPr="00D93429">
        <w:fldChar w:fldCharType="separate"/>
      </w:r>
      <w:r w:rsidR="00013C24">
        <w:rPr>
          <w:noProof/>
        </w:rPr>
        <w:t>8</w:t>
      </w:r>
      <w:r w:rsidRPr="00D93429">
        <w:fldChar w:fldCharType="end"/>
      </w:r>
      <w:bookmarkEnd w:id="117"/>
      <w:r>
        <w:tab/>
      </w:r>
      <w:r>
        <w:tab/>
        <w:t>Final decision metering charges (nominal, cents per day)</w:t>
      </w:r>
      <w:r w:rsidR="00B76620">
        <w:t xml:space="preserve"> </w:t>
      </w:r>
    </w:p>
    <w:tbl>
      <w:tblPr>
        <w:tblStyle w:val="AERtable-numbers"/>
        <w:tblW w:w="0" w:type="auto"/>
        <w:tblLook w:val="04A0" w:firstRow="1" w:lastRow="0" w:firstColumn="1" w:lastColumn="0" w:noHBand="0" w:noVBand="1"/>
      </w:tblPr>
      <w:tblGrid>
        <w:gridCol w:w="3227"/>
        <w:gridCol w:w="2835"/>
        <w:gridCol w:w="2551"/>
      </w:tblGrid>
      <w:tr w:rsidR="006F06A3" w:rsidRPr="009B3860" w:rsidTr="006F0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6F06A3" w:rsidRDefault="006F06A3" w:rsidP="00D93429">
            <w:pPr>
              <w:pStyle w:val="Source"/>
            </w:pPr>
          </w:p>
        </w:tc>
        <w:tc>
          <w:tcPr>
            <w:tcW w:w="2835" w:type="dxa"/>
          </w:tcPr>
          <w:p w:rsidR="006F06A3" w:rsidRDefault="006F06A3" w:rsidP="00D93429">
            <w:pPr>
              <w:pStyle w:val="Source"/>
              <w:cnfStyle w:val="100000000000" w:firstRow="1" w:lastRow="0" w:firstColumn="0" w:lastColumn="0" w:oddVBand="0" w:evenVBand="0" w:oddHBand="0" w:evenHBand="0" w:firstRowFirstColumn="0" w:firstRowLastColumn="0" w:lastRowFirstColumn="0" w:lastRowLastColumn="0"/>
            </w:pPr>
          </w:p>
        </w:tc>
        <w:tc>
          <w:tcPr>
            <w:tcW w:w="2551" w:type="dxa"/>
          </w:tcPr>
          <w:p w:rsidR="006F06A3" w:rsidRPr="00D93429" w:rsidRDefault="006F06A3" w:rsidP="00D93429">
            <w:pPr>
              <w:pStyle w:val="Source"/>
              <w:cnfStyle w:val="100000000000" w:firstRow="1" w:lastRow="0" w:firstColumn="0" w:lastColumn="0" w:oddVBand="0" w:evenVBand="0" w:oddHBand="0" w:evenHBand="0" w:firstRowFirstColumn="0" w:firstRowLastColumn="0" w:lastRowFirstColumn="0" w:lastRowLastColumn="0"/>
            </w:pPr>
            <w:r>
              <w:t>2017</w:t>
            </w:r>
            <w:r w:rsidRPr="00D93429">
              <w:t>-18</w:t>
            </w:r>
          </w:p>
        </w:tc>
      </w:tr>
      <w:tr w:rsidR="006F06A3" w:rsidRPr="009B3860" w:rsidTr="006F06A3">
        <w:tc>
          <w:tcPr>
            <w:cnfStyle w:val="001000000000" w:firstRow="0" w:lastRow="0" w:firstColumn="1" w:lastColumn="0" w:oddVBand="0" w:evenVBand="0" w:oddHBand="0" w:evenHBand="0" w:firstRowFirstColumn="0" w:firstRowLastColumn="0" w:lastRowFirstColumn="0" w:lastRowLastColumn="0"/>
            <w:tcW w:w="3227" w:type="dxa"/>
            <w:vMerge w:val="restart"/>
          </w:tcPr>
          <w:p w:rsidR="006F06A3" w:rsidRPr="00D93429" w:rsidRDefault="006F06A3" w:rsidP="00D93429">
            <w:pPr>
              <w:pStyle w:val="Source"/>
            </w:pPr>
            <w:r>
              <w:t>Business LV – Single phase</w:t>
            </w:r>
          </w:p>
        </w:tc>
        <w:tc>
          <w:tcPr>
            <w:tcW w:w="2835" w:type="dxa"/>
          </w:tcPr>
          <w:p w:rsidR="006F06A3" w:rsidRPr="00D93429" w:rsidRDefault="006F06A3" w:rsidP="00D93429">
            <w:pPr>
              <w:pStyle w:val="Source"/>
              <w:cnfStyle w:val="000000000000" w:firstRow="0" w:lastRow="0" w:firstColumn="0" w:lastColumn="0" w:oddVBand="0" w:evenVBand="0" w:oddHBand="0" w:evenHBand="0" w:firstRowFirstColumn="0" w:firstRowLastColumn="0" w:lastRowFirstColumn="0" w:lastRowLastColumn="0"/>
            </w:pPr>
            <w:r>
              <w:t>Capital</w:t>
            </w:r>
          </w:p>
        </w:tc>
        <w:tc>
          <w:tcPr>
            <w:tcW w:w="2551" w:type="dxa"/>
          </w:tcPr>
          <w:p w:rsidR="006F06A3" w:rsidRPr="00D93429" w:rsidRDefault="006F06A3" w:rsidP="00D93429">
            <w:pPr>
              <w:pStyle w:val="Source"/>
              <w:cnfStyle w:val="000000000000" w:firstRow="0" w:lastRow="0" w:firstColumn="0" w:lastColumn="0" w:oddVBand="0" w:evenVBand="0" w:oddHBand="0" w:evenHBand="0" w:firstRowFirstColumn="0" w:firstRowLastColumn="0" w:lastRowFirstColumn="0" w:lastRowLastColumn="0"/>
            </w:pPr>
            <w:r>
              <w:t>3.</w:t>
            </w:r>
            <w:r w:rsidR="002562B3">
              <w:t>302</w:t>
            </w:r>
          </w:p>
        </w:tc>
      </w:tr>
      <w:tr w:rsidR="006F06A3" w:rsidRPr="009B3860" w:rsidTr="006F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Pr>
          <w:p w:rsidR="006F06A3" w:rsidRDefault="006F06A3" w:rsidP="00D93429">
            <w:pPr>
              <w:pStyle w:val="Source"/>
            </w:pPr>
          </w:p>
        </w:tc>
        <w:tc>
          <w:tcPr>
            <w:tcW w:w="2835" w:type="dxa"/>
          </w:tcPr>
          <w:p w:rsidR="006F06A3" w:rsidRPr="00D93429" w:rsidRDefault="006F06A3" w:rsidP="00D93429">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551" w:type="dxa"/>
          </w:tcPr>
          <w:p w:rsidR="006F06A3" w:rsidRPr="00D93429" w:rsidRDefault="002562B3" w:rsidP="00D93429">
            <w:pPr>
              <w:pStyle w:val="Source"/>
              <w:cnfStyle w:val="000000010000" w:firstRow="0" w:lastRow="0" w:firstColumn="0" w:lastColumn="0" w:oddVBand="0" w:evenVBand="0" w:oddHBand="0" w:evenHBand="1" w:firstRowFirstColumn="0" w:firstRowLastColumn="0" w:lastRowFirstColumn="0" w:lastRowLastColumn="0"/>
            </w:pPr>
            <w:r>
              <w:t>2.994</w:t>
            </w:r>
          </w:p>
        </w:tc>
      </w:tr>
      <w:tr w:rsidR="006F06A3" w:rsidRPr="009B3860" w:rsidTr="006F06A3">
        <w:tc>
          <w:tcPr>
            <w:cnfStyle w:val="001000000000" w:firstRow="0" w:lastRow="0" w:firstColumn="1" w:lastColumn="0" w:oddVBand="0" w:evenVBand="0" w:oddHBand="0" w:evenHBand="0" w:firstRowFirstColumn="0" w:firstRowLastColumn="0" w:lastRowFirstColumn="0" w:lastRowLastColumn="0"/>
            <w:tcW w:w="3227" w:type="dxa"/>
            <w:vMerge w:val="restart"/>
          </w:tcPr>
          <w:p w:rsidR="006F06A3" w:rsidRPr="00D93429" w:rsidRDefault="006F06A3" w:rsidP="00D93429">
            <w:pPr>
              <w:pStyle w:val="Source"/>
            </w:pPr>
            <w:r>
              <w:t>Business LV – Multi phase</w:t>
            </w:r>
          </w:p>
        </w:tc>
        <w:tc>
          <w:tcPr>
            <w:tcW w:w="2835" w:type="dxa"/>
          </w:tcPr>
          <w:p w:rsidR="006F06A3" w:rsidRPr="00D93429" w:rsidRDefault="006F06A3" w:rsidP="00D93429">
            <w:pPr>
              <w:pStyle w:val="Source"/>
              <w:cnfStyle w:val="000000000000" w:firstRow="0" w:lastRow="0" w:firstColumn="0" w:lastColumn="0" w:oddVBand="0" w:evenVBand="0" w:oddHBand="0" w:evenHBand="0" w:firstRowFirstColumn="0" w:firstRowLastColumn="0" w:lastRowFirstColumn="0" w:lastRowLastColumn="0"/>
            </w:pPr>
            <w:r>
              <w:t>Capital</w:t>
            </w:r>
          </w:p>
        </w:tc>
        <w:tc>
          <w:tcPr>
            <w:tcW w:w="2551" w:type="dxa"/>
          </w:tcPr>
          <w:p w:rsidR="006F06A3" w:rsidRPr="00D93429" w:rsidRDefault="006F06A3" w:rsidP="002562B3">
            <w:pPr>
              <w:pStyle w:val="Source"/>
              <w:cnfStyle w:val="000000000000" w:firstRow="0" w:lastRow="0" w:firstColumn="0" w:lastColumn="0" w:oddVBand="0" w:evenVBand="0" w:oddHBand="0" w:evenHBand="0" w:firstRowFirstColumn="0" w:firstRowLastColumn="0" w:lastRowFirstColumn="0" w:lastRowLastColumn="0"/>
            </w:pPr>
            <w:r>
              <w:t>6.</w:t>
            </w:r>
            <w:r w:rsidR="002562B3">
              <w:t>605</w:t>
            </w:r>
          </w:p>
        </w:tc>
      </w:tr>
      <w:tr w:rsidR="006F06A3" w:rsidRPr="009B3860" w:rsidTr="006F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Pr>
          <w:p w:rsidR="006F06A3" w:rsidRDefault="006F06A3" w:rsidP="00D93429">
            <w:pPr>
              <w:pStyle w:val="Source"/>
            </w:pPr>
          </w:p>
        </w:tc>
        <w:tc>
          <w:tcPr>
            <w:tcW w:w="2835" w:type="dxa"/>
          </w:tcPr>
          <w:p w:rsidR="006F06A3" w:rsidRPr="00D93429" w:rsidRDefault="006F06A3" w:rsidP="00D93429">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551" w:type="dxa"/>
          </w:tcPr>
          <w:p w:rsidR="006F06A3" w:rsidRPr="00D93429" w:rsidRDefault="002562B3" w:rsidP="00D93429">
            <w:pPr>
              <w:pStyle w:val="Source"/>
              <w:cnfStyle w:val="000000010000" w:firstRow="0" w:lastRow="0" w:firstColumn="0" w:lastColumn="0" w:oddVBand="0" w:evenVBand="0" w:oddHBand="0" w:evenHBand="1" w:firstRowFirstColumn="0" w:firstRowLastColumn="0" w:lastRowFirstColumn="0" w:lastRowLastColumn="0"/>
            </w:pPr>
            <w:r>
              <w:t>5.989</w:t>
            </w:r>
          </w:p>
        </w:tc>
      </w:tr>
      <w:tr w:rsidR="006F06A3" w:rsidRPr="009B3860" w:rsidTr="006F06A3">
        <w:tc>
          <w:tcPr>
            <w:cnfStyle w:val="001000000000" w:firstRow="0" w:lastRow="0" w:firstColumn="1" w:lastColumn="0" w:oddVBand="0" w:evenVBand="0" w:oddHBand="0" w:evenHBand="0" w:firstRowFirstColumn="0" w:firstRowLastColumn="0" w:lastRowFirstColumn="0" w:lastRowLastColumn="0"/>
            <w:tcW w:w="3227" w:type="dxa"/>
            <w:vMerge w:val="restart"/>
          </w:tcPr>
          <w:p w:rsidR="006F06A3" w:rsidRPr="00D93429" w:rsidRDefault="006F06A3" w:rsidP="00D93429">
            <w:pPr>
              <w:pStyle w:val="Source"/>
            </w:pPr>
            <w:r>
              <w:t>Business LV – CT meters</w:t>
            </w:r>
          </w:p>
        </w:tc>
        <w:tc>
          <w:tcPr>
            <w:tcW w:w="2835" w:type="dxa"/>
          </w:tcPr>
          <w:p w:rsidR="006F06A3" w:rsidRPr="00D93429" w:rsidRDefault="006F06A3" w:rsidP="00D93429">
            <w:pPr>
              <w:pStyle w:val="Source"/>
              <w:cnfStyle w:val="000000000000" w:firstRow="0" w:lastRow="0" w:firstColumn="0" w:lastColumn="0" w:oddVBand="0" w:evenVBand="0" w:oddHBand="0" w:evenHBand="0" w:firstRowFirstColumn="0" w:firstRowLastColumn="0" w:lastRowFirstColumn="0" w:lastRowLastColumn="0"/>
            </w:pPr>
            <w:r>
              <w:t>Capital</w:t>
            </w:r>
          </w:p>
        </w:tc>
        <w:tc>
          <w:tcPr>
            <w:tcW w:w="2551" w:type="dxa"/>
          </w:tcPr>
          <w:p w:rsidR="006F06A3" w:rsidRPr="00D93429" w:rsidRDefault="002562B3" w:rsidP="00D93429">
            <w:pPr>
              <w:pStyle w:val="Source"/>
              <w:cnfStyle w:val="000000000000" w:firstRow="0" w:lastRow="0" w:firstColumn="0" w:lastColumn="0" w:oddVBand="0" w:evenVBand="0" w:oddHBand="0" w:evenHBand="0" w:firstRowFirstColumn="0" w:firstRowLastColumn="0" w:lastRowFirstColumn="0" w:lastRowLastColumn="0"/>
            </w:pPr>
            <w:r>
              <w:t>8.541</w:t>
            </w:r>
          </w:p>
        </w:tc>
      </w:tr>
      <w:tr w:rsidR="006F06A3" w:rsidRPr="009B3860" w:rsidTr="006F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Pr>
          <w:p w:rsidR="006F06A3" w:rsidRDefault="006F06A3" w:rsidP="00D93429">
            <w:pPr>
              <w:pStyle w:val="Source"/>
            </w:pPr>
          </w:p>
        </w:tc>
        <w:tc>
          <w:tcPr>
            <w:tcW w:w="2835" w:type="dxa"/>
          </w:tcPr>
          <w:p w:rsidR="006F06A3" w:rsidRPr="00D93429" w:rsidRDefault="006F06A3" w:rsidP="00D93429">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551" w:type="dxa"/>
          </w:tcPr>
          <w:p w:rsidR="006F06A3" w:rsidRPr="00D93429" w:rsidRDefault="002562B3" w:rsidP="00D93429">
            <w:pPr>
              <w:pStyle w:val="Source"/>
              <w:cnfStyle w:val="000000010000" w:firstRow="0" w:lastRow="0" w:firstColumn="0" w:lastColumn="0" w:oddVBand="0" w:evenVBand="0" w:oddHBand="0" w:evenHBand="1" w:firstRowFirstColumn="0" w:firstRowLastColumn="0" w:lastRowFirstColumn="0" w:lastRowLastColumn="0"/>
            </w:pPr>
            <w:r>
              <w:t>7.744</w:t>
            </w:r>
          </w:p>
        </w:tc>
      </w:tr>
      <w:tr w:rsidR="006F06A3" w:rsidRPr="009B3860" w:rsidTr="006F06A3">
        <w:tc>
          <w:tcPr>
            <w:cnfStyle w:val="001000000000" w:firstRow="0" w:lastRow="0" w:firstColumn="1" w:lastColumn="0" w:oddVBand="0" w:evenVBand="0" w:oddHBand="0" w:evenHBand="0" w:firstRowFirstColumn="0" w:firstRowLastColumn="0" w:lastRowFirstColumn="0" w:lastRowLastColumn="0"/>
            <w:tcW w:w="3227" w:type="dxa"/>
            <w:vMerge w:val="restart"/>
          </w:tcPr>
          <w:p w:rsidR="006F06A3" w:rsidRPr="00D93429" w:rsidRDefault="006F06A3" w:rsidP="00D93429">
            <w:pPr>
              <w:pStyle w:val="Source"/>
            </w:pPr>
            <w:r>
              <w:t>Domestic LV – Single phase</w:t>
            </w:r>
          </w:p>
        </w:tc>
        <w:tc>
          <w:tcPr>
            <w:tcW w:w="2835" w:type="dxa"/>
          </w:tcPr>
          <w:p w:rsidR="006F06A3" w:rsidRPr="00D93429" w:rsidRDefault="006F06A3" w:rsidP="00D93429">
            <w:pPr>
              <w:pStyle w:val="Source"/>
              <w:cnfStyle w:val="000000000000" w:firstRow="0" w:lastRow="0" w:firstColumn="0" w:lastColumn="0" w:oddVBand="0" w:evenVBand="0" w:oddHBand="0" w:evenHBand="0" w:firstRowFirstColumn="0" w:firstRowLastColumn="0" w:lastRowFirstColumn="0" w:lastRowLastColumn="0"/>
            </w:pPr>
            <w:r>
              <w:t>Capital</w:t>
            </w:r>
          </w:p>
        </w:tc>
        <w:tc>
          <w:tcPr>
            <w:tcW w:w="2551" w:type="dxa"/>
          </w:tcPr>
          <w:p w:rsidR="006F06A3" w:rsidRPr="00D93429" w:rsidRDefault="002562B3" w:rsidP="00D93429">
            <w:pPr>
              <w:pStyle w:val="Source"/>
              <w:cnfStyle w:val="000000000000" w:firstRow="0" w:lastRow="0" w:firstColumn="0" w:lastColumn="0" w:oddVBand="0" w:evenVBand="0" w:oddHBand="0" w:evenHBand="0" w:firstRowFirstColumn="0" w:firstRowLastColumn="0" w:lastRowFirstColumn="0" w:lastRowLastColumn="0"/>
            </w:pPr>
            <w:r>
              <w:t>3.192</w:t>
            </w:r>
          </w:p>
        </w:tc>
      </w:tr>
      <w:tr w:rsidR="006F06A3" w:rsidRPr="009B3860" w:rsidTr="006F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Pr>
          <w:p w:rsidR="006F06A3" w:rsidRDefault="006F06A3" w:rsidP="00D93429">
            <w:pPr>
              <w:pStyle w:val="Source"/>
            </w:pPr>
          </w:p>
        </w:tc>
        <w:tc>
          <w:tcPr>
            <w:tcW w:w="2835" w:type="dxa"/>
          </w:tcPr>
          <w:p w:rsidR="006F06A3" w:rsidRPr="00D93429" w:rsidRDefault="006F06A3" w:rsidP="00D93429">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551" w:type="dxa"/>
          </w:tcPr>
          <w:p w:rsidR="006F06A3" w:rsidRPr="00D93429" w:rsidRDefault="002562B3" w:rsidP="00D93429">
            <w:pPr>
              <w:pStyle w:val="Source"/>
              <w:cnfStyle w:val="000000010000" w:firstRow="0" w:lastRow="0" w:firstColumn="0" w:lastColumn="0" w:oddVBand="0" w:evenVBand="0" w:oddHBand="0" w:evenHBand="1" w:firstRowFirstColumn="0" w:firstRowLastColumn="0" w:lastRowFirstColumn="0" w:lastRowLastColumn="0"/>
            </w:pPr>
            <w:r>
              <w:t>2.894</w:t>
            </w:r>
          </w:p>
        </w:tc>
      </w:tr>
      <w:tr w:rsidR="006F06A3" w:rsidRPr="009B3860" w:rsidTr="006F06A3">
        <w:tc>
          <w:tcPr>
            <w:cnfStyle w:val="001000000000" w:firstRow="0" w:lastRow="0" w:firstColumn="1" w:lastColumn="0" w:oddVBand="0" w:evenVBand="0" w:oddHBand="0" w:evenHBand="0" w:firstRowFirstColumn="0" w:firstRowLastColumn="0" w:lastRowFirstColumn="0" w:lastRowLastColumn="0"/>
            <w:tcW w:w="3227" w:type="dxa"/>
            <w:vMerge w:val="restart"/>
          </w:tcPr>
          <w:p w:rsidR="006F06A3" w:rsidRPr="00D93429" w:rsidRDefault="006F06A3" w:rsidP="00D93429">
            <w:pPr>
              <w:pStyle w:val="Source"/>
            </w:pPr>
            <w:r>
              <w:t>Domestic LV –Multi phase</w:t>
            </w:r>
          </w:p>
        </w:tc>
        <w:tc>
          <w:tcPr>
            <w:tcW w:w="2835" w:type="dxa"/>
          </w:tcPr>
          <w:p w:rsidR="006F06A3" w:rsidRPr="00D93429" w:rsidRDefault="006F06A3" w:rsidP="00D93429">
            <w:pPr>
              <w:pStyle w:val="Source"/>
              <w:cnfStyle w:val="000000000000" w:firstRow="0" w:lastRow="0" w:firstColumn="0" w:lastColumn="0" w:oddVBand="0" w:evenVBand="0" w:oddHBand="0" w:evenHBand="0" w:firstRowFirstColumn="0" w:firstRowLastColumn="0" w:lastRowFirstColumn="0" w:lastRowLastColumn="0"/>
            </w:pPr>
            <w:r>
              <w:t>Capital</w:t>
            </w:r>
          </w:p>
        </w:tc>
        <w:tc>
          <w:tcPr>
            <w:tcW w:w="2551" w:type="dxa"/>
          </w:tcPr>
          <w:p w:rsidR="006F06A3" w:rsidRPr="00D93429" w:rsidRDefault="002562B3" w:rsidP="00D93429">
            <w:pPr>
              <w:pStyle w:val="Source"/>
              <w:cnfStyle w:val="000000000000" w:firstRow="0" w:lastRow="0" w:firstColumn="0" w:lastColumn="0" w:oddVBand="0" w:evenVBand="0" w:oddHBand="0" w:evenHBand="0" w:firstRowFirstColumn="0" w:firstRowLastColumn="0" w:lastRowFirstColumn="0" w:lastRowLastColumn="0"/>
            </w:pPr>
            <w:r>
              <w:t>6.624</w:t>
            </w:r>
          </w:p>
        </w:tc>
      </w:tr>
      <w:tr w:rsidR="006F06A3" w:rsidRPr="009B3860" w:rsidTr="006F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Pr>
          <w:p w:rsidR="006F06A3" w:rsidRDefault="006F06A3" w:rsidP="00D93429">
            <w:pPr>
              <w:pStyle w:val="Source"/>
            </w:pPr>
          </w:p>
        </w:tc>
        <w:tc>
          <w:tcPr>
            <w:tcW w:w="2835" w:type="dxa"/>
          </w:tcPr>
          <w:p w:rsidR="006F06A3" w:rsidRPr="00D93429" w:rsidRDefault="006F06A3" w:rsidP="00D93429">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551" w:type="dxa"/>
          </w:tcPr>
          <w:p w:rsidR="006F06A3" w:rsidRPr="00D93429" w:rsidRDefault="002562B3" w:rsidP="00D93429">
            <w:pPr>
              <w:pStyle w:val="Source"/>
              <w:cnfStyle w:val="000000010000" w:firstRow="0" w:lastRow="0" w:firstColumn="0" w:lastColumn="0" w:oddVBand="0" w:evenVBand="0" w:oddHBand="0" w:evenHBand="1" w:firstRowFirstColumn="0" w:firstRowLastColumn="0" w:lastRowFirstColumn="0" w:lastRowLastColumn="0"/>
            </w:pPr>
            <w:r>
              <w:t>6.006</w:t>
            </w:r>
          </w:p>
        </w:tc>
      </w:tr>
      <w:tr w:rsidR="006F06A3" w:rsidRPr="009B3860" w:rsidTr="006F06A3">
        <w:tc>
          <w:tcPr>
            <w:cnfStyle w:val="001000000000" w:firstRow="0" w:lastRow="0" w:firstColumn="1" w:lastColumn="0" w:oddVBand="0" w:evenVBand="0" w:oddHBand="0" w:evenHBand="0" w:firstRowFirstColumn="0" w:firstRowLastColumn="0" w:lastRowFirstColumn="0" w:lastRowLastColumn="0"/>
            <w:tcW w:w="3227" w:type="dxa"/>
            <w:vMerge w:val="restart"/>
          </w:tcPr>
          <w:p w:rsidR="006F06A3" w:rsidRPr="00D93429" w:rsidRDefault="006F06A3" w:rsidP="00D93429">
            <w:pPr>
              <w:pStyle w:val="Source"/>
            </w:pPr>
            <w:r>
              <w:t>Domestic LV - CT meters</w:t>
            </w:r>
          </w:p>
        </w:tc>
        <w:tc>
          <w:tcPr>
            <w:tcW w:w="2835" w:type="dxa"/>
          </w:tcPr>
          <w:p w:rsidR="006F06A3" w:rsidRPr="00D93429" w:rsidRDefault="006F06A3" w:rsidP="00D93429">
            <w:pPr>
              <w:pStyle w:val="Source"/>
              <w:cnfStyle w:val="000000000000" w:firstRow="0" w:lastRow="0" w:firstColumn="0" w:lastColumn="0" w:oddVBand="0" w:evenVBand="0" w:oddHBand="0" w:evenHBand="0" w:firstRowFirstColumn="0" w:firstRowLastColumn="0" w:lastRowFirstColumn="0" w:lastRowLastColumn="0"/>
            </w:pPr>
            <w:r>
              <w:t>Capital</w:t>
            </w:r>
          </w:p>
        </w:tc>
        <w:tc>
          <w:tcPr>
            <w:tcW w:w="2551" w:type="dxa"/>
          </w:tcPr>
          <w:p w:rsidR="006F06A3" w:rsidRPr="00D93429" w:rsidRDefault="002562B3" w:rsidP="00D93429">
            <w:pPr>
              <w:pStyle w:val="Source"/>
              <w:cnfStyle w:val="000000000000" w:firstRow="0" w:lastRow="0" w:firstColumn="0" w:lastColumn="0" w:oddVBand="0" w:evenVBand="0" w:oddHBand="0" w:evenHBand="0" w:firstRowFirstColumn="0" w:firstRowLastColumn="0" w:lastRowFirstColumn="0" w:lastRowLastColumn="0"/>
            </w:pPr>
            <w:r>
              <w:t>8.198</w:t>
            </w:r>
          </w:p>
        </w:tc>
      </w:tr>
      <w:tr w:rsidR="006F06A3" w:rsidRPr="009B3860" w:rsidTr="006F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Pr>
          <w:p w:rsidR="006F06A3" w:rsidRDefault="006F06A3" w:rsidP="00D93429">
            <w:pPr>
              <w:pStyle w:val="Source"/>
            </w:pPr>
          </w:p>
        </w:tc>
        <w:tc>
          <w:tcPr>
            <w:tcW w:w="2835" w:type="dxa"/>
          </w:tcPr>
          <w:p w:rsidR="006F06A3" w:rsidRPr="00D93429" w:rsidRDefault="006F06A3" w:rsidP="00D93429">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551" w:type="dxa"/>
          </w:tcPr>
          <w:p w:rsidR="006F06A3" w:rsidRPr="00D93429" w:rsidRDefault="002562B3" w:rsidP="00D93429">
            <w:pPr>
              <w:pStyle w:val="Source"/>
              <w:cnfStyle w:val="000000010000" w:firstRow="0" w:lastRow="0" w:firstColumn="0" w:lastColumn="0" w:oddVBand="0" w:evenVBand="0" w:oddHBand="0" w:evenHBand="1" w:firstRowFirstColumn="0" w:firstRowLastColumn="0" w:lastRowFirstColumn="0" w:lastRowLastColumn="0"/>
            </w:pPr>
            <w:r>
              <w:t>7.432</w:t>
            </w:r>
          </w:p>
        </w:tc>
      </w:tr>
      <w:tr w:rsidR="006F06A3" w:rsidRPr="009B3860" w:rsidTr="006F06A3">
        <w:tc>
          <w:tcPr>
            <w:cnfStyle w:val="001000000000" w:firstRow="0" w:lastRow="0" w:firstColumn="1" w:lastColumn="0" w:oddVBand="0" w:evenVBand="0" w:oddHBand="0" w:evenHBand="0" w:firstRowFirstColumn="0" w:firstRowLastColumn="0" w:lastRowFirstColumn="0" w:lastRowLastColumn="0"/>
            <w:tcW w:w="3227" w:type="dxa"/>
            <w:vMerge w:val="restart"/>
          </w:tcPr>
          <w:p w:rsidR="006F06A3" w:rsidRPr="00D93429" w:rsidRDefault="006F06A3" w:rsidP="00D93429">
            <w:pPr>
              <w:pStyle w:val="Source"/>
            </w:pPr>
            <w:r>
              <w:t>O</w:t>
            </w:r>
            <w:r w:rsidRPr="00D93429">
              <w:t>ther meters</w:t>
            </w:r>
          </w:p>
        </w:tc>
        <w:tc>
          <w:tcPr>
            <w:tcW w:w="2835" w:type="dxa"/>
          </w:tcPr>
          <w:p w:rsidR="006F06A3" w:rsidRPr="00D93429" w:rsidRDefault="006F06A3" w:rsidP="00D93429">
            <w:pPr>
              <w:pStyle w:val="Source"/>
              <w:cnfStyle w:val="000000000000" w:firstRow="0" w:lastRow="0" w:firstColumn="0" w:lastColumn="0" w:oddVBand="0" w:evenVBand="0" w:oddHBand="0" w:evenHBand="0" w:firstRowFirstColumn="0" w:firstRowLastColumn="0" w:lastRowFirstColumn="0" w:lastRowLastColumn="0"/>
            </w:pPr>
            <w:r w:rsidRPr="00F22139">
              <w:t>Capital</w:t>
            </w:r>
          </w:p>
        </w:tc>
        <w:tc>
          <w:tcPr>
            <w:tcW w:w="2551" w:type="dxa"/>
          </w:tcPr>
          <w:p w:rsidR="006F06A3" w:rsidRPr="00D93429" w:rsidRDefault="002562B3" w:rsidP="00D93429">
            <w:pPr>
              <w:pStyle w:val="Source"/>
              <w:cnfStyle w:val="000000000000" w:firstRow="0" w:lastRow="0" w:firstColumn="0" w:lastColumn="0" w:oddVBand="0" w:evenVBand="0" w:oddHBand="0" w:evenHBand="0" w:firstRowFirstColumn="0" w:firstRowLastColumn="0" w:lastRowFirstColumn="0" w:lastRowLastColumn="0"/>
            </w:pPr>
            <w:r>
              <w:t>5.829</w:t>
            </w:r>
          </w:p>
        </w:tc>
      </w:tr>
      <w:tr w:rsidR="006F06A3" w:rsidRPr="009B3860" w:rsidTr="006F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tcPr>
          <w:p w:rsidR="006F06A3" w:rsidRDefault="006F06A3" w:rsidP="00D93429">
            <w:pPr>
              <w:pStyle w:val="Source"/>
            </w:pPr>
          </w:p>
        </w:tc>
        <w:tc>
          <w:tcPr>
            <w:tcW w:w="2835" w:type="dxa"/>
          </w:tcPr>
          <w:p w:rsidR="006F06A3" w:rsidRPr="00D93429" w:rsidRDefault="006F06A3" w:rsidP="00D93429">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551" w:type="dxa"/>
          </w:tcPr>
          <w:p w:rsidR="006F06A3" w:rsidRPr="00D93429" w:rsidRDefault="002562B3" w:rsidP="00D93429">
            <w:pPr>
              <w:pStyle w:val="Source"/>
              <w:cnfStyle w:val="000000010000" w:firstRow="0" w:lastRow="0" w:firstColumn="0" w:lastColumn="0" w:oddVBand="0" w:evenVBand="0" w:oddHBand="0" w:evenHBand="1" w:firstRowFirstColumn="0" w:firstRowLastColumn="0" w:lastRowFirstColumn="0" w:lastRowLastColumn="0"/>
            </w:pPr>
            <w:r>
              <w:t>5.285</w:t>
            </w:r>
          </w:p>
        </w:tc>
      </w:tr>
    </w:tbl>
    <w:p w:rsidR="00D93429" w:rsidRDefault="00D93429" w:rsidP="00D93429">
      <w:pPr>
        <w:pStyle w:val="AERtablesource"/>
      </w:pPr>
      <w:r>
        <w:t>Source:</w:t>
      </w:r>
      <w:r>
        <w:tab/>
        <w:t>AER analysis.</w:t>
      </w:r>
    </w:p>
    <w:p w:rsidR="00D93429" w:rsidRDefault="00D93429" w:rsidP="00D93429">
      <w:pPr>
        <w:pStyle w:val="AERtablesource"/>
      </w:pPr>
      <w:r>
        <w:t>Note:</w:t>
      </w:r>
      <w:r>
        <w:tab/>
        <w:t>Prices for 2018–19 will be adjusted for actual CPI during the AER's annual pricing approval process.</w:t>
      </w:r>
    </w:p>
    <w:p w:rsidR="00D93429" w:rsidRDefault="00D93429" w:rsidP="00D93429">
      <w:pPr>
        <w:pStyle w:val="Caption"/>
      </w:pPr>
      <w:bookmarkStart w:id="118" w:name="_Ref460578369"/>
      <w:r>
        <w:t xml:space="preserve">Table </w:t>
      </w:r>
      <w:r w:rsidRPr="00D93429">
        <w:fldChar w:fldCharType="begin"/>
      </w:r>
      <w:r>
        <w:instrText xml:space="preserve"> STYLEREF 1 \s </w:instrText>
      </w:r>
      <w:r w:rsidRPr="00D93429">
        <w:fldChar w:fldCharType="separate"/>
      </w:r>
      <w:r w:rsidR="00013C24">
        <w:rPr>
          <w:noProof/>
        </w:rPr>
        <w:t>16</w:t>
      </w:r>
      <w:r w:rsidRPr="00D93429">
        <w:fldChar w:fldCharType="end"/>
      </w:r>
      <w:r>
        <w:t>.</w:t>
      </w:r>
      <w:r w:rsidRPr="00D93429">
        <w:fldChar w:fldCharType="begin"/>
      </w:r>
      <w:r>
        <w:instrText xml:space="preserve"> SEQ Table \* ARABIC \s 1 </w:instrText>
      </w:r>
      <w:r w:rsidRPr="00D93429">
        <w:fldChar w:fldCharType="separate"/>
      </w:r>
      <w:r w:rsidR="00013C24">
        <w:rPr>
          <w:noProof/>
        </w:rPr>
        <w:t>9</w:t>
      </w:r>
      <w:r w:rsidRPr="00D93429">
        <w:fldChar w:fldCharType="end"/>
      </w:r>
      <w:bookmarkEnd w:id="118"/>
      <w:r>
        <w:tab/>
      </w:r>
      <w:r>
        <w:tab/>
        <w:t>Final decision on X factors for metering charges (per cent)</w:t>
      </w:r>
    </w:p>
    <w:tbl>
      <w:tblPr>
        <w:tblStyle w:val="AERtable-numbers"/>
        <w:tblW w:w="0" w:type="auto"/>
        <w:tblLook w:val="04A0" w:firstRow="1" w:lastRow="0" w:firstColumn="1" w:lastColumn="0" w:noHBand="0" w:noVBand="1"/>
      </w:tblPr>
      <w:tblGrid>
        <w:gridCol w:w="4346"/>
        <w:gridCol w:w="4347"/>
      </w:tblGrid>
      <w:tr w:rsidR="00D93429" w:rsidRPr="009B3860" w:rsidTr="007E3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93429" w:rsidRDefault="00D93429" w:rsidP="00D93429"/>
        </w:tc>
        <w:tc>
          <w:tcPr>
            <w:tcW w:w="4347" w:type="dxa"/>
          </w:tcPr>
          <w:p w:rsidR="00D93429" w:rsidRPr="00D93429" w:rsidRDefault="00D93429" w:rsidP="00D93429">
            <w:pPr>
              <w:cnfStyle w:val="100000000000" w:firstRow="1" w:lastRow="0" w:firstColumn="0" w:lastColumn="0" w:oddVBand="0" w:evenVBand="0" w:oddHBand="0" w:evenHBand="0" w:firstRowFirstColumn="0" w:firstRowLastColumn="0" w:lastRowFirstColumn="0" w:lastRowLastColumn="0"/>
            </w:pPr>
            <w:r>
              <w:t>2018–19</w:t>
            </w:r>
          </w:p>
        </w:tc>
      </w:tr>
      <w:tr w:rsidR="00D93429" w:rsidRPr="009B3860" w:rsidTr="007E355C">
        <w:tc>
          <w:tcPr>
            <w:cnfStyle w:val="001000000000" w:firstRow="0" w:lastRow="0" w:firstColumn="1" w:lastColumn="0" w:oddVBand="0" w:evenVBand="0" w:oddHBand="0" w:evenHBand="0" w:firstRowFirstColumn="0" w:firstRowLastColumn="0" w:lastRowFirstColumn="0" w:lastRowLastColumn="0"/>
            <w:tcW w:w="4346" w:type="dxa"/>
          </w:tcPr>
          <w:p w:rsidR="00D93429" w:rsidRPr="00D93429" w:rsidRDefault="00D93429" w:rsidP="00D93429">
            <w:r>
              <w:t>X factor (non–capital component)</w:t>
            </w:r>
          </w:p>
        </w:tc>
        <w:tc>
          <w:tcPr>
            <w:tcW w:w="4347" w:type="dxa"/>
          </w:tcPr>
          <w:p w:rsidR="00D93429" w:rsidRPr="00D93429" w:rsidRDefault="00D93429" w:rsidP="00D93429">
            <w:pPr>
              <w:cnfStyle w:val="000000000000" w:firstRow="0" w:lastRow="0" w:firstColumn="0" w:lastColumn="0" w:oddVBand="0" w:evenVBand="0" w:oddHBand="0" w:evenHBand="0" w:firstRowFirstColumn="0" w:firstRowLastColumn="0" w:lastRowFirstColumn="0" w:lastRowLastColumn="0"/>
            </w:pPr>
            <w:r>
              <w:t>0.0</w:t>
            </w:r>
          </w:p>
        </w:tc>
      </w:tr>
      <w:tr w:rsidR="00D93429" w:rsidRPr="009B3860" w:rsidTr="007E35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93429" w:rsidRPr="00D93429" w:rsidRDefault="00D93429" w:rsidP="00D93429">
            <w:r>
              <w:t>X factor (capital component)</w:t>
            </w:r>
          </w:p>
        </w:tc>
        <w:tc>
          <w:tcPr>
            <w:tcW w:w="4347" w:type="dxa"/>
          </w:tcPr>
          <w:p w:rsidR="00D93429" w:rsidRPr="00D93429" w:rsidRDefault="00D93429" w:rsidP="00D93429">
            <w:pPr>
              <w:cnfStyle w:val="000000010000" w:firstRow="0" w:lastRow="0" w:firstColumn="0" w:lastColumn="0" w:oddVBand="0" w:evenVBand="0" w:oddHBand="0" w:evenHBand="1" w:firstRowFirstColumn="0" w:firstRowLastColumn="0" w:lastRowFirstColumn="0" w:lastRowLastColumn="0"/>
            </w:pPr>
            <w:r>
              <w:t>0.0</w:t>
            </w:r>
          </w:p>
        </w:tc>
      </w:tr>
    </w:tbl>
    <w:p w:rsidR="00D93429" w:rsidRDefault="00D93429" w:rsidP="00D93429">
      <w:pPr>
        <w:pStyle w:val="AERtablesource"/>
      </w:pPr>
      <w:r w:rsidRPr="0031261B">
        <w:t>Source:</w:t>
      </w:r>
      <w:r w:rsidRPr="0031261B">
        <w:tab/>
        <w:t>AER analysis.</w:t>
      </w:r>
    </w:p>
    <w:p w:rsidR="00D93429" w:rsidRDefault="00D93429" w:rsidP="00D93429">
      <w:pPr>
        <w:pStyle w:val="Caption"/>
      </w:pPr>
      <w:bookmarkStart w:id="119" w:name="_Ref460578297"/>
      <w:r>
        <w:t xml:space="preserve">Table </w:t>
      </w:r>
      <w:r w:rsidRPr="00D93429">
        <w:fldChar w:fldCharType="begin"/>
      </w:r>
      <w:r>
        <w:instrText xml:space="preserve"> STYLEREF 1 \s </w:instrText>
      </w:r>
      <w:r w:rsidRPr="00D93429">
        <w:fldChar w:fldCharType="separate"/>
      </w:r>
      <w:r w:rsidR="00013C24">
        <w:rPr>
          <w:noProof/>
        </w:rPr>
        <w:t>16</w:t>
      </w:r>
      <w:r w:rsidRPr="00D93429">
        <w:fldChar w:fldCharType="end"/>
      </w:r>
      <w:r>
        <w:t>.</w:t>
      </w:r>
      <w:r w:rsidRPr="00D93429">
        <w:fldChar w:fldCharType="begin"/>
      </w:r>
      <w:r>
        <w:instrText xml:space="preserve"> SEQ Table \* ARABIC \s 1 </w:instrText>
      </w:r>
      <w:r w:rsidRPr="00D93429">
        <w:fldChar w:fldCharType="separate"/>
      </w:r>
      <w:r w:rsidR="00013C24">
        <w:rPr>
          <w:noProof/>
        </w:rPr>
        <w:t>10</w:t>
      </w:r>
      <w:r w:rsidRPr="00D93429">
        <w:fldChar w:fldCharType="end"/>
      </w:r>
      <w:bookmarkEnd w:id="119"/>
      <w:r>
        <w:tab/>
      </w:r>
      <w:r>
        <w:tab/>
        <w:t xml:space="preserve">Indicative annual metering charges ($ nominal) </w:t>
      </w:r>
    </w:p>
    <w:tbl>
      <w:tblPr>
        <w:tblStyle w:val="AERtable-numbers"/>
        <w:tblW w:w="8613" w:type="dxa"/>
        <w:tblLook w:val="04A0" w:firstRow="1" w:lastRow="0" w:firstColumn="1" w:lastColumn="0" w:noHBand="0" w:noVBand="1"/>
      </w:tblPr>
      <w:tblGrid>
        <w:gridCol w:w="3227"/>
        <w:gridCol w:w="5386"/>
      </w:tblGrid>
      <w:tr w:rsidR="002562B3" w:rsidTr="002562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rsidR="002562B3" w:rsidRDefault="002562B3" w:rsidP="00D93429"/>
        </w:tc>
        <w:tc>
          <w:tcPr>
            <w:tcW w:w="5386" w:type="dxa"/>
          </w:tcPr>
          <w:p w:rsidR="002562B3" w:rsidRPr="00D93429" w:rsidRDefault="002562B3" w:rsidP="00D93429">
            <w:pPr>
              <w:cnfStyle w:val="100000000000" w:firstRow="1" w:lastRow="0" w:firstColumn="0" w:lastColumn="0" w:oddVBand="0" w:evenVBand="0" w:oddHBand="0" w:evenHBand="0" w:firstRowFirstColumn="0" w:firstRowLastColumn="0" w:lastRowFirstColumn="0" w:lastRowLastColumn="0"/>
            </w:pPr>
            <w:r>
              <w:t>2017–18</w:t>
            </w:r>
          </w:p>
        </w:tc>
      </w:tr>
      <w:tr w:rsidR="002562B3" w:rsidTr="002562B3">
        <w:tc>
          <w:tcPr>
            <w:cnfStyle w:val="001000000000" w:firstRow="0" w:lastRow="0" w:firstColumn="1" w:lastColumn="0" w:oddVBand="0" w:evenVBand="0" w:oddHBand="0" w:evenHBand="0" w:firstRowFirstColumn="0" w:firstRowLastColumn="0" w:lastRowFirstColumn="0" w:lastRowLastColumn="0"/>
            <w:tcW w:w="3227" w:type="dxa"/>
          </w:tcPr>
          <w:p w:rsidR="002562B3" w:rsidRPr="00D93429" w:rsidRDefault="002562B3" w:rsidP="00D93429">
            <w:r>
              <w:t>Business LV – Single phase</w:t>
            </w:r>
          </w:p>
        </w:tc>
        <w:tc>
          <w:tcPr>
            <w:tcW w:w="5386" w:type="dxa"/>
          </w:tcPr>
          <w:p w:rsidR="002562B3" w:rsidRPr="00D93429" w:rsidRDefault="002562B3" w:rsidP="00D93429">
            <w:pPr>
              <w:cnfStyle w:val="000000000000" w:firstRow="0" w:lastRow="0" w:firstColumn="0" w:lastColumn="0" w:oddVBand="0" w:evenVBand="0" w:oddHBand="0" w:evenHBand="0" w:firstRowFirstColumn="0" w:firstRowLastColumn="0" w:lastRowFirstColumn="0" w:lastRowLastColumn="0"/>
            </w:pPr>
            <w:r>
              <w:t>22.98</w:t>
            </w:r>
          </w:p>
        </w:tc>
      </w:tr>
      <w:tr w:rsidR="002562B3" w:rsidTr="0025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2562B3" w:rsidRPr="00D93429" w:rsidRDefault="002562B3" w:rsidP="00D93429">
            <w:r>
              <w:t>Business LV - Multiple phase</w:t>
            </w:r>
          </w:p>
        </w:tc>
        <w:tc>
          <w:tcPr>
            <w:tcW w:w="5386" w:type="dxa"/>
          </w:tcPr>
          <w:p w:rsidR="002562B3" w:rsidRPr="00D93429" w:rsidRDefault="002562B3" w:rsidP="00D93429">
            <w:pPr>
              <w:cnfStyle w:val="000000010000" w:firstRow="0" w:lastRow="0" w:firstColumn="0" w:lastColumn="0" w:oddVBand="0" w:evenVBand="0" w:oddHBand="0" w:evenHBand="1" w:firstRowFirstColumn="0" w:firstRowLastColumn="0" w:lastRowFirstColumn="0" w:lastRowLastColumn="0"/>
            </w:pPr>
            <w:r>
              <w:t>45.97</w:t>
            </w:r>
          </w:p>
        </w:tc>
      </w:tr>
      <w:tr w:rsidR="002562B3" w:rsidTr="002562B3">
        <w:tc>
          <w:tcPr>
            <w:cnfStyle w:val="001000000000" w:firstRow="0" w:lastRow="0" w:firstColumn="1" w:lastColumn="0" w:oddVBand="0" w:evenVBand="0" w:oddHBand="0" w:evenHBand="0" w:firstRowFirstColumn="0" w:firstRowLastColumn="0" w:lastRowFirstColumn="0" w:lastRowLastColumn="0"/>
            <w:tcW w:w="3227" w:type="dxa"/>
          </w:tcPr>
          <w:p w:rsidR="002562B3" w:rsidRPr="00D93429" w:rsidRDefault="002562B3" w:rsidP="00D93429">
            <w:r>
              <w:t xml:space="preserve">Business LV –CT </w:t>
            </w:r>
            <w:r w:rsidRPr="00D93429">
              <w:t>meters</w:t>
            </w:r>
          </w:p>
        </w:tc>
        <w:tc>
          <w:tcPr>
            <w:tcW w:w="5386" w:type="dxa"/>
          </w:tcPr>
          <w:p w:rsidR="002562B3" w:rsidRPr="00D93429" w:rsidRDefault="002562B3" w:rsidP="00D93429">
            <w:pPr>
              <w:cnfStyle w:val="000000000000" w:firstRow="0" w:lastRow="0" w:firstColumn="0" w:lastColumn="0" w:oddVBand="0" w:evenVBand="0" w:oddHBand="0" w:evenHBand="0" w:firstRowFirstColumn="0" w:firstRowLastColumn="0" w:lastRowFirstColumn="0" w:lastRowLastColumn="0"/>
            </w:pPr>
            <w:r>
              <w:t>59.44</w:t>
            </w:r>
          </w:p>
        </w:tc>
      </w:tr>
      <w:tr w:rsidR="002562B3" w:rsidTr="0025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2562B3" w:rsidRPr="00D93429" w:rsidRDefault="002562B3" w:rsidP="00D93429">
            <w:r>
              <w:t>Domestic LV – Single phase</w:t>
            </w:r>
          </w:p>
        </w:tc>
        <w:tc>
          <w:tcPr>
            <w:tcW w:w="5386" w:type="dxa"/>
          </w:tcPr>
          <w:p w:rsidR="002562B3" w:rsidRPr="00D93429" w:rsidRDefault="002562B3" w:rsidP="00D93429">
            <w:pPr>
              <w:cnfStyle w:val="000000010000" w:firstRow="0" w:lastRow="0" w:firstColumn="0" w:lastColumn="0" w:oddVBand="0" w:evenVBand="0" w:oddHBand="0" w:evenHBand="1" w:firstRowFirstColumn="0" w:firstRowLastColumn="0" w:lastRowFirstColumn="0" w:lastRowLastColumn="0"/>
            </w:pPr>
            <w:r>
              <w:t>22.21</w:t>
            </w:r>
          </w:p>
        </w:tc>
      </w:tr>
      <w:tr w:rsidR="002562B3" w:rsidTr="002562B3">
        <w:tc>
          <w:tcPr>
            <w:cnfStyle w:val="001000000000" w:firstRow="0" w:lastRow="0" w:firstColumn="1" w:lastColumn="0" w:oddVBand="0" w:evenVBand="0" w:oddHBand="0" w:evenHBand="0" w:firstRowFirstColumn="0" w:firstRowLastColumn="0" w:lastRowFirstColumn="0" w:lastRowLastColumn="0"/>
            <w:tcW w:w="3227" w:type="dxa"/>
          </w:tcPr>
          <w:p w:rsidR="002562B3" w:rsidRPr="00D93429" w:rsidRDefault="002562B3" w:rsidP="00D93429">
            <w:r>
              <w:t>Domestic LV – Multiple phase</w:t>
            </w:r>
          </w:p>
        </w:tc>
        <w:tc>
          <w:tcPr>
            <w:tcW w:w="5386" w:type="dxa"/>
          </w:tcPr>
          <w:p w:rsidR="002562B3" w:rsidRPr="00D93429" w:rsidRDefault="002562B3" w:rsidP="00D93429">
            <w:pPr>
              <w:cnfStyle w:val="000000000000" w:firstRow="0" w:lastRow="0" w:firstColumn="0" w:lastColumn="0" w:oddVBand="0" w:evenVBand="0" w:oddHBand="0" w:evenHBand="0" w:firstRowFirstColumn="0" w:firstRowLastColumn="0" w:lastRowFirstColumn="0" w:lastRowLastColumn="0"/>
            </w:pPr>
            <w:r>
              <w:t>46.10</w:t>
            </w:r>
          </w:p>
        </w:tc>
      </w:tr>
      <w:tr w:rsidR="002562B3" w:rsidTr="00256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2562B3" w:rsidRPr="00D93429" w:rsidRDefault="002562B3" w:rsidP="00D93429">
            <w:r>
              <w:lastRenderedPageBreak/>
              <w:t>Domestic LV – CT meters</w:t>
            </w:r>
          </w:p>
        </w:tc>
        <w:tc>
          <w:tcPr>
            <w:tcW w:w="5386" w:type="dxa"/>
          </w:tcPr>
          <w:p w:rsidR="002562B3" w:rsidRPr="00D93429" w:rsidRDefault="002562B3" w:rsidP="00D93429">
            <w:pPr>
              <w:cnfStyle w:val="000000010000" w:firstRow="0" w:lastRow="0" w:firstColumn="0" w:lastColumn="0" w:oddVBand="0" w:evenVBand="0" w:oddHBand="0" w:evenHBand="1" w:firstRowFirstColumn="0" w:firstRowLastColumn="0" w:lastRowFirstColumn="0" w:lastRowLastColumn="0"/>
            </w:pPr>
            <w:r>
              <w:t>57.05</w:t>
            </w:r>
          </w:p>
        </w:tc>
      </w:tr>
      <w:tr w:rsidR="002562B3" w:rsidTr="002562B3">
        <w:tc>
          <w:tcPr>
            <w:cnfStyle w:val="001000000000" w:firstRow="0" w:lastRow="0" w:firstColumn="1" w:lastColumn="0" w:oddVBand="0" w:evenVBand="0" w:oddHBand="0" w:evenHBand="0" w:firstRowFirstColumn="0" w:firstRowLastColumn="0" w:lastRowFirstColumn="0" w:lastRowLastColumn="0"/>
            <w:tcW w:w="3227" w:type="dxa"/>
          </w:tcPr>
          <w:p w:rsidR="002562B3" w:rsidRPr="00D93429" w:rsidRDefault="002562B3" w:rsidP="00D93429">
            <w:r>
              <w:t>Other meters</w:t>
            </w:r>
          </w:p>
        </w:tc>
        <w:tc>
          <w:tcPr>
            <w:tcW w:w="5386" w:type="dxa"/>
          </w:tcPr>
          <w:p w:rsidR="002562B3" w:rsidRPr="00D93429" w:rsidRDefault="002562B3" w:rsidP="00D93429">
            <w:pPr>
              <w:cnfStyle w:val="000000000000" w:firstRow="0" w:lastRow="0" w:firstColumn="0" w:lastColumn="0" w:oddVBand="0" w:evenVBand="0" w:oddHBand="0" w:evenHBand="0" w:firstRowFirstColumn="0" w:firstRowLastColumn="0" w:lastRowFirstColumn="0" w:lastRowLastColumn="0"/>
            </w:pPr>
            <w:r>
              <w:t>40.57</w:t>
            </w:r>
          </w:p>
        </w:tc>
      </w:tr>
    </w:tbl>
    <w:p w:rsidR="00D93429" w:rsidRDefault="00D93429" w:rsidP="00D93429">
      <w:pPr>
        <w:pStyle w:val="AERtablesource"/>
      </w:pPr>
      <w:r w:rsidRPr="0031261B">
        <w:t>Source:</w:t>
      </w:r>
      <w:r w:rsidRPr="0031261B">
        <w:tab/>
        <w:t>AER analysis.</w:t>
      </w:r>
    </w:p>
    <w:p w:rsidR="00B53B83" w:rsidRPr="00B53B83" w:rsidRDefault="00D93429" w:rsidP="00D93429">
      <w:pPr>
        <w:pStyle w:val="AERtablesource"/>
      </w:pPr>
      <w:r w:rsidRPr="0031261B">
        <w:t>Note:</w:t>
      </w:r>
      <w:r w:rsidRPr="0031261B">
        <w:tab/>
      </w:r>
      <w:r>
        <w:t xml:space="preserve">The prices in </w:t>
      </w:r>
      <w:r>
        <w:fldChar w:fldCharType="begin"/>
      </w:r>
      <w:r>
        <w:instrText xml:space="preserve"> REF _Ref460578297 \h </w:instrText>
      </w:r>
      <w:r>
        <w:fldChar w:fldCharType="separate"/>
      </w:r>
      <w:r w:rsidR="00013C24">
        <w:t xml:space="preserve">Table </w:t>
      </w:r>
      <w:r w:rsidR="00013C24">
        <w:rPr>
          <w:noProof/>
        </w:rPr>
        <w:t>16</w:t>
      </w:r>
      <w:r w:rsidR="00013C24">
        <w:t>.</w:t>
      </w:r>
      <w:r w:rsidR="00013C24">
        <w:rPr>
          <w:noProof/>
        </w:rPr>
        <w:t>10</w:t>
      </w:r>
      <w:r>
        <w:fldChar w:fldCharType="end"/>
      </w:r>
      <w:r>
        <w:t xml:space="preserve">  are indicative only. When setting metering charges, the AER will use the prices in </w:t>
      </w:r>
      <w:r>
        <w:fldChar w:fldCharType="begin"/>
      </w:r>
      <w:r>
        <w:instrText xml:space="preserve"> REF _Ref460578354 \h </w:instrText>
      </w:r>
      <w:r>
        <w:fldChar w:fldCharType="separate"/>
      </w:r>
      <w:r w:rsidR="00013C24">
        <w:t xml:space="preserve">Table </w:t>
      </w:r>
      <w:r w:rsidR="00013C24">
        <w:rPr>
          <w:noProof/>
        </w:rPr>
        <w:t>16</w:t>
      </w:r>
      <w:r w:rsidR="00013C24">
        <w:t>.</w:t>
      </w:r>
      <w:r w:rsidR="00013C24">
        <w:rPr>
          <w:noProof/>
        </w:rPr>
        <w:t>8</w:t>
      </w:r>
      <w:r>
        <w:fldChar w:fldCharType="end"/>
      </w:r>
      <w:r>
        <w:t xml:space="preserve"> and the X factors in </w:t>
      </w:r>
      <w:r>
        <w:fldChar w:fldCharType="begin"/>
      </w:r>
      <w:r>
        <w:instrText xml:space="preserve"> REF _Ref460578369 \h </w:instrText>
      </w:r>
      <w:r>
        <w:fldChar w:fldCharType="separate"/>
      </w:r>
      <w:r w:rsidR="00013C24">
        <w:t xml:space="preserve">Table </w:t>
      </w:r>
      <w:r w:rsidR="00013C24">
        <w:rPr>
          <w:noProof/>
        </w:rPr>
        <w:t>16</w:t>
      </w:r>
      <w:r w:rsidR="00013C24">
        <w:t>.</w:t>
      </w:r>
      <w:r w:rsidR="00013C24">
        <w:rPr>
          <w:noProof/>
        </w:rPr>
        <w:t>9</w:t>
      </w:r>
      <w:r>
        <w:fldChar w:fldCharType="end"/>
      </w:r>
      <w:r>
        <w:t xml:space="preserve">. The prices in </w:t>
      </w:r>
      <w:r w:rsidRPr="00441C75">
        <w:fldChar w:fldCharType="begin"/>
      </w:r>
      <w:r w:rsidRPr="00441C75">
        <w:instrText xml:space="preserve"> REF _Ref460578297 \h </w:instrText>
      </w:r>
      <w:r w:rsidRPr="00441C75">
        <w:fldChar w:fldCharType="separate"/>
      </w:r>
      <w:r w:rsidR="00013C24">
        <w:t xml:space="preserve">Table </w:t>
      </w:r>
      <w:r w:rsidR="00013C24">
        <w:rPr>
          <w:noProof/>
        </w:rPr>
        <w:t>16</w:t>
      </w:r>
      <w:r w:rsidR="00013C24">
        <w:t>.</w:t>
      </w:r>
      <w:r w:rsidR="00013C24">
        <w:rPr>
          <w:noProof/>
        </w:rPr>
        <w:t>10</w:t>
      </w:r>
      <w:r w:rsidRPr="00441C75">
        <w:fldChar w:fldCharType="end"/>
      </w:r>
      <w:r>
        <w:t xml:space="preserve"> include both the capital and non–capital component.</w:t>
      </w:r>
    </w:p>
    <w:sectPr w:rsidR="00B53B83" w:rsidRPr="00B53B83" w:rsidSect="00CF42AA">
      <w:headerReference w:type="default" r:id="rId69"/>
      <w:footerReference w:type="even" r:id="rId70"/>
      <w:footerReference w:type="default" r:id="rId71"/>
      <w:footerReference w:type="first" r:id="rId7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67" w:rsidRPr="00290C63" w:rsidRDefault="00F05167" w:rsidP="00290C63">
      <w:r>
        <w:separator/>
      </w:r>
    </w:p>
    <w:p w:rsidR="00F05167" w:rsidRDefault="00F05167"/>
  </w:endnote>
  <w:endnote w:type="continuationSeparator" w:id="0">
    <w:p w:rsidR="00F05167" w:rsidRPr="00290C63" w:rsidRDefault="00F05167" w:rsidP="00290C63">
      <w:r>
        <w:continuationSeparator/>
      </w:r>
    </w:p>
    <w:p w:rsidR="00F05167" w:rsidRDefault="00F05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67" w:rsidRPr="00290C63" w:rsidRDefault="00F0516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05167" w:rsidRDefault="00F05167"/>
  <w:p w:rsidR="00F05167" w:rsidRDefault="00F05167"/>
  <w:p w:rsidR="00F05167" w:rsidRDefault="00F05167"/>
  <w:p w:rsidR="00F05167" w:rsidRDefault="00F05167"/>
  <w:p w:rsidR="00F05167" w:rsidRDefault="00F05167"/>
  <w:p w:rsidR="00F05167" w:rsidRDefault="00F05167"/>
  <w:p w:rsidR="00F05167" w:rsidRDefault="00F051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F05167" w:rsidRPr="009B6F84" w:rsidRDefault="00F05167">
        <w:pPr>
          <w:pStyle w:val="Footer"/>
          <w:rPr>
            <w:sz w:val="20"/>
          </w:rPr>
        </w:pPr>
        <w:r>
          <w:fldChar w:fldCharType="begin"/>
        </w:r>
        <w:r>
          <w:instrText xml:space="preserve"> PAGE   \* MERGEFORMAT </w:instrText>
        </w:r>
        <w:r>
          <w:fldChar w:fldCharType="separate"/>
        </w:r>
        <w:r w:rsidR="00B35986">
          <w:rPr>
            <w:noProof/>
          </w:rPr>
          <w:t>16-0</w:t>
        </w:r>
        <w:r>
          <w:rPr>
            <w:noProof/>
          </w:rPr>
          <w:fldChar w:fldCharType="end"/>
        </w:r>
        <w:r>
          <w:rPr>
            <w:noProof/>
          </w:rPr>
          <w:t xml:space="preserve">  </w:t>
        </w:r>
        <w:r>
          <w:t>Attachment 16 – Alternative control services</w:t>
        </w:r>
        <w:r w:rsidRPr="004523B2">
          <w:t xml:space="preserve"> | </w:t>
        </w:r>
        <w:r>
          <w:t>TasNetworks distribution final determination</w:t>
        </w:r>
        <w:r w:rsidRPr="004523B2">
          <w:t xml:space="preserve"> 201</w:t>
        </w:r>
        <w:r>
          <w:t>7</w:t>
        </w:r>
        <w:r w:rsidRPr="004523B2">
          <w:t>–</w:t>
        </w:r>
        <w:r>
          <w:t>19</w:t>
        </w:r>
      </w:p>
    </w:sdtContent>
  </w:sdt>
  <w:p w:rsidR="00F05167" w:rsidRDefault="00F051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67" w:rsidRPr="00290C63" w:rsidRDefault="00F0516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05167" w:rsidRDefault="00F05167">
    <w:pPr>
      <w:pStyle w:val="Footer"/>
    </w:pPr>
  </w:p>
  <w:p w:rsidR="00F05167" w:rsidRDefault="00F05167"/>
  <w:p w:rsidR="00F05167" w:rsidRDefault="00F05167"/>
  <w:p w:rsidR="00F05167" w:rsidRDefault="00F05167"/>
  <w:p w:rsidR="00F05167" w:rsidRDefault="00F05167"/>
  <w:p w:rsidR="00F05167" w:rsidRDefault="00F05167"/>
  <w:p w:rsidR="00F05167" w:rsidRDefault="00F05167"/>
  <w:p w:rsidR="00F05167" w:rsidRDefault="00F0516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67" w:rsidRPr="00290C63" w:rsidRDefault="00F0516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05167" w:rsidRDefault="00F05167"/>
  <w:p w:rsidR="00F05167" w:rsidRDefault="00F05167"/>
  <w:p w:rsidR="00F05167" w:rsidRDefault="00F05167"/>
  <w:p w:rsidR="00F05167" w:rsidRDefault="00F05167"/>
  <w:p w:rsidR="00F05167" w:rsidRDefault="00F05167"/>
  <w:p w:rsidR="00F05167" w:rsidRDefault="00F05167"/>
  <w:p w:rsidR="00F05167" w:rsidRDefault="00F0516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F05167" w:rsidRPr="009B6F84" w:rsidRDefault="00F05167">
        <w:pPr>
          <w:pStyle w:val="Footer"/>
          <w:rPr>
            <w:sz w:val="20"/>
          </w:rPr>
        </w:pPr>
        <w:r>
          <w:fldChar w:fldCharType="begin"/>
        </w:r>
        <w:r>
          <w:instrText xml:space="preserve"> PAGE   \* MERGEFORMAT </w:instrText>
        </w:r>
        <w:r>
          <w:fldChar w:fldCharType="separate"/>
        </w:r>
        <w:r w:rsidR="00B35986">
          <w:rPr>
            <w:noProof/>
          </w:rPr>
          <w:t>16-26</w:t>
        </w:r>
        <w:r>
          <w:rPr>
            <w:noProof/>
          </w:rPr>
          <w:fldChar w:fldCharType="end"/>
        </w:r>
        <w:r>
          <w:rPr>
            <w:noProof/>
          </w:rPr>
          <w:t xml:space="preserve">  </w:t>
        </w:r>
        <w:r>
          <w:t>Attachment 16 – Alternative control services</w:t>
        </w:r>
        <w:r w:rsidRPr="004523B2">
          <w:t xml:space="preserve"> | </w:t>
        </w:r>
        <w:r>
          <w:t>TasNetworks distribution final determination</w:t>
        </w:r>
        <w:r w:rsidRPr="004523B2">
          <w:t xml:space="preserve"> 201</w:t>
        </w:r>
        <w:r>
          <w:t>7</w:t>
        </w:r>
        <w:r w:rsidRPr="004523B2">
          <w:t>–</w:t>
        </w:r>
        <w:r>
          <w:t>19</w:t>
        </w:r>
      </w:p>
    </w:sdtContent>
  </w:sdt>
  <w:p w:rsidR="00F05167" w:rsidRDefault="00F0516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67" w:rsidRPr="00290C63" w:rsidRDefault="00F0516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05167" w:rsidRDefault="00F05167">
    <w:pPr>
      <w:pStyle w:val="Footer"/>
    </w:pPr>
  </w:p>
  <w:p w:rsidR="00F05167" w:rsidRDefault="00F05167"/>
  <w:p w:rsidR="00F05167" w:rsidRDefault="00F05167"/>
  <w:p w:rsidR="00F05167" w:rsidRDefault="00F05167"/>
  <w:p w:rsidR="00F05167" w:rsidRDefault="00F05167"/>
  <w:p w:rsidR="00F05167" w:rsidRDefault="00F05167"/>
  <w:p w:rsidR="00F05167" w:rsidRDefault="00F05167"/>
  <w:p w:rsidR="00F05167" w:rsidRDefault="00F051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67" w:rsidRPr="00290C63" w:rsidRDefault="00F05167" w:rsidP="00290C63">
      <w:r>
        <w:separator/>
      </w:r>
    </w:p>
    <w:p w:rsidR="00F05167" w:rsidRDefault="00F05167"/>
  </w:footnote>
  <w:footnote w:type="continuationSeparator" w:id="0">
    <w:p w:rsidR="00F05167" w:rsidRPr="00290C63" w:rsidRDefault="00F05167" w:rsidP="00290C63">
      <w:r>
        <w:continuationSeparator/>
      </w:r>
    </w:p>
    <w:p w:rsidR="00F05167" w:rsidRDefault="00F05167"/>
  </w:footnote>
  <w:footnote w:id="1">
    <w:p w:rsidR="00F05167" w:rsidRDefault="00F05167">
      <w:pPr>
        <w:pStyle w:val="FootnoteText"/>
      </w:pPr>
      <w:r>
        <w:rPr>
          <w:rStyle w:val="FootnoteReference"/>
        </w:rPr>
        <w:footnoteRef/>
      </w:r>
      <w:r>
        <w:t xml:space="preserve"> </w:t>
      </w:r>
      <w:r>
        <w:tab/>
      </w:r>
      <w:r w:rsidRPr="007B0757">
        <w:t xml:space="preserve">AER, </w:t>
      </w:r>
      <w:r w:rsidRPr="007B0757">
        <w:rPr>
          <w:rStyle w:val="AERtextitalic"/>
        </w:rPr>
        <w:t>Final framework and approach paper for TasNetworks Distribution—Regulatory control period commencing 1 July 2017</w:t>
      </w:r>
      <w:r w:rsidRPr="007B0757">
        <w:t>, July 2015, pp. 56–57.</w:t>
      </w:r>
    </w:p>
  </w:footnote>
  <w:footnote w:id="2">
    <w:p w:rsidR="00F05167" w:rsidRDefault="00F05167" w:rsidP="007B0757">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3">
    <w:p w:rsidR="00F05167" w:rsidRDefault="00F05167" w:rsidP="007B0757">
      <w:pPr>
        <w:pStyle w:val="FootnoteText"/>
      </w:pPr>
      <w:r>
        <w:rPr>
          <w:rStyle w:val="FootnoteReference"/>
        </w:rPr>
        <w:footnoteRef/>
      </w:r>
      <w:r>
        <w:t xml:space="preserve"> </w:t>
      </w:r>
      <w:r>
        <w:tab/>
      </w:r>
      <w:r w:rsidRPr="00FD7850">
        <w:t xml:space="preserve">AER, </w:t>
      </w:r>
      <w:r w:rsidRPr="00FD7850">
        <w:rPr>
          <w:rStyle w:val="AERtextitalic"/>
        </w:rPr>
        <w:t>Final framework and approach paper for TasNetworks Distribution—Regulatory control period commencing 1</w:t>
      </w:r>
      <w:r>
        <w:rPr>
          <w:rStyle w:val="AERtextitalic"/>
        </w:rPr>
        <w:t> </w:t>
      </w:r>
      <w:r w:rsidRPr="00FD7850">
        <w:rPr>
          <w:rStyle w:val="AERtextitalic"/>
        </w:rPr>
        <w:t>July 2017</w:t>
      </w:r>
      <w:r w:rsidRPr="00FD7850">
        <w:t>, July 2015, p. 54</w:t>
      </w:r>
      <w:r>
        <w:t>.</w:t>
      </w:r>
    </w:p>
  </w:footnote>
  <w:footnote w:id="4">
    <w:p w:rsidR="00F05167" w:rsidRDefault="00F05167">
      <w:pPr>
        <w:pStyle w:val="FootnoteText"/>
      </w:pPr>
      <w:r>
        <w:rPr>
          <w:rStyle w:val="FootnoteReference"/>
        </w:rPr>
        <w:footnoteRef/>
      </w:r>
      <w:r>
        <w:t xml:space="preserve"> </w:t>
      </w:r>
      <w:r>
        <w:tab/>
        <w:t xml:space="preserve">AER, </w:t>
      </w:r>
      <w:r w:rsidRPr="0014728F">
        <w:rPr>
          <w:rStyle w:val="AERtextitalic"/>
        </w:rPr>
        <w:t>Draft decision: TasNetworks distribution determination 2017–18 to 2018–19: Attachment 16 – Alternative control services</w:t>
      </w:r>
      <w:r>
        <w:t>, September 2016, p. 8.</w:t>
      </w:r>
    </w:p>
  </w:footnote>
  <w:footnote w:id="5">
    <w:p w:rsidR="00F05167" w:rsidRDefault="00F05167">
      <w:pPr>
        <w:pStyle w:val="FootnoteText"/>
      </w:pPr>
      <w:r>
        <w:rPr>
          <w:rStyle w:val="FootnoteReference"/>
        </w:rPr>
        <w:footnoteRef/>
      </w:r>
      <w:r>
        <w:t xml:space="preserve"> </w:t>
      </w:r>
      <w:r>
        <w:tab/>
      </w:r>
      <w:r w:rsidRPr="0014728F">
        <w:t xml:space="preserve">AER, </w:t>
      </w:r>
      <w:r w:rsidRPr="0014728F">
        <w:rPr>
          <w:rStyle w:val="AERtextitalic"/>
        </w:rPr>
        <w:t>Final framework and approach paper for TasNetworks Distribution—Regulatory control period commencing 1</w:t>
      </w:r>
      <w:r>
        <w:rPr>
          <w:rStyle w:val="AERtextitalic"/>
        </w:rPr>
        <w:t> </w:t>
      </w:r>
      <w:r w:rsidRPr="0014728F">
        <w:rPr>
          <w:rStyle w:val="AERtextitalic"/>
        </w:rPr>
        <w:t>July 2017</w:t>
      </w:r>
      <w:r w:rsidRPr="0014728F">
        <w:t>, July 2015, pp. 56–57.</w:t>
      </w:r>
    </w:p>
  </w:footnote>
  <w:footnote w:id="6">
    <w:p w:rsidR="00F05167" w:rsidRDefault="00F05167" w:rsidP="00326134">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7">
    <w:p w:rsidR="00F05167" w:rsidRDefault="00F05167" w:rsidP="005C4F03">
      <w:pPr>
        <w:pStyle w:val="FootnoteText"/>
      </w:pPr>
      <w:r>
        <w:rPr>
          <w:rStyle w:val="FootnoteReference"/>
        </w:rPr>
        <w:footnoteRef/>
      </w:r>
      <w:r>
        <w:t xml:space="preserve"> </w:t>
      </w:r>
      <w:r>
        <w:tab/>
      </w:r>
      <w:r w:rsidRPr="00C52A8D">
        <w:t>The X factors applied in this formula adjust for annual labour price growth.</w:t>
      </w:r>
    </w:p>
  </w:footnote>
  <w:footnote w:id="8">
    <w:p w:rsidR="00F05167" w:rsidRDefault="00F05167">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pp. 24–27.</w:t>
      </w:r>
    </w:p>
  </w:footnote>
  <w:footnote w:id="9">
    <w:p w:rsidR="00F05167" w:rsidRDefault="00F05167" w:rsidP="00356967">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pp. 26–27.</w:t>
      </w:r>
    </w:p>
  </w:footnote>
  <w:footnote w:id="10">
    <w:p w:rsidR="00F05167" w:rsidRDefault="00F05167">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pp. 24–27.</w:t>
      </w:r>
    </w:p>
  </w:footnote>
  <w:footnote w:id="11">
    <w:p w:rsidR="00F05167" w:rsidRDefault="00F05167">
      <w:pPr>
        <w:pStyle w:val="FootnoteText"/>
      </w:pPr>
      <w:r>
        <w:rPr>
          <w:rStyle w:val="FootnoteReference"/>
        </w:rPr>
        <w:footnoteRef/>
      </w:r>
      <w:r>
        <w:t xml:space="preserve"> </w:t>
      </w:r>
      <w:r>
        <w:tab/>
        <w:t xml:space="preserve">AER, </w:t>
      </w:r>
      <w:r w:rsidRPr="0014728F">
        <w:rPr>
          <w:rStyle w:val="AERtextitalic"/>
        </w:rPr>
        <w:t>Draft decision: TasNetworks distribution determination 2017–18 to 2018–19: Attachment 16 – Alternative control services</w:t>
      </w:r>
      <w:r>
        <w:t>, September 2016, pp. 11–20.</w:t>
      </w:r>
    </w:p>
  </w:footnote>
  <w:footnote w:id="12">
    <w:p w:rsidR="00F05167" w:rsidRDefault="00F05167">
      <w:pPr>
        <w:pStyle w:val="FootnoteText"/>
      </w:pPr>
      <w:r>
        <w:rPr>
          <w:rStyle w:val="FootnoteReference"/>
        </w:rPr>
        <w:footnoteRef/>
      </w:r>
      <w:r>
        <w:t xml:space="preserve"> </w:t>
      </w:r>
      <w:r>
        <w:tab/>
        <w:t xml:space="preserve">AER, </w:t>
      </w:r>
      <w:r w:rsidRPr="0014728F">
        <w:rPr>
          <w:rStyle w:val="AERtextitalic"/>
        </w:rPr>
        <w:t>Draft decision: TasNetworks distribution determination 2017–18 to 2018–19: Attachment 16 – Alternative control services</w:t>
      </w:r>
      <w:r>
        <w:t>, September 2016, pp. 11–15.</w:t>
      </w:r>
    </w:p>
  </w:footnote>
  <w:footnote w:id="13">
    <w:p w:rsidR="00F05167" w:rsidRDefault="00F05167" w:rsidP="00356967">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 25.</w:t>
      </w:r>
    </w:p>
  </w:footnote>
  <w:footnote w:id="14">
    <w:p w:rsidR="00F05167" w:rsidRDefault="00F05167" w:rsidP="00356967">
      <w:pPr>
        <w:pStyle w:val="FootnoteText"/>
      </w:pPr>
      <w:r>
        <w:rPr>
          <w:rStyle w:val="FootnoteReference"/>
        </w:rPr>
        <w:footnoteRef/>
      </w:r>
      <w:r>
        <w:t xml:space="preserve"> </w:t>
      </w:r>
      <w:r>
        <w:tab/>
        <w:t>AER</w:t>
      </w:r>
      <w:r w:rsidRPr="000C1DDC">
        <w:rPr>
          <w:rStyle w:val="AERtextitalic"/>
        </w:rPr>
        <w:t>, Draft decision, TasNetworks distribution determination 2017–18 to 2018–19: Attachment 1</w:t>
      </w:r>
      <w:r>
        <w:rPr>
          <w:rStyle w:val="AERtextitalic"/>
        </w:rPr>
        <w:t>6</w:t>
      </w:r>
      <w:r w:rsidRPr="000C1DDC">
        <w:rPr>
          <w:rStyle w:val="AERtextitalic"/>
        </w:rPr>
        <w:t>–</w:t>
      </w:r>
      <w:r>
        <w:rPr>
          <w:rStyle w:val="AERtextitalic"/>
        </w:rPr>
        <w:t>Alternative c</w:t>
      </w:r>
      <w:r w:rsidRPr="000C1DDC">
        <w:rPr>
          <w:rStyle w:val="AERtextitalic"/>
        </w:rPr>
        <w:t xml:space="preserve">ontrol </w:t>
      </w:r>
      <w:r>
        <w:rPr>
          <w:rStyle w:val="AERtextitalic"/>
        </w:rPr>
        <w:t>service</w:t>
      </w:r>
      <w:r w:rsidRPr="000C1DDC">
        <w:rPr>
          <w:rStyle w:val="AERtextitalic"/>
        </w:rPr>
        <w:t>s</w:t>
      </w:r>
      <w:r>
        <w:t>, September 2016, p. 16.</w:t>
      </w:r>
    </w:p>
  </w:footnote>
  <w:footnote w:id="15">
    <w:p w:rsidR="00F05167" w:rsidRDefault="00F05167" w:rsidP="00356967">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 26.</w:t>
      </w:r>
    </w:p>
  </w:footnote>
  <w:footnote w:id="16">
    <w:p w:rsidR="00F05167" w:rsidRDefault="00F05167" w:rsidP="00356967">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 26.</w:t>
      </w:r>
    </w:p>
  </w:footnote>
  <w:footnote w:id="17">
    <w:p w:rsidR="00F05167" w:rsidRDefault="00F05167" w:rsidP="00356967">
      <w:pPr>
        <w:pStyle w:val="FootnoteText"/>
      </w:pPr>
      <w:r>
        <w:rPr>
          <w:rStyle w:val="FootnoteReference"/>
        </w:rPr>
        <w:footnoteRef/>
      </w:r>
      <w:r>
        <w:t xml:space="preserve"> </w:t>
      </w:r>
      <w:r>
        <w:tab/>
        <w:t xml:space="preserve">TasNetworks, </w:t>
      </w:r>
      <w:r w:rsidRPr="00D80EB3">
        <w:rPr>
          <w:rStyle w:val="AERtextitalic"/>
        </w:rPr>
        <w:t>RTN002</w:t>
      </w:r>
      <w:r w:rsidRPr="00D80EB3">
        <w:rPr>
          <w:rStyle w:val="AERtextitalic"/>
        </w:rPr>
        <w:softHyphen/>
        <w:t>_Alternative Control - Revised fee based services model</w:t>
      </w:r>
      <w:r>
        <w:t>, December 2016.</w:t>
      </w:r>
    </w:p>
  </w:footnote>
  <w:footnote w:id="18">
    <w:p w:rsidR="00F05167" w:rsidRDefault="00F05167" w:rsidP="003B20BC">
      <w:pPr>
        <w:pStyle w:val="FootnoteText"/>
      </w:pPr>
      <w:r>
        <w:rPr>
          <w:rStyle w:val="FootnoteReference"/>
        </w:rPr>
        <w:footnoteRef/>
      </w:r>
      <w:r>
        <w:t xml:space="preserve"> </w:t>
      </w:r>
      <w:r>
        <w:tab/>
        <w:t>AER</w:t>
      </w:r>
      <w:r w:rsidRPr="000C1DDC">
        <w:rPr>
          <w:rStyle w:val="AERtextitalic"/>
        </w:rPr>
        <w:t>, Draft decision, TasNetworks distribution determination 2017–18 to 2018–19: Attachment 1</w:t>
      </w:r>
      <w:r>
        <w:rPr>
          <w:rStyle w:val="AERtextitalic"/>
        </w:rPr>
        <w:t>6</w:t>
      </w:r>
      <w:r w:rsidRPr="000C1DDC">
        <w:rPr>
          <w:rStyle w:val="AERtextitalic"/>
        </w:rPr>
        <w:t>–</w:t>
      </w:r>
      <w:r>
        <w:rPr>
          <w:rStyle w:val="AERtextitalic"/>
        </w:rPr>
        <w:t>Alternative c</w:t>
      </w:r>
      <w:r w:rsidRPr="000C1DDC">
        <w:rPr>
          <w:rStyle w:val="AERtextitalic"/>
        </w:rPr>
        <w:t xml:space="preserve">ontrol </w:t>
      </w:r>
      <w:r>
        <w:rPr>
          <w:rStyle w:val="AERtextitalic"/>
        </w:rPr>
        <w:t>service</w:t>
      </w:r>
      <w:r w:rsidRPr="000C1DDC">
        <w:rPr>
          <w:rStyle w:val="AERtextitalic"/>
        </w:rPr>
        <w:t>s</w:t>
      </w:r>
      <w:r>
        <w:t>, September 2016, pp. 16–17.</w:t>
      </w:r>
    </w:p>
  </w:footnote>
  <w:footnote w:id="19">
    <w:p w:rsidR="00F05167" w:rsidRDefault="00F05167" w:rsidP="003B20BC">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 25.</w:t>
      </w:r>
    </w:p>
  </w:footnote>
  <w:footnote w:id="20">
    <w:p w:rsidR="00F05167" w:rsidRDefault="00F05167" w:rsidP="003B20BC">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 26.</w:t>
      </w:r>
    </w:p>
  </w:footnote>
  <w:footnote w:id="21">
    <w:p w:rsidR="00F05167" w:rsidRDefault="00F05167" w:rsidP="00690FF2">
      <w:pPr>
        <w:pStyle w:val="FootnoteText"/>
      </w:pPr>
      <w:r>
        <w:rPr>
          <w:rStyle w:val="FootnoteReference"/>
        </w:rPr>
        <w:footnoteRef/>
      </w:r>
      <w:r>
        <w:t xml:space="preserve"> </w:t>
      </w:r>
      <w:r>
        <w:tab/>
        <w:t>AER</w:t>
      </w:r>
      <w:r w:rsidRPr="000C1DDC">
        <w:rPr>
          <w:rStyle w:val="AERtextitalic"/>
        </w:rPr>
        <w:t>, Draft decision, TasNetworks distribution determination 2017–18 to 2018–19: Attachment 1</w:t>
      </w:r>
      <w:r>
        <w:rPr>
          <w:rStyle w:val="AERtextitalic"/>
        </w:rPr>
        <w:t>6</w:t>
      </w:r>
      <w:r w:rsidRPr="000C1DDC">
        <w:rPr>
          <w:rStyle w:val="AERtextitalic"/>
        </w:rPr>
        <w:t>–</w:t>
      </w:r>
      <w:r>
        <w:rPr>
          <w:rStyle w:val="AERtextitalic"/>
        </w:rPr>
        <w:t>Alternative c</w:t>
      </w:r>
      <w:r w:rsidRPr="000C1DDC">
        <w:rPr>
          <w:rStyle w:val="AERtextitalic"/>
        </w:rPr>
        <w:t xml:space="preserve">ontrol </w:t>
      </w:r>
      <w:r>
        <w:rPr>
          <w:rStyle w:val="AERtextitalic"/>
        </w:rPr>
        <w:t>service</w:t>
      </w:r>
      <w:r w:rsidRPr="000C1DDC">
        <w:rPr>
          <w:rStyle w:val="AERtextitalic"/>
        </w:rPr>
        <w:t>s</w:t>
      </w:r>
      <w:r>
        <w:t>, September 2016, pp. 16–17.</w:t>
      </w:r>
    </w:p>
  </w:footnote>
  <w:footnote w:id="22">
    <w:p w:rsidR="00F05167" w:rsidRDefault="00F05167" w:rsidP="00690FF2">
      <w:pPr>
        <w:pStyle w:val="FootnoteText"/>
      </w:pPr>
      <w:r>
        <w:rPr>
          <w:rStyle w:val="FootnoteReference"/>
        </w:rPr>
        <w:footnoteRef/>
      </w:r>
      <w:r>
        <w:t xml:space="preserve"> </w:t>
      </w:r>
      <w:r>
        <w:tab/>
        <w:t xml:space="preserve">TasNetworks, </w:t>
      </w:r>
      <w:r w:rsidRPr="00D80EB3">
        <w:rPr>
          <w:rStyle w:val="AERtextitalic"/>
        </w:rPr>
        <w:t>RTN002</w:t>
      </w:r>
      <w:r w:rsidRPr="00D80EB3">
        <w:rPr>
          <w:rStyle w:val="AERtextitalic"/>
        </w:rPr>
        <w:softHyphen/>
        <w:t>_Alternative Control - Revised fee based services model</w:t>
      </w:r>
      <w:r>
        <w:t>, December 2016.</w:t>
      </w:r>
    </w:p>
  </w:footnote>
  <w:footnote w:id="23">
    <w:p w:rsidR="00F05167" w:rsidRDefault="00F05167" w:rsidP="00690FF2">
      <w:pPr>
        <w:pStyle w:val="FootnoteText"/>
      </w:pPr>
      <w:r>
        <w:rPr>
          <w:rStyle w:val="FootnoteReference"/>
        </w:rPr>
        <w:footnoteRef/>
      </w:r>
      <w:r>
        <w:t xml:space="preserve"> </w:t>
      </w:r>
      <w:r>
        <w:tab/>
        <w:t xml:space="preserve">TasNetworks, </w:t>
      </w:r>
      <w:r w:rsidRPr="00D80EB3">
        <w:rPr>
          <w:rStyle w:val="AERtextitalic"/>
        </w:rPr>
        <w:t>RTN002</w:t>
      </w:r>
      <w:r w:rsidRPr="00D80EB3">
        <w:rPr>
          <w:rStyle w:val="AERtextitalic"/>
        </w:rPr>
        <w:softHyphen/>
        <w:t>_Alternative Control - Revised fee based services model</w:t>
      </w:r>
      <w:r>
        <w:t>, December 2016.</w:t>
      </w:r>
    </w:p>
  </w:footnote>
  <w:footnote w:id="24">
    <w:p w:rsidR="00F05167" w:rsidRDefault="00F05167" w:rsidP="00690FF2">
      <w:pPr>
        <w:pStyle w:val="FootnoteText"/>
      </w:pPr>
      <w:r>
        <w:rPr>
          <w:rStyle w:val="FootnoteReference"/>
        </w:rPr>
        <w:footnoteRef/>
      </w:r>
      <w:r>
        <w:t xml:space="preserve"> </w:t>
      </w:r>
      <w:r>
        <w:tab/>
        <w:t xml:space="preserve">For example, see: AER, </w:t>
      </w:r>
      <w:r w:rsidRPr="006C1C11">
        <w:rPr>
          <w:rStyle w:val="AERtextitalic"/>
        </w:rPr>
        <w:t>Preliminary decision, Jemena distribution determination 2016 to 2020: Attachment 16–Alternative control services</w:t>
      </w:r>
      <w:r>
        <w:t>, October 2015, p. 18.</w:t>
      </w:r>
    </w:p>
  </w:footnote>
  <w:footnote w:id="25">
    <w:p w:rsidR="00F05167" w:rsidRDefault="00F05167">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pp. 26–27.</w:t>
      </w:r>
    </w:p>
  </w:footnote>
  <w:footnote w:id="26">
    <w:p w:rsidR="00F05167" w:rsidRDefault="00F05167" w:rsidP="00591159">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27">
    <w:p w:rsidR="00F05167" w:rsidRDefault="00F05167">
      <w:pPr>
        <w:pStyle w:val="FootnoteText"/>
      </w:pPr>
      <w:r>
        <w:rPr>
          <w:rStyle w:val="FootnoteReference"/>
        </w:rPr>
        <w:footnoteRef/>
      </w:r>
      <w:r>
        <w:t xml:space="preserve"> </w:t>
      </w:r>
      <w:r>
        <w:tab/>
        <w:t>David Headberry, Consumer Challenge Panel Submission, 25 November 2016, p.36-37.</w:t>
      </w:r>
    </w:p>
  </w:footnote>
  <w:footnote w:id="28">
    <w:p w:rsidR="00F05167" w:rsidRDefault="00F05167" w:rsidP="00022C01">
      <w:pPr>
        <w:pStyle w:val="FootnoteText"/>
      </w:pPr>
      <w:r>
        <w:rPr>
          <w:rStyle w:val="FootnoteReference"/>
        </w:rPr>
        <w:footnoteRef/>
      </w:r>
      <w:r>
        <w:t xml:space="preserve"> </w:t>
      </w:r>
      <w:r>
        <w:tab/>
        <w:t>David Headberry, Consumer Challenge Panel Submission, 25 November 2016, p.36-37.</w:t>
      </w:r>
    </w:p>
  </w:footnote>
  <w:footnote w:id="29">
    <w:p w:rsidR="00F05167" w:rsidRDefault="00F05167" w:rsidP="00EF63C4">
      <w:pPr>
        <w:pStyle w:val="FootnoteText"/>
      </w:pPr>
      <w:r>
        <w:rPr>
          <w:rStyle w:val="FootnoteReference"/>
        </w:rPr>
        <w:footnoteRef/>
      </w:r>
      <w:r>
        <w:t xml:space="preserve"> </w:t>
      </w:r>
      <w:r>
        <w:tab/>
        <w:t xml:space="preserve">AER, </w:t>
      </w:r>
      <w:r w:rsidRPr="0014728F">
        <w:rPr>
          <w:rStyle w:val="AERtextitalic"/>
        </w:rPr>
        <w:t>Draft decision: TasNetworks distribution determination 2017–18 to 2018–19: Attachment 16 – Alternative control services</w:t>
      </w:r>
      <w:r>
        <w:t xml:space="preserve">, September 2016, p. 25; TasNetworks, </w:t>
      </w:r>
      <w:r w:rsidRPr="00EF63C4">
        <w:rPr>
          <w:rStyle w:val="AERtextitalic"/>
        </w:rPr>
        <w:t>Response to AER information request #1</w:t>
      </w:r>
      <w:r>
        <w:t>, 29 February 2016, p. 7.</w:t>
      </w:r>
    </w:p>
  </w:footnote>
  <w:footnote w:id="30">
    <w:p w:rsidR="00F05167" w:rsidRDefault="00F05167" w:rsidP="00AA24C3">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 24.</w:t>
      </w:r>
    </w:p>
  </w:footnote>
  <w:footnote w:id="31">
    <w:p w:rsidR="00F05167" w:rsidRDefault="00F05167" w:rsidP="007E355C">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32">
    <w:p w:rsidR="00F05167" w:rsidRDefault="00F05167" w:rsidP="00105A32">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 24.</w:t>
      </w:r>
    </w:p>
  </w:footnote>
  <w:footnote w:id="33">
    <w:p w:rsidR="003054AE" w:rsidRDefault="003054AE">
      <w:pPr>
        <w:pStyle w:val="FootnoteText"/>
      </w:pPr>
      <w:r>
        <w:rPr>
          <w:rStyle w:val="FootnoteReference"/>
        </w:rPr>
        <w:footnoteRef/>
      </w:r>
      <w:r>
        <w:t xml:space="preserve"> Customer made contributions for the capital cost and TasNetworks provide the operation and maintenance only for the lights.</w:t>
      </w:r>
    </w:p>
  </w:footnote>
  <w:footnote w:id="34">
    <w:p w:rsidR="003054AE" w:rsidRDefault="003054AE">
      <w:pPr>
        <w:pStyle w:val="FootnoteText"/>
      </w:pPr>
      <w:r>
        <w:rPr>
          <w:rStyle w:val="FootnoteReference"/>
        </w:rPr>
        <w:footnoteRef/>
      </w:r>
      <w:r>
        <w:t xml:space="preserve"> TasNetworks provides capital and operations and maintenance for the lights.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67" w:rsidRDefault="00F05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0D0A57E"/>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I4gZxp88XP5PFvESoVbEDi3wo50KdSDXW9KKvyS1Ds=" w:saltValue="htJEilJabJlhp6LL3eyhRQ==" w:algorithmName="SHA-256"/>
  <w:defaultTabStop w:val="34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tasnetworks distribution determination - attachment 16 - alternative control services - april 2017 (D2016-00009014).docx"/>
  </w:docVars>
  <w:rsids>
    <w:rsidRoot w:val="00961A4A"/>
    <w:rsid w:val="000051DC"/>
    <w:rsid w:val="0000658F"/>
    <w:rsid w:val="00013C24"/>
    <w:rsid w:val="0001507B"/>
    <w:rsid w:val="0001671E"/>
    <w:rsid w:val="00020016"/>
    <w:rsid w:val="00021202"/>
    <w:rsid w:val="00021C2B"/>
    <w:rsid w:val="00022C01"/>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1961"/>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66BD"/>
    <w:rsid w:val="00100EA2"/>
    <w:rsid w:val="00101AA1"/>
    <w:rsid w:val="00102338"/>
    <w:rsid w:val="00104566"/>
    <w:rsid w:val="00104FF6"/>
    <w:rsid w:val="00105A32"/>
    <w:rsid w:val="001114AA"/>
    <w:rsid w:val="00115743"/>
    <w:rsid w:val="00116EB2"/>
    <w:rsid w:val="0012132C"/>
    <w:rsid w:val="00124609"/>
    <w:rsid w:val="00126A4C"/>
    <w:rsid w:val="001270E3"/>
    <w:rsid w:val="00132D43"/>
    <w:rsid w:val="00133366"/>
    <w:rsid w:val="00133F47"/>
    <w:rsid w:val="00134029"/>
    <w:rsid w:val="001412B5"/>
    <w:rsid w:val="00142C2D"/>
    <w:rsid w:val="00144C96"/>
    <w:rsid w:val="0014573B"/>
    <w:rsid w:val="001463A3"/>
    <w:rsid w:val="0014665D"/>
    <w:rsid w:val="0014728F"/>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346"/>
    <w:rsid w:val="001B45A0"/>
    <w:rsid w:val="001B680E"/>
    <w:rsid w:val="001C1A91"/>
    <w:rsid w:val="001D055E"/>
    <w:rsid w:val="001E1B3F"/>
    <w:rsid w:val="001E2EE7"/>
    <w:rsid w:val="001E7161"/>
    <w:rsid w:val="001E7A75"/>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078EC"/>
    <w:rsid w:val="002103F0"/>
    <w:rsid w:val="002131D4"/>
    <w:rsid w:val="00216C93"/>
    <w:rsid w:val="00223051"/>
    <w:rsid w:val="00224DB9"/>
    <w:rsid w:val="0022569A"/>
    <w:rsid w:val="0023005C"/>
    <w:rsid w:val="00231012"/>
    <w:rsid w:val="00233775"/>
    <w:rsid w:val="0023414B"/>
    <w:rsid w:val="00236C7B"/>
    <w:rsid w:val="00243635"/>
    <w:rsid w:val="00247079"/>
    <w:rsid w:val="00251745"/>
    <w:rsid w:val="002552BA"/>
    <w:rsid w:val="002562B3"/>
    <w:rsid w:val="00260016"/>
    <w:rsid w:val="00263AC0"/>
    <w:rsid w:val="00264264"/>
    <w:rsid w:val="0026689B"/>
    <w:rsid w:val="0026772D"/>
    <w:rsid w:val="002730B2"/>
    <w:rsid w:val="00274C7E"/>
    <w:rsid w:val="00275AFC"/>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0DBE"/>
    <w:rsid w:val="002D3509"/>
    <w:rsid w:val="002D5457"/>
    <w:rsid w:val="002D72E8"/>
    <w:rsid w:val="002D79AD"/>
    <w:rsid w:val="002E268F"/>
    <w:rsid w:val="002E78DD"/>
    <w:rsid w:val="002E7B22"/>
    <w:rsid w:val="002F12EC"/>
    <w:rsid w:val="002F7986"/>
    <w:rsid w:val="00301B40"/>
    <w:rsid w:val="00301C82"/>
    <w:rsid w:val="003029EE"/>
    <w:rsid w:val="00304D38"/>
    <w:rsid w:val="003054AE"/>
    <w:rsid w:val="00305CC8"/>
    <w:rsid w:val="00307F6D"/>
    <w:rsid w:val="00314D83"/>
    <w:rsid w:val="0031571F"/>
    <w:rsid w:val="003177A2"/>
    <w:rsid w:val="00317E02"/>
    <w:rsid w:val="00326134"/>
    <w:rsid w:val="003271B5"/>
    <w:rsid w:val="00327A1E"/>
    <w:rsid w:val="00327E28"/>
    <w:rsid w:val="00331264"/>
    <w:rsid w:val="00334C8D"/>
    <w:rsid w:val="003378BD"/>
    <w:rsid w:val="003424EA"/>
    <w:rsid w:val="00342C2F"/>
    <w:rsid w:val="003436EB"/>
    <w:rsid w:val="00343A18"/>
    <w:rsid w:val="00345744"/>
    <w:rsid w:val="003518B3"/>
    <w:rsid w:val="00353E79"/>
    <w:rsid w:val="00356967"/>
    <w:rsid w:val="00364EA0"/>
    <w:rsid w:val="00366981"/>
    <w:rsid w:val="00370678"/>
    <w:rsid w:val="0037214E"/>
    <w:rsid w:val="00372C85"/>
    <w:rsid w:val="00373845"/>
    <w:rsid w:val="003744E3"/>
    <w:rsid w:val="00375F71"/>
    <w:rsid w:val="00376219"/>
    <w:rsid w:val="0037663E"/>
    <w:rsid w:val="0037699E"/>
    <w:rsid w:val="00377A29"/>
    <w:rsid w:val="00377C69"/>
    <w:rsid w:val="00383BB6"/>
    <w:rsid w:val="0038415D"/>
    <w:rsid w:val="0038461C"/>
    <w:rsid w:val="003846F1"/>
    <w:rsid w:val="00390E6A"/>
    <w:rsid w:val="00393ABE"/>
    <w:rsid w:val="00395DB6"/>
    <w:rsid w:val="00397398"/>
    <w:rsid w:val="003A371A"/>
    <w:rsid w:val="003A59CD"/>
    <w:rsid w:val="003A6B00"/>
    <w:rsid w:val="003B20BC"/>
    <w:rsid w:val="003B30B2"/>
    <w:rsid w:val="003B3BEB"/>
    <w:rsid w:val="003B484F"/>
    <w:rsid w:val="003B504B"/>
    <w:rsid w:val="003B5179"/>
    <w:rsid w:val="003B685C"/>
    <w:rsid w:val="003B7FBA"/>
    <w:rsid w:val="003C6537"/>
    <w:rsid w:val="003C6A13"/>
    <w:rsid w:val="003C764A"/>
    <w:rsid w:val="003C78BA"/>
    <w:rsid w:val="003D0A5D"/>
    <w:rsid w:val="003D41F1"/>
    <w:rsid w:val="003D42AB"/>
    <w:rsid w:val="003D5B94"/>
    <w:rsid w:val="003E0D3A"/>
    <w:rsid w:val="003E3AAB"/>
    <w:rsid w:val="003E7FE9"/>
    <w:rsid w:val="003F07D4"/>
    <w:rsid w:val="003F174D"/>
    <w:rsid w:val="003F2329"/>
    <w:rsid w:val="00400FD2"/>
    <w:rsid w:val="00403711"/>
    <w:rsid w:val="00404C52"/>
    <w:rsid w:val="0040709D"/>
    <w:rsid w:val="004156D5"/>
    <w:rsid w:val="00415BA9"/>
    <w:rsid w:val="00415F31"/>
    <w:rsid w:val="0041691D"/>
    <w:rsid w:val="00417423"/>
    <w:rsid w:val="0042000C"/>
    <w:rsid w:val="0042090E"/>
    <w:rsid w:val="00421F27"/>
    <w:rsid w:val="004238D8"/>
    <w:rsid w:val="00423A77"/>
    <w:rsid w:val="00425CEF"/>
    <w:rsid w:val="004324F4"/>
    <w:rsid w:val="00434544"/>
    <w:rsid w:val="00445D43"/>
    <w:rsid w:val="00446CD2"/>
    <w:rsid w:val="004523B2"/>
    <w:rsid w:val="004543C4"/>
    <w:rsid w:val="00455413"/>
    <w:rsid w:val="00455C3A"/>
    <w:rsid w:val="0045777E"/>
    <w:rsid w:val="00465258"/>
    <w:rsid w:val="0046594F"/>
    <w:rsid w:val="00471BC6"/>
    <w:rsid w:val="00476221"/>
    <w:rsid w:val="004766F5"/>
    <w:rsid w:val="00480B4B"/>
    <w:rsid w:val="004838D8"/>
    <w:rsid w:val="00485DC4"/>
    <w:rsid w:val="00494D04"/>
    <w:rsid w:val="00496047"/>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0D4C"/>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4A2"/>
    <w:rsid w:val="0056598C"/>
    <w:rsid w:val="00566E0B"/>
    <w:rsid w:val="00567BA5"/>
    <w:rsid w:val="00571B35"/>
    <w:rsid w:val="00571B43"/>
    <w:rsid w:val="00571D57"/>
    <w:rsid w:val="00573A3B"/>
    <w:rsid w:val="00577716"/>
    <w:rsid w:val="00577A09"/>
    <w:rsid w:val="005829C2"/>
    <w:rsid w:val="00584D8F"/>
    <w:rsid w:val="00587A18"/>
    <w:rsid w:val="00587ADE"/>
    <w:rsid w:val="00591159"/>
    <w:rsid w:val="00592694"/>
    <w:rsid w:val="005A0BEC"/>
    <w:rsid w:val="005A404D"/>
    <w:rsid w:val="005B1E3C"/>
    <w:rsid w:val="005B6518"/>
    <w:rsid w:val="005B704A"/>
    <w:rsid w:val="005B72D7"/>
    <w:rsid w:val="005C045F"/>
    <w:rsid w:val="005C16FE"/>
    <w:rsid w:val="005C1FAB"/>
    <w:rsid w:val="005C21A4"/>
    <w:rsid w:val="005C26CC"/>
    <w:rsid w:val="005C4463"/>
    <w:rsid w:val="005C4F03"/>
    <w:rsid w:val="005C6278"/>
    <w:rsid w:val="005D3D88"/>
    <w:rsid w:val="005D48C4"/>
    <w:rsid w:val="005D6208"/>
    <w:rsid w:val="005D6366"/>
    <w:rsid w:val="005D6680"/>
    <w:rsid w:val="005D7BA2"/>
    <w:rsid w:val="005E36C2"/>
    <w:rsid w:val="005E4AF4"/>
    <w:rsid w:val="005F387E"/>
    <w:rsid w:val="005F616B"/>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0FF2"/>
    <w:rsid w:val="00691B53"/>
    <w:rsid w:val="00697D0B"/>
    <w:rsid w:val="006A12BA"/>
    <w:rsid w:val="006A4508"/>
    <w:rsid w:val="006A4739"/>
    <w:rsid w:val="006A66A1"/>
    <w:rsid w:val="006B032D"/>
    <w:rsid w:val="006B2395"/>
    <w:rsid w:val="006B40AC"/>
    <w:rsid w:val="006B4CF9"/>
    <w:rsid w:val="006B797C"/>
    <w:rsid w:val="006B7AC8"/>
    <w:rsid w:val="006C1736"/>
    <w:rsid w:val="006C329B"/>
    <w:rsid w:val="006C6303"/>
    <w:rsid w:val="006C6876"/>
    <w:rsid w:val="006D550F"/>
    <w:rsid w:val="006D6146"/>
    <w:rsid w:val="006D7F7E"/>
    <w:rsid w:val="006E0CFF"/>
    <w:rsid w:val="006F06A3"/>
    <w:rsid w:val="006F0D92"/>
    <w:rsid w:val="006F267D"/>
    <w:rsid w:val="0070011E"/>
    <w:rsid w:val="00701CAB"/>
    <w:rsid w:val="007023BB"/>
    <w:rsid w:val="00704DD7"/>
    <w:rsid w:val="00704F2D"/>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3C98"/>
    <w:rsid w:val="00775460"/>
    <w:rsid w:val="00777EE6"/>
    <w:rsid w:val="00781F0D"/>
    <w:rsid w:val="00782EEA"/>
    <w:rsid w:val="00786CA4"/>
    <w:rsid w:val="007909B4"/>
    <w:rsid w:val="00790E86"/>
    <w:rsid w:val="007949D7"/>
    <w:rsid w:val="0079769A"/>
    <w:rsid w:val="007A0143"/>
    <w:rsid w:val="007A34C2"/>
    <w:rsid w:val="007A396C"/>
    <w:rsid w:val="007A4B02"/>
    <w:rsid w:val="007A66A7"/>
    <w:rsid w:val="007B04CC"/>
    <w:rsid w:val="007B0757"/>
    <w:rsid w:val="007B0BE3"/>
    <w:rsid w:val="007B1816"/>
    <w:rsid w:val="007B186E"/>
    <w:rsid w:val="007B25DC"/>
    <w:rsid w:val="007B261F"/>
    <w:rsid w:val="007B2C72"/>
    <w:rsid w:val="007B3789"/>
    <w:rsid w:val="007B651F"/>
    <w:rsid w:val="007B7BB5"/>
    <w:rsid w:val="007C1C53"/>
    <w:rsid w:val="007C284C"/>
    <w:rsid w:val="007C42E1"/>
    <w:rsid w:val="007C4B82"/>
    <w:rsid w:val="007C509C"/>
    <w:rsid w:val="007C74BB"/>
    <w:rsid w:val="007C7F64"/>
    <w:rsid w:val="007D0A95"/>
    <w:rsid w:val="007D0EB5"/>
    <w:rsid w:val="007D456E"/>
    <w:rsid w:val="007D5837"/>
    <w:rsid w:val="007E355C"/>
    <w:rsid w:val="007E4904"/>
    <w:rsid w:val="007E4CB5"/>
    <w:rsid w:val="007E4DAE"/>
    <w:rsid w:val="007F066B"/>
    <w:rsid w:val="007F2AD6"/>
    <w:rsid w:val="007F4EAB"/>
    <w:rsid w:val="007F5B16"/>
    <w:rsid w:val="007F73BC"/>
    <w:rsid w:val="007F7C9D"/>
    <w:rsid w:val="008033C4"/>
    <w:rsid w:val="00806731"/>
    <w:rsid w:val="00806C88"/>
    <w:rsid w:val="0081034E"/>
    <w:rsid w:val="00810707"/>
    <w:rsid w:val="00810806"/>
    <w:rsid w:val="008133CE"/>
    <w:rsid w:val="00815882"/>
    <w:rsid w:val="00820454"/>
    <w:rsid w:val="00822AC7"/>
    <w:rsid w:val="00822E86"/>
    <w:rsid w:val="0082346E"/>
    <w:rsid w:val="00831F27"/>
    <w:rsid w:val="00833AA3"/>
    <w:rsid w:val="008344F6"/>
    <w:rsid w:val="0083510F"/>
    <w:rsid w:val="00837BF3"/>
    <w:rsid w:val="008415DE"/>
    <w:rsid w:val="008420DE"/>
    <w:rsid w:val="00845865"/>
    <w:rsid w:val="0084799B"/>
    <w:rsid w:val="00850C90"/>
    <w:rsid w:val="00851209"/>
    <w:rsid w:val="0085171F"/>
    <w:rsid w:val="008530C0"/>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C7999"/>
    <w:rsid w:val="008D1661"/>
    <w:rsid w:val="008D27E0"/>
    <w:rsid w:val="008D371F"/>
    <w:rsid w:val="008D5339"/>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2A8E"/>
    <w:rsid w:val="009132B7"/>
    <w:rsid w:val="00916A2C"/>
    <w:rsid w:val="00916B08"/>
    <w:rsid w:val="009233EE"/>
    <w:rsid w:val="00930B1A"/>
    <w:rsid w:val="00932612"/>
    <w:rsid w:val="009327DC"/>
    <w:rsid w:val="009338D9"/>
    <w:rsid w:val="009339BD"/>
    <w:rsid w:val="009356CF"/>
    <w:rsid w:val="0094489D"/>
    <w:rsid w:val="00945E53"/>
    <w:rsid w:val="009460AA"/>
    <w:rsid w:val="00951978"/>
    <w:rsid w:val="00952C8B"/>
    <w:rsid w:val="009614BB"/>
    <w:rsid w:val="00961A4A"/>
    <w:rsid w:val="009661DE"/>
    <w:rsid w:val="00972C7C"/>
    <w:rsid w:val="009776F4"/>
    <w:rsid w:val="00982DA2"/>
    <w:rsid w:val="00983C25"/>
    <w:rsid w:val="0098466D"/>
    <w:rsid w:val="009856B7"/>
    <w:rsid w:val="009859D6"/>
    <w:rsid w:val="00985C86"/>
    <w:rsid w:val="009871AD"/>
    <w:rsid w:val="009A5FC3"/>
    <w:rsid w:val="009B6F84"/>
    <w:rsid w:val="009B74B0"/>
    <w:rsid w:val="009B7679"/>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20AA"/>
    <w:rsid w:val="00A84A99"/>
    <w:rsid w:val="00A84F46"/>
    <w:rsid w:val="00A85E87"/>
    <w:rsid w:val="00A86AEA"/>
    <w:rsid w:val="00A871F4"/>
    <w:rsid w:val="00A9431A"/>
    <w:rsid w:val="00A95988"/>
    <w:rsid w:val="00A959DF"/>
    <w:rsid w:val="00A97A1B"/>
    <w:rsid w:val="00AA17F8"/>
    <w:rsid w:val="00AA24C3"/>
    <w:rsid w:val="00AA2927"/>
    <w:rsid w:val="00AB2CB8"/>
    <w:rsid w:val="00AB4617"/>
    <w:rsid w:val="00AC1B2C"/>
    <w:rsid w:val="00AC3264"/>
    <w:rsid w:val="00AC46AD"/>
    <w:rsid w:val="00AC4D2D"/>
    <w:rsid w:val="00AC58EC"/>
    <w:rsid w:val="00AC7282"/>
    <w:rsid w:val="00AC7961"/>
    <w:rsid w:val="00AD314E"/>
    <w:rsid w:val="00AD5FCD"/>
    <w:rsid w:val="00AD6B48"/>
    <w:rsid w:val="00AD72E0"/>
    <w:rsid w:val="00AD7A3A"/>
    <w:rsid w:val="00AE1BF1"/>
    <w:rsid w:val="00AE23AB"/>
    <w:rsid w:val="00AE58FB"/>
    <w:rsid w:val="00AE5AF0"/>
    <w:rsid w:val="00AE663D"/>
    <w:rsid w:val="00AE73B3"/>
    <w:rsid w:val="00AF07E7"/>
    <w:rsid w:val="00AF0DD2"/>
    <w:rsid w:val="00AF2B6C"/>
    <w:rsid w:val="00AF31E1"/>
    <w:rsid w:val="00AF3BBA"/>
    <w:rsid w:val="00AF4231"/>
    <w:rsid w:val="00B00B0E"/>
    <w:rsid w:val="00B00B26"/>
    <w:rsid w:val="00B02385"/>
    <w:rsid w:val="00B02F9D"/>
    <w:rsid w:val="00B04A18"/>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986"/>
    <w:rsid w:val="00B35CDF"/>
    <w:rsid w:val="00B403C2"/>
    <w:rsid w:val="00B405A1"/>
    <w:rsid w:val="00B4438A"/>
    <w:rsid w:val="00B45AA2"/>
    <w:rsid w:val="00B479CA"/>
    <w:rsid w:val="00B5084F"/>
    <w:rsid w:val="00B514DD"/>
    <w:rsid w:val="00B52AF0"/>
    <w:rsid w:val="00B53B83"/>
    <w:rsid w:val="00B53D5F"/>
    <w:rsid w:val="00B54051"/>
    <w:rsid w:val="00B561BD"/>
    <w:rsid w:val="00B56E03"/>
    <w:rsid w:val="00B62765"/>
    <w:rsid w:val="00B65DF5"/>
    <w:rsid w:val="00B665F6"/>
    <w:rsid w:val="00B76620"/>
    <w:rsid w:val="00B7679F"/>
    <w:rsid w:val="00B77159"/>
    <w:rsid w:val="00B8080B"/>
    <w:rsid w:val="00B80B5C"/>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E41"/>
    <w:rsid w:val="00C54526"/>
    <w:rsid w:val="00C54909"/>
    <w:rsid w:val="00C54AF3"/>
    <w:rsid w:val="00C54F5A"/>
    <w:rsid w:val="00C569B4"/>
    <w:rsid w:val="00C57DDE"/>
    <w:rsid w:val="00C61468"/>
    <w:rsid w:val="00C61A97"/>
    <w:rsid w:val="00C61E44"/>
    <w:rsid w:val="00C64FF3"/>
    <w:rsid w:val="00C662AD"/>
    <w:rsid w:val="00C67A92"/>
    <w:rsid w:val="00C71280"/>
    <w:rsid w:val="00C717BF"/>
    <w:rsid w:val="00C75305"/>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BB8"/>
    <w:rsid w:val="00CE7CBA"/>
    <w:rsid w:val="00CF0DEE"/>
    <w:rsid w:val="00CF42AA"/>
    <w:rsid w:val="00CF5EAA"/>
    <w:rsid w:val="00CF6AE3"/>
    <w:rsid w:val="00CF77BB"/>
    <w:rsid w:val="00D006AE"/>
    <w:rsid w:val="00D00905"/>
    <w:rsid w:val="00D010C1"/>
    <w:rsid w:val="00D01CF0"/>
    <w:rsid w:val="00D0442A"/>
    <w:rsid w:val="00D05E38"/>
    <w:rsid w:val="00D12A7B"/>
    <w:rsid w:val="00D12ADB"/>
    <w:rsid w:val="00D15E63"/>
    <w:rsid w:val="00D25A39"/>
    <w:rsid w:val="00D2610C"/>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3429"/>
    <w:rsid w:val="00D950F5"/>
    <w:rsid w:val="00D97379"/>
    <w:rsid w:val="00DA4752"/>
    <w:rsid w:val="00DA4C09"/>
    <w:rsid w:val="00DA61F3"/>
    <w:rsid w:val="00DA7CB3"/>
    <w:rsid w:val="00DB0D00"/>
    <w:rsid w:val="00DB0F93"/>
    <w:rsid w:val="00DB1A67"/>
    <w:rsid w:val="00DB3721"/>
    <w:rsid w:val="00DB5074"/>
    <w:rsid w:val="00DB6616"/>
    <w:rsid w:val="00DC0281"/>
    <w:rsid w:val="00DC1930"/>
    <w:rsid w:val="00DC1C76"/>
    <w:rsid w:val="00DC4DBF"/>
    <w:rsid w:val="00DC4E19"/>
    <w:rsid w:val="00DC65FE"/>
    <w:rsid w:val="00DC7981"/>
    <w:rsid w:val="00DD23D0"/>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27034"/>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5804"/>
    <w:rsid w:val="00EA6B1B"/>
    <w:rsid w:val="00EA7731"/>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63C4"/>
    <w:rsid w:val="00EF76BA"/>
    <w:rsid w:val="00F0231A"/>
    <w:rsid w:val="00F03463"/>
    <w:rsid w:val="00F036B7"/>
    <w:rsid w:val="00F05167"/>
    <w:rsid w:val="00F06274"/>
    <w:rsid w:val="00F0700F"/>
    <w:rsid w:val="00F07F1F"/>
    <w:rsid w:val="00F10411"/>
    <w:rsid w:val="00F10A9A"/>
    <w:rsid w:val="00F11B2D"/>
    <w:rsid w:val="00F121C2"/>
    <w:rsid w:val="00F1485B"/>
    <w:rsid w:val="00F15882"/>
    <w:rsid w:val="00F170C7"/>
    <w:rsid w:val="00F171E0"/>
    <w:rsid w:val="00F20BD3"/>
    <w:rsid w:val="00F25730"/>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74B7"/>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7.bin"/><Relationship Id="rId7" Type="http://schemas.openxmlformats.org/officeDocument/2006/relationships/webSettings" Target="webSettings.xml"/><Relationship Id="rId71"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hyperlink" Target="mailto:AERInquiry@aer.gov.a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image" Target="media/image1.jpeg"/><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20.wmf"/><Relationship Id="rId72" Type="http://schemas.openxmlformats.org/officeDocument/2006/relationships/footer" Target="footer6.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292020-937D-4BD2-B7DA-3CF35E9C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EBEC0FCA.dotm</Template>
  <TotalTime>0</TotalTime>
  <Pages>27</Pages>
  <Words>5905</Words>
  <Characters>33664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AER final decision - TasNetworks - Alternative control services</vt:lpstr>
    </vt:vector>
  </TitlesOfParts>
  <LinksUpToDate>false</LinksUpToDate>
  <CharactersWithSpaces>39491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TasNetworks - Alternative control services</dc:title>
  <dc:creator/>
  <cp:lastModifiedBy/>
  <cp:revision>1</cp:revision>
  <dcterms:created xsi:type="dcterms:W3CDTF">2017-04-27T02:55:00Z</dcterms:created>
  <dcterms:modified xsi:type="dcterms:W3CDTF">2017-04-27T02:55:00Z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tasnetworks distribution determination - attachment 16 - alternative control services - april 2017 (D2016-00009014).docx</vt:lpwstr>
  </property>
</Properties>
</file>