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ajorBidi"/>
          <w:noProof/>
          <w:sz w:val="36"/>
          <w:szCs w:val="36"/>
          <w:lang w:eastAsia="en-AU"/>
        </w:rPr>
        <w:id w:val="1021519724"/>
        <w:docPartObj>
          <w:docPartGallery w:val="Cover Pages"/>
          <w:docPartUnique/>
        </w:docPartObj>
      </w:sdtPr>
      <w:sdtEndPr/>
      <w:sdtContent>
        <w:p w:rsidR="000A6C7B" w:rsidRPr="00290C63" w:rsidRDefault="000A6C7B" w:rsidP="00290C63">
          <w:r w:rsidRPr="00290C63">
            <w:rPr>
              <w:noProof/>
              <w:lang w:eastAsia="en-AU"/>
            </w:rPr>
            <w:drawing>
              <wp:anchor distT="0" distB="0" distL="114300" distR="114300" simplePos="0" relativeHeight="251659264" behindDoc="1" locked="0" layoutInCell="1" allowOverlap="1" wp14:anchorId="03DE6807" wp14:editId="06497A3C">
                <wp:simplePos x="0" y="0"/>
                <wp:positionH relativeFrom="column">
                  <wp:posOffset>-1112520</wp:posOffset>
                </wp:positionH>
                <wp:positionV relativeFrom="paragraph">
                  <wp:posOffset>-919138</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p>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5C16FE" w:rsidRDefault="005C16FE" w:rsidP="00F171E0"/>
        <w:p w:rsidR="00327A1E" w:rsidRDefault="001754EE" w:rsidP="001754EE">
          <w:pPr>
            <w:pStyle w:val="ReportSubtitle"/>
            <w:tabs>
              <w:tab w:val="left" w:pos="1122"/>
              <w:tab w:val="center" w:pos="4238"/>
            </w:tabs>
            <w:jc w:val="left"/>
          </w:pPr>
          <w:r>
            <w:tab/>
          </w:r>
          <w:r>
            <w:tab/>
          </w:r>
          <w:r w:rsidR="007A384D">
            <w:t>FINAL</w:t>
          </w:r>
          <w:r w:rsidR="00DA4752">
            <w:t xml:space="preserve"> DECISION</w:t>
          </w:r>
        </w:p>
        <w:p w:rsidR="00415F31" w:rsidRDefault="004523B2" w:rsidP="008F07A3">
          <w:pPr>
            <w:pStyle w:val="ReportSubtitle"/>
          </w:pPr>
          <w:r>
            <w:t>TasNetworks distribution</w:t>
          </w:r>
          <w:r w:rsidR="00415F31">
            <w:t xml:space="preserve"> </w:t>
          </w:r>
          <w:r w:rsidR="00DA4752">
            <w:t>determination</w:t>
          </w:r>
        </w:p>
        <w:p w:rsidR="000A6C7B" w:rsidRDefault="00DA4752" w:rsidP="008F07A3">
          <w:pPr>
            <w:pStyle w:val="ReportSubtitle"/>
          </w:pPr>
          <w:r>
            <w:t xml:space="preserve"> 201</w:t>
          </w:r>
          <w:r w:rsidR="000474DF">
            <w:t>7</w:t>
          </w:r>
          <w:r>
            <w:rPr>
              <w:rFonts w:cs="Arial"/>
            </w:rPr>
            <w:t>−</w:t>
          </w:r>
          <w:r>
            <w:t>1</w:t>
          </w:r>
          <w:r w:rsidR="000474DF">
            <w:t>8 to 20</w:t>
          </w:r>
          <w:r w:rsidR="004523B2">
            <w:t>18</w:t>
          </w:r>
          <w:r>
            <w:rPr>
              <w:rFonts w:cs="Arial"/>
            </w:rPr>
            <w:t>−</w:t>
          </w:r>
          <w:r w:rsidR="004523B2">
            <w:t>19</w:t>
          </w:r>
        </w:p>
        <w:p w:rsidR="008F07A3" w:rsidRPr="000A6C7B" w:rsidRDefault="008F07A3" w:rsidP="008F07A3">
          <w:pPr>
            <w:pStyle w:val="ReportSubtitle"/>
          </w:pPr>
        </w:p>
        <w:p w:rsidR="000A6C7B" w:rsidRDefault="0037699E" w:rsidP="008F07A3">
          <w:pPr>
            <w:pStyle w:val="ReportSubtitle"/>
          </w:pPr>
          <w:r>
            <w:t xml:space="preserve">Attachment </w:t>
          </w:r>
          <w:r w:rsidR="00471BC6">
            <w:t>1</w:t>
          </w:r>
          <w:r w:rsidR="0079769A">
            <w:t>7</w:t>
          </w:r>
          <w:r w:rsidR="000474DF">
            <w:t xml:space="preserve"> </w:t>
          </w:r>
          <w:r w:rsidR="00185BA5">
            <w:t>–</w:t>
          </w:r>
          <w:r w:rsidR="000474DF">
            <w:t xml:space="preserve"> </w:t>
          </w:r>
          <w:r w:rsidR="0079769A">
            <w:t>Negotiated services framework and criteria</w:t>
          </w:r>
        </w:p>
        <w:p w:rsidR="000A6C7B" w:rsidRPr="00327A1E" w:rsidRDefault="007A384D" w:rsidP="00327A1E">
          <w:pPr>
            <w:pStyle w:val="ReportDate"/>
          </w:pPr>
          <w:r>
            <w:t>April 2017</w:t>
          </w:r>
        </w:p>
      </w:sdtContent>
    </w:sdt>
    <w:p w:rsidR="00327A1E" w:rsidRPr="00290C63" w:rsidRDefault="00327A1E" w:rsidP="00290C63">
      <w:r>
        <w:br w:type="page"/>
      </w:r>
    </w:p>
    <w:p w:rsidR="00CE2A23" w:rsidRDefault="00CE2A23" w:rsidP="00761454">
      <w:bookmarkStart w:id="0" w:name="_Toc411428008"/>
      <w:r>
        <w:lastRenderedPageBreak/>
        <w:t>© Commonwealth of Australia 201</w:t>
      </w:r>
      <w:r w:rsidR="00C96D4E">
        <w:t>7</w:t>
      </w:r>
    </w:p>
    <w:p w:rsidR="00CE2A23" w:rsidRDefault="00CE2A23" w:rsidP="00761454">
      <w:r>
        <w:t>This work is copyright. In addition to any use permitted under the Copyright Act 1968, all material contained within this work is provided under a Creative Commons Attributions 3.0 Australia licence, with the exception of:</w:t>
      </w:r>
    </w:p>
    <w:p w:rsidR="00CE2A23" w:rsidRPr="00CE2A23" w:rsidRDefault="00CE2A23" w:rsidP="00CE2A23">
      <w:pPr>
        <w:pStyle w:val="AERbulletlistfirststyle"/>
      </w:pPr>
      <w:r w:rsidRPr="00CE2A23">
        <w:t>the Commonwealth Coat of Arms</w:t>
      </w:r>
    </w:p>
    <w:p w:rsidR="00CE2A23" w:rsidRPr="00CB734B" w:rsidRDefault="00CE2A23" w:rsidP="00CE2A23">
      <w:pPr>
        <w:pStyle w:val="AERbulletlistfirststyle"/>
      </w:pPr>
      <w:r w:rsidRPr="00CE2A23">
        <w:t>the ACCC and AER logos</w:t>
      </w:r>
    </w:p>
    <w:p w:rsidR="00CE2A23" w:rsidRPr="00CE2A23" w:rsidRDefault="00CE2A23" w:rsidP="00CB734B">
      <w:pPr>
        <w:pStyle w:val="AERbulletlistfirststyle"/>
      </w:pPr>
      <w:r w:rsidRPr="00CE2A23">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CE2A23" w:rsidRDefault="00CE2A23" w:rsidP="00761454">
      <w:r>
        <w:t>Requests and inquiries concerning reproduction and rights should be addressed to the:</w:t>
      </w:r>
    </w:p>
    <w:p w:rsidR="00CE2A23" w:rsidRDefault="00CE2A23" w:rsidP="00761454">
      <w:r>
        <w:t>Director, Corporate Communications</w:t>
      </w:r>
      <w:r>
        <w:br/>
        <w:t xml:space="preserve">Australian Competition and Consumer Commission </w:t>
      </w:r>
      <w:r>
        <w:br/>
        <w:t>GPO Box 4141, Canberra ACT 2601</w:t>
      </w:r>
    </w:p>
    <w:p w:rsidR="00CE2A23" w:rsidRDefault="00CE2A23" w:rsidP="00761454">
      <w:r>
        <w:t>or publishing.unit@accc.gov.au.</w:t>
      </w:r>
    </w:p>
    <w:p w:rsidR="00CE2A23" w:rsidRDefault="00CE2A23" w:rsidP="00761454">
      <w:r>
        <w:t>Inquiries about this publication should be addressed to:</w:t>
      </w:r>
    </w:p>
    <w:p w:rsidR="00CE2A23" w:rsidRDefault="00CE2A23" w:rsidP="00761454">
      <w:r>
        <w:t xml:space="preserve">Australian Energy </w:t>
      </w:r>
      <w:r w:rsidRPr="00F171E0">
        <w:t>Regulator</w:t>
      </w:r>
      <w:r>
        <w:br/>
        <w:t>GPO Box 520</w:t>
      </w:r>
      <w:r>
        <w:br/>
      </w:r>
      <w:r w:rsidR="008658A1">
        <w:t>Melbourne Vic 3001</w:t>
      </w:r>
    </w:p>
    <w:p w:rsidR="00CE2A23" w:rsidRDefault="00CE2A23" w:rsidP="00761454">
      <w:r>
        <w:t xml:space="preserve">Tel: </w:t>
      </w:r>
      <w:r w:rsidR="0015618F">
        <w:tab/>
        <w:t>1300 585 165</w:t>
      </w:r>
    </w:p>
    <w:p w:rsidR="00CE2A23" w:rsidRDefault="00CE2A23" w:rsidP="00761454">
      <w:r>
        <w:t xml:space="preserve">Email: </w:t>
      </w:r>
      <w:hyperlink r:id="rId11" w:history="1">
        <w:r w:rsidRPr="00D64888">
          <w:rPr>
            <w:rStyle w:val="Hyperlink"/>
          </w:rPr>
          <w:t>AERInquiry@aer.gov.au</w:t>
        </w:r>
      </w:hyperlink>
      <w:r>
        <w:rPr>
          <w:rStyle w:val="Hyperlink"/>
        </w:rPr>
        <w:br/>
      </w:r>
    </w:p>
    <w:p w:rsidR="00291A99" w:rsidRDefault="00291A99" w:rsidP="00761454"/>
    <w:p w:rsidR="00761454" w:rsidRDefault="00761454">
      <w:pPr>
        <w:spacing w:line="240" w:lineRule="auto"/>
      </w:pPr>
      <w:r>
        <w:br w:type="page"/>
      </w:r>
    </w:p>
    <w:p w:rsidR="00761454" w:rsidRDefault="00761454" w:rsidP="00761454">
      <w:pPr>
        <w:pStyle w:val="UnnumberedHeading"/>
        <w:numPr>
          <w:ilvl w:val="0"/>
          <w:numId w:val="23"/>
        </w:numPr>
      </w:pPr>
      <w:bookmarkStart w:id="1" w:name="_Toc404153950"/>
      <w:bookmarkStart w:id="2" w:name="_Toc404437593"/>
      <w:bookmarkStart w:id="3" w:name="_Toc481061140"/>
      <w:r>
        <w:lastRenderedPageBreak/>
        <w:t>Note</w:t>
      </w:r>
      <w:bookmarkEnd w:id="1"/>
      <w:bookmarkEnd w:id="2"/>
      <w:bookmarkEnd w:id="3"/>
    </w:p>
    <w:p w:rsidR="0015618F" w:rsidRDefault="0015618F" w:rsidP="0015618F">
      <w:pPr>
        <w:numPr>
          <w:ilvl w:val="0"/>
          <w:numId w:val="24"/>
        </w:numPr>
      </w:pPr>
      <w:r>
        <w:t>This attachment forms part of the AER's final decision on TasNetworks' distribution determination for 2017</w:t>
      </w:r>
      <w:r w:rsidRPr="00F02D30">
        <w:t>–</w:t>
      </w:r>
      <w:r>
        <w:t>19. It should be read with all other parts of the final decision.</w:t>
      </w:r>
    </w:p>
    <w:p w:rsidR="0015618F" w:rsidRDefault="0015618F" w:rsidP="0015618F">
      <w:r>
        <w:t xml:space="preserve">This final decision consists of an Overview </w:t>
      </w:r>
      <w:r w:rsidRPr="00F238A0">
        <w:t xml:space="preserve">and </w:t>
      </w:r>
      <w:r>
        <w:t>8</w:t>
      </w:r>
      <w:r w:rsidRPr="00F238A0">
        <w:t xml:space="preserve"> attachments. As</w:t>
      </w:r>
      <w:r>
        <w:t xml:space="preserve"> many issues were settled at the draft decision stage or required only minor updates we have not prepared final decision attachments for: </w:t>
      </w:r>
    </w:p>
    <w:p w:rsidR="0015618F" w:rsidRDefault="0015618F" w:rsidP="0015618F">
      <w:pPr>
        <w:pStyle w:val="AERbulletlistfirststyle"/>
      </w:pPr>
      <w:r>
        <w:t xml:space="preserve">Regulatory asset base </w:t>
      </w:r>
    </w:p>
    <w:p w:rsidR="0015618F" w:rsidRDefault="0015618F" w:rsidP="0015618F">
      <w:pPr>
        <w:pStyle w:val="AERbulletlistfirststyle"/>
      </w:pPr>
      <w:r>
        <w:t>Regulatory depreciation</w:t>
      </w:r>
    </w:p>
    <w:p w:rsidR="0015618F" w:rsidRDefault="0015618F" w:rsidP="0015618F">
      <w:pPr>
        <w:pStyle w:val="AERbulletlistfirststyle"/>
      </w:pPr>
      <w:r>
        <w:t>Capital expenditure</w:t>
      </w:r>
    </w:p>
    <w:p w:rsidR="0015618F" w:rsidRDefault="0015618F" w:rsidP="0015618F">
      <w:pPr>
        <w:pStyle w:val="AERbulletlistfirststyle"/>
      </w:pPr>
      <w:r>
        <w:t>Operating expenditure</w:t>
      </w:r>
    </w:p>
    <w:p w:rsidR="0015618F" w:rsidRDefault="0015618F" w:rsidP="0015618F">
      <w:pPr>
        <w:pStyle w:val="AERbulletlistfirststyle"/>
      </w:pPr>
      <w:r>
        <w:t>Corporate income tax</w:t>
      </w:r>
    </w:p>
    <w:p w:rsidR="0015618F" w:rsidRDefault="0015618F" w:rsidP="0015618F">
      <w:pPr>
        <w:pStyle w:val="AERbulletlistfirststyle"/>
      </w:pPr>
      <w:r>
        <w:t>Capital expenditure sharing scheme</w:t>
      </w:r>
    </w:p>
    <w:p w:rsidR="0015618F" w:rsidRDefault="0015618F" w:rsidP="0015618F">
      <w:pPr>
        <w:pStyle w:val="AERbulletlistfirststyle"/>
      </w:pPr>
      <w:r>
        <w:t>Service target performance incentive scheme</w:t>
      </w:r>
    </w:p>
    <w:p w:rsidR="0015618F" w:rsidRDefault="0015618F" w:rsidP="0015618F">
      <w:pPr>
        <w:pStyle w:val="AERbulletlistfirststyle"/>
      </w:pPr>
      <w:r>
        <w:t>Demand management incentive scheme</w:t>
      </w:r>
    </w:p>
    <w:p w:rsidR="0015618F" w:rsidRDefault="0015618F" w:rsidP="0015618F">
      <w:pPr>
        <w:pStyle w:val="AERbulletlistfirststyle"/>
      </w:pPr>
      <w:r>
        <w:t>Classification of services</w:t>
      </w:r>
    </w:p>
    <w:p w:rsidR="0015618F" w:rsidRDefault="0015618F" w:rsidP="0015618F">
      <w:pPr>
        <w:pStyle w:val="AERbulletlistfirststyle"/>
      </w:pPr>
      <w:r>
        <w:t>Pass through events</w:t>
      </w:r>
    </w:p>
    <w:p w:rsidR="0015618F" w:rsidRDefault="0015618F" w:rsidP="0015618F">
      <w:pPr>
        <w:pStyle w:val="AERbulletlistfirststyle"/>
      </w:pPr>
      <w:r>
        <w:t xml:space="preserve">Connection policy. </w:t>
      </w:r>
    </w:p>
    <w:p w:rsidR="0015618F" w:rsidRDefault="0015618F" w:rsidP="0015618F">
      <w:pPr>
        <w:numPr>
          <w:ilvl w:val="0"/>
          <w:numId w:val="24"/>
        </w:numPr>
      </w:pPr>
      <w:r>
        <w:t xml:space="preserve">The AER's final decision on these matters is set out in the Overview. For ease of reference the remaining attachments have been numbered consistently with the attachment numbering in our draft decision. </w:t>
      </w:r>
    </w:p>
    <w:p w:rsidR="0015618F" w:rsidRDefault="0015618F" w:rsidP="0015618F">
      <w:pPr>
        <w:numPr>
          <w:ilvl w:val="0"/>
          <w:numId w:val="24"/>
        </w:numPr>
      </w:pPr>
      <w:r>
        <w:t>The final decision therefore includes the following documents:</w:t>
      </w:r>
    </w:p>
    <w:p w:rsidR="0015618F" w:rsidRDefault="0015618F" w:rsidP="0015618F">
      <w:pPr>
        <w:numPr>
          <w:ilvl w:val="0"/>
          <w:numId w:val="24"/>
        </w:numPr>
      </w:pPr>
      <w:r>
        <w:t>Overview</w:t>
      </w:r>
    </w:p>
    <w:p w:rsidR="0015618F" w:rsidRDefault="0015618F" w:rsidP="0015618F">
      <w:pPr>
        <w:numPr>
          <w:ilvl w:val="0"/>
          <w:numId w:val="24"/>
        </w:numPr>
      </w:pPr>
      <w:r>
        <w:t>Attachment 1 – Annual revenue requirement</w:t>
      </w:r>
    </w:p>
    <w:p w:rsidR="0015618F" w:rsidRDefault="0015618F" w:rsidP="0015618F">
      <w:pPr>
        <w:numPr>
          <w:ilvl w:val="0"/>
          <w:numId w:val="24"/>
        </w:numPr>
      </w:pPr>
      <w:r>
        <w:t>Attachment 3 – Rate of return</w:t>
      </w:r>
    </w:p>
    <w:p w:rsidR="0015618F" w:rsidRDefault="0015618F" w:rsidP="0015618F">
      <w:pPr>
        <w:numPr>
          <w:ilvl w:val="0"/>
          <w:numId w:val="24"/>
        </w:numPr>
      </w:pPr>
      <w:r>
        <w:t>Attachment 4 – Value of imputation credits</w:t>
      </w:r>
    </w:p>
    <w:p w:rsidR="0015618F" w:rsidRDefault="0015618F" w:rsidP="0015618F">
      <w:pPr>
        <w:numPr>
          <w:ilvl w:val="0"/>
          <w:numId w:val="24"/>
        </w:numPr>
      </w:pPr>
      <w:r>
        <w:t>Attachment 9 – Efficiency benefit sharing scheme</w:t>
      </w:r>
    </w:p>
    <w:p w:rsidR="0015618F" w:rsidRDefault="0015618F" w:rsidP="0015618F">
      <w:pPr>
        <w:numPr>
          <w:ilvl w:val="0"/>
          <w:numId w:val="24"/>
        </w:numPr>
      </w:pPr>
      <w:r>
        <w:t>Attachment 14 – Control mechanisms</w:t>
      </w:r>
    </w:p>
    <w:p w:rsidR="0015618F" w:rsidRDefault="0015618F" w:rsidP="0015618F">
      <w:pPr>
        <w:numPr>
          <w:ilvl w:val="0"/>
          <w:numId w:val="24"/>
        </w:numPr>
      </w:pPr>
      <w:r>
        <w:t>Attachment 16 – Alternative control services</w:t>
      </w:r>
    </w:p>
    <w:p w:rsidR="0015618F" w:rsidRDefault="0015618F" w:rsidP="0015618F">
      <w:pPr>
        <w:numPr>
          <w:ilvl w:val="0"/>
          <w:numId w:val="24"/>
        </w:numPr>
      </w:pPr>
      <w:r>
        <w:t>Attachment 17 – Negotiated services framework and criteria</w:t>
      </w:r>
    </w:p>
    <w:p w:rsidR="0015618F" w:rsidRDefault="0015618F" w:rsidP="0015618F">
      <w:pPr>
        <w:numPr>
          <w:ilvl w:val="0"/>
          <w:numId w:val="24"/>
        </w:numPr>
      </w:pPr>
      <w:r>
        <w:t>Attachment 19 – Tariff structure statement</w:t>
      </w:r>
    </w:p>
    <w:p w:rsidR="00CE2A23" w:rsidRPr="00CE2A23" w:rsidRDefault="00CE2A23" w:rsidP="00CE2A23">
      <w:bookmarkStart w:id="4" w:name="_Toc404354899"/>
      <w:bookmarkStart w:id="5" w:name="_Toc404353070"/>
      <w:bookmarkStart w:id="6" w:name="_Toc404684201"/>
      <w:bookmarkStart w:id="7" w:name="_Toc404700923"/>
      <w:r>
        <w:br w:type="page"/>
      </w:r>
    </w:p>
    <w:bookmarkEnd w:id="4"/>
    <w:bookmarkEnd w:id="5"/>
    <w:bookmarkEnd w:id="6"/>
    <w:bookmarkEnd w:id="7"/>
    <w:p w:rsidR="00CE2A23" w:rsidRPr="008F07A3" w:rsidRDefault="00CE2A23" w:rsidP="00CE2A23">
      <w:pPr>
        <w:numPr>
          <w:ilvl w:val="0"/>
          <w:numId w:val="24"/>
        </w:numPr>
        <w:sectPr w:rsidR="00CE2A23" w:rsidRPr="008F07A3" w:rsidSect="00317E02">
          <w:footerReference w:type="even" r:id="rId12"/>
          <w:footerReference w:type="default" r:id="rId13"/>
          <w:footerReference w:type="first" r:id="rId14"/>
          <w:pgSz w:w="11906" w:h="16838" w:code="9"/>
          <w:pgMar w:top="1440" w:right="1700" w:bottom="1582" w:left="1729" w:header="720" w:footer="0" w:gutter="0"/>
          <w:pgNumType w:start="0" w:chapStyle="1"/>
          <w:cols w:space="720"/>
          <w:docGrid w:linePitch="326"/>
        </w:sectPr>
      </w:pPr>
    </w:p>
    <w:p w:rsidR="00CE2A23" w:rsidRPr="00A72B34" w:rsidRDefault="00CE2A23" w:rsidP="00CE2A23">
      <w:pPr>
        <w:pStyle w:val="UnnumberedHeading"/>
        <w:numPr>
          <w:ilvl w:val="0"/>
          <w:numId w:val="23"/>
        </w:numPr>
      </w:pPr>
      <w:bookmarkStart w:id="8" w:name="_Toc403144133"/>
      <w:bookmarkStart w:id="9" w:name="_Toc481061141"/>
      <w:r>
        <w:lastRenderedPageBreak/>
        <w:t>Contents</w:t>
      </w:r>
      <w:bookmarkEnd w:id="8"/>
      <w:bookmarkEnd w:id="9"/>
    </w:p>
    <w:p w:rsidR="00CE2A23" w:rsidRDefault="00CE2A23" w:rsidP="00CE2A23"/>
    <w:sdt>
      <w:sdtPr>
        <w:id w:val="1269200322"/>
        <w:docPartObj>
          <w:docPartGallery w:val="Table of Contents"/>
          <w:docPartUnique/>
        </w:docPartObj>
      </w:sdtPr>
      <w:sdtEndPr/>
      <w:sdtContent>
        <w:bookmarkStart w:id="10" w:name="_GoBack" w:displacedByCustomXml="prev"/>
        <w:bookmarkEnd w:id="10" w:displacedByCustomXml="prev"/>
        <w:p w:rsidR="001E416F" w:rsidRDefault="00CD283C">
          <w:pPr>
            <w:pStyle w:val="TOC1"/>
            <w:rPr>
              <w:rFonts w:asciiTheme="minorHAnsi" w:eastAsiaTheme="minorEastAsia" w:hAnsiTheme="minorHAnsi"/>
              <w:b w:val="0"/>
              <w:color w:val="auto"/>
              <w:sz w:val="22"/>
              <w:lang w:val="en-AU" w:eastAsia="en-AU"/>
            </w:rPr>
          </w:pPr>
          <w:r>
            <w:fldChar w:fldCharType="begin"/>
          </w:r>
          <w:r>
            <w:instrText xml:space="preserve"> TOC \o "1-2" \h \z \t "Heading 3,3,Heading 7,1,Heading 8,2,Heading 9,3" </w:instrText>
          </w:r>
          <w:r>
            <w:fldChar w:fldCharType="separate"/>
          </w:r>
          <w:hyperlink w:anchor="_Toc481061140" w:history="1">
            <w:r w:rsidR="001E416F" w:rsidRPr="008407F1">
              <w:rPr>
                <w:rStyle w:val="Hyperlink"/>
              </w:rPr>
              <w:t>Note</w:t>
            </w:r>
            <w:r w:rsidR="001E416F">
              <w:rPr>
                <w:webHidden/>
              </w:rPr>
              <w:tab/>
            </w:r>
            <w:r w:rsidR="001E416F">
              <w:rPr>
                <w:webHidden/>
              </w:rPr>
              <w:fldChar w:fldCharType="begin"/>
            </w:r>
            <w:r w:rsidR="001E416F">
              <w:rPr>
                <w:webHidden/>
              </w:rPr>
              <w:instrText xml:space="preserve"> PAGEREF _Toc481061140 \h </w:instrText>
            </w:r>
            <w:r w:rsidR="001E416F">
              <w:rPr>
                <w:webHidden/>
              </w:rPr>
            </w:r>
            <w:r w:rsidR="001E416F">
              <w:rPr>
                <w:webHidden/>
              </w:rPr>
              <w:fldChar w:fldCharType="separate"/>
            </w:r>
            <w:r w:rsidR="001E416F">
              <w:rPr>
                <w:webHidden/>
              </w:rPr>
              <w:t>17-2</w:t>
            </w:r>
            <w:r w:rsidR="001E416F">
              <w:rPr>
                <w:webHidden/>
              </w:rPr>
              <w:fldChar w:fldCharType="end"/>
            </w:r>
          </w:hyperlink>
        </w:p>
        <w:p w:rsidR="001E416F" w:rsidRDefault="00F97C54">
          <w:pPr>
            <w:pStyle w:val="TOC1"/>
            <w:rPr>
              <w:rFonts w:asciiTheme="minorHAnsi" w:eastAsiaTheme="minorEastAsia" w:hAnsiTheme="minorHAnsi"/>
              <w:b w:val="0"/>
              <w:color w:val="auto"/>
              <w:sz w:val="22"/>
              <w:lang w:val="en-AU" w:eastAsia="en-AU"/>
            </w:rPr>
          </w:pPr>
          <w:hyperlink w:anchor="_Toc481061141" w:history="1">
            <w:r w:rsidR="001E416F" w:rsidRPr="008407F1">
              <w:rPr>
                <w:rStyle w:val="Hyperlink"/>
              </w:rPr>
              <w:t>Contents</w:t>
            </w:r>
            <w:r w:rsidR="001E416F">
              <w:rPr>
                <w:webHidden/>
              </w:rPr>
              <w:tab/>
            </w:r>
            <w:r w:rsidR="001E416F">
              <w:rPr>
                <w:webHidden/>
              </w:rPr>
              <w:fldChar w:fldCharType="begin"/>
            </w:r>
            <w:r w:rsidR="001E416F">
              <w:rPr>
                <w:webHidden/>
              </w:rPr>
              <w:instrText xml:space="preserve"> PAGEREF _Toc481061141 \h </w:instrText>
            </w:r>
            <w:r w:rsidR="001E416F">
              <w:rPr>
                <w:webHidden/>
              </w:rPr>
            </w:r>
            <w:r w:rsidR="001E416F">
              <w:rPr>
                <w:webHidden/>
              </w:rPr>
              <w:fldChar w:fldCharType="separate"/>
            </w:r>
            <w:r w:rsidR="001E416F">
              <w:rPr>
                <w:webHidden/>
              </w:rPr>
              <w:t>17-3</w:t>
            </w:r>
            <w:r w:rsidR="001E416F">
              <w:rPr>
                <w:webHidden/>
              </w:rPr>
              <w:fldChar w:fldCharType="end"/>
            </w:r>
          </w:hyperlink>
        </w:p>
        <w:p w:rsidR="001E416F" w:rsidRDefault="00F97C54">
          <w:pPr>
            <w:pStyle w:val="TOC1"/>
            <w:rPr>
              <w:rFonts w:asciiTheme="minorHAnsi" w:eastAsiaTheme="minorEastAsia" w:hAnsiTheme="minorHAnsi"/>
              <w:b w:val="0"/>
              <w:color w:val="auto"/>
              <w:sz w:val="22"/>
              <w:lang w:val="en-AU" w:eastAsia="en-AU"/>
            </w:rPr>
          </w:pPr>
          <w:hyperlink w:anchor="_Toc481061142" w:history="1">
            <w:r w:rsidR="001E416F" w:rsidRPr="008407F1">
              <w:rPr>
                <w:rStyle w:val="Hyperlink"/>
              </w:rPr>
              <w:t>Shortened forms</w:t>
            </w:r>
            <w:r w:rsidR="001E416F">
              <w:rPr>
                <w:webHidden/>
              </w:rPr>
              <w:tab/>
            </w:r>
            <w:r w:rsidR="001E416F">
              <w:rPr>
                <w:webHidden/>
              </w:rPr>
              <w:fldChar w:fldCharType="begin"/>
            </w:r>
            <w:r w:rsidR="001E416F">
              <w:rPr>
                <w:webHidden/>
              </w:rPr>
              <w:instrText xml:space="preserve"> PAGEREF _Toc481061142 \h </w:instrText>
            </w:r>
            <w:r w:rsidR="001E416F">
              <w:rPr>
                <w:webHidden/>
              </w:rPr>
            </w:r>
            <w:r w:rsidR="001E416F">
              <w:rPr>
                <w:webHidden/>
              </w:rPr>
              <w:fldChar w:fldCharType="separate"/>
            </w:r>
            <w:r w:rsidR="001E416F">
              <w:rPr>
                <w:webHidden/>
              </w:rPr>
              <w:t>17-4</w:t>
            </w:r>
            <w:r w:rsidR="001E416F">
              <w:rPr>
                <w:webHidden/>
              </w:rPr>
              <w:fldChar w:fldCharType="end"/>
            </w:r>
          </w:hyperlink>
        </w:p>
        <w:p w:rsidR="001E416F" w:rsidRDefault="00F97C54">
          <w:pPr>
            <w:pStyle w:val="TOC1"/>
            <w:rPr>
              <w:rFonts w:asciiTheme="minorHAnsi" w:eastAsiaTheme="minorEastAsia" w:hAnsiTheme="minorHAnsi"/>
              <w:b w:val="0"/>
              <w:color w:val="auto"/>
              <w:sz w:val="22"/>
              <w:lang w:val="en-AU" w:eastAsia="en-AU"/>
            </w:rPr>
          </w:pPr>
          <w:hyperlink w:anchor="_Toc481061143" w:history="1">
            <w:r w:rsidR="001E416F" w:rsidRPr="008407F1">
              <w:rPr>
                <w:rStyle w:val="Hyperlink"/>
              </w:rPr>
              <w:t>17</w:t>
            </w:r>
            <w:r w:rsidR="001E416F">
              <w:rPr>
                <w:rFonts w:asciiTheme="minorHAnsi" w:eastAsiaTheme="minorEastAsia" w:hAnsiTheme="minorHAnsi"/>
                <w:b w:val="0"/>
                <w:color w:val="auto"/>
                <w:sz w:val="22"/>
                <w:lang w:val="en-AU" w:eastAsia="en-AU"/>
              </w:rPr>
              <w:tab/>
            </w:r>
            <w:r w:rsidR="001E416F" w:rsidRPr="008407F1">
              <w:rPr>
                <w:rStyle w:val="Hyperlink"/>
              </w:rPr>
              <w:t>Negotiated services framework and criteria</w:t>
            </w:r>
            <w:r w:rsidR="001E416F">
              <w:rPr>
                <w:webHidden/>
              </w:rPr>
              <w:tab/>
            </w:r>
            <w:r w:rsidR="001E416F">
              <w:rPr>
                <w:webHidden/>
              </w:rPr>
              <w:fldChar w:fldCharType="begin"/>
            </w:r>
            <w:r w:rsidR="001E416F">
              <w:rPr>
                <w:webHidden/>
              </w:rPr>
              <w:instrText xml:space="preserve"> PAGEREF _Toc481061143 \h </w:instrText>
            </w:r>
            <w:r w:rsidR="001E416F">
              <w:rPr>
                <w:webHidden/>
              </w:rPr>
            </w:r>
            <w:r w:rsidR="001E416F">
              <w:rPr>
                <w:webHidden/>
              </w:rPr>
              <w:fldChar w:fldCharType="separate"/>
            </w:r>
            <w:r w:rsidR="001E416F">
              <w:rPr>
                <w:webHidden/>
              </w:rPr>
              <w:t>17-6</w:t>
            </w:r>
            <w:r w:rsidR="001E416F">
              <w:rPr>
                <w:webHidden/>
              </w:rPr>
              <w:fldChar w:fldCharType="end"/>
            </w:r>
          </w:hyperlink>
        </w:p>
        <w:p w:rsidR="001E416F" w:rsidRDefault="00F97C54">
          <w:pPr>
            <w:pStyle w:val="TOC2"/>
            <w:tabs>
              <w:tab w:val="left" w:pos="1276"/>
            </w:tabs>
            <w:rPr>
              <w:rFonts w:asciiTheme="minorHAnsi" w:eastAsiaTheme="minorEastAsia" w:hAnsiTheme="minorHAnsi"/>
              <w:b w:val="0"/>
              <w:color w:val="auto"/>
              <w:sz w:val="22"/>
              <w:lang w:eastAsia="en-AU"/>
            </w:rPr>
          </w:pPr>
          <w:hyperlink w:anchor="_Toc481061144" w:history="1">
            <w:r w:rsidR="001E416F" w:rsidRPr="008407F1">
              <w:rPr>
                <w:rStyle w:val="Hyperlink"/>
              </w:rPr>
              <w:t>17.1</w:t>
            </w:r>
            <w:r w:rsidR="001E416F">
              <w:rPr>
                <w:rFonts w:asciiTheme="minorHAnsi" w:eastAsiaTheme="minorEastAsia" w:hAnsiTheme="minorHAnsi"/>
                <w:b w:val="0"/>
                <w:color w:val="auto"/>
                <w:sz w:val="22"/>
                <w:lang w:eastAsia="en-AU"/>
              </w:rPr>
              <w:tab/>
            </w:r>
            <w:r w:rsidR="001E416F" w:rsidRPr="008407F1">
              <w:rPr>
                <w:rStyle w:val="Hyperlink"/>
              </w:rPr>
              <w:t>Final decision</w:t>
            </w:r>
            <w:r w:rsidR="001E416F">
              <w:rPr>
                <w:webHidden/>
              </w:rPr>
              <w:tab/>
            </w:r>
            <w:r w:rsidR="001E416F">
              <w:rPr>
                <w:webHidden/>
              </w:rPr>
              <w:fldChar w:fldCharType="begin"/>
            </w:r>
            <w:r w:rsidR="001E416F">
              <w:rPr>
                <w:webHidden/>
              </w:rPr>
              <w:instrText xml:space="preserve"> PAGEREF _Toc481061144 \h </w:instrText>
            </w:r>
            <w:r w:rsidR="001E416F">
              <w:rPr>
                <w:webHidden/>
              </w:rPr>
            </w:r>
            <w:r w:rsidR="001E416F">
              <w:rPr>
                <w:webHidden/>
              </w:rPr>
              <w:fldChar w:fldCharType="separate"/>
            </w:r>
            <w:r w:rsidR="001E416F">
              <w:rPr>
                <w:webHidden/>
              </w:rPr>
              <w:t>17-6</w:t>
            </w:r>
            <w:r w:rsidR="001E416F">
              <w:rPr>
                <w:webHidden/>
              </w:rPr>
              <w:fldChar w:fldCharType="end"/>
            </w:r>
          </w:hyperlink>
        </w:p>
        <w:p w:rsidR="001E416F" w:rsidRDefault="00F97C54">
          <w:pPr>
            <w:pStyle w:val="TOC2"/>
            <w:tabs>
              <w:tab w:val="left" w:pos="1276"/>
            </w:tabs>
            <w:rPr>
              <w:rFonts w:asciiTheme="minorHAnsi" w:eastAsiaTheme="minorEastAsia" w:hAnsiTheme="minorHAnsi"/>
              <w:b w:val="0"/>
              <w:color w:val="auto"/>
              <w:sz w:val="22"/>
              <w:lang w:eastAsia="en-AU"/>
            </w:rPr>
          </w:pPr>
          <w:hyperlink w:anchor="_Toc481061145" w:history="1">
            <w:r w:rsidR="001E416F" w:rsidRPr="008407F1">
              <w:rPr>
                <w:rStyle w:val="Hyperlink"/>
              </w:rPr>
              <w:t>17.2</w:t>
            </w:r>
            <w:r w:rsidR="001E416F">
              <w:rPr>
                <w:rFonts w:asciiTheme="minorHAnsi" w:eastAsiaTheme="minorEastAsia" w:hAnsiTheme="minorHAnsi"/>
                <w:b w:val="0"/>
                <w:color w:val="auto"/>
                <w:sz w:val="22"/>
                <w:lang w:eastAsia="en-AU"/>
              </w:rPr>
              <w:tab/>
            </w:r>
            <w:r w:rsidR="001E416F" w:rsidRPr="008407F1">
              <w:rPr>
                <w:rStyle w:val="Hyperlink"/>
              </w:rPr>
              <w:t>TasNetworks' revised proposal</w:t>
            </w:r>
            <w:r w:rsidR="001E416F">
              <w:rPr>
                <w:webHidden/>
              </w:rPr>
              <w:tab/>
            </w:r>
            <w:r w:rsidR="001E416F">
              <w:rPr>
                <w:webHidden/>
              </w:rPr>
              <w:fldChar w:fldCharType="begin"/>
            </w:r>
            <w:r w:rsidR="001E416F">
              <w:rPr>
                <w:webHidden/>
              </w:rPr>
              <w:instrText xml:space="preserve"> PAGEREF _Toc481061145 \h </w:instrText>
            </w:r>
            <w:r w:rsidR="001E416F">
              <w:rPr>
                <w:webHidden/>
              </w:rPr>
            </w:r>
            <w:r w:rsidR="001E416F">
              <w:rPr>
                <w:webHidden/>
              </w:rPr>
              <w:fldChar w:fldCharType="separate"/>
            </w:r>
            <w:r w:rsidR="001E416F">
              <w:rPr>
                <w:webHidden/>
              </w:rPr>
              <w:t>17-7</w:t>
            </w:r>
            <w:r w:rsidR="001E416F">
              <w:rPr>
                <w:webHidden/>
              </w:rPr>
              <w:fldChar w:fldCharType="end"/>
            </w:r>
          </w:hyperlink>
        </w:p>
        <w:p w:rsidR="001E416F" w:rsidRDefault="00F97C54">
          <w:pPr>
            <w:pStyle w:val="TOC2"/>
            <w:tabs>
              <w:tab w:val="left" w:pos="1276"/>
            </w:tabs>
            <w:rPr>
              <w:rFonts w:asciiTheme="minorHAnsi" w:eastAsiaTheme="minorEastAsia" w:hAnsiTheme="minorHAnsi"/>
              <w:b w:val="0"/>
              <w:color w:val="auto"/>
              <w:sz w:val="22"/>
              <w:lang w:eastAsia="en-AU"/>
            </w:rPr>
          </w:pPr>
          <w:hyperlink w:anchor="_Toc481061146" w:history="1">
            <w:r w:rsidR="001E416F" w:rsidRPr="008407F1">
              <w:rPr>
                <w:rStyle w:val="Hyperlink"/>
              </w:rPr>
              <w:t>17.3</w:t>
            </w:r>
            <w:r w:rsidR="001E416F">
              <w:rPr>
                <w:rFonts w:asciiTheme="minorHAnsi" w:eastAsiaTheme="minorEastAsia" w:hAnsiTheme="minorHAnsi"/>
                <w:b w:val="0"/>
                <w:color w:val="auto"/>
                <w:sz w:val="22"/>
                <w:lang w:eastAsia="en-AU"/>
              </w:rPr>
              <w:tab/>
            </w:r>
            <w:r w:rsidR="001E416F" w:rsidRPr="008407F1">
              <w:rPr>
                <w:rStyle w:val="Hyperlink"/>
              </w:rPr>
              <w:t>Assessment approach</w:t>
            </w:r>
            <w:r w:rsidR="001E416F">
              <w:rPr>
                <w:webHidden/>
              </w:rPr>
              <w:tab/>
            </w:r>
            <w:r w:rsidR="001E416F">
              <w:rPr>
                <w:webHidden/>
              </w:rPr>
              <w:fldChar w:fldCharType="begin"/>
            </w:r>
            <w:r w:rsidR="001E416F">
              <w:rPr>
                <w:webHidden/>
              </w:rPr>
              <w:instrText xml:space="preserve"> PAGEREF _Toc481061146 \h </w:instrText>
            </w:r>
            <w:r w:rsidR="001E416F">
              <w:rPr>
                <w:webHidden/>
              </w:rPr>
            </w:r>
            <w:r w:rsidR="001E416F">
              <w:rPr>
                <w:webHidden/>
              </w:rPr>
              <w:fldChar w:fldCharType="separate"/>
            </w:r>
            <w:r w:rsidR="001E416F">
              <w:rPr>
                <w:webHidden/>
              </w:rPr>
              <w:t>17-7</w:t>
            </w:r>
            <w:r w:rsidR="001E416F">
              <w:rPr>
                <w:webHidden/>
              </w:rPr>
              <w:fldChar w:fldCharType="end"/>
            </w:r>
          </w:hyperlink>
        </w:p>
        <w:p w:rsidR="001E416F" w:rsidRDefault="00F97C54">
          <w:pPr>
            <w:pStyle w:val="TOC2"/>
            <w:tabs>
              <w:tab w:val="left" w:pos="1276"/>
            </w:tabs>
            <w:rPr>
              <w:rFonts w:asciiTheme="minorHAnsi" w:eastAsiaTheme="minorEastAsia" w:hAnsiTheme="minorHAnsi"/>
              <w:b w:val="0"/>
              <w:color w:val="auto"/>
              <w:sz w:val="22"/>
              <w:lang w:eastAsia="en-AU"/>
            </w:rPr>
          </w:pPr>
          <w:hyperlink w:anchor="_Toc481061147" w:history="1">
            <w:r w:rsidR="001E416F" w:rsidRPr="008407F1">
              <w:rPr>
                <w:rStyle w:val="Hyperlink"/>
              </w:rPr>
              <w:t>17.4</w:t>
            </w:r>
            <w:r w:rsidR="001E416F">
              <w:rPr>
                <w:rFonts w:asciiTheme="minorHAnsi" w:eastAsiaTheme="minorEastAsia" w:hAnsiTheme="minorHAnsi"/>
                <w:b w:val="0"/>
                <w:color w:val="auto"/>
                <w:sz w:val="22"/>
                <w:lang w:eastAsia="en-AU"/>
              </w:rPr>
              <w:tab/>
            </w:r>
            <w:r w:rsidR="001E416F" w:rsidRPr="008407F1">
              <w:rPr>
                <w:rStyle w:val="Hyperlink"/>
              </w:rPr>
              <w:t>Reasons for final decision</w:t>
            </w:r>
            <w:r w:rsidR="001E416F">
              <w:rPr>
                <w:webHidden/>
              </w:rPr>
              <w:tab/>
            </w:r>
            <w:r w:rsidR="001E416F">
              <w:rPr>
                <w:webHidden/>
              </w:rPr>
              <w:fldChar w:fldCharType="begin"/>
            </w:r>
            <w:r w:rsidR="001E416F">
              <w:rPr>
                <w:webHidden/>
              </w:rPr>
              <w:instrText xml:space="preserve"> PAGEREF _Toc481061147 \h </w:instrText>
            </w:r>
            <w:r w:rsidR="001E416F">
              <w:rPr>
                <w:webHidden/>
              </w:rPr>
            </w:r>
            <w:r w:rsidR="001E416F">
              <w:rPr>
                <w:webHidden/>
              </w:rPr>
              <w:fldChar w:fldCharType="separate"/>
            </w:r>
            <w:r w:rsidR="001E416F">
              <w:rPr>
                <w:webHidden/>
              </w:rPr>
              <w:t>17-7</w:t>
            </w:r>
            <w:r w:rsidR="001E416F">
              <w:rPr>
                <w:webHidden/>
              </w:rPr>
              <w:fldChar w:fldCharType="end"/>
            </w:r>
          </w:hyperlink>
        </w:p>
        <w:p w:rsidR="001E416F" w:rsidRDefault="00F97C54">
          <w:pPr>
            <w:pStyle w:val="TOC1"/>
            <w:rPr>
              <w:rFonts w:asciiTheme="minorHAnsi" w:eastAsiaTheme="minorEastAsia" w:hAnsiTheme="minorHAnsi"/>
              <w:b w:val="0"/>
              <w:color w:val="auto"/>
              <w:sz w:val="22"/>
              <w:lang w:val="en-AU" w:eastAsia="en-AU"/>
            </w:rPr>
          </w:pPr>
          <w:hyperlink w:anchor="_Toc481061148" w:history="1">
            <w:r w:rsidR="001E416F" w:rsidRPr="008407F1">
              <w:rPr>
                <w:rStyle w:val="Hyperlink"/>
              </w:rPr>
              <w:t>A</w:t>
            </w:r>
            <w:r w:rsidR="001E416F">
              <w:rPr>
                <w:rFonts w:asciiTheme="minorHAnsi" w:eastAsiaTheme="minorEastAsia" w:hAnsiTheme="minorHAnsi"/>
                <w:b w:val="0"/>
                <w:color w:val="auto"/>
                <w:sz w:val="22"/>
                <w:lang w:val="en-AU" w:eastAsia="en-AU"/>
              </w:rPr>
              <w:tab/>
            </w:r>
            <w:r w:rsidR="001E416F" w:rsidRPr="008407F1">
              <w:rPr>
                <w:rStyle w:val="Hyperlink"/>
              </w:rPr>
              <w:t>TasNetworks' negotiating framework</w:t>
            </w:r>
            <w:r w:rsidR="001E416F">
              <w:rPr>
                <w:webHidden/>
              </w:rPr>
              <w:tab/>
            </w:r>
            <w:r w:rsidR="001E416F">
              <w:rPr>
                <w:webHidden/>
              </w:rPr>
              <w:fldChar w:fldCharType="begin"/>
            </w:r>
            <w:r w:rsidR="001E416F">
              <w:rPr>
                <w:webHidden/>
              </w:rPr>
              <w:instrText xml:space="preserve"> PAGEREF _Toc481061148 \h </w:instrText>
            </w:r>
            <w:r w:rsidR="001E416F">
              <w:rPr>
                <w:webHidden/>
              </w:rPr>
            </w:r>
            <w:r w:rsidR="001E416F">
              <w:rPr>
                <w:webHidden/>
              </w:rPr>
              <w:fldChar w:fldCharType="separate"/>
            </w:r>
            <w:r w:rsidR="001E416F">
              <w:rPr>
                <w:webHidden/>
              </w:rPr>
              <w:t>17-10</w:t>
            </w:r>
            <w:r w:rsidR="001E416F">
              <w:rPr>
                <w:webHidden/>
              </w:rPr>
              <w:fldChar w:fldCharType="end"/>
            </w:r>
          </w:hyperlink>
        </w:p>
        <w:p w:rsidR="00CE2A23" w:rsidRDefault="00CD283C" w:rsidP="00CD283C">
          <w:pPr>
            <w:pStyle w:val="TOC1"/>
          </w:pPr>
          <w:r>
            <w:fldChar w:fldCharType="end"/>
          </w:r>
        </w:p>
      </w:sdtContent>
    </w:sdt>
    <w:p w:rsidR="00CE2A23" w:rsidRPr="00CE2A23" w:rsidRDefault="00CE2A23" w:rsidP="00CE2A23">
      <w:r>
        <w:t xml:space="preserve"> </w:t>
      </w:r>
    </w:p>
    <w:p w:rsidR="00CE2A23" w:rsidRPr="00271F7C" w:rsidRDefault="00CE2A23" w:rsidP="00CE2A23">
      <w:pPr>
        <w:pStyle w:val="UnnumberedHeading"/>
        <w:numPr>
          <w:ilvl w:val="0"/>
          <w:numId w:val="23"/>
        </w:numPr>
      </w:pPr>
      <w:bookmarkStart w:id="11" w:name="_Toc404700925"/>
      <w:bookmarkStart w:id="12" w:name="_Toc481061142"/>
      <w:r>
        <w:lastRenderedPageBreak/>
        <w:t>Shortened forms</w:t>
      </w:r>
      <w:bookmarkEnd w:id="11"/>
      <w:bookmarkEnd w:id="12"/>
    </w:p>
    <w:tbl>
      <w:tblPr>
        <w:tblStyle w:val="AERtable-text0"/>
        <w:tblW w:w="0" w:type="auto"/>
        <w:tblLook w:val="04A0" w:firstRow="1" w:lastRow="0" w:firstColumn="1" w:lastColumn="0" w:noHBand="0" w:noVBand="1"/>
      </w:tblPr>
      <w:tblGrid>
        <w:gridCol w:w="4340"/>
        <w:gridCol w:w="4353"/>
      </w:tblGrid>
      <w:tr w:rsidR="0053603C" w:rsidRPr="0087648F" w:rsidTr="000474DF">
        <w:trPr>
          <w:cnfStyle w:val="100000000000" w:firstRow="1" w:lastRow="0" w:firstColumn="0" w:lastColumn="0" w:oddVBand="0" w:evenVBand="0" w:oddHBand="0" w:evenHBand="0" w:firstRowFirstColumn="0" w:firstRowLastColumn="0" w:lastRowFirstColumn="0" w:lastRowLastColumn="0"/>
          <w:tblHeader/>
        </w:trPr>
        <w:tc>
          <w:tcPr>
            <w:tcW w:w="4340" w:type="dxa"/>
          </w:tcPr>
          <w:p w:rsidR="0053603C" w:rsidRPr="0087648F" w:rsidRDefault="0087648F" w:rsidP="0087648F">
            <w:r>
              <w:t>Shortened form</w:t>
            </w:r>
          </w:p>
        </w:tc>
        <w:tc>
          <w:tcPr>
            <w:tcW w:w="4353" w:type="dxa"/>
          </w:tcPr>
          <w:p w:rsidR="0053603C" w:rsidRPr="0087648F" w:rsidRDefault="0087648F" w:rsidP="0087648F">
            <w:r>
              <w:t>Extended form</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AEMC</w:t>
            </w:r>
          </w:p>
        </w:tc>
        <w:tc>
          <w:tcPr>
            <w:tcW w:w="4353" w:type="dxa"/>
          </w:tcPr>
          <w:p w:rsidR="004523B2" w:rsidRPr="004523B2" w:rsidRDefault="004523B2" w:rsidP="004523B2">
            <w:pPr>
              <w:pStyle w:val="AERtabletextleft"/>
              <w:rPr>
                <w:rStyle w:val="AERtextsize8"/>
              </w:rPr>
            </w:pPr>
            <w:r w:rsidRPr="00712239">
              <w:rPr>
                <w:rStyle w:val="AERtextsize8"/>
              </w:rPr>
              <w:t>Australian Energy Market Commission</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AEMO</w:t>
            </w:r>
          </w:p>
        </w:tc>
        <w:tc>
          <w:tcPr>
            <w:tcW w:w="4353" w:type="dxa"/>
          </w:tcPr>
          <w:p w:rsidR="004523B2" w:rsidRPr="004523B2" w:rsidRDefault="004523B2" w:rsidP="004523B2">
            <w:pPr>
              <w:pStyle w:val="AERtabletextleft"/>
              <w:rPr>
                <w:rStyle w:val="AERtextsize8"/>
              </w:rPr>
            </w:pPr>
            <w:r w:rsidRPr="00712239">
              <w:rPr>
                <w:rStyle w:val="AERtextsize8"/>
              </w:rPr>
              <w:t>Australian Energy Market Operator</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AER</w:t>
            </w:r>
          </w:p>
        </w:tc>
        <w:tc>
          <w:tcPr>
            <w:tcW w:w="4353" w:type="dxa"/>
          </w:tcPr>
          <w:p w:rsidR="004523B2" w:rsidRPr="004523B2" w:rsidRDefault="004523B2" w:rsidP="004523B2">
            <w:pPr>
              <w:pStyle w:val="AERtabletextleft"/>
              <w:rPr>
                <w:rStyle w:val="AERtextsize8"/>
              </w:rPr>
            </w:pPr>
            <w:r w:rsidRPr="00712239">
              <w:rPr>
                <w:rStyle w:val="AERtextsize8"/>
              </w:rPr>
              <w:t xml:space="preserve">Australian Energy </w:t>
            </w:r>
            <w:r w:rsidRPr="004523B2">
              <w:rPr>
                <w:rStyle w:val="AERtextsize8"/>
              </w:rPr>
              <w:t>Regulator</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augex</w:t>
            </w:r>
          </w:p>
        </w:tc>
        <w:tc>
          <w:tcPr>
            <w:tcW w:w="4353" w:type="dxa"/>
          </w:tcPr>
          <w:p w:rsidR="004523B2" w:rsidRPr="004523B2" w:rsidRDefault="004523B2" w:rsidP="004523B2">
            <w:pPr>
              <w:pStyle w:val="AERtabletextleft"/>
              <w:rPr>
                <w:rStyle w:val="AERtextsize8"/>
              </w:rPr>
            </w:pPr>
            <w:r w:rsidRPr="00712239">
              <w:rPr>
                <w:rStyle w:val="AERtextsize8"/>
              </w:rPr>
              <w:t>augmentation expenditure</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capex</w:t>
            </w:r>
          </w:p>
        </w:tc>
        <w:tc>
          <w:tcPr>
            <w:tcW w:w="4353" w:type="dxa"/>
          </w:tcPr>
          <w:p w:rsidR="004523B2" w:rsidRPr="004523B2" w:rsidRDefault="004523B2" w:rsidP="004523B2">
            <w:pPr>
              <w:pStyle w:val="AERtabletextleft"/>
              <w:rPr>
                <w:rStyle w:val="AERtextsize8"/>
              </w:rPr>
            </w:pPr>
            <w:r w:rsidRPr="00712239">
              <w:rPr>
                <w:rStyle w:val="AERtextsize8"/>
              </w:rPr>
              <w:t>capital expenditure</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CCP</w:t>
            </w:r>
          </w:p>
        </w:tc>
        <w:tc>
          <w:tcPr>
            <w:tcW w:w="4353" w:type="dxa"/>
          </w:tcPr>
          <w:p w:rsidR="004523B2" w:rsidRPr="004523B2" w:rsidRDefault="004523B2" w:rsidP="004523B2">
            <w:pPr>
              <w:pStyle w:val="AERtabletextleft"/>
              <w:rPr>
                <w:rStyle w:val="AERtextsize8"/>
              </w:rPr>
            </w:pPr>
            <w:r w:rsidRPr="00712239">
              <w:rPr>
                <w:rStyle w:val="AERtextsize8"/>
              </w:rPr>
              <w:t>Consumer Challenge Panel</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CESS</w:t>
            </w:r>
          </w:p>
        </w:tc>
        <w:tc>
          <w:tcPr>
            <w:tcW w:w="4353" w:type="dxa"/>
          </w:tcPr>
          <w:p w:rsidR="004523B2" w:rsidRPr="004523B2" w:rsidRDefault="004523B2" w:rsidP="004523B2">
            <w:pPr>
              <w:pStyle w:val="AERtabletextleft"/>
              <w:rPr>
                <w:rStyle w:val="AERtextsize8"/>
              </w:rPr>
            </w:pPr>
            <w:r w:rsidRPr="00712239">
              <w:rPr>
                <w:rStyle w:val="AERtextsize8"/>
              </w:rPr>
              <w:t>capital expenditure sharing scheme</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CPI</w:t>
            </w:r>
          </w:p>
        </w:tc>
        <w:tc>
          <w:tcPr>
            <w:tcW w:w="4353" w:type="dxa"/>
          </w:tcPr>
          <w:p w:rsidR="004523B2" w:rsidRPr="004523B2" w:rsidRDefault="004523B2" w:rsidP="004523B2">
            <w:pPr>
              <w:pStyle w:val="AERtabletextleft"/>
              <w:rPr>
                <w:rStyle w:val="AERtextsize8"/>
              </w:rPr>
            </w:pPr>
            <w:r w:rsidRPr="00712239">
              <w:rPr>
                <w:rStyle w:val="AERtextsize8"/>
              </w:rPr>
              <w:t>consumer price index</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DRP</w:t>
            </w:r>
          </w:p>
        </w:tc>
        <w:tc>
          <w:tcPr>
            <w:tcW w:w="4353" w:type="dxa"/>
          </w:tcPr>
          <w:p w:rsidR="004523B2" w:rsidRPr="004523B2" w:rsidRDefault="004523B2" w:rsidP="004523B2">
            <w:pPr>
              <w:pStyle w:val="AERtabletextleft"/>
              <w:rPr>
                <w:rStyle w:val="AERtextsize8"/>
              </w:rPr>
            </w:pPr>
            <w:r w:rsidRPr="00712239">
              <w:rPr>
                <w:rStyle w:val="AERtextsize8"/>
              </w:rPr>
              <w:t>debt risk premium</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DMIA</w:t>
            </w:r>
          </w:p>
        </w:tc>
        <w:tc>
          <w:tcPr>
            <w:tcW w:w="4353" w:type="dxa"/>
          </w:tcPr>
          <w:p w:rsidR="004523B2" w:rsidRPr="004523B2" w:rsidRDefault="004523B2" w:rsidP="004523B2">
            <w:pPr>
              <w:pStyle w:val="AERtabletextleft"/>
              <w:rPr>
                <w:rStyle w:val="AERtextsize8"/>
              </w:rPr>
            </w:pPr>
            <w:r w:rsidRPr="00712239">
              <w:rPr>
                <w:rStyle w:val="AERtextsize8"/>
              </w:rPr>
              <w:t>demand management innovation allowance</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DMIS</w:t>
            </w:r>
          </w:p>
        </w:tc>
        <w:tc>
          <w:tcPr>
            <w:tcW w:w="4353" w:type="dxa"/>
          </w:tcPr>
          <w:p w:rsidR="004523B2" w:rsidRPr="004523B2" w:rsidRDefault="004523B2" w:rsidP="004523B2">
            <w:pPr>
              <w:pStyle w:val="AERtabletextleft"/>
              <w:rPr>
                <w:rStyle w:val="AERtextsize8"/>
              </w:rPr>
            </w:pPr>
            <w:r w:rsidRPr="00712239">
              <w:rPr>
                <w:rStyle w:val="AERtextsize8"/>
              </w:rPr>
              <w:t xml:space="preserve">demand </w:t>
            </w:r>
            <w:r w:rsidRPr="004523B2">
              <w:rPr>
                <w:rStyle w:val="AERtextsize8"/>
              </w:rPr>
              <w:t>management incentive scheme</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distributor</w:t>
            </w:r>
          </w:p>
        </w:tc>
        <w:tc>
          <w:tcPr>
            <w:tcW w:w="4353" w:type="dxa"/>
          </w:tcPr>
          <w:p w:rsidR="004523B2" w:rsidRPr="004523B2" w:rsidRDefault="004523B2" w:rsidP="004523B2">
            <w:pPr>
              <w:pStyle w:val="AERtabletextleft"/>
              <w:rPr>
                <w:rStyle w:val="AERtextsize8"/>
              </w:rPr>
            </w:pPr>
            <w:r w:rsidRPr="00712239">
              <w:rPr>
                <w:rStyle w:val="AERtextsize8"/>
              </w:rPr>
              <w:t>distribution network service provider</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DUoS</w:t>
            </w:r>
          </w:p>
        </w:tc>
        <w:tc>
          <w:tcPr>
            <w:tcW w:w="4353" w:type="dxa"/>
          </w:tcPr>
          <w:p w:rsidR="004523B2" w:rsidRPr="004523B2" w:rsidRDefault="004523B2" w:rsidP="004523B2">
            <w:pPr>
              <w:pStyle w:val="AERtabletextleft"/>
              <w:rPr>
                <w:rStyle w:val="AERtextsize8"/>
              </w:rPr>
            </w:pPr>
            <w:r w:rsidRPr="00712239">
              <w:rPr>
                <w:rStyle w:val="AERtextsize8"/>
              </w:rPr>
              <w:t>distribution use of system</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EBSS</w:t>
            </w:r>
          </w:p>
        </w:tc>
        <w:tc>
          <w:tcPr>
            <w:tcW w:w="4353" w:type="dxa"/>
          </w:tcPr>
          <w:p w:rsidR="004523B2" w:rsidRPr="004523B2" w:rsidRDefault="004523B2" w:rsidP="004523B2">
            <w:pPr>
              <w:pStyle w:val="AERtabletextleft"/>
              <w:rPr>
                <w:rStyle w:val="AERtextsize8"/>
              </w:rPr>
            </w:pPr>
            <w:r w:rsidRPr="00712239">
              <w:rPr>
                <w:rStyle w:val="AERtextsize8"/>
              </w:rPr>
              <w:t>efficiency benefit sharing scheme</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ERP</w:t>
            </w:r>
          </w:p>
        </w:tc>
        <w:tc>
          <w:tcPr>
            <w:tcW w:w="4353" w:type="dxa"/>
          </w:tcPr>
          <w:p w:rsidR="004523B2" w:rsidRPr="004523B2" w:rsidRDefault="004523B2" w:rsidP="004523B2">
            <w:pPr>
              <w:pStyle w:val="AERtabletextleft"/>
              <w:rPr>
                <w:rStyle w:val="AERtextsize8"/>
              </w:rPr>
            </w:pPr>
            <w:r w:rsidRPr="00712239">
              <w:rPr>
                <w:rStyle w:val="AERtextsize8"/>
              </w:rPr>
              <w:t>equity risk premium</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Expenditure A</w:t>
            </w:r>
            <w:r w:rsidRPr="004523B2">
              <w:rPr>
                <w:rStyle w:val="AERtextsize8"/>
              </w:rPr>
              <w:t>ssessment Guideline</w:t>
            </w:r>
          </w:p>
        </w:tc>
        <w:tc>
          <w:tcPr>
            <w:tcW w:w="4353" w:type="dxa"/>
          </w:tcPr>
          <w:p w:rsidR="004523B2" w:rsidRPr="004523B2" w:rsidRDefault="004523B2" w:rsidP="004523B2">
            <w:pPr>
              <w:pStyle w:val="AERtabletextleft"/>
              <w:rPr>
                <w:rStyle w:val="AERtextsize8"/>
              </w:rPr>
            </w:pPr>
            <w:r w:rsidRPr="00712239">
              <w:rPr>
                <w:rStyle w:val="AERtextsize8"/>
              </w:rPr>
              <w:t>E</w:t>
            </w:r>
            <w:r w:rsidRPr="004523B2">
              <w:rPr>
                <w:rStyle w:val="AERtextsize8"/>
              </w:rPr>
              <w:t>xpenditure Forecast Assessment Guideline for Electricity Distribution</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F&amp;A</w:t>
            </w:r>
          </w:p>
        </w:tc>
        <w:tc>
          <w:tcPr>
            <w:tcW w:w="4353" w:type="dxa"/>
          </w:tcPr>
          <w:p w:rsidR="004523B2" w:rsidRPr="004523B2" w:rsidRDefault="004523B2" w:rsidP="004523B2">
            <w:pPr>
              <w:pStyle w:val="AERtabletextleft"/>
              <w:rPr>
                <w:rStyle w:val="AERtextsize8"/>
              </w:rPr>
            </w:pPr>
            <w:r w:rsidRPr="00712239">
              <w:rPr>
                <w:rStyle w:val="AERtextsize8"/>
              </w:rPr>
              <w:t>framework and approach</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MRP</w:t>
            </w:r>
          </w:p>
        </w:tc>
        <w:tc>
          <w:tcPr>
            <w:tcW w:w="4353" w:type="dxa"/>
          </w:tcPr>
          <w:p w:rsidR="004523B2" w:rsidRPr="004523B2" w:rsidRDefault="004523B2" w:rsidP="004523B2">
            <w:pPr>
              <w:pStyle w:val="AERtabletextleft"/>
              <w:rPr>
                <w:rStyle w:val="AERtextsize8"/>
              </w:rPr>
            </w:pPr>
            <w:r w:rsidRPr="00712239">
              <w:rPr>
                <w:rStyle w:val="AERtextsize8"/>
              </w:rPr>
              <w:t>market risk premium</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NEL</w:t>
            </w:r>
          </w:p>
        </w:tc>
        <w:tc>
          <w:tcPr>
            <w:tcW w:w="4353" w:type="dxa"/>
          </w:tcPr>
          <w:p w:rsidR="004523B2" w:rsidRPr="004523B2" w:rsidRDefault="004523B2" w:rsidP="004523B2">
            <w:pPr>
              <w:pStyle w:val="AERtabletextleft"/>
              <w:rPr>
                <w:rStyle w:val="AERtextsize8"/>
              </w:rPr>
            </w:pPr>
            <w:r w:rsidRPr="00712239">
              <w:rPr>
                <w:rStyle w:val="AERtextsize8"/>
              </w:rPr>
              <w:t>national electricity law</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NEM</w:t>
            </w:r>
          </w:p>
        </w:tc>
        <w:tc>
          <w:tcPr>
            <w:tcW w:w="4353" w:type="dxa"/>
          </w:tcPr>
          <w:p w:rsidR="004523B2" w:rsidRPr="004523B2" w:rsidRDefault="004523B2" w:rsidP="004523B2">
            <w:pPr>
              <w:pStyle w:val="AERtabletextleft"/>
              <w:rPr>
                <w:rStyle w:val="AERtextsize8"/>
              </w:rPr>
            </w:pPr>
            <w:r w:rsidRPr="00712239">
              <w:rPr>
                <w:rStyle w:val="AERtextsize8"/>
              </w:rPr>
              <w:t>national electricity market</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NEO</w:t>
            </w:r>
          </w:p>
        </w:tc>
        <w:tc>
          <w:tcPr>
            <w:tcW w:w="4353" w:type="dxa"/>
          </w:tcPr>
          <w:p w:rsidR="004523B2" w:rsidRPr="004523B2" w:rsidRDefault="004523B2" w:rsidP="004523B2">
            <w:pPr>
              <w:pStyle w:val="AERtabletextleft"/>
              <w:rPr>
                <w:rStyle w:val="AERtextsize8"/>
              </w:rPr>
            </w:pPr>
            <w:r w:rsidRPr="00712239">
              <w:rPr>
                <w:rStyle w:val="AERtextsize8"/>
              </w:rPr>
              <w:t>national electricity objective</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NER</w:t>
            </w:r>
          </w:p>
        </w:tc>
        <w:tc>
          <w:tcPr>
            <w:tcW w:w="4353" w:type="dxa"/>
          </w:tcPr>
          <w:p w:rsidR="004523B2" w:rsidRPr="004523B2" w:rsidRDefault="004523B2" w:rsidP="004523B2">
            <w:pPr>
              <w:pStyle w:val="AERtabletextleft"/>
              <w:rPr>
                <w:rStyle w:val="AERtextsize8"/>
              </w:rPr>
            </w:pPr>
            <w:r w:rsidRPr="00712239">
              <w:rPr>
                <w:rStyle w:val="AERtextsize8"/>
              </w:rPr>
              <w:t>national electricity rules</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NSP</w:t>
            </w:r>
          </w:p>
        </w:tc>
        <w:tc>
          <w:tcPr>
            <w:tcW w:w="4353" w:type="dxa"/>
          </w:tcPr>
          <w:p w:rsidR="004523B2" w:rsidRPr="004523B2" w:rsidRDefault="004523B2" w:rsidP="004523B2">
            <w:pPr>
              <w:pStyle w:val="AERtabletextleft"/>
              <w:rPr>
                <w:rStyle w:val="AERtextsize8"/>
              </w:rPr>
            </w:pPr>
            <w:r w:rsidRPr="00712239">
              <w:rPr>
                <w:rStyle w:val="AERtextsize8"/>
              </w:rPr>
              <w:t xml:space="preserve">network service </w:t>
            </w:r>
            <w:r w:rsidRPr="004523B2">
              <w:rPr>
                <w:rStyle w:val="AERtextsize8"/>
              </w:rPr>
              <w:t>provider</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opex</w:t>
            </w:r>
          </w:p>
        </w:tc>
        <w:tc>
          <w:tcPr>
            <w:tcW w:w="4353" w:type="dxa"/>
          </w:tcPr>
          <w:p w:rsidR="004523B2" w:rsidRPr="004523B2" w:rsidRDefault="004523B2" w:rsidP="004523B2">
            <w:pPr>
              <w:pStyle w:val="AERtabletextleft"/>
              <w:rPr>
                <w:rStyle w:val="AERtextsize8"/>
              </w:rPr>
            </w:pPr>
            <w:r w:rsidRPr="00712239">
              <w:rPr>
                <w:rStyle w:val="AERtextsize8"/>
              </w:rPr>
              <w:t>operating expenditure</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PPI</w:t>
            </w:r>
          </w:p>
        </w:tc>
        <w:tc>
          <w:tcPr>
            <w:tcW w:w="4353" w:type="dxa"/>
          </w:tcPr>
          <w:p w:rsidR="004523B2" w:rsidRPr="004523B2" w:rsidRDefault="004523B2" w:rsidP="004523B2">
            <w:pPr>
              <w:pStyle w:val="AERtabletextleft"/>
              <w:rPr>
                <w:rStyle w:val="AERtextsize8"/>
              </w:rPr>
            </w:pPr>
            <w:r w:rsidRPr="00712239">
              <w:rPr>
                <w:rStyle w:val="AERtextsize8"/>
              </w:rPr>
              <w:t>partial performance indicators</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PTRM</w:t>
            </w:r>
          </w:p>
        </w:tc>
        <w:tc>
          <w:tcPr>
            <w:tcW w:w="4353" w:type="dxa"/>
          </w:tcPr>
          <w:p w:rsidR="004523B2" w:rsidRPr="004523B2" w:rsidRDefault="004523B2" w:rsidP="004523B2">
            <w:pPr>
              <w:pStyle w:val="AERtabletextleft"/>
              <w:rPr>
                <w:rStyle w:val="AERtextsize8"/>
              </w:rPr>
            </w:pPr>
            <w:r w:rsidRPr="00712239">
              <w:rPr>
                <w:rStyle w:val="AERtextsize8"/>
              </w:rPr>
              <w:t>post-tax revenue model</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RAB</w:t>
            </w:r>
          </w:p>
        </w:tc>
        <w:tc>
          <w:tcPr>
            <w:tcW w:w="4353" w:type="dxa"/>
          </w:tcPr>
          <w:p w:rsidR="004523B2" w:rsidRPr="004523B2" w:rsidRDefault="004523B2" w:rsidP="004523B2">
            <w:pPr>
              <w:pStyle w:val="AERtabletextleft"/>
              <w:rPr>
                <w:rStyle w:val="AERtextsize8"/>
              </w:rPr>
            </w:pPr>
            <w:r w:rsidRPr="00712239">
              <w:rPr>
                <w:rStyle w:val="AERtextsize8"/>
              </w:rPr>
              <w:t>regulatory asset base</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RBA</w:t>
            </w:r>
          </w:p>
        </w:tc>
        <w:tc>
          <w:tcPr>
            <w:tcW w:w="4353" w:type="dxa"/>
          </w:tcPr>
          <w:p w:rsidR="004523B2" w:rsidRPr="004523B2" w:rsidRDefault="004523B2" w:rsidP="004523B2">
            <w:pPr>
              <w:pStyle w:val="AERtabletextleft"/>
              <w:rPr>
                <w:rStyle w:val="AERtextsize8"/>
              </w:rPr>
            </w:pPr>
            <w:r w:rsidRPr="00712239">
              <w:rPr>
                <w:rStyle w:val="AERtextsize8"/>
              </w:rPr>
              <w:t>Reserve Bank of Australia</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repex</w:t>
            </w:r>
          </w:p>
        </w:tc>
        <w:tc>
          <w:tcPr>
            <w:tcW w:w="4353" w:type="dxa"/>
          </w:tcPr>
          <w:p w:rsidR="004523B2" w:rsidRPr="004523B2" w:rsidRDefault="004523B2" w:rsidP="004523B2">
            <w:pPr>
              <w:pStyle w:val="AERtabletextleft"/>
              <w:rPr>
                <w:rStyle w:val="AERtextsize8"/>
              </w:rPr>
            </w:pPr>
            <w:r w:rsidRPr="00712239">
              <w:rPr>
                <w:rStyle w:val="AERtextsize8"/>
              </w:rPr>
              <w:t>replacement expenditure</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lastRenderedPageBreak/>
              <w:t>RFM</w:t>
            </w:r>
          </w:p>
        </w:tc>
        <w:tc>
          <w:tcPr>
            <w:tcW w:w="4353" w:type="dxa"/>
          </w:tcPr>
          <w:p w:rsidR="004523B2" w:rsidRPr="004523B2" w:rsidRDefault="004523B2" w:rsidP="004523B2">
            <w:pPr>
              <w:pStyle w:val="AERtabletextleft"/>
              <w:rPr>
                <w:rStyle w:val="AERtextsize8"/>
              </w:rPr>
            </w:pPr>
            <w:r w:rsidRPr="00712239">
              <w:rPr>
                <w:rStyle w:val="AERtextsize8"/>
              </w:rPr>
              <w:t>roll forward model</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RIN</w:t>
            </w:r>
          </w:p>
        </w:tc>
        <w:tc>
          <w:tcPr>
            <w:tcW w:w="4353" w:type="dxa"/>
          </w:tcPr>
          <w:p w:rsidR="004523B2" w:rsidRPr="004523B2" w:rsidRDefault="004523B2" w:rsidP="004523B2">
            <w:pPr>
              <w:pStyle w:val="AERtabletextleft"/>
              <w:rPr>
                <w:rStyle w:val="AERtextsize8"/>
              </w:rPr>
            </w:pPr>
            <w:r w:rsidRPr="00712239">
              <w:rPr>
                <w:rStyle w:val="AERtextsize8"/>
              </w:rPr>
              <w:t>regulatory information notice</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RPP</w:t>
            </w:r>
          </w:p>
        </w:tc>
        <w:tc>
          <w:tcPr>
            <w:tcW w:w="4353" w:type="dxa"/>
          </w:tcPr>
          <w:p w:rsidR="004523B2" w:rsidRPr="004523B2" w:rsidRDefault="004523B2" w:rsidP="004523B2">
            <w:pPr>
              <w:pStyle w:val="AERtabletextleft"/>
              <w:rPr>
                <w:rStyle w:val="AERtextsize8"/>
              </w:rPr>
            </w:pPr>
            <w:r w:rsidRPr="00712239">
              <w:rPr>
                <w:rStyle w:val="AERtextsize8"/>
              </w:rPr>
              <w:t xml:space="preserve">revenue </w:t>
            </w:r>
            <w:r w:rsidRPr="004523B2">
              <w:rPr>
                <w:rStyle w:val="AERtextsize8"/>
              </w:rPr>
              <w:t>and pricing principles</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SAIDI</w:t>
            </w:r>
          </w:p>
        </w:tc>
        <w:tc>
          <w:tcPr>
            <w:tcW w:w="4353" w:type="dxa"/>
          </w:tcPr>
          <w:p w:rsidR="004523B2" w:rsidRPr="004523B2" w:rsidRDefault="004523B2" w:rsidP="004523B2">
            <w:pPr>
              <w:pStyle w:val="AERtabletextleft"/>
              <w:rPr>
                <w:rStyle w:val="AERtextsize8"/>
              </w:rPr>
            </w:pPr>
            <w:r w:rsidRPr="00712239">
              <w:rPr>
                <w:rStyle w:val="AERtextsize8"/>
              </w:rPr>
              <w:t>system average interruption duration index</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SAIFI</w:t>
            </w:r>
          </w:p>
        </w:tc>
        <w:tc>
          <w:tcPr>
            <w:tcW w:w="4353" w:type="dxa"/>
          </w:tcPr>
          <w:p w:rsidR="004523B2" w:rsidRPr="004523B2" w:rsidRDefault="004523B2" w:rsidP="004523B2">
            <w:pPr>
              <w:pStyle w:val="AERtabletextleft"/>
              <w:rPr>
                <w:rStyle w:val="AERtextsize8"/>
              </w:rPr>
            </w:pPr>
            <w:r w:rsidRPr="00712239">
              <w:rPr>
                <w:rStyle w:val="AERtextsize8"/>
              </w:rPr>
              <w:t>system average interruption frequency index</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SLCAPM</w:t>
            </w:r>
          </w:p>
        </w:tc>
        <w:tc>
          <w:tcPr>
            <w:tcW w:w="4353" w:type="dxa"/>
          </w:tcPr>
          <w:p w:rsidR="004523B2" w:rsidRPr="004523B2" w:rsidRDefault="004523B2" w:rsidP="004523B2">
            <w:pPr>
              <w:pStyle w:val="AERtabletextleft"/>
              <w:rPr>
                <w:rStyle w:val="AERtextsize8"/>
              </w:rPr>
            </w:pPr>
            <w:r w:rsidRPr="00712239">
              <w:rPr>
                <w:rStyle w:val="AERtextsize8"/>
              </w:rPr>
              <w:t>Sharpe-Lintner capital asset pricing model</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STPIS</w:t>
            </w:r>
          </w:p>
        </w:tc>
        <w:tc>
          <w:tcPr>
            <w:tcW w:w="4353" w:type="dxa"/>
          </w:tcPr>
          <w:p w:rsidR="004523B2" w:rsidRPr="004523B2" w:rsidRDefault="004523B2" w:rsidP="004523B2">
            <w:pPr>
              <w:pStyle w:val="AERtabletextleft"/>
              <w:rPr>
                <w:rStyle w:val="AERtextsize8"/>
              </w:rPr>
            </w:pPr>
            <w:r w:rsidRPr="00712239">
              <w:rPr>
                <w:rStyle w:val="AERtextsize8"/>
              </w:rPr>
              <w:t>service target performance incentive scheme</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WACC</w:t>
            </w:r>
          </w:p>
        </w:tc>
        <w:tc>
          <w:tcPr>
            <w:tcW w:w="4353" w:type="dxa"/>
          </w:tcPr>
          <w:p w:rsidR="004523B2" w:rsidRPr="004523B2" w:rsidRDefault="004523B2" w:rsidP="004523B2">
            <w:pPr>
              <w:pStyle w:val="AERtabletextleft"/>
              <w:rPr>
                <w:rStyle w:val="AERtextsize8"/>
              </w:rPr>
            </w:pPr>
            <w:r w:rsidRPr="00712239">
              <w:rPr>
                <w:rStyle w:val="AERtextsize8"/>
              </w:rPr>
              <w:t>weighted average</w:t>
            </w:r>
            <w:r w:rsidRPr="004523B2">
              <w:rPr>
                <w:rStyle w:val="AERtextsize8"/>
              </w:rPr>
              <w:t xml:space="preserve"> cost of capital</w:t>
            </w:r>
          </w:p>
        </w:tc>
      </w:tr>
    </w:tbl>
    <w:p w:rsidR="00DE563D" w:rsidRDefault="0079769A" w:rsidP="0079769A">
      <w:pPr>
        <w:pStyle w:val="Heading1"/>
      </w:pPr>
      <w:bookmarkStart w:id="13" w:name="_Toc416278154"/>
      <w:bookmarkStart w:id="14" w:name="_Toc416346517"/>
      <w:bookmarkStart w:id="15" w:name="_Toc416278157"/>
      <w:bookmarkStart w:id="16" w:name="_Toc416346520"/>
      <w:bookmarkStart w:id="17" w:name="_Toc416278160"/>
      <w:bookmarkStart w:id="18" w:name="_Toc416346523"/>
      <w:bookmarkStart w:id="19" w:name="_Toc416278163"/>
      <w:bookmarkStart w:id="20" w:name="_Toc416346526"/>
      <w:bookmarkStart w:id="21" w:name="_Toc416278166"/>
      <w:bookmarkStart w:id="22" w:name="_Toc416346529"/>
      <w:bookmarkStart w:id="23" w:name="_Toc416278169"/>
      <w:bookmarkStart w:id="24" w:name="_Toc416346532"/>
      <w:bookmarkStart w:id="25" w:name="_Toc416278172"/>
      <w:bookmarkStart w:id="26" w:name="_Toc416346535"/>
      <w:bookmarkStart w:id="27" w:name="_Toc416278175"/>
      <w:bookmarkStart w:id="28" w:name="_Toc416346538"/>
      <w:bookmarkStart w:id="29" w:name="_Toc416278178"/>
      <w:bookmarkStart w:id="30" w:name="_Toc416346541"/>
      <w:bookmarkStart w:id="31" w:name="_Toc416278181"/>
      <w:bookmarkStart w:id="32" w:name="_Toc416346544"/>
      <w:bookmarkStart w:id="33" w:name="_Toc416278184"/>
      <w:bookmarkStart w:id="34" w:name="_Toc416346547"/>
      <w:bookmarkStart w:id="35" w:name="_Toc416278187"/>
      <w:bookmarkStart w:id="36" w:name="_Toc416346550"/>
      <w:bookmarkStart w:id="37" w:name="_Toc416278190"/>
      <w:bookmarkStart w:id="38" w:name="_Toc416346553"/>
      <w:bookmarkStart w:id="39" w:name="_Toc416278193"/>
      <w:bookmarkStart w:id="40" w:name="_Toc416346556"/>
      <w:bookmarkStart w:id="41" w:name="_Toc416278196"/>
      <w:bookmarkStart w:id="42" w:name="_Toc416346559"/>
      <w:bookmarkStart w:id="43" w:name="_Toc416278199"/>
      <w:bookmarkStart w:id="44" w:name="_Toc416346562"/>
      <w:bookmarkStart w:id="45" w:name="_Toc416278202"/>
      <w:bookmarkStart w:id="46" w:name="_Toc416346565"/>
      <w:bookmarkStart w:id="47" w:name="_Toc416278205"/>
      <w:bookmarkStart w:id="48" w:name="_Toc416346568"/>
      <w:bookmarkStart w:id="49" w:name="_Toc416278208"/>
      <w:bookmarkStart w:id="50" w:name="_Toc416346571"/>
      <w:bookmarkStart w:id="51" w:name="_Toc416278211"/>
      <w:bookmarkStart w:id="52" w:name="_Toc416346574"/>
      <w:bookmarkStart w:id="53" w:name="_Toc416278214"/>
      <w:bookmarkStart w:id="54" w:name="_Toc416346577"/>
      <w:bookmarkStart w:id="55" w:name="_Toc416278217"/>
      <w:bookmarkStart w:id="56" w:name="_Toc416346580"/>
      <w:bookmarkStart w:id="57" w:name="_Toc416278220"/>
      <w:bookmarkStart w:id="58" w:name="_Toc416346583"/>
      <w:bookmarkStart w:id="59" w:name="_Toc416278223"/>
      <w:bookmarkStart w:id="60" w:name="_Toc416346586"/>
      <w:bookmarkStart w:id="61" w:name="_Toc416278226"/>
      <w:bookmarkStart w:id="62" w:name="_Toc416346589"/>
      <w:bookmarkStart w:id="63" w:name="_Toc416278229"/>
      <w:bookmarkStart w:id="64" w:name="_Toc416346592"/>
      <w:bookmarkStart w:id="65" w:name="_Toc416278232"/>
      <w:bookmarkStart w:id="66" w:name="_Toc416346595"/>
      <w:bookmarkStart w:id="67" w:name="_Toc416278235"/>
      <w:bookmarkStart w:id="68" w:name="_Toc416346598"/>
      <w:bookmarkStart w:id="69" w:name="_Toc416278238"/>
      <w:bookmarkStart w:id="70" w:name="_Toc416346601"/>
      <w:bookmarkStart w:id="71" w:name="_Toc481061143"/>
      <w:bookmarkEnd w:id="0"/>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lastRenderedPageBreak/>
        <w:t>Negotiated services framework and criteria</w:t>
      </w:r>
      <w:bookmarkEnd w:id="71"/>
    </w:p>
    <w:p w:rsidR="00D95FF0" w:rsidRDefault="00D95FF0" w:rsidP="00D95FF0">
      <w:r w:rsidRPr="003254BD">
        <w:t xml:space="preserve">Our </w:t>
      </w:r>
      <w:r>
        <w:t>distribution</w:t>
      </w:r>
      <w:r w:rsidRPr="003254BD">
        <w:t xml:space="preserve"> determination imposes control o</w:t>
      </w:r>
      <w:r>
        <w:t>ver revenues that a distributor</w:t>
      </w:r>
      <w:r w:rsidRPr="003254BD">
        <w:t xml:space="preserve"> can recover from its provision of </w:t>
      </w:r>
      <w:r>
        <w:t>direct control</w:t>
      </w:r>
      <w:r w:rsidRPr="003254BD">
        <w:t xml:space="preserve"> services. But we do not determine the terms and condi</w:t>
      </w:r>
      <w:r>
        <w:t>tions of negotiated distribution</w:t>
      </w:r>
      <w:r w:rsidRPr="003254BD">
        <w:t xml:space="preserve"> services. Under the National Electricity Rules (NER), negotiated services are provided under an agreement or as a result of a determination of a commercial arbitrator. Thes</w:t>
      </w:r>
      <w:r>
        <w:t>e processes are facilitated by:</w:t>
      </w:r>
    </w:p>
    <w:p w:rsidR="00D95FF0" w:rsidRDefault="00D95FF0" w:rsidP="00D95FF0">
      <w:pPr>
        <w:pStyle w:val="AERbulletlistfirststyle"/>
      </w:pPr>
      <w:r>
        <w:t>a negotiating framework</w:t>
      </w:r>
    </w:p>
    <w:p w:rsidR="00D95FF0" w:rsidRPr="003254BD" w:rsidRDefault="00D95FF0" w:rsidP="00D95FF0">
      <w:pPr>
        <w:pStyle w:val="AERbulletlistfirststyle"/>
      </w:pPr>
      <w:r>
        <w:t>negotiated distribution service criteria (NDSC).</w:t>
      </w:r>
    </w:p>
    <w:p w:rsidR="00BF69E2" w:rsidRDefault="00D95FF0" w:rsidP="00D157D5">
      <w:pPr>
        <w:rPr>
          <w:rStyle w:val="AERbody"/>
        </w:rPr>
      </w:pPr>
      <w:r>
        <w:rPr>
          <w:rStyle w:val="AERbody"/>
        </w:rPr>
        <w:t>A distributor</w:t>
      </w:r>
      <w:r w:rsidRPr="00D95FF0">
        <w:rPr>
          <w:rStyle w:val="AERbody"/>
        </w:rPr>
        <w:t xml:space="preserve"> must prepare a negotiating framework that sets out procedures for negotiating the terms and conditions of access to a negotiated </w:t>
      </w:r>
      <w:r>
        <w:rPr>
          <w:rStyle w:val="AERbody"/>
        </w:rPr>
        <w:t>distribution service. The ND</w:t>
      </w:r>
      <w:r w:rsidRPr="00D95FF0">
        <w:rPr>
          <w:rStyle w:val="AERbody"/>
        </w:rPr>
        <w:t xml:space="preserve">SC, which we develop in consultation with stakeholders, set out criteria that a </w:t>
      </w:r>
      <w:r>
        <w:rPr>
          <w:rStyle w:val="AERbody"/>
        </w:rPr>
        <w:t>distributor</w:t>
      </w:r>
      <w:r w:rsidRPr="00D95FF0">
        <w:rPr>
          <w:rStyle w:val="AERbody"/>
        </w:rPr>
        <w:t xml:space="preserve"> must apply in negotiating those terms and conditions, including the prices and access charges for negotiated </w:t>
      </w:r>
      <w:r>
        <w:rPr>
          <w:rStyle w:val="AERbody"/>
        </w:rPr>
        <w:t>distribution</w:t>
      </w:r>
      <w:r w:rsidRPr="00D95FF0">
        <w:rPr>
          <w:rStyle w:val="AERbody"/>
        </w:rPr>
        <w:t xml:space="preserve"> services. They also contain the criteria that a commercial arbitrator must apply to resolve disputes about such terms and conditions and/or access charges. </w:t>
      </w:r>
    </w:p>
    <w:p w:rsidR="00BF69E2" w:rsidRDefault="00D95FF0" w:rsidP="00D157D5">
      <w:pPr>
        <w:rPr>
          <w:rStyle w:val="AERbody"/>
        </w:rPr>
      </w:pPr>
      <w:r w:rsidRPr="00D95FF0">
        <w:rPr>
          <w:rStyle w:val="AERbody"/>
        </w:rPr>
        <w:t>This attachment sets out our</w:t>
      </w:r>
      <w:r w:rsidR="00BF69E2">
        <w:rPr>
          <w:rStyle w:val="AERbody"/>
        </w:rPr>
        <w:t xml:space="preserve"> final decision on </w:t>
      </w:r>
      <w:r w:rsidR="00BF69E2">
        <w:t>TasNetworks</w:t>
      </w:r>
      <w:r w:rsidR="00BF69E2" w:rsidRPr="00E513CC">
        <w:t xml:space="preserve"> </w:t>
      </w:r>
      <w:r w:rsidR="00BF69E2" w:rsidRPr="00D95FF0">
        <w:rPr>
          <w:rStyle w:val="AERbody"/>
        </w:rPr>
        <w:t>negotiating framework</w:t>
      </w:r>
      <w:r w:rsidR="00BF69E2">
        <w:rPr>
          <w:rStyle w:val="AERbody"/>
        </w:rPr>
        <w:t xml:space="preserve"> </w:t>
      </w:r>
      <w:r w:rsidR="00BF69E2" w:rsidRPr="00E513CC">
        <w:t xml:space="preserve">for the </w:t>
      </w:r>
      <w:r w:rsidR="00BF69E2" w:rsidRPr="001056C9">
        <w:t>2017−18 to 2018−19</w:t>
      </w:r>
      <w:r w:rsidR="00BF69E2" w:rsidRPr="00E513CC">
        <w:t xml:space="preserve"> regulatory control period</w:t>
      </w:r>
      <w:r w:rsidR="00BF69E2">
        <w:t>.</w:t>
      </w:r>
      <w:r w:rsidR="00BF69E2">
        <w:rPr>
          <w:rStyle w:val="FootnoteReference"/>
        </w:rPr>
        <w:footnoteReference w:id="1"/>
      </w:r>
      <w:r w:rsidR="00825AA4" w:rsidRPr="00825AA4">
        <w:t xml:space="preserve"> </w:t>
      </w:r>
      <w:r w:rsidR="00825AA4" w:rsidRPr="0092071A">
        <w:t xml:space="preserve">We also specify the negotiated </w:t>
      </w:r>
      <w:r w:rsidR="00825AA4">
        <w:t>distribution</w:t>
      </w:r>
      <w:r w:rsidR="00825AA4" w:rsidRPr="0092071A">
        <w:t xml:space="preserve"> service criteria (N</w:t>
      </w:r>
      <w:r w:rsidR="00825AA4">
        <w:t>D</w:t>
      </w:r>
      <w:r w:rsidR="00825AA4" w:rsidRPr="0092071A">
        <w:t xml:space="preserve">SC) that are to apply to </w:t>
      </w:r>
      <w:r w:rsidR="00825AA4">
        <w:t>TasNetworks</w:t>
      </w:r>
      <w:r w:rsidR="00825AA4" w:rsidRPr="0092071A">
        <w:t>.</w:t>
      </w:r>
      <w:r w:rsidR="00825AA4">
        <w:rPr>
          <w:rStyle w:val="FootnoteReference"/>
        </w:rPr>
        <w:footnoteReference w:id="2"/>
      </w:r>
    </w:p>
    <w:p w:rsidR="00132D43" w:rsidRDefault="007A384D" w:rsidP="00132D43">
      <w:pPr>
        <w:pStyle w:val="Heading2"/>
      </w:pPr>
      <w:bookmarkStart w:id="72" w:name="_Toc481061144"/>
      <w:r>
        <w:t>Final</w:t>
      </w:r>
      <w:r w:rsidR="00132D43">
        <w:t xml:space="preserve"> decision</w:t>
      </w:r>
      <w:bookmarkEnd w:id="72"/>
    </w:p>
    <w:p w:rsidR="00343CFB" w:rsidRDefault="00343CFB" w:rsidP="00343CFB">
      <w:pPr>
        <w:pStyle w:val="TOC1"/>
      </w:pPr>
      <w:r>
        <w:t>Negotiating framework</w:t>
      </w:r>
    </w:p>
    <w:p w:rsidR="00343CFB" w:rsidRDefault="00343CFB" w:rsidP="00343CFB">
      <w:r>
        <w:t xml:space="preserve">Our </w:t>
      </w:r>
      <w:r w:rsidR="00E66CA3">
        <w:t>final</w:t>
      </w:r>
      <w:r>
        <w:t xml:space="preserve"> decision is to accept TasNetworks' proposed negotiating framework for the </w:t>
      </w:r>
      <w:r w:rsidRPr="00A45558">
        <w:t xml:space="preserve">2017−18 to 2018−19 regulatory control period </w:t>
      </w:r>
      <w:r>
        <w:t>as set out in appendix A.</w:t>
      </w:r>
      <w:r>
        <w:rPr>
          <w:rStyle w:val="FootnoteReference"/>
        </w:rPr>
        <w:footnoteReference w:id="3"/>
      </w:r>
      <w:r w:rsidR="00D875DE">
        <w:t xml:space="preserve"> We accepted the same negotiating framework in our draft decision.</w:t>
      </w:r>
      <w:r w:rsidR="00D875DE">
        <w:rPr>
          <w:rStyle w:val="FootnoteReference"/>
        </w:rPr>
        <w:footnoteReference w:id="4"/>
      </w:r>
    </w:p>
    <w:p w:rsidR="0015300D" w:rsidRDefault="0015300D" w:rsidP="0015300D">
      <w:pPr>
        <w:pStyle w:val="TOC1"/>
      </w:pPr>
      <w:r>
        <w:t>Negotiated distribution services criteria</w:t>
      </w:r>
    </w:p>
    <w:p w:rsidR="00343CFB" w:rsidRDefault="00E66CA3" w:rsidP="00343CFB">
      <w:r>
        <w:t>Our final</w:t>
      </w:r>
      <w:r w:rsidR="00343CFB">
        <w:t xml:space="preserve"> decision is to retain the NDSC that we previously developed and published for TasNetworks in February 2016 for the </w:t>
      </w:r>
      <w:r w:rsidR="00343CFB" w:rsidRPr="00A45558">
        <w:t>2017−18 to 2018−19 regulatory control period</w:t>
      </w:r>
      <w:r w:rsidR="00343CFB">
        <w:t>.</w:t>
      </w:r>
      <w:r w:rsidR="00343CFB">
        <w:rPr>
          <w:rStyle w:val="FootnoteReference"/>
        </w:rPr>
        <w:footnoteReference w:id="5"/>
      </w:r>
      <w:r w:rsidR="00343CFB">
        <w:t xml:space="preserve"> The NDSC give effect to the negotiated distribution service principles.</w:t>
      </w:r>
      <w:r w:rsidR="00343CFB">
        <w:rPr>
          <w:rStyle w:val="FootnoteReference"/>
        </w:rPr>
        <w:footnoteReference w:id="6"/>
      </w:r>
    </w:p>
    <w:p w:rsidR="00132D43" w:rsidRDefault="004523B2" w:rsidP="00132D43">
      <w:pPr>
        <w:pStyle w:val="Heading2"/>
      </w:pPr>
      <w:bookmarkStart w:id="73" w:name="_Toc481061145"/>
      <w:r>
        <w:lastRenderedPageBreak/>
        <w:t>TasNetworks'</w:t>
      </w:r>
      <w:r w:rsidR="00132D43">
        <w:t xml:space="preserve"> </w:t>
      </w:r>
      <w:r w:rsidR="007A384D">
        <w:t xml:space="preserve">revised </w:t>
      </w:r>
      <w:r w:rsidR="00132D43">
        <w:t>proposal</w:t>
      </w:r>
      <w:bookmarkEnd w:id="73"/>
    </w:p>
    <w:p w:rsidR="006872EA" w:rsidRDefault="00343CFB" w:rsidP="00132D43">
      <w:r>
        <w:t>TasNetworks submitted its proposed negotiating framework on 29 February 2016. TasNetworks noted its proposed negotiating framework does not materially depart from its current negotiating framework.</w:t>
      </w:r>
      <w:r>
        <w:rPr>
          <w:rStyle w:val="FootnoteReference"/>
        </w:rPr>
        <w:footnoteReference w:id="7"/>
      </w:r>
      <w:r w:rsidR="00D875DE">
        <w:t xml:space="preserve"> W</w:t>
      </w:r>
      <w:r w:rsidR="006872EA">
        <w:t xml:space="preserve">e accepted </w:t>
      </w:r>
      <w:r w:rsidR="00D875DE">
        <w:t>TasNetworks' proposed negotiati</w:t>
      </w:r>
      <w:r w:rsidR="006872EA">
        <w:t>n</w:t>
      </w:r>
      <w:r w:rsidR="00D875DE">
        <w:t>g</w:t>
      </w:r>
      <w:r w:rsidR="006872EA">
        <w:t xml:space="preserve"> framework</w:t>
      </w:r>
      <w:r w:rsidR="00D875DE" w:rsidRPr="00D875DE">
        <w:t xml:space="preserve"> </w:t>
      </w:r>
      <w:r w:rsidR="00D875DE">
        <w:t>in our draft decision</w:t>
      </w:r>
      <w:r w:rsidR="006872EA">
        <w:t>.</w:t>
      </w:r>
      <w:r w:rsidR="00D875DE">
        <w:rPr>
          <w:rStyle w:val="FootnoteReference"/>
        </w:rPr>
        <w:footnoteReference w:id="8"/>
      </w:r>
      <w:r w:rsidR="006872EA">
        <w:t xml:space="preserve"> </w:t>
      </w:r>
      <w:r w:rsidR="00023041">
        <w:t>Hence TasNetworks did not alter its propose</w:t>
      </w:r>
      <w:r w:rsidR="00256656">
        <w:t>d negotiating framework</w:t>
      </w:r>
      <w:r w:rsidR="00D833EE">
        <w:t xml:space="preserve"> in its revised regulatory proposal</w:t>
      </w:r>
      <w:r w:rsidR="00023041">
        <w:t>.</w:t>
      </w:r>
    </w:p>
    <w:p w:rsidR="00132D43" w:rsidRDefault="00132D43" w:rsidP="00132D43">
      <w:pPr>
        <w:pStyle w:val="Heading2"/>
      </w:pPr>
      <w:bookmarkStart w:id="74" w:name="_Toc481061146"/>
      <w:r>
        <w:t>Assessment approach</w:t>
      </w:r>
      <w:bookmarkEnd w:id="74"/>
    </w:p>
    <w:p w:rsidR="00343CFB" w:rsidRPr="00B04797" w:rsidRDefault="00343CFB" w:rsidP="00343CFB">
      <w:pPr>
        <w:pStyle w:val="TOC1"/>
      </w:pPr>
      <w:r w:rsidRPr="00B04797">
        <w:t>Negotiating framework</w:t>
      </w:r>
    </w:p>
    <w:p w:rsidR="00343CFB" w:rsidRPr="00B04797" w:rsidRDefault="00343CFB" w:rsidP="00343CFB">
      <w:r w:rsidRPr="00B04797">
        <w:t>To be approved, a proposed negotiating framew</w:t>
      </w:r>
      <w:r w:rsidR="00D875DE">
        <w:t>ork must specify the requirements set out</w:t>
      </w:r>
      <w:r w:rsidRPr="00B04797">
        <w:t xml:space="preserve"> in clause 6.7.5(c) of the NER</w:t>
      </w:r>
      <w:r w:rsidR="00E36C6E">
        <w:t xml:space="preserve"> and not inconsistent with any of the requirements set out in clause 6.7.5(d) of the NER</w:t>
      </w:r>
      <w:r w:rsidRPr="00B04797">
        <w:t xml:space="preserve">. We examined whether </w:t>
      </w:r>
      <w:r>
        <w:t>TasNetworks'</w:t>
      </w:r>
      <w:r w:rsidRPr="00B04797">
        <w:t xml:space="preserve"> proposed negotiating framework has </w:t>
      </w:r>
      <w:r>
        <w:t>met these requirements</w:t>
      </w:r>
      <w:r w:rsidRPr="00B04797">
        <w:t xml:space="preserve">. </w:t>
      </w:r>
    </w:p>
    <w:p w:rsidR="00343CFB" w:rsidRPr="00B04797" w:rsidRDefault="00343CFB" w:rsidP="00343CFB">
      <w:pPr>
        <w:pStyle w:val="TOC1"/>
      </w:pPr>
      <w:r w:rsidRPr="00B04797">
        <w:t>Negotiated distribution services criteria</w:t>
      </w:r>
    </w:p>
    <w:p w:rsidR="00343CFB" w:rsidRDefault="00343CFB" w:rsidP="00343CFB">
      <w:r w:rsidRPr="00B04797">
        <w:t>We consider NDSC that reflect</w:t>
      </w:r>
      <w:r w:rsidR="00BF239A">
        <w:t>s</w:t>
      </w:r>
      <w:r w:rsidRPr="00B04797">
        <w:t xml:space="preserve"> the negotiated distribution service principles would satisfy the NER. Therefore we assessed whether our proposed NDSC reflect the negotiated distribution service principles in clause 6.7.1 of the NER.</w:t>
      </w:r>
    </w:p>
    <w:p w:rsidR="00132D43" w:rsidRDefault="00132D43" w:rsidP="00132D43">
      <w:pPr>
        <w:pStyle w:val="Heading2"/>
      </w:pPr>
      <w:bookmarkStart w:id="75" w:name="_Toc481061147"/>
      <w:r>
        <w:t xml:space="preserve">Reasons for </w:t>
      </w:r>
      <w:r w:rsidR="007A384D">
        <w:t>final</w:t>
      </w:r>
      <w:r>
        <w:t xml:space="preserve"> decision</w:t>
      </w:r>
      <w:bookmarkEnd w:id="75"/>
    </w:p>
    <w:p w:rsidR="00343CFB" w:rsidRDefault="00343CFB" w:rsidP="00343CFB">
      <w:pPr>
        <w:pStyle w:val="TOC1"/>
      </w:pPr>
      <w:r>
        <w:t>Negotiating framework</w:t>
      </w:r>
    </w:p>
    <w:p w:rsidR="00132D43" w:rsidRDefault="00343CFB" w:rsidP="00132D43">
      <w:r>
        <w:t xml:space="preserve">Our </w:t>
      </w:r>
      <w:r w:rsidR="00E66CA3">
        <w:t xml:space="preserve">final decision </w:t>
      </w:r>
      <w:r w:rsidR="00D833EE">
        <w:t xml:space="preserve">maintains our draft decision consideration to </w:t>
      </w:r>
      <w:r w:rsidR="008F08F4">
        <w:t>accept</w:t>
      </w:r>
      <w:r w:rsidR="00E66CA3">
        <w:t xml:space="preserve"> </w:t>
      </w:r>
      <w:r>
        <w:t>TasNetworks'</w:t>
      </w:r>
      <w:r w:rsidRPr="004F3192">
        <w:t xml:space="preserve"> proposed negotiating framework because it specifies the </w:t>
      </w:r>
      <w:r w:rsidR="00E36C6E">
        <w:t xml:space="preserve">matters that are set out as </w:t>
      </w:r>
      <w:r w:rsidRPr="004F3192">
        <w:t>mi</w:t>
      </w:r>
      <w:r>
        <w:t xml:space="preserve">nimum requirements </w:t>
      </w:r>
      <w:r w:rsidR="00E36C6E">
        <w:t xml:space="preserve">in </w:t>
      </w:r>
      <w:r>
        <w:t>the NER.</w:t>
      </w:r>
      <w:r w:rsidR="008C1998">
        <w:rPr>
          <w:rStyle w:val="FootnoteReference"/>
        </w:rPr>
        <w:footnoteReference w:id="9"/>
      </w:r>
      <w:r>
        <w:t xml:space="preserve"> </w:t>
      </w:r>
      <w:r w:rsidR="00D833EE">
        <w:t>Our assessment of TasNe</w:t>
      </w:r>
      <w:r w:rsidR="00F00239">
        <w:t>tworks' negotiating framework was</w:t>
      </w:r>
      <w:r w:rsidR="00D833EE">
        <w:t xml:space="preserve"> set out in t</w:t>
      </w:r>
      <w:r w:rsidR="001C1311">
        <w:t>abl</w:t>
      </w:r>
      <w:r w:rsidR="00D833EE">
        <w:t>e 17.1 in attachment 17 of our draft d</w:t>
      </w:r>
      <w:r w:rsidR="001C1311">
        <w:t>ecision</w:t>
      </w:r>
      <w:r w:rsidR="00C54AAF">
        <w:t>.</w:t>
      </w:r>
    </w:p>
    <w:p w:rsidR="00C54AAF" w:rsidRDefault="00C54AAF" w:rsidP="00C54AAF">
      <w:pPr>
        <w:pStyle w:val="TOC1"/>
      </w:pPr>
      <w:r>
        <w:t>Negotiated distribution services criteria</w:t>
      </w:r>
    </w:p>
    <w:p w:rsidR="00343CFB" w:rsidRPr="00E513CC" w:rsidRDefault="00343CFB" w:rsidP="00343CFB">
      <w:r w:rsidRPr="000455EB">
        <w:t>In February 2016 we published an invitation for submissions on our proposed NDSC for TasNetworks.</w:t>
      </w:r>
      <w:r w:rsidRPr="000455EB">
        <w:rPr>
          <w:rStyle w:val="FootnoteReference"/>
        </w:rPr>
        <w:footnoteReference w:id="10"/>
      </w:r>
      <w:r w:rsidRPr="000455EB">
        <w:rPr>
          <w:rStyle w:val="FootnoteReference"/>
        </w:rPr>
        <w:t xml:space="preserve"> </w:t>
      </w:r>
      <w:r w:rsidRPr="000455EB">
        <w:t>We did not receive any submissions in response to our proposed NDSC.</w:t>
      </w:r>
      <w:r w:rsidRPr="00E513CC">
        <w:t xml:space="preserve"> The NDSC we have decided to apply to </w:t>
      </w:r>
      <w:r>
        <w:t>TasNetworks</w:t>
      </w:r>
      <w:r w:rsidR="00126A1D">
        <w:t xml:space="preserve"> for the 2017–19 regulatory control period</w:t>
      </w:r>
      <w:r w:rsidRPr="00E513CC">
        <w:t xml:space="preserve"> </w:t>
      </w:r>
      <w:r>
        <w:t>has the following components</w:t>
      </w:r>
      <w:r w:rsidRPr="00E513CC">
        <w:t>:</w:t>
      </w:r>
    </w:p>
    <w:p w:rsidR="00343CFB" w:rsidRDefault="00343CFB" w:rsidP="001E416F">
      <w:pPr>
        <w:pStyle w:val="HeadingBoldItalic"/>
        <w:keepNext/>
      </w:pPr>
      <w:r w:rsidRPr="00E513CC">
        <w:lastRenderedPageBreak/>
        <w:t>National Electricity Objective</w:t>
      </w:r>
    </w:p>
    <w:p w:rsidR="00016584" w:rsidRPr="00016584" w:rsidRDefault="00016584" w:rsidP="001E416F">
      <w:pPr>
        <w:numPr>
          <w:ilvl w:val="1"/>
          <w:numId w:val="24"/>
        </w:numPr>
      </w:pPr>
      <w:r w:rsidRPr="00016584">
        <w:t>The terms and conditions of access for a negotiated distribution service, including the price that is to be charged for the provision of that service and any access charges, should promote the achievement of the national electricity objective.</w:t>
      </w:r>
    </w:p>
    <w:p w:rsidR="000865DA" w:rsidRDefault="000865DA" w:rsidP="000865DA">
      <w:pPr>
        <w:pStyle w:val="HeadingBoldItalic"/>
      </w:pPr>
      <w:r>
        <w:t>Criteria for terms and conditions of access</w:t>
      </w:r>
    </w:p>
    <w:p w:rsidR="000865DA" w:rsidRDefault="000865DA" w:rsidP="000865DA">
      <w:pPr>
        <w:pStyle w:val="HeadingItalic"/>
      </w:pPr>
      <w:r>
        <w:t>Terms and Conditions of Access</w:t>
      </w:r>
    </w:p>
    <w:p w:rsidR="00016584" w:rsidRPr="00E513CC" w:rsidRDefault="00016584" w:rsidP="00016584">
      <w:pPr>
        <w:numPr>
          <w:ilvl w:val="1"/>
          <w:numId w:val="24"/>
        </w:numPr>
      </w:pPr>
      <w:r w:rsidRPr="00E513CC">
        <w:t>The terms and conditions of access for a negotiated distribution service must be fair and reasonable and consistent with the safe and reliable operation of the power system in accordance with the NER.</w:t>
      </w:r>
    </w:p>
    <w:p w:rsidR="00016584" w:rsidRPr="00E513CC" w:rsidRDefault="00016584" w:rsidP="00016584">
      <w:pPr>
        <w:numPr>
          <w:ilvl w:val="1"/>
          <w:numId w:val="24"/>
        </w:numPr>
      </w:pPr>
      <w:r w:rsidRPr="00E513CC">
        <w:t>The terms and conditions of access for a negotiated distribution service (including in particular, any exclusions and limitations of liability and indemnities) must not be unreasonably onerous taking into account the allocation of risk between a distributor and any other party, the price for the negotiated distribution service and the costs to a distributor of providing the negotiated distribution service.</w:t>
      </w:r>
    </w:p>
    <w:p w:rsidR="00016584" w:rsidRDefault="00016584" w:rsidP="000865DA">
      <w:pPr>
        <w:numPr>
          <w:ilvl w:val="1"/>
          <w:numId w:val="24"/>
        </w:numPr>
      </w:pPr>
      <w:r w:rsidRPr="00E513CC">
        <w:t>The terms and conditions of access for a negotiated distribution service must take into account the need for the service to be provided in a manner that does not adversely affect the safe and reliable operation of the power system in accordance with the NER.</w:t>
      </w:r>
    </w:p>
    <w:p w:rsidR="000A7522" w:rsidRDefault="000A7522" w:rsidP="000A7522">
      <w:pPr>
        <w:pStyle w:val="HeadingItalic"/>
      </w:pPr>
      <w:r>
        <w:t>Price of Services</w:t>
      </w:r>
    </w:p>
    <w:p w:rsidR="00016584" w:rsidRPr="00016584" w:rsidRDefault="00016584" w:rsidP="00016584">
      <w:pPr>
        <w:numPr>
          <w:ilvl w:val="1"/>
          <w:numId w:val="24"/>
        </w:numPr>
      </w:pPr>
      <w:r w:rsidRPr="00016584">
        <w:t>The price for a negotiated distribution service must reflect the costs that a distributor has incurred or incurs in providing that service, and must be determined in accordance with the principles and policies set out in the relevant Cost Allocation Method.</w:t>
      </w:r>
    </w:p>
    <w:p w:rsidR="00016584" w:rsidRPr="00016584" w:rsidRDefault="00016584" w:rsidP="00016584">
      <w:pPr>
        <w:numPr>
          <w:ilvl w:val="1"/>
          <w:numId w:val="24"/>
        </w:numPr>
      </w:pPr>
      <w:r w:rsidRPr="00016584">
        <w:t>Subject to criteria 7 and 8, the price for a negotiated distribution service must be at least equal to the cost that would be avoided by not providing that service but no more than the cost of providing it on a stand-alone basis.</w:t>
      </w:r>
    </w:p>
    <w:p w:rsidR="00016584" w:rsidRPr="00016584" w:rsidRDefault="00016584" w:rsidP="00016584">
      <w:pPr>
        <w:numPr>
          <w:ilvl w:val="1"/>
          <w:numId w:val="24"/>
        </w:numPr>
      </w:pPr>
      <w:r w:rsidRPr="00016584">
        <w:t>If a negotiated distribution service is a shared distribution service that:</w:t>
      </w:r>
    </w:p>
    <w:p w:rsidR="00016584" w:rsidRPr="00016584" w:rsidRDefault="00016584" w:rsidP="00016584">
      <w:pPr>
        <w:numPr>
          <w:ilvl w:val="3"/>
          <w:numId w:val="24"/>
        </w:numPr>
      </w:pPr>
      <w:r w:rsidRPr="00016584">
        <w:t>exceeds any network performance requirements which it is required to meet under any relevant electricity legislation: or</w:t>
      </w:r>
    </w:p>
    <w:p w:rsidR="00016584" w:rsidRPr="00016584" w:rsidRDefault="00016584" w:rsidP="00016584">
      <w:pPr>
        <w:numPr>
          <w:ilvl w:val="3"/>
          <w:numId w:val="24"/>
        </w:numPr>
      </w:pPr>
      <w:r w:rsidRPr="00016584">
        <w:t>exceeds the network performance requirements set out in schedule 5.1a and 5.1 of the NER,</w:t>
      </w:r>
    </w:p>
    <w:p w:rsidR="00016584" w:rsidRPr="00016584" w:rsidRDefault="00016584" w:rsidP="002A79B4">
      <w:pPr>
        <w:pStyle w:val="ListContinue"/>
      </w:pPr>
      <w:r w:rsidRPr="00016584">
        <w:t>then the difference between the price for that service and the price for the shared distribution service which meets network performance requirements must reflect a distributor’s incremental cost of providing that service (as appropriate).</w:t>
      </w:r>
    </w:p>
    <w:p w:rsidR="00016584" w:rsidRPr="00016584" w:rsidRDefault="00016584" w:rsidP="00016584">
      <w:pPr>
        <w:numPr>
          <w:ilvl w:val="1"/>
          <w:numId w:val="24"/>
        </w:numPr>
      </w:pPr>
      <w:r w:rsidRPr="00016584">
        <w:t xml:space="preserve">If a negotiated distribution service is the provision of a shared distribution service that does not meet or exceed the network performance requirements, the difference between the price for that service and the price for the shared </w:t>
      </w:r>
      <w:r w:rsidRPr="00016584">
        <w:lastRenderedPageBreak/>
        <w:t>distribution service which meets, but does not exceed, the network performance requirements should reflect the cost a distributor would avoid by not providing that service (as appropriate).</w:t>
      </w:r>
    </w:p>
    <w:p w:rsidR="00016584" w:rsidRPr="00016584" w:rsidRDefault="00016584" w:rsidP="00016584">
      <w:pPr>
        <w:numPr>
          <w:ilvl w:val="1"/>
          <w:numId w:val="24"/>
        </w:numPr>
      </w:pPr>
      <w:r w:rsidRPr="00016584">
        <w:t>The price for a negotiated distribution service must be the same for all Distribution Network Users unless there is a material difference in the costs of providing the negotiated distribution service to different Distribution Network Users or classes of Distribution Network Users.</w:t>
      </w:r>
    </w:p>
    <w:p w:rsidR="00016584" w:rsidRDefault="00016584" w:rsidP="00016584">
      <w:pPr>
        <w:numPr>
          <w:ilvl w:val="1"/>
          <w:numId w:val="24"/>
        </w:numPr>
      </w:pPr>
      <w:r w:rsidRPr="00016584">
        <w:t>The price for a negotiated distribution service must be subject to adjustment over time to the extent that the assets used to provide that service are subsequently used to provide services to another person, in which case such adjustment must reflect the extent to which the costs of that asset are being recovered through charges to that other person.</w:t>
      </w:r>
    </w:p>
    <w:p w:rsidR="00016584" w:rsidRPr="00E513CC" w:rsidRDefault="00016584" w:rsidP="00016584">
      <w:pPr>
        <w:numPr>
          <w:ilvl w:val="1"/>
          <w:numId w:val="24"/>
        </w:numPr>
      </w:pPr>
      <w:r w:rsidRPr="00E513CC">
        <w:t>The price for a negotiated distribution service must be such as to enable a DNSP to recover the efficient costs of complying with all regulatory obligations or requirements associated with the provision of the negotiated service.</w:t>
      </w:r>
    </w:p>
    <w:p w:rsidR="00016584" w:rsidRPr="00E513CC" w:rsidRDefault="00016584" w:rsidP="00016584">
      <w:pPr>
        <w:pStyle w:val="HeadingItalic"/>
      </w:pPr>
      <w:r w:rsidRPr="00E513CC">
        <w:t>Access Charges</w:t>
      </w:r>
    </w:p>
    <w:p w:rsidR="00016584" w:rsidRPr="00E513CC" w:rsidRDefault="00016584" w:rsidP="00016584">
      <w:pPr>
        <w:numPr>
          <w:ilvl w:val="1"/>
          <w:numId w:val="24"/>
        </w:numPr>
      </w:pPr>
      <w:r w:rsidRPr="00E513CC">
        <w:t>Any charges must be based on costs reasonably incurred by a distributor in providing distribution network user access, and, in the case of compensation referred to in clauses 5.5(f)(4)(ii) and (iii) of the NER, on the revenue that is likely to be foregone and the costs that are likely to be incurred by a person referred to in those provisions where an event referred to in those provisions occurs (as appropriate).</w:t>
      </w:r>
    </w:p>
    <w:p w:rsidR="00016584" w:rsidRPr="00E513CC" w:rsidRDefault="00016584" w:rsidP="00016584">
      <w:pPr>
        <w:numPr>
          <w:ilvl w:val="1"/>
          <w:numId w:val="24"/>
        </w:numPr>
      </w:pPr>
      <w:r w:rsidRPr="00E513CC">
        <w:t>Any charges must be based on costs reasonably incurred by a distributor in providing network user access to services deemed to be negotiated distribution services by clause 6.24.2(c) of the NER, and, in the case of compensation referred to in clauses 5.4A(h) to (j) of the NER, on the revenue that is likely to be foregone and the costs that are likely to be incurred by a person referred to in those provisions where an event referred to in those provisions occurs (as appropriate).</w:t>
      </w:r>
    </w:p>
    <w:p w:rsidR="00016584" w:rsidRDefault="00016584" w:rsidP="000A7522">
      <w:pPr>
        <w:pStyle w:val="HeadingItalic"/>
      </w:pPr>
    </w:p>
    <w:p w:rsidR="00132D43" w:rsidRDefault="007A3281" w:rsidP="00132D43">
      <w:pPr>
        <w:pStyle w:val="Heading7"/>
      </w:pPr>
      <w:bookmarkStart w:id="76" w:name="_Toc481061148"/>
      <w:r>
        <w:lastRenderedPageBreak/>
        <w:t>TasNetworks' negotiating framework</w:t>
      </w:r>
      <w:bookmarkEnd w:id="76"/>
    </w:p>
    <w:p w:rsidR="00C57D00" w:rsidRDefault="00C57D00" w:rsidP="00C57D00">
      <w:r>
        <w:rPr>
          <w:noProof/>
          <w:lang w:eastAsia="en-AU"/>
        </w:rPr>
        <w:drawing>
          <wp:inline distT="0" distB="0" distL="0" distR="0" wp14:anchorId="5DAB7749" wp14:editId="160C1313">
            <wp:extent cx="5383530" cy="76022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3530" cy="7602220"/>
                    </a:xfrm>
                    <a:prstGeom prst="rect">
                      <a:avLst/>
                    </a:prstGeom>
                    <a:noFill/>
                  </pic:spPr>
                </pic:pic>
              </a:graphicData>
            </a:graphic>
          </wp:inline>
        </w:drawing>
      </w:r>
    </w:p>
    <w:p w:rsidR="00C57D00" w:rsidRDefault="00C57D00" w:rsidP="00C57D00"/>
    <w:p w:rsidR="00C57D00" w:rsidRDefault="00C57D00" w:rsidP="00C57D00"/>
    <w:p w:rsidR="00C57D00" w:rsidRDefault="00C57D00" w:rsidP="00C57D00">
      <w:r>
        <w:rPr>
          <w:noProof/>
          <w:lang w:eastAsia="en-AU"/>
        </w:rPr>
        <w:drawing>
          <wp:inline distT="0" distB="0" distL="0" distR="0" wp14:anchorId="6844746D" wp14:editId="2533601A">
            <wp:extent cx="5383530" cy="787082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3530" cy="7870825"/>
                    </a:xfrm>
                    <a:prstGeom prst="rect">
                      <a:avLst/>
                    </a:prstGeom>
                    <a:noFill/>
                  </pic:spPr>
                </pic:pic>
              </a:graphicData>
            </a:graphic>
          </wp:inline>
        </w:drawing>
      </w:r>
    </w:p>
    <w:p w:rsidR="00C57D00" w:rsidRDefault="00C57D00" w:rsidP="00C57D00"/>
    <w:p w:rsidR="00C57D00" w:rsidRDefault="00C57D00" w:rsidP="00C57D00"/>
    <w:p w:rsidR="00C57D00" w:rsidRDefault="00C57D00" w:rsidP="00C57D00">
      <w:r w:rsidRPr="00C57D00">
        <w:rPr>
          <w:noProof/>
          <w:lang w:eastAsia="en-AU"/>
        </w:rPr>
        <w:drawing>
          <wp:inline distT="0" distB="0" distL="0" distR="0" wp14:anchorId="3EFA8B81" wp14:editId="2CC6A756">
            <wp:extent cx="5353050" cy="7591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53050" cy="7591425"/>
                    </a:xfrm>
                    <a:prstGeom prst="rect">
                      <a:avLst/>
                    </a:prstGeom>
                  </pic:spPr>
                </pic:pic>
              </a:graphicData>
            </a:graphic>
          </wp:inline>
        </w:drawing>
      </w:r>
    </w:p>
    <w:p w:rsidR="00C57D00" w:rsidRDefault="00C57D00" w:rsidP="00C57D00"/>
    <w:p w:rsidR="00C57D00" w:rsidRDefault="00C57D00" w:rsidP="00C57D00"/>
    <w:p w:rsidR="00C57D00" w:rsidRDefault="00C57D00" w:rsidP="00C57D00">
      <w:r>
        <w:rPr>
          <w:noProof/>
          <w:lang w:eastAsia="en-AU"/>
        </w:rPr>
        <w:lastRenderedPageBreak/>
        <w:drawing>
          <wp:inline distT="0" distB="0" distL="0" distR="0" wp14:anchorId="5C0E4F0E" wp14:editId="2BFBAA7F">
            <wp:extent cx="5383530" cy="7766685"/>
            <wp:effectExtent l="0" t="0" r="762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3530" cy="7766685"/>
                    </a:xfrm>
                    <a:prstGeom prst="rect">
                      <a:avLst/>
                    </a:prstGeom>
                    <a:noFill/>
                  </pic:spPr>
                </pic:pic>
              </a:graphicData>
            </a:graphic>
          </wp:inline>
        </w:drawing>
      </w:r>
    </w:p>
    <w:p w:rsidR="00C57D00" w:rsidRDefault="00C57D00" w:rsidP="00C57D00"/>
    <w:p w:rsidR="00C57D00" w:rsidRDefault="00C57D00" w:rsidP="00C57D00"/>
    <w:p w:rsidR="00C57D00" w:rsidRDefault="00C57D00" w:rsidP="00C57D00"/>
    <w:p w:rsidR="00C57D00" w:rsidRDefault="00C57D00" w:rsidP="00C57D00">
      <w:r>
        <w:rPr>
          <w:noProof/>
          <w:lang w:eastAsia="en-AU"/>
        </w:rPr>
        <w:lastRenderedPageBreak/>
        <w:drawing>
          <wp:inline distT="0" distB="0" distL="0" distR="0" wp14:anchorId="70C89EE1" wp14:editId="5B840849">
            <wp:extent cx="5383530" cy="787654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3530" cy="7876540"/>
                    </a:xfrm>
                    <a:prstGeom prst="rect">
                      <a:avLst/>
                    </a:prstGeom>
                    <a:noFill/>
                  </pic:spPr>
                </pic:pic>
              </a:graphicData>
            </a:graphic>
          </wp:inline>
        </w:drawing>
      </w:r>
    </w:p>
    <w:p w:rsidR="00C57D00" w:rsidRDefault="00C57D00" w:rsidP="00C57D00"/>
    <w:p w:rsidR="00C57D00" w:rsidRDefault="00C57D00" w:rsidP="00C57D00">
      <w:r>
        <w:rPr>
          <w:noProof/>
          <w:lang w:eastAsia="en-AU"/>
        </w:rPr>
        <w:lastRenderedPageBreak/>
        <w:drawing>
          <wp:inline distT="0" distB="0" distL="0" distR="0" wp14:anchorId="733EBD98" wp14:editId="48FC71B2">
            <wp:extent cx="5383530" cy="794956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3530" cy="7949565"/>
                    </a:xfrm>
                    <a:prstGeom prst="rect">
                      <a:avLst/>
                    </a:prstGeom>
                    <a:noFill/>
                  </pic:spPr>
                </pic:pic>
              </a:graphicData>
            </a:graphic>
          </wp:inline>
        </w:drawing>
      </w:r>
    </w:p>
    <w:p w:rsidR="00C57D00" w:rsidRDefault="00C57D00" w:rsidP="00C57D00"/>
    <w:p w:rsidR="00C57D00" w:rsidRDefault="00C57D00" w:rsidP="00C57D00"/>
    <w:p w:rsidR="00C57D00" w:rsidRDefault="00C57D00" w:rsidP="00C57D00">
      <w:r>
        <w:rPr>
          <w:noProof/>
          <w:lang w:eastAsia="en-AU"/>
        </w:rPr>
        <w:lastRenderedPageBreak/>
        <w:drawing>
          <wp:inline distT="0" distB="0" distL="0" distR="0" wp14:anchorId="17A28EB6" wp14:editId="524995D0">
            <wp:extent cx="5383530" cy="797433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3530" cy="7974330"/>
                    </a:xfrm>
                    <a:prstGeom prst="rect">
                      <a:avLst/>
                    </a:prstGeom>
                    <a:noFill/>
                  </pic:spPr>
                </pic:pic>
              </a:graphicData>
            </a:graphic>
          </wp:inline>
        </w:drawing>
      </w:r>
    </w:p>
    <w:p w:rsidR="00C57D00" w:rsidRDefault="00C57D00" w:rsidP="00C57D00"/>
    <w:p w:rsidR="00C57D00" w:rsidRDefault="00C57D00" w:rsidP="00C57D00"/>
    <w:p w:rsidR="00A75871" w:rsidRDefault="00A75871" w:rsidP="00C57D00"/>
    <w:p w:rsidR="00C57D00" w:rsidRDefault="00C57D00" w:rsidP="00C57D00">
      <w:r>
        <w:rPr>
          <w:noProof/>
          <w:lang w:eastAsia="en-AU"/>
        </w:rPr>
        <w:drawing>
          <wp:inline distT="0" distB="0" distL="0" distR="0" wp14:anchorId="6C052127" wp14:editId="1BD5D825">
            <wp:extent cx="5383530" cy="7882890"/>
            <wp:effectExtent l="0" t="0" r="762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3530" cy="7882890"/>
                    </a:xfrm>
                    <a:prstGeom prst="rect">
                      <a:avLst/>
                    </a:prstGeom>
                    <a:noFill/>
                  </pic:spPr>
                </pic:pic>
              </a:graphicData>
            </a:graphic>
          </wp:inline>
        </w:drawing>
      </w:r>
    </w:p>
    <w:p w:rsidR="00C57D00" w:rsidRDefault="00C57D00" w:rsidP="00C57D00"/>
    <w:p w:rsidR="00C57D00" w:rsidRDefault="00C57D00" w:rsidP="00C57D00"/>
    <w:p w:rsidR="00C57D00" w:rsidRDefault="00C57D00" w:rsidP="00C57D00">
      <w:r>
        <w:rPr>
          <w:noProof/>
          <w:lang w:eastAsia="en-AU"/>
        </w:rPr>
        <w:drawing>
          <wp:inline distT="0" distB="0" distL="0" distR="0" wp14:anchorId="75D1CA65" wp14:editId="0C4E856C">
            <wp:extent cx="5353050" cy="79254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53050" cy="7925435"/>
                    </a:xfrm>
                    <a:prstGeom prst="rect">
                      <a:avLst/>
                    </a:prstGeom>
                    <a:noFill/>
                  </pic:spPr>
                </pic:pic>
              </a:graphicData>
            </a:graphic>
          </wp:inline>
        </w:drawing>
      </w:r>
    </w:p>
    <w:p w:rsidR="00C57D00" w:rsidRDefault="00C57D00" w:rsidP="00C57D00"/>
    <w:p w:rsidR="00C57D00" w:rsidRDefault="00C57D00" w:rsidP="00C57D00"/>
    <w:p w:rsidR="00C57D00" w:rsidRDefault="00C57D00" w:rsidP="00C57D00">
      <w:r>
        <w:rPr>
          <w:noProof/>
          <w:lang w:eastAsia="en-AU"/>
        </w:rPr>
        <w:drawing>
          <wp:inline distT="0" distB="0" distL="0" distR="0" wp14:anchorId="3B6135F5" wp14:editId="1B5FDAE9">
            <wp:extent cx="5017135" cy="80232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7135" cy="8023225"/>
                    </a:xfrm>
                    <a:prstGeom prst="rect">
                      <a:avLst/>
                    </a:prstGeom>
                    <a:noFill/>
                  </pic:spPr>
                </pic:pic>
              </a:graphicData>
            </a:graphic>
          </wp:inline>
        </w:drawing>
      </w:r>
    </w:p>
    <w:p w:rsidR="00C57D00" w:rsidRDefault="00C57D00" w:rsidP="00C57D00"/>
    <w:p w:rsidR="00C57D00" w:rsidRDefault="00C57D00" w:rsidP="00C57D00"/>
    <w:p w:rsidR="00C57D00" w:rsidRPr="00C57D00" w:rsidRDefault="00C57D00" w:rsidP="00C57D00">
      <w:r>
        <w:rPr>
          <w:noProof/>
          <w:lang w:eastAsia="en-AU"/>
        </w:rPr>
        <w:drawing>
          <wp:inline distT="0" distB="0" distL="0" distR="0" wp14:anchorId="475DED7E" wp14:editId="796CD43C">
            <wp:extent cx="5248910" cy="794385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8910" cy="7943850"/>
                    </a:xfrm>
                    <a:prstGeom prst="rect">
                      <a:avLst/>
                    </a:prstGeom>
                    <a:noFill/>
                  </pic:spPr>
                </pic:pic>
              </a:graphicData>
            </a:graphic>
          </wp:inline>
        </w:drawing>
      </w:r>
    </w:p>
    <w:sectPr w:rsidR="00C57D00" w:rsidRPr="00C57D00" w:rsidSect="00CF42AA">
      <w:headerReference w:type="default" r:id="rId26"/>
      <w:footerReference w:type="even" r:id="rId27"/>
      <w:footerReference w:type="default" r:id="rId28"/>
      <w:footerReference w:type="first" r:id="rId29"/>
      <w:pgSz w:w="11906" w:h="16838" w:code="9"/>
      <w:pgMar w:top="1440" w:right="1700" w:bottom="1582" w:left="1729" w:header="720" w:footer="0" w:gutter="0"/>
      <w:pgNumType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4DF" w:rsidRPr="00290C63" w:rsidRDefault="000474DF" w:rsidP="00290C63">
      <w:r>
        <w:separator/>
      </w:r>
    </w:p>
    <w:p w:rsidR="000474DF" w:rsidRDefault="000474DF"/>
  </w:endnote>
  <w:endnote w:type="continuationSeparator" w:id="0">
    <w:p w:rsidR="000474DF" w:rsidRPr="00290C63" w:rsidRDefault="000474DF" w:rsidP="00290C63">
      <w:r>
        <w:continuationSeparator/>
      </w:r>
    </w:p>
    <w:p w:rsidR="000474DF" w:rsidRDefault="000474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1"/>
    <w:family w:val="roman"/>
    <w:notTrueType/>
    <w:pitch w:val="variable"/>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4DF" w:rsidRPr="00290C63" w:rsidRDefault="000474DF"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0474DF" w:rsidRDefault="000474DF"/>
  <w:p w:rsidR="000474DF" w:rsidRDefault="000474DF"/>
  <w:p w:rsidR="000474DF" w:rsidRDefault="000474DF"/>
  <w:p w:rsidR="000474DF" w:rsidRDefault="000474DF"/>
  <w:p w:rsidR="000474DF" w:rsidRDefault="000474DF"/>
  <w:p w:rsidR="000474DF" w:rsidRDefault="000474DF"/>
  <w:p w:rsidR="000474DF" w:rsidRDefault="000474D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299774"/>
      <w:docPartObj>
        <w:docPartGallery w:val="Page Numbers (Bottom of Page)"/>
        <w:docPartUnique/>
      </w:docPartObj>
    </w:sdtPr>
    <w:sdtEndPr>
      <w:rPr>
        <w:noProof/>
        <w:szCs w:val="16"/>
      </w:rPr>
    </w:sdtEndPr>
    <w:sdtContent>
      <w:p w:rsidR="000474DF" w:rsidRPr="009B6F84" w:rsidRDefault="000474DF">
        <w:pPr>
          <w:pStyle w:val="Footer"/>
          <w:rPr>
            <w:sz w:val="20"/>
          </w:rPr>
        </w:pPr>
        <w:r>
          <w:fldChar w:fldCharType="begin"/>
        </w:r>
        <w:r>
          <w:instrText xml:space="preserve"> PAGE   \* MERGEFORMAT </w:instrText>
        </w:r>
        <w:r>
          <w:fldChar w:fldCharType="separate"/>
        </w:r>
        <w:r w:rsidR="00F97C54">
          <w:rPr>
            <w:noProof/>
          </w:rPr>
          <w:t>17-0</w:t>
        </w:r>
        <w:r>
          <w:rPr>
            <w:noProof/>
          </w:rPr>
          <w:fldChar w:fldCharType="end"/>
        </w:r>
        <w:r>
          <w:rPr>
            <w:noProof/>
          </w:rPr>
          <w:t xml:space="preserve">          </w:t>
        </w:r>
        <w:r w:rsidR="0079769A">
          <w:t>Attachment 17 – Negotiated services framework and criteria</w:t>
        </w:r>
        <w:r w:rsidR="0079769A" w:rsidRPr="004523B2">
          <w:t xml:space="preserve"> | </w:t>
        </w:r>
        <w:r w:rsidR="0079769A">
          <w:t xml:space="preserve">TasNetworks distribution </w:t>
        </w:r>
        <w:r w:rsidR="007A384D">
          <w:t>final</w:t>
        </w:r>
        <w:r w:rsidR="0079769A">
          <w:t xml:space="preserve"> determination</w:t>
        </w:r>
        <w:r w:rsidR="0079769A" w:rsidRPr="004523B2">
          <w:t xml:space="preserve"> 201</w:t>
        </w:r>
        <w:r w:rsidR="0079769A">
          <w:t>7</w:t>
        </w:r>
        <w:r w:rsidR="0079769A" w:rsidRPr="004523B2">
          <w:t>–</w:t>
        </w:r>
        <w:r w:rsidR="0079769A">
          <w:t>19</w:t>
        </w:r>
      </w:p>
    </w:sdtContent>
  </w:sdt>
  <w:p w:rsidR="000474DF" w:rsidRDefault="000474D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4DF" w:rsidRPr="00290C63" w:rsidRDefault="000474DF"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rsidR="000474DF" w:rsidRDefault="000474DF">
    <w:pPr>
      <w:pStyle w:val="Footer"/>
    </w:pPr>
  </w:p>
  <w:p w:rsidR="000474DF" w:rsidRDefault="000474DF"/>
  <w:p w:rsidR="000474DF" w:rsidRDefault="000474DF"/>
  <w:p w:rsidR="000474DF" w:rsidRDefault="000474DF"/>
  <w:p w:rsidR="000474DF" w:rsidRDefault="000474DF"/>
  <w:p w:rsidR="000474DF" w:rsidRDefault="000474DF"/>
  <w:p w:rsidR="000474DF" w:rsidRDefault="000474DF"/>
  <w:p w:rsidR="000474DF" w:rsidRDefault="000474D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4DF" w:rsidRPr="00290C63" w:rsidRDefault="000474DF"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0474DF" w:rsidRDefault="000474DF"/>
  <w:p w:rsidR="000474DF" w:rsidRDefault="000474DF"/>
  <w:p w:rsidR="000474DF" w:rsidRDefault="000474DF"/>
  <w:p w:rsidR="000474DF" w:rsidRDefault="000474DF"/>
  <w:p w:rsidR="000474DF" w:rsidRDefault="000474DF"/>
  <w:p w:rsidR="000474DF" w:rsidRDefault="000474DF"/>
  <w:p w:rsidR="000474DF" w:rsidRDefault="000474D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901426"/>
      <w:docPartObj>
        <w:docPartGallery w:val="Page Numbers (Bottom of Page)"/>
        <w:docPartUnique/>
      </w:docPartObj>
    </w:sdtPr>
    <w:sdtEndPr>
      <w:rPr>
        <w:noProof/>
        <w:szCs w:val="16"/>
      </w:rPr>
    </w:sdtEndPr>
    <w:sdtContent>
      <w:p w:rsidR="000474DF" w:rsidRPr="009B6F84" w:rsidRDefault="000474DF">
        <w:pPr>
          <w:pStyle w:val="Footer"/>
          <w:rPr>
            <w:sz w:val="20"/>
          </w:rPr>
        </w:pPr>
        <w:r>
          <w:fldChar w:fldCharType="begin"/>
        </w:r>
        <w:r>
          <w:instrText xml:space="preserve"> PAGE   \* MERGEFORMAT </w:instrText>
        </w:r>
        <w:r>
          <w:fldChar w:fldCharType="separate"/>
        </w:r>
        <w:r w:rsidR="00F97C54">
          <w:rPr>
            <w:noProof/>
          </w:rPr>
          <w:t>17-20</w:t>
        </w:r>
        <w:r>
          <w:rPr>
            <w:noProof/>
          </w:rPr>
          <w:fldChar w:fldCharType="end"/>
        </w:r>
        <w:r>
          <w:rPr>
            <w:noProof/>
          </w:rPr>
          <w:t xml:space="preserve">   </w:t>
        </w:r>
        <w:r w:rsidR="0079769A">
          <w:rPr>
            <w:noProof/>
          </w:rPr>
          <w:t xml:space="preserve"> </w:t>
        </w:r>
        <w:r w:rsidR="004523B2">
          <w:t>Attachment 1</w:t>
        </w:r>
        <w:r w:rsidR="0079769A">
          <w:t>7</w:t>
        </w:r>
        <w:r w:rsidR="004523B2">
          <w:t xml:space="preserve"> </w:t>
        </w:r>
        <w:r w:rsidR="0079769A">
          <w:t>–</w:t>
        </w:r>
        <w:r w:rsidR="004523B2">
          <w:t xml:space="preserve"> </w:t>
        </w:r>
        <w:r w:rsidR="0079769A">
          <w:t>Negotiated services framework and criteria</w:t>
        </w:r>
        <w:r w:rsidR="004523B2" w:rsidRPr="004523B2">
          <w:t xml:space="preserve"> | </w:t>
        </w:r>
        <w:r w:rsidR="004523B2">
          <w:t xml:space="preserve">TasNetworks distribution </w:t>
        </w:r>
        <w:r w:rsidR="007A384D">
          <w:t>final</w:t>
        </w:r>
        <w:r w:rsidR="004523B2">
          <w:t xml:space="preserve"> determination</w:t>
        </w:r>
        <w:r w:rsidR="004523B2" w:rsidRPr="004523B2">
          <w:t xml:space="preserve"> 201</w:t>
        </w:r>
        <w:r w:rsidR="004523B2">
          <w:t>7</w:t>
        </w:r>
        <w:r w:rsidR="004523B2" w:rsidRPr="004523B2">
          <w:t>–</w:t>
        </w:r>
        <w:r w:rsidR="0079769A">
          <w:t>19</w:t>
        </w:r>
      </w:p>
    </w:sdtContent>
  </w:sdt>
  <w:p w:rsidR="000474DF" w:rsidRDefault="000474D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4DF" w:rsidRPr="00290C63" w:rsidRDefault="000474DF"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rsidR="000474DF" w:rsidRDefault="000474DF">
    <w:pPr>
      <w:pStyle w:val="Footer"/>
    </w:pPr>
  </w:p>
  <w:p w:rsidR="000474DF" w:rsidRDefault="000474DF"/>
  <w:p w:rsidR="000474DF" w:rsidRDefault="000474DF"/>
  <w:p w:rsidR="000474DF" w:rsidRDefault="000474DF"/>
  <w:p w:rsidR="000474DF" w:rsidRDefault="000474DF"/>
  <w:p w:rsidR="000474DF" w:rsidRDefault="000474DF"/>
  <w:p w:rsidR="000474DF" w:rsidRDefault="000474DF"/>
  <w:p w:rsidR="000474DF" w:rsidRDefault="000474D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4DF" w:rsidRPr="00290C63" w:rsidRDefault="000474DF" w:rsidP="00290C63">
      <w:r>
        <w:separator/>
      </w:r>
    </w:p>
    <w:p w:rsidR="000474DF" w:rsidRDefault="000474DF"/>
  </w:footnote>
  <w:footnote w:type="continuationSeparator" w:id="0">
    <w:p w:rsidR="000474DF" w:rsidRPr="00290C63" w:rsidRDefault="000474DF" w:rsidP="00290C63">
      <w:r>
        <w:continuationSeparator/>
      </w:r>
    </w:p>
    <w:p w:rsidR="000474DF" w:rsidRDefault="000474DF"/>
  </w:footnote>
  <w:footnote w:id="1">
    <w:p w:rsidR="00BF69E2" w:rsidRDefault="00BF69E2">
      <w:pPr>
        <w:pStyle w:val="FootnoteText"/>
      </w:pPr>
      <w:r>
        <w:rPr>
          <w:rStyle w:val="FootnoteReference"/>
        </w:rPr>
        <w:footnoteRef/>
      </w:r>
      <w:r>
        <w:t xml:space="preserve"> </w:t>
      </w:r>
      <w:r>
        <w:tab/>
      </w:r>
      <w:r w:rsidR="00825AA4">
        <w:t>NER, c</w:t>
      </w:r>
      <w:r w:rsidR="005D6EE8">
        <w:t>l</w:t>
      </w:r>
      <w:r w:rsidR="00825AA4">
        <w:t>l. </w:t>
      </w:r>
      <w:r w:rsidR="00A72AEE">
        <w:t>6.</w:t>
      </w:r>
      <w:r w:rsidR="00825AA4">
        <w:t>7.3</w:t>
      </w:r>
      <w:r w:rsidR="005D6EE8">
        <w:t>, 6.12.1(15).</w:t>
      </w:r>
    </w:p>
  </w:footnote>
  <w:footnote w:id="2">
    <w:p w:rsidR="00825AA4" w:rsidRDefault="00825AA4" w:rsidP="00825AA4">
      <w:pPr>
        <w:pStyle w:val="FootnoteText"/>
      </w:pPr>
      <w:r>
        <w:rPr>
          <w:rStyle w:val="FootnoteReference"/>
        </w:rPr>
        <w:footnoteRef/>
      </w:r>
      <w:r>
        <w:t xml:space="preserve"> </w:t>
      </w:r>
      <w:r>
        <w:tab/>
        <w:t>NER, c</w:t>
      </w:r>
      <w:r w:rsidR="005D6EE8">
        <w:t>l</w:t>
      </w:r>
      <w:r>
        <w:t>l.</w:t>
      </w:r>
      <w:r w:rsidR="005D6EE8">
        <w:t xml:space="preserve"> 6.7.4, 6.12.1(16).</w:t>
      </w:r>
    </w:p>
  </w:footnote>
  <w:footnote w:id="3">
    <w:p w:rsidR="00343CFB" w:rsidRDefault="00343CFB" w:rsidP="00343CFB">
      <w:pPr>
        <w:pStyle w:val="FootnoteText"/>
      </w:pPr>
      <w:r>
        <w:rPr>
          <w:rStyle w:val="FootnoteReference"/>
        </w:rPr>
        <w:footnoteRef/>
      </w:r>
      <w:r>
        <w:t xml:space="preserve"> </w:t>
      </w:r>
      <w:r>
        <w:tab/>
        <w:t xml:space="preserve">TasNetworks, </w:t>
      </w:r>
      <w:r w:rsidRPr="00017C39">
        <w:rPr>
          <w:rStyle w:val="Emphasis"/>
        </w:rPr>
        <w:t>Tasmanian Networks Pty Ltd Distribution Negotiating Framework - commencing 1 July 2017</w:t>
      </w:r>
      <w:r>
        <w:t>, January 2016,</w:t>
      </w:r>
    </w:p>
  </w:footnote>
  <w:footnote w:id="4">
    <w:p w:rsidR="00D875DE" w:rsidRDefault="00D875DE">
      <w:pPr>
        <w:pStyle w:val="FootnoteText"/>
      </w:pPr>
      <w:r>
        <w:rPr>
          <w:rStyle w:val="FootnoteReference"/>
        </w:rPr>
        <w:footnoteRef/>
      </w:r>
      <w:r>
        <w:t xml:space="preserve"> </w:t>
      </w:r>
      <w:r>
        <w:tab/>
        <w:t xml:space="preserve">AER, </w:t>
      </w:r>
      <w:r w:rsidRPr="00D875DE">
        <w:rPr>
          <w:rStyle w:val="AERtextitalic"/>
        </w:rPr>
        <w:t>Draft decision, TasNetworks distribution determination 2017–18 to 2018–19: Attachment 17—Negotiated services framework and criteria</w:t>
      </w:r>
      <w:r>
        <w:t>, September 2016.</w:t>
      </w:r>
    </w:p>
  </w:footnote>
  <w:footnote w:id="5">
    <w:p w:rsidR="00343CFB" w:rsidRDefault="00343CFB" w:rsidP="00343CFB">
      <w:pPr>
        <w:pStyle w:val="FootnoteText"/>
      </w:pPr>
      <w:r>
        <w:rPr>
          <w:rStyle w:val="FootnoteReference"/>
        </w:rPr>
        <w:footnoteRef/>
      </w:r>
      <w:r>
        <w:t xml:space="preserve"> </w:t>
      </w:r>
      <w:r>
        <w:tab/>
        <w:t xml:space="preserve">AER, </w:t>
      </w:r>
      <w:r w:rsidRPr="0002458F">
        <w:rPr>
          <w:rStyle w:val="Emphasis"/>
        </w:rPr>
        <w:t>Proposed negotiated distribution service criteria for TasNetworks Regulatory control period 1 July 2017 to 30 June 2019</w:t>
      </w:r>
      <w:r>
        <w:t>, February 2016.</w:t>
      </w:r>
    </w:p>
  </w:footnote>
  <w:footnote w:id="6">
    <w:p w:rsidR="00343CFB" w:rsidRDefault="00343CFB" w:rsidP="00343CFB">
      <w:pPr>
        <w:pStyle w:val="FootnoteText"/>
      </w:pPr>
      <w:r>
        <w:rPr>
          <w:rStyle w:val="FootnoteReference"/>
        </w:rPr>
        <w:footnoteRef/>
      </w:r>
      <w:r>
        <w:t xml:space="preserve"> </w:t>
      </w:r>
      <w:r>
        <w:tab/>
        <w:t>NER, cl. 6.7.1.</w:t>
      </w:r>
    </w:p>
  </w:footnote>
  <w:footnote w:id="7">
    <w:p w:rsidR="00343CFB" w:rsidRDefault="00343CFB" w:rsidP="00343CFB">
      <w:pPr>
        <w:pStyle w:val="FootnoteText"/>
      </w:pPr>
      <w:r>
        <w:rPr>
          <w:rStyle w:val="FootnoteReference"/>
        </w:rPr>
        <w:footnoteRef/>
      </w:r>
      <w:r>
        <w:t xml:space="preserve"> </w:t>
      </w:r>
      <w:r>
        <w:tab/>
        <w:t xml:space="preserve">TasNetworks, </w:t>
      </w:r>
      <w:r w:rsidRPr="000C0C2B">
        <w:rPr>
          <w:rStyle w:val="Emphasis"/>
        </w:rPr>
        <w:t>Tasmanian Distribution Regulatory Proposal Regulatory Control Period 1 July 2017 to 30 June 2019</w:t>
      </w:r>
      <w:r>
        <w:t>, January 2016, p.153.</w:t>
      </w:r>
    </w:p>
  </w:footnote>
  <w:footnote w:id="8">
    <w:p w:rsidR="00D875DE" w:rsidRDefault="00D875DE">
      <w:pPr>
        <w:pStyle w:val="FootnoteText"/>
      </w:pPr>
      <w:r>
        <w:rPr>
          <w:rStyle w:val="FootnoteReference"/>
        </w:rPr>
        <w:footnoteRef/>
      </w:r>
      <w:r>
        <w:t xml:space="preserve"> </w:t>
      </w:r>
      <w:r>
        <w:tab/>
        <w:t xml:space="preserve">AER, </w:t>
      </w:r>
      <w:r w:rsidRPr="00D875DE">
        <w:rPr>
          <w:rStyle w:val="AERtextitalic"/>
        </w:rPr>
        <w:t>Draft decision, TasNetworks distribution determination 2017–18 to 2018–19: Attachment 17—Negotiated services framework and criteria</w:t>
      </w:r>
      <w:r>
        <w:t>, September 2016.</w:t>
      </w:r>
    </w:p>
  </w:footnote>
  <w:footnote w:id="9">
    <w:p w:rsidR="008C1998" w:rsidRDefault="008C1998">
      <w:pPr>
        <w:pStyle w:val="FootnoteText"/>
      </w:pPr>
      <w:r>
        <w:rPr>
          <w:rStyle w:val="FootnoteReference"/>
        </w:rPr>
        <w:footnoteRef/>
      </w:r>
      <w:r>
        <w:t xml:space="preserve"> </w:t>
      </w:r>
      <w:r>
        <w:tab/>
        <w:t>NER, cl. 6.7.5(c).</w:t>
      </w:r>
    </w:p>
  </w:footnote>
  <w:footnote w:id="10">
    <w:p w:rsidR="00343CFB" w:rsidRDefault="00343CFB" w:rsidP="00343CFB">
      <w:pPr>
        <w:pStyle w:val="FootnoteText"/>
      </w:pPr>
      <w:r>
        <w:rPr>
          <w:rStyle w:val="FootnoteReference"/>
        </w:rPr>
        <w:footnoteRef/>
      </w:r>
      <w:r>
        <w:t xml:space="preserve"> </w:t>
      </w:r>
      <w:r>
        <w:tab/>
        <w:t xml:space="preserve">AER, </w:t>
      </w:r>
      <w:r w:rsidRPr="0002458F">
        <w:rPr>
          <w:rStyle w:val="Emphasis"/>
        </w:rPr>
        <w:t>Proposed negotiated distribution service criteria for TasNetworks Regulatory control period 1 July 2017 to 30 June 2019</w:t>
      </w:r>
      <w:r>
        <w:t>, February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4DF" w:rsidRDefault="000474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31C7FA6"/>
    <w:multiLevelType w:val="hybridMultilevel"/>
    <w:tmpl w:val="1A7E9E04"/>
    <w:lvl w:ilvl="0" w:tplc="A356B254">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3">
    <w:nsid w:val="19B737F8"/>
    <w:multiLevelType w:val="multilevel"/>
    <w:tmpl w:val="6FB04AB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4418" w:hanging="1440"/>
      </w:pPr>
      <w:rPr>
        <w:rFonts w:hint="default"/>
      </w:rPr>
    </w:lvl>
    <w:lvl w:ilvl="8">
      <w:start w:val="1"/>
      <w:numFmt w:val="decimal"/>
      <w:lvlText w:val="%1.%2.%3.%4.%5.%6.%7.%8.%9"/>
      <w:lvlJc w:val="left"/>
      <w:pPr>
        <w:ind w:left="1584" w:hanging="1584"/>
      </w:pPr>
      <w:rPr>
        <w:rFonts w:hint="default"/>
      </w:rPr>
    </w:lvl>
  </w:abstractNum>
  <w:abstractNum w:abstractNumId="14">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5">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7">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8">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AF336BC"/>
    <w:multiLevelType w:val="hybridMultilevel"/>
    <w:tmpl w:val="955A02CC"/>
    <w:lvl w:ilvl="0" w:tplc="C90C7928">
      <w:start w:val="1"/>
      <w:numFmt w:val="bullet"/>
      <w:lvlText w:val=""/>
      <w:lvlJc w:val="left"/>
      <w:pPr>
        <w:ind w:left="786"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24">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6">
    <w:nsid w:val="5ECE4384"/>
    <w:multiLevelType w:val="multilevel"/>
    <w:tmpl w:val="E1BEF112"/>
    <w:lvl w:ilvl="0">
      <w:start w:val="17"/>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004"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28">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7AAC6DD7"/>
    <w:multiLevelType w:val="multilevel"/>
    <w:tmpl w:val="950A1C52"/>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30">
    <w:nsid w:val="7AEA3AE1"/>
    <w:multiLevelType w:val="hybridMultilevel"/>
    <w:tmpl w:val="52969776"/>
    <w:lvl w:ilvl="0" w:tplc="1B665800">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2"/>
  </w:num>
  <w:num w:numId="2">
    <w:abstractNumId w:val="31"/>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7"/>
  </w:num>
  <w:num w:numId="13">
    <w:abstractNumId w:val="19"/>
  </w:num>
  <w:num w:numId="14">
    <w:abstractNumId w:val="11"/>
  </w:num>
  <w:num w:numId="15">
    <w:abstractNumId w:val="14"/>
  </w:num>
  <w:num w:numId="16">
    <w:abstractNumId w:val="21"/>
  </w:num>
  <w:num w:numId="17">
    <w:abstractNumId w:val="10"/>
  </w:num>
  <w:num w:numId="18">
    <w:abstractNumId w:val="16"/>
  </w:num>
  <w:num w:numId="19">
    <w:abstractNumId w:val="22"/>
  </w:num>
  <w:num w:numId="20">
    <w:abstractNumId w:val="28"/>
  </w:num>
  <w:num w:numId="21">
    <w:abstractNumId w:val="25"/>
  </w:num>
  <w:num w:numId="22">
    <w:abstractNumId w:val="23"/>
  </w:num>
  <w:num w:numId="23">
    <w:abstractNumId w:val="17"/>
  </w:num>
  <w:num w:numId="24">
    <w:abstractNumId w:val="24"/>
  </w:num>
  <w:num w:numId="25">
    <w:abstractNumId w:val="26"/>
  </w:num>
  <w:num w:numId="26">
    <w:abstractNumId w:val="18"/>
  </w:num>
  <w:num w:numId="27">
    <w:abstractNumId w:val="15"/>
  </w:num>
  <w:num w:numId="28">
    <w:abstractNumId w:val="30"/>
  </w:num>
  <w:num w:numId="29">
    <w:abstractNumId w:val="20"/>
  </w:num>
  <w:num w:numId="30">
    <w:abstractNumId w:val="9"/>
  </w:num>
  <w:num w:numId="31">
    <w:abstractNumId w:val="29"/>
    <w:lvlOverride w:ilvl="0">
      <w:lvl w:ilvl="0">
        <w:start w:val="1"/>
        <w:numFmt w:val="none"/>
        <w:lvlText w:val="%1"/>
        <w:lvlJc w:val="left"/>
        <w:pPr>
          <w:tabs>
            <w:tab w:val="num" w:pos="0"/>
          </w:tabs>
          <w:ind w:left="0" w:firstLine="0"/>
        </w:pPr>
        <w:rPr>
          <w:rFonts w:hint="default"/>
        </w:rPr>
      </w:lvl>
    </w:lvlOverride>
    <w:lvlOverride w:ilvl="1">
      <w:lvl w:ilvl="1">
        <w:start w:val="1"/>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2.%3.%4"/>
        <w:lvlJc w:val="left"/>
        <w:pPr>
          <w:tabs>
            <w:tab w:val="num" w:pos="0"/>
          </w:tabs>
          <w:ind w:left="0" w:hanging="851"/>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2">
    <w:abstractNumId w:val="17"/>
    <w:lvlOverride w:ilvl="3">
      <w:lvl w:ilvl="3">
        <w:start w:val="1"/>
        <w:numFmt w:val="decimal"/>
        <w:lvlText w:val="%2.%3.%4"/>
        <w:lvlJc w:val="left"/>
        <w:pPr>
          <w:tabs>
            <w:tab w:val="num" w:pos="0"/>
          </w:tabs>
          <w:ind w:left="0" w:hanging="851"/>
        </w:pPr>
        <w:rPr>
          <w:rFonts w:hint="default"/>
        </w:rPr>
      </w:lvl>
    </w:lvlOverride>
  </w:num>
  <w:num w:numId="33">
    <w:abstractNumId w:val="13"/>
  </w:num>
  <w:num w:numId="3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removePersonalInformation/>
  <w:removeDateAndTime/>
  <w:proofState w:spelling="clean" w:grammar="clean"/>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1" w:spinCount="100000" w:hashValue="hwPA1qdDdn1i8vJT7wUpBKOgSF8ODSySyK6RNbX5dMA=" w:saltValue="eUDt9Ueh1iTMimOAUWl/AQ==" w:algorithmName="SHA-256"/>
  <w:defaultTabStop w:val="340"/>
  <w:characterSpacingControl w:val="doNotCompress"/>
  <w:hdrShapeDefaults>
    <o:shapedefaults v:ext="edit" spidmax="2088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cdchnas-evs02\home$\mleco\aer - final decision tasnetworks distribution determination - attachment 17 - negotiated services framework and criteria (D2016-00009005).docx"/>
  </w:docVars>
  <w:rsids>
    <w:rsidRoot w:val="00961A4A"/>
    <w:rsid w:val="000051DC"/>
    <w:rsid w:val="0000658F"/>
    <w:rsid w:val="00012679"/>
    <w:rsid w:val="0001507B"/>
    <w:rsid w:val="00016584"/>
    <w:rsid w:val="00020016"/>
    <w:rsid w:val="00021202"/>
    <w:rsid w:val="00021C2B"/>
    <w:rsid w:val="00023041"/>
    <w:rsid w:val="0002498B"/>
    <w:rsid w:val="0002517F"/>
    <w:rsid w:val="00026187"/>
    <w:rsid w:val="000266FC"/>
    <w:rsid w:val="000273B3"/>
    <w:rsid w:val="00027E2D"/>
    <w:rsid w:val="0003578C"/>
    <w:rsid w:val="00036ADE"/>
    <w:rsid w:val="00044DA3"/>
    <w:rsid w:val="000474DF"/>
    <w:rsid w:val="00055A67"/>
    <w:rsid w:val="00063247"/>
    <w:rsid w:val="0006624E"/>
    <w:rsid w:val="00070F9F"/>
    <w:rsid w:val="0007137B"/>
    <w:rsid w:val="00073B74"/>
    <w:rsid w:val="00076416"/>
    <w:rsid w:val="000805A8"/>
    <w:rsid w:val="0008190B"/>
    <w:rsid w:val="000836D9"/>
    <w:rsid w:val="00085663"/>
    <w:rsid w:val="00085EBF"/>
    <w:rsid w:val="000865DA"/>
    <w:rsid w:val="00091B15"/>
    <w:rsid w:val="00095186"/>
    <w:rsid w:val="000A0E71"/>
    <w:rsid w:val="000A1C0C"/>
    <w:rsid w:val="000A3020"/>
    <w:rsid w:val="000A4840"/>
    <w:rsid w:val="000A62C1"/>
    <w:rsid w:val="000A6A79"/>
    <w:rsid w:val="000A6C7B"/>
    <w:rsid w:val="000A7522"/>
    <w:rsid w:val="000B0A7B"/>
    <w:rsid w:val="000B1173"/>
    <w:rsid w:val="000B5827"/>
    <w:rsid w:val="000B7037"/>
    <w:rsid w:val="000C02D1"/>
    <w:rsid w:val="000C0C63"/>
    <w:rsid w:val="000C2B40"/>
    <w:rsid w:val="000C5255"/>
    <w:rsid w:val="000D07A7"/>
    <w:rsid w:val="000D122C"/>
    <w:rsid w:val="000D75B0"/>
    <w:rsid w:val="000E1819"/>
    <w:rsid w:val="000E4821"/>
    <w:rsid w:val="000E4AA9"/>
    <w:rsid w:val="000E6C72"/>
    <w:rsid w:val="000E7F39"/>
    <w:rsid w:val="00100EA2"/>
    <w:rsid w:val="00101AA1"/>
    <w:rsid w:val="00102338"/>
    <w:rsid w:val="00104566"/>
    <w:rsid w:val="00104FF6"/>
    <w:rsid w:val="001114AA"/>
    <w:rsid w:val="00115743"/>
    <w:rsid w:val="00116EB2"/>
    <w:rsid w:val="0012132C"/>
    <w:rsid w:val="00124609"/>
    <w:rsid w:val="00126A1D"/>
    <w:rsid w:val="00126A4C"/>
    <w:rsid w:val="001270E3"/>
    <w:rsid w:val="00132D43"/>
    <w:rsid w:val="00133366"/>
    <w:rsid w:val="00133F47"/>
    <w:rsid w:val="00134029"/>
    <w:rsid w:val="00134E36"/>
    <w:rsid w:val="00142C2D"/>
    <w:rsid w:val="00144C96"/>
    <w:rsid w:val="0014573B"/>
    <w:rsid w:val="001463A3"/>
    <w:rsid w:val="0015073A"/>
    <w:rsid w:val="0015300D"/>
    <w:rsid w:val="0015618F"/>
    <w:rsid w:val="001573E4"/>
    <w:rsid w:val="00160756"/>
    <w:rsid w:val="00161DC8"/>
    <w:rsid w:val="00166760"/>
    <w:rsid w:val="0017232E"/>
    <w:rsid w:val="00174102"/>
    <w:rsid w:val="001754EE"/>
    <w:rsid w:val="00180157"/>
    <w:rsid w:val="001809BC"/>
    <w:rsid w:val="00180E97"/>
    <w:rsid w:val="001820B4"/>
    <w:rsid w:val="00184351"/>
    <w:rsid w:val="00184AC8"/>
    <w:rsid w:val="00185BA5"/>
    <w:rsid w:val="00185CB9"/>
    <w:rsid w:val="00185DBE"/>
    <w:rsid w:val="00186ADC"/>
    <w:rsid w:val="00186F77"/>
    <w:rsid w:val="001877A4"/>
    <w:rsid w:val="001926A4"/>
    <w:rsid w:val="00192AD5"/>
    <w:rsid w:val="00194597"/>
    <w:rsid w:val="00194E00"/>
    <w:rsid w:val="0019745E"/>
    <w:rsid w:val="00197B16"/>
    <w:rsid w:val="001A530D"/>
    <w:rsid w:val="001A5FB3"/>
    <w:rsid w:val="001A7155"/>
    <w:rsid w:val="001B45A0"/>
    <w:rsid w:val="001B680E"/>
    <w:rsid w:val="001C1311"/>
    <w:rsid w:val="001D055E"/>
    <w:rsid w:val="001E1B3F"/>
    <w:rsid w:val="001E416F"/>
    <w:rsid w:val="001E7161"/>
    <w:rsid w:val="001F05A4"/>
    <w:rsid w:val="001F3D4A"/>
    <w:rsid w:val="001F492E"/>
    <w:rsid w:val="001F64EF"/>
    <w:rsid w:val="001F6DA3"/>
    <w:rsid w:val="002010BC"/>
    <w:rsid w:val="002016E7"/>
    <w:rsid w:val="00202E03"/>
    <w:rsid w:val="002033B9"/>
    <w:rsid w:val="002043D0"/>
    <w:rsid w:val="0020492C"/>
    <w:rsid w:val="00204EC9"/>
    <w:rsid w:val="00206505"/>
    <w:rsid w:val="0020743F"/>
    <w:rsid w:val="00216C93"/>
    <w:rsid w:val="00223051"/>
    <w:rsid w:val="00224DB9"/>
    <w:rsid w:val="0022569A"/>
    <w:rsid w:val="0023005C"/>
    <w:rsid w:val="00231012"/>
    <w:rsid w:val="00233775"/>
    <w:rsid w:val="0023414B"/>
    <w:rsid w:val="00243635"/>
    <w:rsid w:val="00247079"/>
    <w:rsid w:val="00251745"/>
    <w:rsid w:val="002552BA"/>
    <w:rsid w:val="00255365"/>
    <w:rsid w:val="00256656"/>
    <w:rsid w:val="00260016"/>
    <w:rsid w:val="00263AC0"/>
    <w:rsid w:val="00264264"/>
    <w:rsid w:val="00264D5E"/>
    <w:rsid w:val="0026689B"/>
    <w:rsid w:val="0026772D"/>
    <w:rsid w:val="002730B2"/>
    <w:rsid w:val="00274C7E"/>
    <w:rsid w:val="002777CF"/>
    <w:rsid w:val="002810F2"/>
    <w:rsid w:val="00286874"/>
    <w:rsid w:val="00290C63"/>
    <w:rsid w:val="00291A99"/>
    <w:rsid w:val="00293B6D"/>
    <w:rsid w:val="00294B08"/>
    <w:rsid w:val="0029518C"/>
    <w:rsid w:val="002963DD"/>
    <w:rsid w:val="00296B65"/>
    <w:rsid w:val="002A35BC"/>
    <w:rsid w:val="002A79B4"/>
    <w:rsid w:val="002A7DEF"/>
    <w:rsid w:val="002B0696"/>
    <w:rsid w:val="002C0222"/>
    <w:rsid w:val="002C1499"/>
    <w:rsid w:val="002C233C"/>
    <w:rsid w:val="002C517B"/>
    <w:rsid w:val="002D3509"/>
    <w:rsid w:val="002D5457"/>
    <w:rsid w:val="002D72E8"/>
    <w:rsid w:val="002D79AD"/>
    <w:rsid w:val="002E268F"/>
    <w:rsid w:val="002E78DD"/>
    <w:rsid w:val="002E7B22"/>
    <w:rsid w:val="002F12EC"/>
    <w:rsid w:val="002F7986"/>
    <w:rsid w:val="00301B40"/>
    <w:rsid w:val="00301C82"/>
    <w:rsid w:val="003029EE"/>
    <w:rsid w:val="00304D38"/>
    <w:rsid w:val="00305CC8"/>
    <w:rsid w:val="00307F6D"/>
    <w:rsid w:val="00314D83"/>
    <w:rsid w:val="0031571F"/>
    <w:rsid w:val="003177A2"/>
    <w:rsid w:val="00317E02"/>
    <w:rsid w:val="003271B5"/>
    <w:rsid w:val="00327A1E"/>
    <w:rsid w:val="00327E28"/>
    <w:rsid w:val="00331264"/>
    <w:rsid w:val="00334C8D"/>
    <w:rsid w:val="003378BD"/>
    <w:rsid w:val="003424EA"/>
    <w:rsid w:val="00342C2F"/>
    <w:rsid w:val="003436EB"/>
    <w:rsid w:val="00343A18"/>
    <w:rsid w:val="00343CFB"/>
    <w:rsid w:val="00345744"/>
    <w:rsid w:val="003518B3"/>
    <w:rsid w:val="00353E79"/>
    <w:rsid w:val="00364EA0"/>
    <w:rsid w:val="00366981"/>
    <w:rsid w:val="00370678"/>
    <w:rsid w:val="0037214E"/>
    <w:rsid w:val="00372C85"/>
    <w:rsid w:val="00373845"/>
    <w:rsid w:val="003744E3"/>
    <w:rsid w:val="00375F71"/>
    <w:rsid w:val="00376219"/>
    <w:rsid w:val="0037663E"/>
    <w:rsid w:val="0037699E"/>
    <w:rsid w:val="00377A29"/>
    <w:rsid w:val="00377C69"/>
    <w:rsid w:val="0038415D"/>
    <w:rsid w:val="0038461C"/>
    <w:rsid w:val="003846F1"/>
    <w:rsid w:val="00390E6A"/>
    <w:rsid w:val="00393ABE"/>
    <w:rsid w:val="00395DB6"/>
    <w:rsid w:val="00397398"/>
    <w:rsid w:val="003A1812"/>
    <w:rsid w:val="003A371A"/>
    <w:rsid w:val="003A59CD"/>
    <w:rsid w:val="003A6B00"/>
    <w:rsid w:val="003B30B2"/>
    <w:rsid w:val="003B484F"/>
    <w:rsid w:val="003B504B"/>
    <w:rsid w:val="003B5179"/>
    <w:rsid w:val="003B685C"/>
    <w:rsid w:val="003B7FBA"/>
    <w:rsid w:val="003C6537"/>
    <w:rsid w:val="003C6A13"/>
    <w:rsid w:val="003C764A"/>
    <w:rsid w:val="003C78BA"/>
    <w:rsid w:val="003D41F1"/>
    <w:rsid w:val="003D42AB"/>
    <w:rsid w:val="003D5B94"/>
    <w:rsid w:val="003E0D3A"/>
    <w:rsid w:val="003E3AAB"/>
    <w:rsid w:val="003E7FE9"/>
    <w:rsid w:val="003F07D4"/>
    <w:rsid w:val="003F174D"/>
    <w:rsid w:val="003F2329"/>
    <w:rsid w:val="00400FD2"/>
    <w:rsid w:val="00403711"/>
    <w:rsid w:val="00404C52"/>
    <w:rsid w:val="004156D5"/>
    <w:rsid w:val="00415BA9"/>
    <w:rsid w:val="00415F31"/>
    <w:rsid w:val="0041691D"/>
    <w:rsid w:val="0042000C"/>
    <w:rsid w:val="0042090E"/>
    <w:rsid w:val="00421F27"/>
    <w:rsid w:val="004238D8"/>
    <w:rsid w:val="00423A77"/>
    <w:rsid w:val="004324F4"/>
    <w:rsid w:val="00434544"/>
    <w:rsid w:val="00445D43"/>
    <w:rsid w:val="00446CD2"/>
    <w:rsid w:val="004523B2"/>
    <w:rsid w:val="0045777E"/>
    <w:rsid w:val="00465258"/>
    <w:rsid w:val="00471BC6"/>
    <w:rsid w:val="00476221"/>
    <w:rsid w:val="004766F5"/>
    <w:rsid w:val="00480B4B"/>
    <w:rsid w:val="004838D8"/>
    <w:rsid w:val="00485DC4"/>
    <w:rsid w:val="00494D04"/>
    <w:rsid w:val="004A40BA"/>
    <w:rsid w:val="004A43D1"/>
    <w:rsid w:val="004A492B"/>
    <w:rsid w:val="004B4412"/>
    <w:rsid w:val="004C348C"/>
    <w:rsid w:val="004C462E"/>
    <w:rsid w:val="004C6CA3"/>
    <w:rsid w:val="004C7F5E"/>
    <w:rsid w:val="004D343C"/>
    <w:rsid w:val="004D372A"/>
    <w:rsid w:val="004D55BA"/>
    <w:rsid w:val="004D720C"/>
    <w:rsid w:val="004E0FA7"/>
    <w:rsid w:val="004E22EC"/>
    <w:rsid w:val="004F0BFA"/>
    <w:rsid w:val="004F13DA"/>
    <w:rsid w:val="004F4D69"/>
    <w:rsid w:val="004F6883"/>
    <w:rsid w:val="004F6A0E"/>
    <w:rsid w:val="004F6BB3"/>
    <w:rsid w:val="005009CD"/>
    <w:rsid w:val="00504E5F"/>
    <w:rsid w:val="0051337E"/>
    <w:rsid w:val="00513FA7"/>
    <w:rsid w:val="0051768F"/>
    <w:rsid w:val="00522DC2"/>
    <w:rsid w:val="00530128"/>
    <w:rsid w:val="00532467"/>
    <w:rsid w:val="005332A9"/>
    <w:rsid w:val="0053603C"/>
    <w:rsid w:val="00537871"/>
    <w:rsid w:val="00542FE9"/>
    <w:rsid w:val="00544598"/>
    <w:rsid w:val="00544C8D"/>
    <w:rsid w:val="00544DFD"/>
    <w:rsid w:val="00556B1E"/>
    <w:rsid w:val="00564A4D"/>
    <w:rsid w:val="0056598C"/>
    <w:rsid w:val="00566E0B"/>
    <w:rsid w:val="00567BA5"/>
    <w:rsid w:val="00571B35"/>
    <w:rsid w:val="00571B43"/>
    <w:rsid w:val="00571D57"/>
    <w:rsid w:val="00573A3B"/>
    <w:rsid w:val="00577716"/>
    <w:rsid w:val="00577A09"/>
    <w:rsid w:val="005829C2"/>
    <w:rsid w:val="00584D8F"/>
    <w:rsid w:val="00587A18"/>
    <w:rsid w:val="00587ADE"/>
    <w:rsid w:val="005A0BEC"/>
    <w:rsid w:val="005A404D"/>
    <w:rsid w:val="005B1E3C"/>
    <w:rsid w:val="005B6518"/>
    <w:rsid w:val="005B704A"/>
    <w:rsid w:val="005B72D7"/>
    <w:rsid w:val="005C045F"/>
    <w:rsid w:val="005C16FE"/>
    <w:rsid w:val="005C1FAB"/>
    <w:rsid w:val="005C21A4"/>
    <w:rsid w:val="005C26CC"/>
    <w:rsid w:val="005C4463"/>
    <w:rsid w:val="005D3D88"/>
    <w:rsid w:val="005D48C4"/>
    <w:rsid w:val="005D6208"/>
    <w:rsid w:val="005D6366"/>
    <w:rsid w:val="005D6EE8"/>
    <w:rsid w:val="005D7BA2"/>
    <w:rsid w:val="005E36C2"/>
    <w:rsid w:val="005E4AF4"/>
    <w:rsid w:val="005F387E"/>
    <w:rsid w:val="00601E0B"/>
    <w:rsid w:val="0060258B"/>
    <w:rsid w:val="00610EF9"/>
    <w:rsid w:val="00612F4F"/>
    <w:rsid w:val="00614EA0"/>
    <w:rsid w:val="00615C6B"/>
    <w:rsid w:val="00617D4C"/>
    <w:rsid w:val="00621DCE"/>
    <w:rsid w:val="00621FC5"/>
    <w:rsid w:val="00624F2C"/>
    <w:rsid w:val="00632D6D"/>
    <w:rsid w:val="00636569"/>
    <w:rsid w:val="00636EF9"/>
    <w:rsid w:val="00642C3E"/>
    <w:rsid w:val="00644A01"/>
    <w:rsid w:val="00651E2D"/>
    <w:rsid w:val="00652324"/>
    <w:rsid w:val="006577FB"/>
    <w:rsid w:val="0066104A"/>
    <w:rsid w:val="00663066"/>
    <w:rsid w:val="00663DAD"/>
    <w:rsid w:val="00664206"/>
    <w:rsid w:val="006649E7"/>
    <w:rsid w:val="00666634"/>
    <w:rsid w:val="00671692"/>
    <w:rsid w:val="00675E20"/>
    <w:rsid w:val="00676679"/>
    <w:rsid w:val="00683C89"/>
    <w:rsid w:val="006872EA"/>
    <w:rsid w:val="00691B53"/>
    <w:rsid w:val="00697D0B"/>
    <w:rsid w:val="006A12BA"/>
    <w:rsid w:val="006A4739"/>
    <w:rsid w:val="006A66A1"/>
    <w:rsid w:val="006B032D"/>
    <w:rsid w:val="006B2395"/>
    <w:rsid w:val="006B40AC"/>
    <w:rsid w:val="006B4CF9"/>
    <w:rsid w:val="006B797C"/>
    <w:rsid w:val="006B7AC8"/>
    <w:rsid w:val="006C1736"/>
    <w:rsid w:val="006C329B"/>
    <w:rsid w:val="006C6303"/>
    <w:rsid w:val="006D550F"/>
    <w:rsid w:val="006D6146"/>
    <w:rsid w:val="006D7F7E"/>
    <w:rsid w:val="006E0CFF"/>
    <w:rsid w:val="006F0D92"/>
    <w:rsid w:val="006F267D"/>
    <w:rsid w:val="0070011E"/>
    <w:rsid w:val="00701CAB"/>
    <w:rsid w:val="007023BB"/>
    <w:rsid w:val="00704DD7"/>
    <w:rsid w:val="00707563"/>
    <w:rsid w:val="00715F61"/>
    <w:rsid w:val="00722132"/>
    <w:rsid w:val="007228F7"/>
    <w:rsid w:val="0072348C"/>
    <w:rsid w:val="00724A37"/>
    <w:rsid w:val="007303C3"/>
    <w:rsid w:val="00731188"/>
    <w:rsid w:val="007356CC"/>
    <w:rsid w:val="007368E6"/>
    <w:rsid w:val="007375DF"/>
    <w:rsid w:val="007429BE"/>
    <w:rsid w:val="00743223"/>
    <w:rsid w:val="00743349"/>
    <w:rsid w:val="0074403A"/>
    <w:rsid w:val="00746E01"/>
    <w:rsid w:val="00751DCD"/>
    <w:rsid w:val="00755084"/>
    <w:rsid w:val="007555BF"/>
    <w:rsid w:val="00757364"/>
    <w:rsid w:val="00757BDF"/>
    <w:rsid w:val="007609D0"/>
    <w:rsid w:val="00761454"/>
    <w:rsid w:val="0076193D"/>
    <w:rsid w:val="00763E5D"/>
    <w:rsid w:val="00767740"/>
    <w:rsid w:val="00767B5E"/>
    <w:rsid w:val="00775460"/>
    <w:rsid w:val="00777EE6"/>
    <w:rsid w:val="00782EEA"/>
    <w:rsid w:val="00786CA4"/>
    <w:rsid w:val="007909B4"/>
    <w:rsid w:val="00790E86"/>
    <w:rsid w:val="007949D7"/>
    <w:rsid w:val="0079769A"/>
    <w:rsid w:val="007A0143"/>
    <w:rsid w:val="007A3281"/>
    <w:rsid w:val="007A34C2"/>
    <w:rsid w:val="007A384D"/>
    <w:rsid w:val="007A396C"/>
    <w:rsid w:val="007A4B02"/>
    <w:rsid w:val="007B0BE3"/>
    <w:rsid w:val="007B1816"/>
    <w:rsid w:val="007B186E"/>
    <w:rsid w:val="007B25DC"/>
    <w:rsid w:val="007B2C72"/>
    <w:rsid w:val="007B3789"/>
    <w:rsid w:val="007B651F"/>
    <w:rsid w:val="007B7BB5"/>
    <w:rsid w:val="007C1C53"/>
    <w:rsid w:val="007C284C"/>
    <w:rsid w:val="007C4B82"/>
    <w:rsid w:val="007C74BB"/>
    <w:rsid w:val="007C7F64"/>
    <w:rsid w:val="007D0A95"/>
    <w:rsid w:val="007D0EB5"/>
    <w:rsid w:val="007D456E"/>
    <w:rsid w:val="007D5837"/>
    <w:rsid w:val="007E4904"/>
    <w:rsid w:val="007E4CB5"/>
    <w:rsid w:val="007E4DAE"/>
    <w:rsid w:val="007F066B"/>
    <w:rsid w:val="007F4EAB"/>
    <w:rsid w:val="007F5B16"/>
    <w:rsid w:val="007F7C9D"/>
    <w:rsid w:val="008033C4"/>
    <w:rsid w:val="00806731"/>
    <w:rsid w:val="00806C88"/>
    <w:rsid w:val="0081034E"/>
    <w:rsid w:val="00810806"/>
    <w:rsid w:val="00815882"/>
    <w:rsid w:val="00820454"/>
    <w:rsid w:val="00822AC7"/>
    <w:rsid w:val="00822E86"/>
    <w:rsid w:val="00825AA4"/>
    <w:rsid w:val="00827C4D"/>
    <w:rsid w:val="008344F6"/>
    <w:rsid w:val="0083510F"/>
    <w:rsid w:val="00837BF3"/>
    <w:rsid w:val="008415DE"/>
    <w:rsid w:val="008420DE"/>
    <w:rsid w:val="00845865"/>
    <w:rsid w:val="0084799B"/>
    <w:rsid w:val="00850C90"/>
    <w:rsid w:val="00851209"/>
    <w:rsid w:val="0085171F"/>
    <w:rsid w:val="008658A1"/>
    <w:rsid w:val="0086716A"/>
    <w:rsid w:val="00870389"/>
    <w:rsid w:val="00870613"/>
    <w:rsid w:val="0087380F"/>
    <w:rsid w:val="0087648F"/>
    <w:rsid w:val="00876612"/>
    <w:rsid w:val="00882BB1"/>
    <w:rsid w:val="008837AC"/>
    <w:rsid w:val="008909DC"/>
    <w:rsid w:val="00894255"/>
    <w:rsid w:val="008945AD"/>
    <w:rsid w:val="008A0645"/>
    <w:rsid w:val="008A1C02"/>
    <w:rsid w:val="008A370D"/>
    <w:rsid w:val="008A587D"/>
    <w:rsid w:val="008B16B0"/>
    <w:rsid w:val="008B1BD5"/>
    <w:rsid w:val="008B35CD"/>
    <w:rsid w:val="008B4093"/>
    <w:rsid w:val="008B5FCC"/>
    <w:rsid w:val="008B7F36"/>
    <w:rsid w:val="008C1998"/>
    <w:rsid w:val="008C357F"/>
    <w:rsid w:val="008C5486"/>
    <w:rsid w:val="008D1661"/>
    <w:rsid w:val="008D27E0"/>
    <w:rsid w:val="008D5F90"/>
    <w:rsid w:val="008D6800"/>
    <w:rsid w:val="008D72F1"/>
    <w:rsid w:val="008E4089"/>
    <w:rsid w:val="008E5AFF"/>
    <w:rsid w:val="008E7031"/>
    <w:rsid w:val="008E77DE"/>
    <w:rsid w:val="008F040C"/>
    <w:rsid w:val="008F07A3"/>
    <w:rsid w:val="008F08F4"/>
    <w:rsid w:val="008F3322"/>
    <w:rsid w:val="008F3519"/>
    <w:rsid w:val="008F3A0D"/>
    <w:rsid w:val="009001B6"/>
    <w:rsid w:val="00900E1B"/>
    <w:rsid w:val="0090131F"/>
    <w:rsid w:val="00907683"/>
    <w:rsid w:val="009132B7"/>
    <w:rsid w:val="00914F16"/>
    <w:rsid w:val="00916A2C"/>
    <w:rsid w:val="009233EE"/>
    <w:rsid w:val="00930B1A"/>
    <w:rsid w:val="00932612"/>
    <w:rsid w:val="009327DC"/>
    <w:rsid w:val="009338D9"/>
    <w:rsid w:val="009339BD"/>
    <w:rsid w:val="009356CF"/>
    <w:rsid w:val="00945E53"/>
    <w:rsid w:val="009460AA"/>
    <w:rsid w:val="00951978"/>
    <w:rsid w:val="00952C8B"/>
    <w:rsid w:val="00961A4A"/>
    <w:rsid w:val="009661DE"/>
    <w:rsid w:val="00972C7C"/>
    <w:rsid w:val="009776F4"/>
    <w:rsid w:val="00982DA2"/>
    <w:rsid w:val="00983C25"/>
    <w:rsid w:val="0098466D"/>
    <w:rsid w:val="009856B7"/>
    <w:rsid w:val="009859D6"/>
    <w:rsid w:val="00985C86"/>
    <w:rsid w:val="00986EDB"/>
    <w:rsid w:val="009A5FC3"/>
    <w:rsid w:val="009B6F84"/>
    <w:rsid w:val="009B74B0"/>
    <w:rsid w:val="009C0152"/>
    <w:rsid w:val="009C1A74"/>
    <w:rsid w:val="009C3D42"/>
    <w:rsid w:val="009C491E"/>
    <w:rsid w:val="009D0DF1"/>
    <w:rsid w:val="009D22D6"/>
    <w:rsid w:val="009D2C84"/>
    <w:rsid w:val="009D3906"/>
    <w:rsid w:val="009D5E35"/>
    <w:rsid w:val="009D6B46"/>
    <w:rsid w:val="009E35B6"/>
    <w:rsid w:val="009E5ABC"/>
    <w:rsid w:val="009F3BBA"/>
    <w:rsid w:val="009F43B4"/>
    <w:rsid w:val="009F4940"/>
    <w:rsid w:val="009F5BA1"/>
    <w:rsid w:val="00A02A88"/>
    <w:rsid w:val="00A04012"/>
    <w:rsid w:val="00A046FA"/>
    <w:rsid w:val="00A0562E"/>
    <w:rsid w:val="00A0726D"/>
    <w:rsid w:val="00A073AE"/>
    <w:rsid w:val="00A12204"/>
    <w:rsid w:val="00A12750"/>
    <w:rsid w:val="00A13CB0"/>
    <w:rsid w:val="00A1561F"/>
    <w:rsid w:val="00A16544"/>
    <w:rsid w:val="00A20309"/>
    <w:rsid w:val="00A30BF5"/>
    <w:rsid w:val="00A31BE6"/>
    <w:rsid w:val="00A32FBB"/>
    <w:rsid w:val="00A40068"/>
    <w:rsid w:val="00A40BE9"/>
    <w:rsid w:val="00A428EE"/>
    <w:rsid w:val="00A443C2"/>
    <w:rsid w:val="00A4478A"/>
    <w:rsid w:val="00A44852"/>
    <w:rsid w:val="00A50502"/>
    <w:rsid w:val="00A53409"/>
    <w:rsid w:val="00A53796"/>
    <w:rsid w:val="00A53848"/>
    <w:rsid w:val="00A56945"/>
    <w:rsid w:val="00A56A6E"/>
    <w:rsid w:val="00A57D04"/>
    <w:rsid w:val="00A60A26"/>
    <w:rsid w:val="00A61598"/>
    <w:rsid w:val="00A61777"/>
    <w:rsid w:val="00A63646"/>
    <w:rsid w:val="00A63914"/>
    <w:rsid w:val="00A72AEE"/>
    <w:rsid w:val="00A75871"/>
    <w:rsid w:val="00A84A99"/>
    <w:rsid w:val="00A84F46"/>
    <w:rsid w:val="00A85E87"/>
    <w:rsid w:val="00A86AEA"/>
    <w:rsid w:val="00A871F4"/>
    <w:rsid w:val="00A9431A"/>
    <w:rsid w:val="00A95988"/>
    <w:rsid w:val="00A959DF"/>
    <w:rsid w:val="00A97A1B"/>
    <w:rsid w:val="00AA2927"/>
    <w:rsid w:val="00AB2CB8"/>
    <w:rsid w:val="00AB4617"/>
    <w:rsid w:val="00AC1B2C"/>
    <w:rsid w:val="00AC3264"/>
    <w:rsid w:val="00AC46AD"/>
    <w:rsid w:val="00AC4D2D"/>
    <w:rsid w:val="00AC58EC"/>
    <w:rsid w:val="00AC7282"/>
    <w:rsid w:val="00AC7961"/>
    <w:rsid w:val="00AD314E"/>
    <w:rsid w:val="00AD5FCD"/>
    <w:rsid w:val="00AD6B48"/>
    <w:rsid w:val="00AD7A3A"/>
    <w:rsid w:val="00AE1BF1"/>
    <w:rsid w:val="00AE23AB"/>
    <w:rsid w:val="00AE58FB"/>
    <w:rsid w:val="00AE5AF0"/>
    <w:rsid w:val="00AE663D"/>
    <w:rsid w:val="00AE73B3"/>
    <w:rsid w:val="00AF07E7"/>
    <w:rsid w:val="00AF0DD2"/>
    <w:rsid w:val="00AF31E1"/>
    <w:rsid w:val="00AF3BBA"/>
    <w:rsid w:val="00AF4231"/>
    <w:rsid w:val="00B00B0E"/>
    <w:rsid w:val="00B00B26"/>
    <w:rsid w:val="00B02385"/>
    <w:rsid w:val="00B02F9D"/>
    <w:rsid w:val="00B05766"/>
    <w:rsid w:val="00B13048"/>
    <w:rsid w:val="00B13883"/>
    <w:rsid w:val="00B1716D"/>
    <w:rsid w:val="00B17A1D"/>
    <w:rsid w:val="00B207A0"/>
    <w:rsid w:val="00B21C21"/>
    <w:rsid w:val="00B22F54"/>
    <w:rsid w:val="00B24A7E"/>
    <w:rsid w:val="00B25C0C"/>
    <w:rsid w:val="00B304B5"/>
    <w:rsid w:val="00B308A9"/>
    <w:rsid w:val="00B31047"/>
    <w:rsid w:val="00B33148"/>
    <w:rsid w:val="00B35CDF"/>
    <w:rsid w:val="00B403C2"/>
    <w:rsid w:val="00B405A1"/>
    <w:rsid w:val="00B4438A"/>
    <w:rsid w:val="00B45AA2"/>
    <w:rsid w:val="00B479CA"/>
    <w:rsid w:val="00B5084F"/>
    <w:rsid w:val="00B514DD"/>
    <w:rsid w:val="00B52AF0"/>
    <w:rsid w:val="00B53D5F"/>
    <w:rsid w:val="00B54051"/>
    <w:rsid w:val="00B561BD"/>
    <w:rsid w:val="00B56E03"/>
    <w:rsid w:val="00B62765"/>
    <w:rsid w:val="00B65DF5"/>
    <w:rsid w:val="00B7679F"/>
    <w:rsid w:val="00B77159"/>
    <w:rsid w:val="00B8080B"/>
    <w:rsid w:val="00B82223"/>
    <w:rsid w:val="00B87BA5"/>
    <w:rsid w:val="00B87C39"/>
    <w:rsid w:val="00B93891"/>
    <w:rsid w:val="00B9562D"/>
    <w:rsid w:val="00BA21DA"/>
    <w:rsid w:val="00BA2B60"/>
    <w:rsid w:val="00BA3C93"/>
    <w:rsid w:val="00BA4665"/>
    <w:rsid w:val="00BA7FD7"/>
    <w:rsid w:val="00BB1681"/>
    <w:rsid w:val="00BB2FB2"/>
    <w:rsid w:val="00BB3304"/>
    <w:rsid w:val="00BB6551"/>
    <w:rsid w:val="00BC4A10"/>
    <w:rsid w:val="00BD30F4"/>
    <w:rsid w:val="00BD3446"/>
    <w:rsid w:val="00BD59CF"/>
    <w:rsid w:val="00BE1312"/>
    <w:rsid w:val="00BE1F1B"/>
    <w:rsid w:val="00BE3F89"/>
    <w:rsid w:val="00BE47B5"/>
    <w:rsid w:val="00BE5FCE"/>
    <w:rsid w:val="00BF239A"/>
    <w:rsid w:val="00BF69E2"/>
    <w:rsid w:val="00C0079E"/>
    <w:rsid w:val="00C0572A"/>
    <w:rsid w:val="00C13EBD"/>
    <w:rsid w:val="00C1631B"/>
    <w:rsid w:val="00C163AB"/>
    <w:rsid w:val="00C170F0"/>
    <w:rsid w:val="00C25962"/>
    <w:rsid w:val="00C25FA6"/>
    <w:rsid w:val="00C3099D"/>
    <w:rsid w:val="00C33011"/>
    <w:rsid w:val="00C362C1"/>
    <w:rsid w:val="00C41950"/>
    <w:rsid w:val="00C42C3B"/>
    <w:rsid w:val="00C51672"/>
    <w:rsid w:val="00C538A9"/>
    <w:rsid w:val="00C53B5A"/>
    <w:rsid w:val="00C53E41"/>
    <w:rsid w:val="00C54909"/>
    <w:rsid w:val="00C54AAF"/>
    <w:rsid w:val="00C54AF3"/>
    <w:rsid w:val="00C54F5A"/>
    <w:rsid w:val="00C569B4"/>
    <w:rsid w:val="00C57D00"/>
    <w:rsid w:val="00C57DDE"/>
    <w:rsid w:val="00C61468"/>
    <w:rsid w:val="00C61A97"/>
    <w:rsid w:val="00C61E44"/>
    <w:rsid w:val="00C64FF3"/>
    <w:rsid w:val="00C662AD"/>
    <w:rsid w:val="00C67A92"/>
    <w:rsid w:val="00C71280"/>
    <w:rsid w:val="00C717BF"/>
    <w:rsid w:val="00C76178"/>
    <w:rsid w:val="00C84560"/>
    <w:rsid w:val="00C86679"/>
    <w:rsid w:val="00C8792F"/>
    <w:rsid w:val="00C90472"/>
    <w:rsid w:val="00C91D6E"/>
    <w:rsid w:val="00C96D4E"/>
    <w:rsid w:val="00CA489E"/>
    <w:rsid w:val="00CB0279"/>
    <w:rsid w:val="00CB666B"/>
    <w:rsid w:val="00CB734B"/>
    <w:rsid w:val="00CC41B6"/>
    <w:rsid w:val="00CC7ADA"/>
    <w:rsid w:val="00CC7F1D"/>
    <w:rsid w:val="00CD0A88"/>
    <w:rsid w:val="00CD1196"/>
    <w:rsid w:val="00CD125D"/>
    <w:rsid w:val="00CD283C"/>
    <w:rsid w:val="00CD3641"/>
    <w:rsid w:val="00CD66EA"/>
    <w:rsid w:val="00CD7432"/>
    <w:rsid w:val="00CE0FA5"/>
    <w:rsid w:val="00CE2A23"/>
    <w:rsid w:val="00CE31C8"/>
    <w:rsid w:val="00CE484B"/>
    <w:rsid w:val="00CE7CBA"/>
    <w:rsid w:val="00CF0DEE"/>
    <w:rsid w:val="00CF42AA"/>
    <w:rsid w:val="00CF5EAA"/>
    <w:rsid w:val="00CF6AE3"/>
    <w:rsid w:val="00CF77BB"/>
    <w:rsid w:val="00D006AE"/>
    <w:rsid w:val="00D00905"/>
    <w:rsid w:val="00D010C1"/>
    <w:rsid w:val="00D01CF0"/>
    <w:rsid w:val="00D0442A"/>
    <w:rsid w:val="00D12A7B"/>
    <w:rsid w:val="00D12ADB"/>
    <w:rsid w:val="00D15770"/>
    <w:rsid w:val="00D157D5"/>
    <w:rsid w:val="00D15E63"/>
    <w:rsid w:val="00D21AC9"/>
    <w:rsid w:val="00D25A39"/>
    <w:rsid w:val="00D27CFA"/>
    <w:rsid w:val="00D310FA"/>
    <w:rsid w:val="00D325C6"/>
    <w:rsid w:val="00D37213"/>
    <w:rsid w:val="00D4360D"/>
    <w:rsid w:val="00D5607F"/>
    <w:rsid w:val="00D61388"/>
    <w:rsid w:val="00D61A54"/>
    <w:rsid w:val="00D62108"/>
    <w:rsid w:val="00D64AA4"/>
    <w:rsid w:val="00D64DEA"/>
    <w:rsid w:val="00D64F84"/>
    <w:rsid w:val="00D663CD"/>
    <w:rsid w:val="00D6726A"/>
    <w:rsid w:val="00D7001B"/>
    <w:rsid w:val="00D70124"/>
    <w:rsid w:val="00D7160D"/>
    <w:rsid w:val="00D7168E"/>
    <w:rsid w:val="00D71E57"/>
    <w:rsid w:val="00D72D27"/>
    <w:rsid w:val="00D7786B"/>
    <w:rsid w:val="00D80893"/>
    <w:rsid w:val="00D82519"/>
    <w:rsid w:val="00D833EE"/>
    <w:rsid w:val="00D84854"/>
    <w:rsid w:val="00D875DE"/>
    <w:rsid w:val="00D924AE"/>
    <w:rsid w:val="00D92CF1"/>
    <w:rsid w:val="00D92D38"/>
    <w:rsid w:val="00D950F5"/>
    <w:rsid w:val="00D9521D"/>
    <w:rsid w:val="00D95FF0"/>
    <w:rsid w:val="00D97379"/>
    <w:rsid w:val="00DA4752"/>
    <w:rsid w:val="00DA4C09"/>
    <w:rsid w:val="00DA61F3"/>
    <w:rsid w:val="00DA7CB3"/>
    <w:rsid w:val="00DB0D00"/>
    <w:rsid w:val="00DB0F93"/>
    <w:rsid w:val="00DB1A67"/>
    <w:rsid w:val="00DB3721"/>
    <w:rsid w:val="00DB5074"/>
    <w:rsid w:val="00DC0281"/>
    <w:rsid w:val="00DC1930"/>
    <w:rsid w:val="00DC1C76"/>
    <w:rsid w:val="00DC4DBF"/>
    <w:rsid w:val="00DC4E19"/>
    <w:rsid w:val="00DC65FE"/>
    <w:rsid w:val="00DC7981"/>
    <w:rsid w:val="00DD4C07"/>
    <w:rsid w:val="00DD577D"/>
    <w:rsid w:val="00DD5ADC"/>
    <w:rsid w:val="00DE1093"/>
    <w:rsid w:val="00DE33B6"/>
    <w:rsid w:val="00DE4EFA"/>
    <w:rsid w:val="00DE5520"/>
    <w:rsid w:val="00DE563D"/>
    <w:rsid w:val="00DE7AB5"/>
    <w:rsid w:val="00DF0152"/>
    <w:rsid w:val="00DF1958"/>
    <w:rsid w:val="00E04818"/>
    <w:rsid w:val="00E06442"/>
    <w:rsid w:val="00E06952"/>
    <w:rsid w:val="00E11E61"/>
    <w:rsid w:val="00E157B2"/>
    <w:rsid w:val="00E16055"/>
    <w:rsid w:val="00E2332D"/>
    <w:rsid w:val="00E23993"/>
    <w:rsid w:val="00E2574F"/>
    <w:rsid w:val="00E25951"/>
    <w:rsid w:val="00E25B8C"/>
    <w:rsid w:val="00E31CF6"/>
    <w:rsid w:val="00E34A4A"/>
    <w:rsid w:val="00E35AFC"/>
    <w:rsid w:val="00E36C6E"/>
    <w:rsid w:val="00E41D39"/>
    <w:rsid w:val="00E50A02"/>
    <w:rsid w:val="00E54106"/>
    <w:rsid w:val="00E54697"/>
    <w:rsid w:val="00E57A08"/>
    <w:rsid w:val="00E63631"/>
    <w:rsid w:val="00E64C2A"/>
    <w:rsid w:val="00E65C85"/>
    <w:rsid w:val="00E66199"/>
    <w:rsid w:val="00E66CA3"/>
    <w:rsid w:val="00E70526"/>
    <w:rsid w:val="00E71FC2"/>
    <w:rsid w:val="00E754B4"/>
    <w:rsid w:val="00E755EC"/>
    <w:rsid w:val="00E7624D"/>
    <w:rsid w:val="00E81724"/>
    <w:rsid w:val="00E819A4"/>
    <w:rsid w:val="00E833FA"/>
    <w:rsid w:val="00E84B74"/>
    <w:rsid w:val="00E87066"/>
    <w:rsid w:val="00E966BF"/>
    <w:rsid w:val="00EA0C04"/>
    <w:rsid w:val="00EA3D42"/>
    <w:rsid w:val="00EA6B1B"/>
    <w:rsid w:val="00EB07D2"/>
    <w:rsid w:val="00EB1CBD"/>
    <w:rsid w:val="00EB3A34"/>
    <w:rsid w:val="00EB3C3F"/>
    <w:rsid w:val="00EC04F1"/>
    <w:rsid w:val="00EC237F"/>
    <w:rsid w:val="00EC573A"/>
    <w:rsid w:val="00ED35C8"/>
    <w:rsid w:val="00ED3968"/>
    <w:rsid w:val="00ED7323"/>
    <w:rsid w:val="00EE28F3"/>
    <w:rsid w:val="00EE50D1"/>
    <w:rsid w:val="00EE7614"/>
    <w:rsid w:val="00EF5110"/>
    <w:rsid w:val="00EF5890"/>
    <w:rsid w:val="00EF76BA"/>
    <w:rsid w:val="00F00239"/>
    <w:rsid w:val="00F0231A"/>
    <w:rsid w:val="00F03463"/>
    <w:rsid w:val="00F036B7"/>
    <w:rsid w:val="00F0700F"/>
    <w:rsid w:val="00F07F1F"/>
    <w:rsid w:val="00F10411"/>
    <w:rsid w:val="00F10A9A"/>
    <w:rsid w:val="00F11B2D"/>
    <w:rsid w:val="00F121C2"/>
    <w:rsid w:val="00F1485B"/>
    <w:rsid w:val="00F15882"/>
    <w:rsid w:val="00F170C7"/>
    <w:rsid w:val="00F171E0"/>
    <w:rsid w:val="00F20BD3"/>
    <w:rsid w:val="00F322E9"/>
    <w:rsid w:val="00F3231B"/>
    <w:rsid w:val="00F33808"/>
    <w:rsid w:val="00F373A5"/>
    <w:rsid w:val="00F37864"/>
    <w:rsid w:val="00F404F9"/>
    <w:rsid w:val="00F44B0A"/>
    <w:rsid w:val="00F47559"/>
    <w:rsid w:val="00F50B30"/>
    <w:rsid w:val="00F51F5F"/>
    <w:rsid w:val="00F52D75"/>
    <w:rsid w:val="00F55582"/>
    <w:rsid w:val="00F57647"/>
    <w:rsid w:val="00F62A14"/>
    <w:rsid w:val="00F644AB"/>
    <w:rsid w:val="00F64C7B"/>
    <w:rsid w:val="00F676DD"/>
    <w:rsid w:val="00F67AB6"/>
    <w:rsid w:val="00F70028"/>
    <w:rsid w:val="00F70434"/>
    <w:rsid w:val="00F75A26"/>
    <w:rsid w:val="00F76706"/>
    <w:rsid w:val="00F77D6D"/>
    <w:rsid w:val="00F80206"/>
    <w:rsid w:val="00F83034"/>
    <w:rsid w:val="00F83FAD"/>
    <w:rsid w:val="00F844C6"/>
    <w:rsid w:val="00F92FA6"/>
    <w:rsid w:val="00F9353B"/>
    <w:rsid w:val="00F937F1"/>
    <w:rsid w:val="00F952A0"/>
    <w:rsid w:val="00F97C54"/>
    <w:rsid w:val="00FA31B1"/>
    <w:rsid w:val="00FA3320"/>
    <w:rsid w:val="00FA3C7F"/>
    <w:rsid w:val="00FA6246"/>
    <w:rsid w:val="00FB24ED"/>
    <w:rsid w:val="00FB3304"/>
    <w:rsid w:val="00FB5005"/>
    <w:rsid w:val="00FB60FE"/>
    <w:rsid w:val="00FB74E2"/>
    <w:rsid w:val="00FB778B"/>
    <w:rsid w:val="00FD5614"/>
    <w:rsid w:val="00FD5E78"/>
    <w:rsid w:val="00FE0BE1"/>
    <w:rsid w:val="00FE11BB"/>
    <w:rsid w:val="00FE1DE9"/>
    <w:rsid w:val="00FE36AF"/>
    <w:rsid w:val="00FE39C2"/>
    <w:rsid w:val="00FE3C32"/>
    <w:rsid w:val="00FE64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88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footnote text" w:uiPriority="2"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uiPriority="0" w:qFormat="1"/>
    <w:lsdException w:name="List Continue 2" w:uiPriority="0" w:qFormat="1"/>
    <w:lsdException w:name="List Continue 3" w:uiPriority="0"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uiPriority w:val="99"/>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Ind w:w="0" w:type="dxa"/>
      <w:tblBorders>
        <w:top w:val="single" w:sz="4" w:space="0" w:color="BFBFBF" w:themeColor="background1" w:themeShade="BF"/>
        <w:bottom w:val="single" w:sz="4" w:space="0" w:color="BFBFBF" w:themeColor="background1" w:themeShade="BF"/>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Ind w:w="0" w:type="dxa"/>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CellMar>
        <w:top w:w="0" w:type="dxa"/>
        <w:left w:w="108" w:type="dxa"/>
        <w:bottom w:w="0" w:type="dxa"/>
        <w:right w:w="108" w:type="dxa"/>
      </w:tblCellMar>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Ind w:w="0" w:type="dxa"/>
      <w:tblBorders>
        <w:top w:val="single" w:sz="8" w:space="0" w:color="2F002F" w:themeColor="accent1"/>
        <w:bottom w:val="single" w:sz="8" w:space="0" w:color="2F002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Ind w:w="0" w:type="dxa"/>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CellMar>
        <w:top w:w="0" w:type="dxa"/>
        <w:left w:w="108" w:type="dxa"/>
        <w:bottom w:w="0" w:type="dxa"/>
        <w:right w:w="108" w:type="dxa"/>
      </w:tblCellMar>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Ind w:w="0" w:type="dxa"/>
      <w:tblBorders>
        <w:top w:val="single" w:sz="8" w:space="0" w:color="002060" w:themeColor="accent3"/>
        <w:bottom w:val="single" w:sz="8" w:space="0" w:color="00206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Ind w:w="0" w:type="dxa"/>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Ind w:w="0" w:type="dxa"/>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Ind w:w="0" w:type="dxa"/>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Ind w:w="0" w:type="dxa"/>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Ind w:w="0" w:type="dxa"/>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Ind w:w="0" w:type="dxa"/>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Ind w:w="0" w:type="dxa"/>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Ind w:w="0" w:type="dxa"/>
      <w:tblBorders>
        <w:top w:val="single" w:sz="8" w:space="0" w:color="076A92" w:themeColor="text1"/>
        <w:left w:val="single" w:sz="8" w:space="0" w:color="076A92" w:themeColor="text1"/>
        <w:bottom w:val="single" w:sz="8" w:space="0" w:color="076A92" w:themeColor="text1"/>
        <w:right w:val="single" w:sz="8" w:space="0" w:color="076A92"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Ind w:w="0" w:type="dxa"/>
      <w:tblBorders>
        <w:top w:val="single" w:sz="8" w:space="0" w:color="000000" w:themeColor="accent5"/>
        <w:bottom w:val="single" w:sz="8" w:space="0" w:color="000000"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Ind w:w="0" w:type="dxa"/>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Ind w:w="0" w:type="dxa"/>
      <w:tblBorders>
        <w:top w:val="single" w:sz="8" w:space="0" w:color="2F002F" w:themeColor="accent1"/>
        <w:left w:val="single" w:sz="8" w:space="0" w:color="2F002F" w:themeColor="accent1"/>
        <w:bottom w:val="single" w:sz="8" w:space="0" w:color="2F002F" w:themeColor="accent1"/>
        <w:right w:val="single" w:sz="8" w:space="0" w:color="2F002F"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Ind w:w="0" w:type="dxa"/>
      <w:tblBorders>
        <w:top w:val="single" w:sz="8" w:space="0" w:color="002060" w:themeColor="accent3"/>
        <w:left w:val="single" w:sz="8" w:space="0" w:color="002060" w:themeColor="accent3"/>
        <w:bottom w:val="single" w:sz="8" w:space="0" w:color="002060" w:themeColor="accent3"/>
        <w:right w:val="single" w:sz="8" w:space="0" w:color="00206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Ind w:w="0" w:type="dxa"/>
      <w:tblBorders>
        <w:top w:val="single" w:sz="8" w:space="0" w:color="000000" w:themeColor="accent5"/>
        <w:left w:val="single" w:sz="8" w:space="0" w:color="000000" w:themeColor="accent5"/>
        <w:bottom w:val="single" w:sz="8" w:space="0" w:color="000000" w:themeColor="accent5"/>
        <w:right w:val="single" w:sz="8" w:space="0" w:color="000000" w:themeColor="accent5"/>
      </w:tblBorders>
      <w:tblCellMar>
        <w:top w:w="0" w:type="dxa"/>
        <w:left w:w="108" w:type="dxa"/>
        <w:bottom w:w="0" w:type="dxa"/>
        <w:right w:w="108" w:type="dxa"/>
      </w:tblCellMar>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2"/>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Ind w:w="0" w:type="dxa"/>
      <w:tblBorders>
        <w:top w:val="single" w:sz="8" w:space="0" w:color="C00000" w:themeColor="accent4"/>
        <w:bottom w:val="single" w:sz="8" w:space="0" w:color="C00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Ind w:w="0" w:type="dxa"/>
      <w:tblBorders>
        <w:top w:val="single" w:sz="8" w:space="0" w:color="70303C" w:themeColor="accent6"/>
        <w:bottom w:val="single" w:sz="8" w:space="0" w:color="70303C"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Ind w:w="0" w:type="dxa"/>
      <w:tblBorders>
        <w:top w:val="single" w:sz="4" w:space="0" w:color="FFFFFF" w:themeColor="background2"/>
        <w:bottom w:val="single" w:sz="4" w:space="0" w:color="FFFFFF" w:themeColor="background2"/>
        <w:insideH w:val="single" w:sz="4" w:space="0" w:color="FFFFFF" w:themeColor="background2"/>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Ind w:w="0" w:type="dxa"/>
      <w:tblBorders>
        <w:top w:val="single" w:sz="8" w:space="0" w:color="C14E00" w:themeColor="accent2"/>
        <w:left w:val="single" w:sz="8" w:space="0" w:color="C14E00" w:themeColor="accent2"/>
        <w:bottom w:val="single" w:sz="8" w:space="0" w:color="C14E00" w:themeColor="accent2"/>
        <w:right w:val="single" w:sz="8" w:space="0" w:color="C14E0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Ind w:w="0" w:type="dxa"/>
      <w:tblBorders>
        <w:top w:val="single" w:sz="8" w:space="0" w:color="C00000" w:themeColor="accent4"/>
        <w:left w:val="single" w:sz="8" w:space="0" w:color="C00000" w:themeColor="accent4"/>
        <w:bottom w:val="single" w:sz="8" w:space="0" w:color="C00000" w:themeColor="accent4"/>
        <w:right w:val="single" w:sz="8" w:space="0" w:color="C00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Ind w:w="0" w:type="dxa"/>
      <w:tblBorders>
        <w:top w:val="single" w:sz="8" w:space="0" w:color="70303C" w:themeColor="accent6"/>
        <w:left w:val="single" w:sz="8" w:space="0" w:color="70303C" w:themeColor="accent6"/>
        <w:bottom w:val="single" w:sz="8" w:space="0" w:color="70303C" w:themeColor="accent6"/>
        <w:right w:val="single" w:sz="8" w:space="0" w:color="70303C"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Ind w:w="0" w:type="dxa"/>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Ind w:w="0" w:type="dxa"/>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Ind w:w="0" w:type="dxa"/>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Ind w:w="0" w:type="dxa"/>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Ind w:w="0" w:type="dxa"/>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Ind w:w="0" w:type="dxa"/>
      <w:tblBorders>
        <w:insideV w:val="single" w:sz="4" w:space="0" w:color="FFFFFF" w:themeColor="background2"/>
      </w:tblBorders>
      <w:tblCellMar>
        <w:top w:w="0" w:type="dxa"/>
        <w:left w:w="108" w:type="dxa"/>
        <w:bottom w:w="0" w:type="dxa"/>
        <w:right w:w="108" w:type="dxa"/>
      </w:tblCellMar>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Ind w:w="0" w:type="dxa"/>
      <w:tblBorders>
        <w:bottom w:val="single" w:sz="4" w:space="0" w:color="auto"/>
      </w:tblBorders>
      <w:tblCellMar>
        <w:top w:w="0" w:type="dxa"/>
        <w:left w:w="108" w:type="dxa"/>
        <w:bottom w:w="0" w:type="dxa"/>
        <w:right w:w="108" w:type="dxa"/>
      </w:tblCellMar>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AD7A3A"/>
    <w:pPr>
      <w:spacing w:before="0" w:after="240" w:line="288" w:lineRule="auto"/>
      <w:jc w:val="both"/>
    </w:pPr>
    <w:rPr>
      <w:rFonts w:ascii="Times New Roman" w:eastAsia="Calibri" w:hAnsi="Times New Roman" w:cs="Times New Roman"/>
      <w:sz w:val="24"/>
      <w:szCs w:val="24"/>
    </w:rPr>
  </w:style>
  <w:style w:type="paragraph" w:styleId="PlainText">
    <w:name w:val="Plain Text"/>
    <w:basedOn w:val="Normal"/>
    <w:link w:val="PlainTextChar"/>
    <w:uiPriority w:val="99"/>
    <w:unhideWhenUsed/>
    <w:rsid w:val="00AD7A3A"/>
    <w:pPr>
      <w:spacing w:before="0" w:after="100" w:afterAutospacing="1" w:line="240" w:lineRule="auto"/>
    </w:pPr>
    <w:rPr>
      <w:rFonts w:ascii="Verdana" w:eastAsia="Times New Roman" w:hAnsi="Verdana" w:cs="Times New Roman"/>
      <w:sz w:val="24"/>
      <w:szCs w:val="24"/>
      <w:lang w:eastAsia="en-AU"/>
    </w:rPr>
  </w:style>
  <w:style w:type="character" w:customStyle="1" w:styleId="PlainTextChar">
    <w:name w:val="Plain Text Char"/>
    <w:basedOn w:val="DefaultParagraphFont"/>
    <w:link w:val="PlainText"/>
    <w:uiPriority w:val="99"/>
    <w:rsid w:val="00AD7A3A"/>
    <w:rPr>
      <w:rFonts w:ascii="Verdana" w:eastAsia="Times New Roman" w:hAnsi="Verdana" w:cs="Times New Roman"/>
      <w:sz w:val="24"/>
      <w:szCs w:val="24"/>
      <w:lang w:eastAsia="en-AU"/>
    </w:rPr>
  </w:style>
  <w:style w:type="paragraph" w:styleId="BodyText">
    <w:name w:val="Body Text"/>
    <w:basedOn w:val="Normal"/>
    <w:link w:val="BodyTextChar"/>
    <w:uiPriority w:val="99"/>
    <w:semiHidden/>
    <w:unhideWhenUsed/>
    <w:rsid w:val="00AD7A3A"/>
    <w:pPr>
      <w:spacing w:before="0" w:after="120" w:line="288" w:lineRule="auto"/>
      <w:jc w:val="both"/>
    </w:pPr>
    <w:rPr>
      <w:rFonts w:ascii="Gautami" w:eastAsia="Calibri" w:hAnsi="Gautami" w:cs="Times New Roman"/>
      <w:sz w:val="20"/>
      <w:szCs w:val="20"/>
    </w:rPr>
  </w:style>
  <w:style w:type="character" w:customStyle="1" w:styleId="BodyTextChar">
    <w:name w:val="Body Text Char"/>
    <w:basedOn w:val="DefaultParagraphFont"/>
    <w:link w:val="BodyText"/>
    <w:uiPriority w:val="99"/>
    <w:semiHidden/>
    <w:rsid w:val="00AD7A3A"/>
    <w:rPr>
      <w:rFonts w:ascii="Gautami" w:eastAsia="Calibri" w:hAnsi="Gautami"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footnote text" w:uiPriority="2"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uiPriority="0" w:qFormat="1"/>
    <w:lsdException w:name="List Continue 2" w:uiPriority="0" w:qFormat="1"/>
    <w:lsdException w:name="List Continue 3" w:uiPriority="0"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uiPriority w:val="99"/>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Ind w:w="0" w:type="dxa"/>
      <w:tblBorders>
        <w:top w:val="single" w:sz="4" w:space="0" w:color="BFBFBF" w:themeColor="background1" w:themeShade="BF"/>
        <w:bottom w:val="single" w:sz="4" w:space="0" w:color="BFBFBF" w:themeColor="background1" w:themeShade="BF"/>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Ind w:w="0" w:type="dxa"/>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CellMar>
        <w:top w:w="0" w:type="dxa"/>
        <w:left w:w="108" w:type="dxa"/>
        <w:bottom w:w="0" w:type="dxa"/>
        <w:right w:w="108" w:type="dxa"/>
      </w:tblCellMar>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Ind w:w="0" w:type="dxa"/>
      <w:tblBorders>
        <w:top w:val="single" w:sz="8" w:space="0" w:color="2F002F" w:themeColor="accent1"/>
        <w:bottom w:val="single" w:sz="8" w:space="0" w:color="2F002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Ind w:w="0" w:type="dxa"/>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CellMar>
        <w:top w:w="0" w:type="dxa"/>
        <w:left w:w="108" w:type="dxa"/>
        <w:bottom w:w="0" w:type="dxa"/>
        <w:right w:w="108" w:type="dxa"/>
      </w:tblCellMar>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Ind w:w="0" w:type="dxa"/>
      <w:tblBorders>
        <w:top w:val="single" w:sz="8" w:space="0" w:color="002060" w:themeColor="accent3"/>
        <w:bottom w:val="single" w:sz="8" w:space="0" w:color="00206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Ind w:w="0" w:type="dxa"/>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Ind w:w="0" w:type="dxa"/>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Ind w:w="0" w:type="dxa"/>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Ind w:w="0" w:type="dxa"/>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Ind w:w="0" w:type="dxa"/>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Ind w:w="0" w:type="dxa"/>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Ind w:w="0" w:type="dxa"/>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Ind w:w="0" w:type="dxa"/>
      <w:tblBorders>
        <w:top w:val="single" w:sz="8" w:space="0" w:color="076A92" w:themeColor="text1"/>
        <w:left w:val="single" w:sz="8" w:space="0" w:color="076A92" w:themeColor="text1"/>
        <w:bottom w:val="single" w:sz="8" w:space="0" w:color="076A92" w:themeColor="text1"/>
        <w:right w:val="single" w:sz="8" w:space="0" w:color="076A92"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Ind w:w="0" w:type="dxa"/>
      <w:tblBorders>
        <w:top w:val="single" w:sz="8" w:space="0" w:color="000000" w:themeColor="accent5"/>
        <w:bottom w:val="single" w:sz="8" w:space="0" w:color="000000"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Ind w:w="0" w:type="dxa"/>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Ind w:w="0" w:type="dxa"/>
      <w:tblBorders>
        <w:top w:val="single" w:sz="8" w:space="0" w:color="2F002F" w:themeColor="accent1"/>
        <w:left w:val="single" w:sz="8" w:space="0" w:color="2F002F" w:themeColor="accent1"/>
        <w:bottom w:val="single" w:sz="8" w:space="0" w:color="2F002F" w:themeColor="accent1"/>
        <w:right w:val="single" w:sz="8" w:space="0" w:color="2F002F"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Ind w:w="0" w:type="dxa"/>
      <w:tblBorders>
        <w:top w:val="single" w:sz="8" w:space="0" w:color="002060" w:themeColor="accent3"/>
        <w:left w:val="single" w:sz="8" w:space="0" w:color="002060" w:themeColor="accent3"/>
        <w:bottom w:val="single" w:sz="8" w:space="0" w:color="002060" w:themeColor="accent3"/>
        <w:right w:val="single" w:sz="8" w:space="0" w:color="00206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Ind w:w="0" w:type="dxa"/>
      <w:tblBorders>
        <w:top w:val="single" w:sz="8" w:space="0" w:color="000000" w:themeColor="accent5"/>
        <w:left w:val="single" w:sz="8" w:space="0" w:color="000000" w:themeColor="accent5"/>
        <w:bottom w:val="single" w:sz="8" w:space="0" w:color="000000" w:themeColor="accent5"/>
        <w:right w:val="single" w:sz="8" w:space="0" w:color="000000" w:themeColor="accent5"/>
      </w:tblBorders>
      <w:tblCellMar>
        <w:top w:w="0" w:type="dxa"/>
        <w:left w:w="108" w:type="dxa"/>
        <w:bottom w:w="0" w:type="dxa"/>
        <w:right w:w="108" w:type="dxa"/>
      </w:tblCellMar>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2"/>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Ind w:w="0" w:type="dxa"/>
      <w:tblBorders>
        <w:top w:val="single" w:sz="8" w:space="0" w:color="C00000" w:themeColor="accent4"/>
        <w:bottom w:val="single" w:sz="8" w:space="0" w:color="C00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Ind w:w="0" w:type="dxa"/>
      <w:tblBorders>
        <w:top w:val="single" w:sz="8" w:space="0" w:color="70303C" w:themeColor="accent6"/>
        <w:bottom w:val="single" w:sz="8" w:space="0" w:color="70303C"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Ind w:w="0" w:type="dxa"/>
      <w:tblBorders>
        <w:top w:val="single" w:sz="4" w:space="0" w:color="FFFFFF" w:themeColor="background2"/>
        <w:bottom w:val="single" w:sz="4" w:space="0" w:color="FFFFFF" w:themeColor="background2"/>
        <w:insideH w:val="single" w:sz="4" w:space="0" w:color="FFFFFF" w:themeColor="background2"/>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Ind w:w="0" w:type="dxa"/>
      <w:tblBorders>
        <w:top w:val="single" w:sz="8" w:space="0" w:color="C14E00" w:themeColor="accent2"/>
        <w:left w:val="single" w:sz="8" w:space="0" w:color="C14E00" w:themeColor="accent2"/>
        <w:bottom w:val="single" w:sz="8" w:space="0" w:color="C14E00" w:themeColor="accent2"/>
        <w:right w:val="single" w:sz="8" w:space="0" w:color="C14E0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Ind w:w="0" w:type="dxa"/>
      <w:tblBorders>
        <w:top w:val="single" w:sz="8" w:space="0" w:color="C00000" w:themeColor="accent4"/>
        <w:left w:val="single" w:sz="8" w:space="0" w:color="C00000" w:themeColor="accent4"/>
        <w:bottom w:val="single" w:sz="8" w:space="0" w:color="C00000" w:themeColor="accent4"/>
        <w:right w:val="single" w:sz="8" w:space="0" w:color="C00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Ind w:w="0" w:type="dxa"/>
      <w:tblBorders>
        <w:top w:val="single" w:sz="8" w:space="0" w:color="70303C" w:themeColor="accent6"/>
        <w:left w:val="single" w:sz="8" w:space="0" w:color="70303C" w:themeColor="accent6"/>
        <w:bottom w:val="single" w:sz="8" w:space="0" w:color="70303C" w:themeColor="accent6"/>
        <w:right w:val="single" w:sz="8" w:space="0" w:color="70303C"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Ind w:w="0" w:type="dxa"/>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Ind w:w="0" w:type="dxa"/>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Ind w:w="0" w:type="dxa"/>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Ind w:w="0" w:type="dxa"/>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Ind w:w="0" w:type="dxa"/>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Ind w:w="0" w:type="dxa"/>
      <w:tblBorders>
        <w:insideV w:val="single" w:sz="4" w:space="0" w:color="FFFFFF" w:themeColor="background2"/>
      </w:tblBorders>
      <w:tblCellMar>
        <w:top w:w="0" w:type="dxa"/>
        <w:left w:w="108" w:type="dxa"/>
        <w:bottom w:w="0" w:type="dxa"/>
        <w:right w:w="108" w:type="dxa"/>
      </w:tblCellMar>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Ind w:w="0" w:type="dxa"/>
      <w:tblBorders>
        <w:bottom w:val="single" w:sz="4" w:space="0" w:color="auto"/>
      </w:tblBorders>
      <w:tblCellMar>
        <w:top w:w="0" w:type="dxa"/>
        <w:left w:w="108" w:type="dxa"/>
        <w:bottom w:w="0" w:type="dxa"/>
        <w:right w:w="108" w:type="dxa"/>
      </w:tblCellMar>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AD7A3A"/>
    <w:pPr>
      <w:spacing w:before="0" w:after="240" w:line="288" w:lineRule="auto"/>
      <w:jc w:val="both"/>
    </w:pPr>
    <w:rPr>
      <w:rFonts w:ascii="Times New Roman" w:eastAsia="Calibri" w:hAnsi="Times New Roman" w:cs="Times New Roman"/>
      <w:sz w:val="24"/>
      <w:szCs w:val="24"/>
    </w:rPr>
  </w:style>
  <w:style w:type="paragraph" w:styleId="PlainText">
    <w:name w:val="Plain Text"/>
    <w:basedOn w:val="Normal"/>
    <w:link w:val="PlainTextChar"/>
    <w:uiPriority w:val="99"/>
    <w:unhideWhenUsed/>
    <w:rsid w:val="00AD7A3A"/>
    <w:pPr>
      <w:spacing w:before="0" w:after="100" w:afterAutospacing="1" w:line="240" w:lineRule="auto"/>
    </w:pPr>
    <w:rPr>
      <w:rFonts w:ascii="Verdana" w:eastAsia="Times New Roman" w:hAnsi="Verdana" w:cs="Times New Roman"/>
      <w:sz w:val="24"/>
      <w:szCs w:val="24"/>
      <w:lang w:eastAsia="en-AU"/>
    </w:rPr>
  </w:style>
  <w:style w:type="character" w:customStyle="1" w:styleId="PlainTextChar">
    <w:name w:val="Plain Text Char"/>
    <w:basedOn w:val="DefaultParagraphFont"/>
    <w:link w:val="PlainText"/>
    <w:uiPriority w:val="99"/>
    <w:rsid w:val="00AD7A3A"/>
    <w:rPr>
      <w:rFonts w:ascii="Verdana" w:eastAsia="Times New Roman" w:hAnsi="Verdana" w:cs="Times New Roman"/>
      <w:sz w:val="24"/>
      <w:szCs w:val="24"/>
      <w:lang w:eastAsia="en-AU"/>
    </w:rPr>
  </w:style>
  <w:style w:type="paragraph" w:styleId="BodyText">
    <w:name w:val="Body Text"/>
    <w:basedOn w:val="Normal"/>
    <w:link w:val="BodyTextChar"/>
    <w:uiPriority w:val="99"/>
    <w:semiHidden/>
    <w:unhideWhenUsed/>
    <w:rsid w:val="00AD7A3A"/>
    <w:pPr>
      <w:spacing w:before="0" w:after="120" w:line="288" w:lineRule="auto"/>
      <w:jc w:val="both"/>
    </w:pPr>
    <w:rPr>
      <w:rFonts w:ascii="Gautami" w:eastAsia="Calibri" w:hAnsi="Gautami" w:cs="Times New Roman"/>
      <w:sz w:val="20"/>
      <w:szCs w:val="20"/>
    </w:rPr>
  </w:style>
  <w:style w:type="character" w:customStyle="1" w:styleId="BodyTextChar">
    <w:name w:val="Body Text Char"/>
    <w:basedOn w:val="DefaultParagraphFont"/>
    <w:link w:val="BodyText"/>
    <w:uiPriority w:val="99"/>
    <w:semiHidden/>
    <w:rsid w:val="00AD7A3A"/>
    <w:rPr>
      <w:rFonts w:ascii="Gautami" w:eastAsia="Calibri" w:hAnsi="Gautam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823670">
      <w:bodyDiv w:val="1"/>
      <w:marLeft w:val="0"/>
      <w:marRight w:val="0"/>
      <w:marTop w:val="0"/>
      <w:marBottom w:val="0"/>
      <w:divBdr>
        <w:top w:val="none" w:sz="0" w:space="0" w:color="auto"/>
        <w:left w:val="none" w:sz="0" w:space="0" w:color="auto"/>
        <w:bottom w:val="none" w:sz="0" w:space="0" w:color="auto"/>
        <w:right w:val="none" w:sz="0" w:space="0" w:color="auto"/>
      </w:divBdr>
    </w:div>
    <w:div w:id="456605257">
      <w:bodyDiv w:val="1"/>
      <w:marLeft w:val="0"/>
      <w:marRight w:val="0"/>
      <w:marTop w:val="0"/>
      <w:marBottom w:val="0"/>
      <w:divBdr>
        <w:top w:val="none" w:sz="0" w:space="0" w:color="auto"/>
        <w:left w:val="none" w:sz="0" w:space="0" w:color="auto"/>
        <w:bottom w:val="none" w:sz="0" w:space="0" w:color="auto"/>
        <w:right w:val="none" w:sz="0" w:space="0" w:color="auto"/>
      </w:divBdr>
    </w:div>
    <w:div w:id="488448612">
      <w:bodyDiv w:val="1"/>
      <w:marLeft w:val="0"/>
      <w:marRight w:val="0"/>
      <w:marTop w:val="0"/>
      <w:marBottom w:val="0"/>
      <w:divBdr>
        <w:top w:val="none" w:sz="0" w:space="0" w:color="auto"/>
        <w:left w:val="none" w:sz="0" w:space="0" w:color="auto"/>
        <w:bottom w:val="none" w:sz="0" w:space="0" w:color="auto"/>
        <w:right w:val="none" w:sz="0" w:space="0" w:color="auto"/>
      </w:divBdr>
    </w:div>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834535643">
      <w:bodyDiv w:val="1"/>
      <w:marLeft w:val="0"/>
      <w:marRight w:val="0"/>
      <w:marTop w:val="0"/>
      <w:marBottom w:val="0"/>
      <w:divBdr>
        <w:top w:val="none" w:sz="0" w:space="0" w:color="auto"/>
        <w:left w:val="none" w:sz="0" w:space="0" w:color="auto"/>
        <w:bottom w:val="none" w:sz="0" w:space="0" w:color="auto"/>
        <w:right w:val="none" w:sz="0" w:space="0" w:color="auto"/>
      </w:divBdr>
    </w:div>
    <w:div w:id="983241265">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974406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RInquiry@aer.gov.au" TargetMode="External"/><Relationship Id="rId24" Type="http://schemas.openxmlformats.org/officeDocument/2006/relationships/image" Target="media/image11.png"/><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5.xml"/><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footer" Target="footer4.xml"/><Relationship Id="rId30" Type="http://schemas.openxmlformats.org/officeDocument/2006/relationships/fontTable" Target="fontTable.xml"/></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89147A-B941-40B6-AF42-8EA2FB4FB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1CB133E1.dotm</Template>
  <TotalTime>0</TotalTime>
  <Pages>21</Pages>
  <Words>1944</Words>
  <Characters>11087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AER final decision - TasNetworks - Negotiated services</vt:lpstr>
    </vt:vector>
  </TitlesOfParts>
  <LinksUpToDate>false</LinksUpToDate>
  <CharactersWithSpaces>13005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AER final decision - TasNetworks - Negotiated services</dc:title>
  <dc:creator/>
  <cp:lastModifiedBy/>
  <cp:revision>1</cp:revision>
  <dcterms:created xsi:type="dcterms:W3CDTF">2017-04-27T02:58:00Z</dcterms:created>
  <dcterms:modified xsi:type="dcterms:W3CDTF">2017-04-27T02:58:00Z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rrfile">
    <vt:lpwstr>\\cdchnas-evs02\home$\mleco\aer - final decision tasnetworks distribution determination - attachment 17 - negotiated services framework and criteria (D2016-00009005).docx</vt:lpwstr>
  </property>
</Properties>
</file>