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8FB7593" wp14:editId="11DA8430">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46646A">
            <w:t>FINAL</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3D6047">
            <w:t>9</w:t>
          </w:r>
          <w:r w:rsidR="000474DF">
            <w:t xml:space="preserve"> </w:t>
          </w:r>
          <w:r w:rsidR="00185BA5">
            <w:t>–</w:t>
          </w:r>
          <w:r w:rsidR="000474DF">
            <w:t xml:space="preserve"> </w:t>
          </w:r>
          <w:r w:rsidR="003D6047">
            <w:t>Tariff structure statement</w:t>
          </w:r>
        </w:p>
        <w:p w:rsidR="000A6C7B" w:rsidRPr="00327A1E" w:rsidRDefault="0046646A"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783B3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3810A9">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61341"/>
      <w:r>
        <w:lastRenderedPageBreak/>
        <w:t>Note</w:t>
      </w:r>
      <w:bookmarkEnd w:id="1"/>
      <w:bookmarkEnd w:id="2"/>
      <w:bookmarkEnd w:id="3"/>
    </w:p>
    <w:p w:rsidR="00761454" w:rsidRDefault="00761454" w:rsidP="00761454">
      <w:pPr>
        <w:numPr>
          <w:ilvl w:val="0"/>
          <w:numId w:val="24"/>
        </w:numPr>
      </w:pPr>
      <w:r>
        <w:t xml:space="preserve">This overview forms part of the AER's </w:t>
      </w:r>
      <w:r w:rsidR="0046646A">
        <w:t>final</w:t>
      </w:r>
      <w:r w:rsidR="000474DF">
        <w:t xml:space="preserve">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46646A">
        <w:t>final</w:t>
      </w:r>
      <w:r>
        <w:t xml:space="preserve"> decision.</w:t>
      </w:r>
    </w:p>
    <w:p w:rsidR="00761454" w:rsidRDefault="00761454" w:rsidP="00761454">
      <w:pPr>
        <w:numPr>
          <w:ilvl w:val="0"/>
          <w:numId w:val="24"/>
        </w:numPr>
      </w:pPr>
      <w:r>
        <w:t xml:space="preserve">The </w:t>
      </w:r>
      <w:r w:rsidR="0046646A">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3D6047" w:rsidRDefault="003D6047" w:rsidP="003D6047">
      <w:pPr>
        <w:numPr>
          <w:ilvl w:val="0"/>
          <w:numId w:val="24"/>
        </w:numPr>
      </w:pPr>
      <w:r>
        <w:t>Attachment 19 – Tariff structure statement</w:t>
      </w:r>
    </w:p>
    <w:p w:rsidR="003D6047" w:rsidRDefault="003D6047" w:rsidP="00761454">
      <w:pPr>
        <w:numPr>
          <w:ilvl w:val="0"/>
          <w:numId w:val="24"/>
        </w:numPr>
      </w:pP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61342"/>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3810A9"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61341" w:history="1">
            <w:r w:rsidR="003810A9" w:rsidRPr="009A442F">
              <w:rPr>
                <w:rStyle w:val="Hyperlink"/>
              </w:rPr>
              <w:t>Note</w:t>
            </w:r>
            <w:r w:rsidR="003810A9">
              <w:rPr>
                <w:webHidden/>
              </w:rPr>
              <w:tab/>
            </w:r>
            <w:r w:rsidR="003810A9">
              <w:rPr>
                <w:webHidden/>
              </w:rPr>
              <w:fldChar w:fldCharType="begin"/>
            </w:r>
            <w:r w:rsidR="003810A9">
              <w:rPr>
                <w:webHidden/>
              </w:rPr>
              <w:instrText xml:space="preserve"> PAGEREF _Toc481061341 \h </w:instrText>
            </w:r>
            <w:r w:rsidR="003810A9">
              <w:rPr>
                <w:webHidden/>
              </w:rPr>
            </w:r>
            <w:r w:rsidR="003810A9">
              <w:rPr>
                <w:webHidden/>
              </w:rPr>
              <w:fldChar w:fldCharType="separate"/>
            </w:r>
            <w:r w:rsidR="003810A9">
              <w:rPr>
                <w:webHidden/>
              </w:rPr>
              <w:t>19-2</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42" w:history="1">
            <w:r w:rsidR="003810A9" w:rsidRPr="009A442F">
              <w:rPr>
                <w:rStyle w:val="Hyperlink"/>
              </w:rPr>
              <w:t>Contents</w:t>
            </w:r>
            <w:r w:rsidR="003810A9">
              <w:rPr>
                <w:webHidden/>
              </w:rPr>
              <w:tab/>
            </w:r>
            <w:r w:rsidR="003810A9">
              <w:rPr>
                <w:webHidden/>
              </w:rPr>
              <w:fldChar w:fldCharType="begin"/>
            </w:r>
            <w:r w:rsidR="003810A9">
              <w:rPr>
                <w:webHidden/>
              </w:rPr>
              <w:instrText xml:space="preserve"> PAGEREF _Toc481061342 \h </w:instrText>
            </w:r>
            <w:r w:rsidR="003810A9">
              <w:rPr>
                <w:webHidden/>
              </w:rPr>
            </w:r>
            <w:r w:rsidR="003810A9">
              <w:rPr>
                <w:webHidden/>
              </w:rPr>
              <w:fldChar w:fldCharType="separate"/>
            </w:r>
            <w:r w:rsidR="003810A9">
              <w:rPr>
                <w:webHidden/>
              </w:rPr>
              <w:t>19-3</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43" w:history="1">
            <w:r w:rsidR="003810A9" w:rsidRPr="009A442F">
              <w:rPr>
                <w:rStyle w:val="Hyperlink"/>
              </w:rPr>
              <w:t>Shortened forms</w:t>
            </w:r>
            <w:r w:rsidR="003810A9">
              <w:rPr>
                <w:webHidden/>
              </w:rPr>
              <w:tab/>
            </w:r>
            <w:r w:rsidR="003810A9">
              <w:rPr>
                <w:webHidden/>
              </w:rPr>
              <w:fldChar w:fldCharType="begin"/>
            </w:r>
            <w:r w:rsidR="003810A9">
              <w:rPr>
                <w:webHidden/>
              </w:rPr>
              <w:instrText xml:space="preserve"> PAGEREF _Toc481061343 \h </w:instrText>
            </w:r>
            <w:r w:rsidR="003810A9">
              <w:rPr>
                <w:webHidden/>
              </w:rPr>
            </w:r>
            <w:r w:rsidR="003810A9">
              <w:rPr>
                <w:webHidden/>
              </w:rPr>
              <w:fldChar w:fldCharType="separate"/>
            </w:r>
            <w:r w:rsidR="003810A9">
              <w:rPr>
                <w:webHidden/>
              </w:rPr>
              <w:t>19-4</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44" w:history="1">
            <w:r w:rsidR="003810A9" w:rsidRPr="009A442F">
              <w:rPr>
                <w:rStyle w:val="Hyperlink"/>
              </w:rPr>
              <w:t>Glossary of terms</w:t>
            </w:r>
            <w:r w:rsidR="003810A9">
              <w:rPr>
                <w:webHidden/>
              </w:rPr>
              <w:tab/>
            </w:r>
            <w:r w:rsidR="003810A9">
              <w:rPr>
                <w:webHidden/>
              </w:rPr>
              <w:fldChar w:fldCharType="begin"/>
            </w:r>
            <w:r w:rsidR="003810A9">
              <w:rPr>
                <w:webHidden/>
              </w:rPr>
              <w:instrText xml:space="preserve"> PAGEREF _Toc481061344 \h </w:instrText>
            </w:r>
            <w:r w:rsidR="003810A9">
              <w:rPr>
                <w:webHidden/>
              </w:rPr>
            </w:r>
            <w:r w:rsidR="003810A9">
              <w:rPr>
                <w:webHidden/>
              </w:rPr>
              <w:fldChar w:fldCharType="separate"/>
            </w:r>
            <w:r w:rsidR="003810A9">
              <w:rPr>
                <w:webHidden/>
              </w:rPr>
              <w:t>19-6</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45" w:history="1">
            <w:r w:rsidR="003810A9" w:rsidRPr="009A442F">
              <w:rPr>
                <w:rStyle w:val="Hyperlink"/>
              </w:rPr>
              <w:t>19</w:t>
            </w:r>
            <w:r w:rsidR="003810A9">
              <w:rPr>
                <w:rFonts w:asciiTheme="minorHAnsi" w:eastAsiaTheme="minorEastAsia" w:hAnsiTheme="minorHAnsi"/>
                <w:b w:val="0"/>
                <w:color w:val="auto"/>
                <w:sz w:val="22"/>
                <w:lang w:val="en-AU" w:eastAsia="en-AU"/>
              </w:rPr>
              <w:tab/>
            </w:r>
            <w:r w:rsidR="003810A9" w:rsidRPr="009A442F">
              <w:rPr>
                <w:rStyle w:val="Hyperlink"/>
              </w:rPr>
              <w:t>Tariff structure statement</w:t>
            </w:r>
            <w:r w:rsidR="003810A9">
              <w:rPr>
                <w:webHidden/>
              </w:rPr>
              <w:tab/>
            </w:r>
            <w:r w:rsidR="003810A9">
              <w:rPr>
                <w:webHidden/>
              </w:rPr>
              <w:fldChar w:fldCharType="begin"/>
            </w:r>
            <w:r w:rsidR="003810A9">
              <w:rPr>
                <w:webHidden/>
              </w:rPr>
              <w:instrText xml:space="preserve"> PAGEREF _Toc481061345 \h </w:instrText>
            </w:r>
            <w:r w:rsidR="003810A9">
              <w:rPr>
                <w:webHidden/>
              </w:rPr>
            </w:r>
            <w:r w:rsidR="003810A9">
              <w:rPr>
                <w:webHidden/>
              </w:rPr>
              <w:fldChar w:fldCharType="separate"/>
            </w:r>
            <w:r w:rsidR="003810A9">
              <w:rPr>
                <w:webHidden/>
              </w:rPr>
              <w:t>19-8</w:t>
            </w:r>
            <w:r w:rsidR="003810A9">
              <w:rPr>
                <w:webHidden/>
              </w:rPr>
              <w:fldChar w:fldCharType="end"/>
            </w:r>
          </w:hyperlink>
        </w:p>
        <w:p w:rsidR="003810A9" w:rsidRDefault="00FF3C4B">
          <w:pPr>
            <w:pStyle w:val="TOC2"/>
            <w:tabs>
              <w:tab w:val="left" w:pos="1276"/>
            </w:tabs>
            <w:rPr>
              <w:rFonts w:asciiTheme="minorHAnsi" w:eastAsiaTheme="minorEastAsia" w:hAnsiTheme="minorHAnsi"/>
              <w:b w:val="0"/>
              <w:color w:val="auto"/>
              <w:sz w:val="22"/>
              <w:lang w:eastAsia="en-AU"/>
            </w:rPr>
          </w:pPr>
          <w:hyperlink w:anchor="_Toc481061346" w:history="1">
            <w:r w:rsidR="003810A9" w:rsidRPr="009A442F">
              <w:rPr>
                <w:rStyle w:val="Hyperlink"/>
              </w:rPr>
              <w:t>19.1</w:t>
            </w:r>
            <w:r w:rsidR="003810A9">
              <w:rPr>
                <w:rFonts w:asciiTheme="minorHAnsi" w:eastAsiaTheme="minorEastAsia" w:hAnsiTheme="minorHAnsi"/>
                <w:b w:val="0"/>
                <w:color w:val="auto"/>
                <w:sz w:val="22"/>
                <w:lang w:eastAsia="en-AU"/>
              </w:rPr>
              <w:tab/>
            </w:r>
            <w:r w:rsidR="003810A9" w:rsidRPr="009A442F">
              <w:rPr>
                <w:rStyle w:val="Hyperlink"/>
              </w:rPr>
              <w:t>Final decision</w:t>
            </w:r>
            <w:r w:rsidR="003810A9">
              <w:rPr>
                <w:webHidden/>
              </w:rPr>
              <w:tab/>
            </w:r>
            <w:r w:rsidR="003810A9">
              <w:rPr>
                <w:webHidden/>
              </w:rPr>
              <w:fldChar w:fldCharType="begin"/>
            </w:r>
            <w:r w:rsidR="003810A9">
              <w:rPr>
                <w:webHidden/>
              </w:rPr>
              <w:instrText xml:space="preserve"> PAGEREF _Toc481061346 \h </w:instrText>
            </w:r>
            <w:r w:rsidR="003810A9">
              <w:rPr>
                <w:webHidden/>
              </w:rPr>
            </w:r>
            <w:r w:rsidR="003810A9">
              <w:rPr>
                <w:webHidden/>
              </w:rPr>
              <w:fldChar w:fldCharType="separate"/>
            </w:r>
            <w:r w:rsidR="003810A9">
              <w:rPr>
                <w:webHidden/>
              </w:rPr>
              <w:t>19-9</w:t>
            </w:r>
            <w:r w:rsidR="003810A9">
              <w:rPr>
                <w:webHidden/>
              </w:rPr>
              <w:fldChar w:fldCharType="end"/>
            </w:r>
          </w:hyperlink>
        </w:p>
        <w:p w:rsidR="003810A9" w:rsidRDefault="00FF3C4B">
          <w:pPr>
            <w:pStyle w:val="TOC2"/>
            <w:tabs>
              <w:tab w:val="left" w:pos="1276"/>
            </w:tabs>
            <w:rPr>
              <w:rFonts w:asciiTheme="minorHAnsi" w:eastAsiaTheme="minorEastAsia" w:hAnsiTheme="minorHAnsi"/>
              <w:b w:val="0"/>
              <w:color w:val="auto"/>
              <w:sz w:val="22"/>
              <w:lang w:eastAsia="en-AU"/>
            </w:rPr>
          </w:pPr>
          <w:hyperlink w:anchor="_Toc481061347" w:history="1">
            <w:r w:rsidR="003810A9" w:rsidRPr="009A442F">
              <w:rPr>
                <w:rStyle w:val="Hyperlink"/>
              </w:rPr>
              <w:t>19.2</w:t>
            </w:r>
            <w:r w:rsidR="003810A9">
              <w:rPr>
                <w:rFonts w:asciiTheme="minorHAnsi" w:eastAsiaTheme="minorEastAsia" w:hAnsiTheme="minorHAnsi"/>
                <w:b w:val="0"/>
                <w:color w:val="auto"/>
                <w:sz w:val="22"/>
                <w:lang w:eastAsia="en-AU"/>
              </w:rPr>
              <w:tab/>
            </w:r>
            <w:r w:rsidR="003810A9" w:rsidRPr="009A442F">
              <w:rPr>
                <w:rStyle w:val="Hyperlink"/>
              </w:rPr>
              <w:t>TasNetworks' revised proposal</w:t>
            </w:r>
            <w:r w:rsidR="003810A9">
              <w:rPr>
                <w:webHidden/>
              </w:rPr>
              <w:tab/>
            </w:r>
            <w:r w:rsidR="003810A9">
              <w:rPr>
                <w:webHidden/>
              </w:rPr>
              <w:fldChar w:fldCharType="begin"/>
            </w:r>
            <w:r w:rsidR="003810A9">
              <w:rPr>
                <w:webHidden/>
              </w:rPr>
              <w:instrText xml:space="preserve"> PAGEREF _Toc481061347 \h </w:instrText>
            </w:r>
            <w:r w:rsidR="003810A9">
              <w:rPr>
                <w:webHidden/>
              </w:rPr>
            </w:r>
            <w:r w:rsidR="003810A9">
              <w:rPr>
                <w:webHidden/>
              </w:rPr>
              <w:fldChar w:fldCharType="separate"/>
            </w:r>
            <w:r w:rsidR="003810A9">
              <w:rPr>
                <w:webHidden/>
              </w:rPr>
              <w:t>19-13</w:t>
            </w:r>
            <w:r w:rsidR="003810A9">
              <w:rPr>
                <w:webHidden/>
              </w:rPr>
              <w:fldChar w:fldCharType="end"/>
            </w:r>
          </w:hyperlink>
        </w:p>
        <w:p w:rsidR="003810A9" w:rsidRDefault="00FF3C4B">
          <w:pPr>
            <w:pStyle w:val="TOC2"/>
            <w:tabs>
              <w:tab w:val="left" w:pos="1276"/>
            </w:tabs>
            <w:rPr>
              <w:rFonts w:asciiTheme="minorHAnsi" w:eastAsiaTheme="minorEastAsia" w:hAnsiTheme="minorHAnsi"/>
              <w:b w:val="0"/>
              <w:color w:val="auto"/>
              <w:sz w:val="22"/>
              <w:lang w:eastAsia="en-AU"/>
            </w:rPr>
          </w:pPr>
          <w:hyperlink w:anchor="_Toc481061348" w:history="1">
            <w:r w:rsidR="003810A9" w:rsidRPr="009A442F">
              <w:rPr>
                <w:rStyle w:val="Hyperlink"/>
              </w:rPr>
              <w:t>19.3</w:t>
            </w:r>
            <w:r w:rsidR="003810A9">
              <w:rPr>
                <w:rFonts w:asciiTheme="minorHAnsi" w:eastAsiaTheme="minorEastAsia" w:hAnsiTheme="minorHAnsi"/>
                <w:b w:val="0"/>
                <w:color w:val="auto"/>
                <w:sz w:val="22"/>
                <w:lang w:eastAsia="en-AU"/>
              </w:rPr>
              <w:tab/>
            </w:r>
            <w:r w:rsidR="003810A9" w:rsidRPr="009A442F">
              <w:rPr>
                <w:rStyle w:val="Hyperlink"/>
              </w:rPr>
              <w:t>Assessment approach</w:t>
            </w:r>
            <w:r w:rsidR="003810A9">
              <w:rPr>
                <w:webHidden/>
              </w:rPr>
              <w:tab/>
            </w:r>
            <w:r w:rsidR="003810A9">
              <w:rPr>
                <w:webHidden/>
              </w:rPr>
              <w:fldChar w:fldCharType="begin"/>
            </w:r>
            <w:r w:rsidR="003810A9">
              <w:rPr>
                <w:webHidden/>
              </w:rPr>
              <w:instrText xml:space="preserve"> PAGEREF _Toc481061348 \h </w:instrText>
            </w:r>
            <w:r w:rsidR="003810A9">
              <w:rPr>
                <w:webHidden/>
              </w:rPr>
            </w:r>
            <w:r w:rsidR="003810A9">
              <w:rPr>
                <w:webHidden/>
              </w:rPr>
              <w:fldChar w:fldCharType="separate"/>
            </w:r>
            <w:r w:rsidR="003810A9">
              <w:rPr>
                <w:webHidden/>
              </w:rPr>
              <w:t>19-16</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49" w:history="1">
            <w:r w:rsidR="003810A9" w:rsidRPr="009A442F">
              <w:rPr>
                <w:rStyle w:val="Hyperlink"/>
              </w:rPr>
              <w:t>19.3.1</w:t>
            </w:r>
            <w:r w:rsidR="003810A9">
              <w:rPr>
                <w:rFonts w:asciiTheme="minorHAnsi" w:eastAsiaTheme="minorEastAsia" w:hAnsiTheme="minorHAnsi"/>
                <w:lang w:eastAsia="en-AU"/>
              </w:rPr>
              <w:tab/>
            </w:r>
            <w:r w:rsidR="003810A9" w:rsidRPr="009A442F">
              <w:rPr>
                <w:rStyle w:val="Hyperlink"/>
              </w:rPr>
              <w:t>Interrelationships</w:t>
            </w:r>
            <w:r w:rsidR="003810A9">
              <w:rPr>
                <w:webHidden/>
              </w:rPr>
              <w:tab/>
            </w:r>
            <w:r w:rsidR="003810A9">
              <w:rPr>
                <w:webHidden/>
              </w:rPr>
              <w:fldChar w:fldCharType="begin"/>
            </w:r>
            <w:r w:rsidR="003810A9">
              <w:rPr>
                <w:webHidden/>
              </w:rPr>
              <w:instrText xml:space="preserve"> PAGEREF _Toc481061349 \h </w:instrText>
            </w:r>
            <w:r w:rsidR="003810A9">
              <w:rPr>
                <w:webHidden/>
              </w:rPr>
            </w:r>
            <w:r w:rsidR="003810A9">
              <w:rPr>
                <w:webHidden/>
              </w:rPr>
              <w:fldChar w:fldCharType="separate"/>
            </w:r>
            <w:r w:rsidR="003810A9">
              <w:rPr>
                <w:webHidden/>
              </w:rPr>
              <w:t>19-19</w:t>
            </w:r>
            <w:r w:rsidR="003810A9">
              <w:rPr>
                <w:webHidden/>
              </w:rPr>
              <w:fldChar w:fldCharType="end"/>
            </w:r>
          </w:hyperlink>
        </w:p>
        <w:p w:rsidR="003810A9" w:rsidRDefault="00FF3C4B">
          <w:pPr>
            <w:pStyle w:val="TOC2"/>
            <w:tabs>
              <w:tab w:val="left" w:pos="1276"/>
            </w:tabs>
            <w:rPr>
              <w:rFonts w:asciiTheme="minorHAnsi" w:eastAsiaTheme="minorEastAsia" w:hAnsiTheme="minorHAnsi"/>
              <w:b w:val="0"/>
              <w:color w:val="auto"/>
              <w:sz w:val="22"/>
              <w:lang w:eastAsia="en-AU"/>
            </w:rPr>
          </w:pPr>
          <w:hyperlink w:anchor="_Toc481061350" w:history="1">
            <w:r w:rsidR="003810A9" w:rsidRPr="009A442F">
              <w:rPr>
                <w:rStyle w:val="Hyperlink"/>
              </w:rPr>
              <w:t>19.4</w:t>
            </w:r>
            <w:r w:rsidR="003810A9">
              <w:rPr>
                <w:rFonts w:asciiTheme="minorHAnsi" w:eastAsiaTheme="minorEastAsia" w:hAnsiTheme="minorHAnsi"/>
                <w:b w:val="0"/>
                <w:color w:val="auto"/>
                <w:sz w:val="22"/>
                <w:lang w:eastAsia="en-AU"/>
              </w:rPr>
              <w:tab/>
            </w:r>
            <w:r w:rsidR="003810A9" w:rsidRPr="009A442F">
              <w:rPr>
                <w:rStyle w:val="Hyperlink"/>
              </w:rPr>
              <w:t>Reasons for final decision</w:t>
            </w:r>
            <w:r w:rsidR="003810A9">
              <w:rPr>
                <w:webHidden/>
              </w:rPr>
              <w:tab/>
            </w:r>
            <w:r w:rsidR="003810A9">
              <w:rPr>
                <w:webHidden/>
              </w:rPr>
              <w:fldChar w:fldCharType="begin"/>
            </w:r>
            <w:r w:rsidR="003810A9">
              <w:rPr>
                <w:webHidden/>
              </w:rPr>
              <w:instrText xml:space="preserve"> PAGEREF _Toc481061350 \h </w:instrText>
            </w:r>
            <w:r w:rsidR="003810A9">
              <w:rPr>
                <w:webHidden/>
              </w:rPr>
            </w:r>
            <w:r w:rsidR="003810A9">
              <w:rPr>
                <w:webHidden/>
              </w:rPr>
              <w:fldChar w:fldCharType="separate"/>
            </w:r>
            <w:r w:rsidR="003810A9">
              <w:rPr>
                <w:webHidden/>
              </w:rPr>
              <w:t>19-20</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1" w:history="1">
            <w:r w:rsidR="003810A9" w:rsidRPr="009A442F">
              <w:rPr>
                <w:rStyle w:val="Hyperlink"/>
              </w:rPr>
              <w:t>19.4.1</w:t>
            </w:r>
            <w:r w:rsidR="003810A9">
              <w:rPr>
                <w:rFonts w:asciiTheme="minorHAnsi" w:eastAsiaTheme="minorEastAsia" w:hAnsiTheme="minorHAnsi"/>
                <w:lang w:eastAsia="en-AU"/>
              </w:rPr>
              <w:tab/>
            </w:r>
            <w:r w:rsidR="003810A9" w:rsidRPr="009A442F">
              <w:rPr>
                <w:rStyle w:val="Hyperlink"/>
              </w:rPr>
              <w:t>Tariff classes</w:t>
            </w:r>
            <w:r w:rsidR="003810A9">
              <w:rPr>
                <w:webHidden/>
              </w:rPr>
              <w:tab/>
            </w:r>
            <w:r w:rsidR="003810A9">
              <w:rPr>
                <w:webHidden/>
              </w:rPr>
              <w:fldChar w:fldCharType="begin"/>
            </w:r>
            <w:r w:rsidR="003810A9">
              <w:rPr>
                <w:webHidden/>
              </w:rPr>
              <w:instrText xml:space="preserve"> PAGEREF _Toc481061351 \h </w:instrText>
            </w:r>
            <w:r w:rsidR="003810A9">
              <w:rPr>
                <w:webHidden/>
              </w:rPr>
            </w:r>
            <w:r w:rsidR="003810A9">
              <w:rPr>
                <w:webHidden/>
              </w:rPr>
              <w:fldChar w:fldCharType="separate"/>
            </w:r>
            <w:r w:rsidR="003810A9">
              <w:rPr>
                <w:webHidden/>
              </w:rPr>
              <w:t>19-20</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2" w:history="1">
            <w:r w:rsidR="003810A9" w:rsidRPr="009A442F">
              <w:rPr>
                <w:rStyle w:val="Hyperlink"/>
              </w:rPr>
              <w:t>19.4.2</w:t>
            </w:r>
            <w:r w:rsidR="003810A9">
              <w:rPr>
                <w:rFonts w:asciiTheme="minorHAnsi" w:eastAsiaTheme="minorEastAsia" w:hAnsiTheme="minorHAnsi"/>
                <w:lang w:eastAsia="en-AU"/>
              </w:rPr>
              <w:tab/>
            </w:r>
            <w:r w:rsidR="003810A9" w:rsidRPr="009A442F">
              <w:rPr>
                <w:rStyle w:val="Hyperlink"/>
              </w:rPr>
              <w:t>Residential customer tariffs</w:t>
            </w:r>
            <w:r w:rsidR="003810A9">
              <w:rPr>
                <w:webHidden/>
              </w:rPr>
              <w:tab/>
            </w:r>
            <w:r w:rsidR="003810A9">
              <w:rPr>
                <w:webHidden/>
              </w:rPr>
              <w:fldChar w:fldCharType="begin"/>
            </w:r>
            <w:r w:rsidR="003810A9">
              <w:rPr>
                <w:webHidden/>
              </w:rPr>
              <w:instrText xml:space="preserve"> PAGEREF _Toc481061352 \h </w:instrText>
            </w:r>
            <w:r w:rsidR="003810A9">
              <w:rPr>
                <w:webHidden/>
              </w:rPr>
            </w:r>
            <w:r w:rsidR="003810A9">
              <w:rPr>
                <w:webHidden/>
              </w:rPr>
              <w:fldChar w:fldCharType="separate"/>
            </w:r>
            <w:r w:rsidR="003810A9">
              <w:rPr>
                <w:webHidden/>
              </w:rPr>
              <w:t>19-22</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3" w:history="1">
            <w:r w:rsidR="003810A9" w:rsidRPr="009A442F">
              <w:rPr>
                <w:rStyle w:val="Hyperlink"/>
              </w:rPr>
              <w:t>19.4.3</w:t>
            </w:r>
            <w:r w:rsidR="003810A9">
              <w:rPr>
                <w:rFonts w:asciiTheme="minorHAnsi" w:eastAsiaTheme="minorEastAsia" w:hAnsiTheme="minorHAnsi"/>
                <w:lang w:eastAsia="en-AU"/>
              </w:rPr>
              <w:tab/>
            </w:r>
            <w:r w:rsidR="003810A9" w:rsidRPr="009A442F">
              <w:rPr>
                <w:rStyle w:val="Hyperlink"/>
              </w:rPr>
              <w:t>Controlled and uncontrolled load tariffs</w:t>
            </w:r>
            <w:r w:rsidR="003810A9">
              <w:rPr>
                <w:webHidden/>
              </w:rPr>
              <w:tab/>
            </w:r>
            <w:r w:rsidR="003810A9">
              <w:rPr>
                <w:webHidden/>
              </w:rPr>
              <w:fldChar w:fldCharType="begin"/>
            </w:r>
            <w:r w:rsidR="003810A9">
              <w:rPr>
                <w:webHidden/>
              </w:rPr>
              <w:instrText xml:space="preserve"> PAGEREF _Toc481061353 \h </w:instrText>
            </w:r>
            <w:r w:rsidR="003810A9">
              <w:rPr>
                <w:webHidden/>
              </w:rPr>
            </w:r>
            <w:r w:rsidR="003810A9">
              <w:rPr>
                <w:webHidden/>
              </w:rPr>
              <w:fldChar w:fldCharType="separate"/>
            </w:r>
            <w:r w:rsidR="003810A9">
              <w:rPr>
                <w:webHidden/>
              </w:rPr>
              <w:t>19-38</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4" w:history="1">
            <w:r w:rsidR="003810A9" w:rsidRPr="009A442F">
              <w:rPr>
                <w:rStyle w:val="Hyperlink"/>
              </w:rPr>
              <w:t>19.4.4</w:t>
            </w:r>
            <w:r w:rsidR="003810A9">
              <w:rPr>
                <w:rFonts w:asciiTheme="minorHAnsi" w:eastAsiaTheme="minorEastAsia" w:hAnsiTheme="minorHAnsi"/>
                <w:lang w:eastAsia="en-AU"/>
              </w:rPr>
              <w:tab/>
            </w:r>
            <w:r w:rsidR="003810A9" w:rsidRPr="009A442F">
              <w:rPr>
                <w:rStyle w:val="Hyperlink"/>
              </w:rPr>
              <w:t>Low voltage business customers</w:t>
            </w:r>
            <w:r w:rsidR="003810A9">
              <w:rPr>
                <w:webHidden/>
              </w:rPr>
              <w:tab/>
            </w:r>
            <w:r w:rsidR="003810A9">
              <w:rPr>
                <w:webHidden/>
              </w:rPr>
              <w:fldChar w:fldCharType="begin"/>
            </w:r>
            <w:r w:rsidR="003810A9">
              <w:rPr>
                <w:webHidden/>
              </w:rPr>
              <w:instrText xml:space="preserve"> PAGEREF _Toc481061354 \h </w:instrText>
            </w:r>
            <w:r w:rsidR="003810A9">
              <w:rPr>
                <w:webHidden/>
              </w:rPr>
            </w:r>
            <w:r w:rsidR="003810A9">
              <w:rPr>
                <w:webHidden/>
              </w:rPr>
              <w:fldChar w:fldCharType="separate"/>
            </w:r>
            <w:r w:rsidR="003810A9">
              <w:rPr>
                <w:webHidden/>
              </w:rPr>
              <w:t>19-40</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5" w:history="1">
            <w:r w:rsidR="003810A9" w:rsidRPr="009A442F">
              <w:rPr>
                <w:rStyle w:val="Hyperlink"/>
              </w:rPr>
              <w:t>19.4.5</w:t>
            </w:r>
            <w:r w:rsidR="003810A9">
              <w:rPr>
                <w:rFonts w:asciiTheme="minorHAnsi" w:eastAsiaTheme="minorEastAsia" w:hAnsiTheme="minorHAnsi"/>
                <w:lang w:eastAsia="en-AU"/>
              </w:rPr>
              <w:tab/>
            </w:r>
            <w:r w:rsidR="003810A9" w:rsidRPr="009A442F">
              <w:rPr>
                <w:rStyle w:val="Hyperlink"/>
              </w:rPr>
              <w:t>Irrigation customers</w:t>
            </w:r>
            <w:r w:rsidR="003810A9">
              <w:rPr>
                <w:webHidden/>
              </w:rPr>
              <w:tab/>
            </w:r>
            <w:r w:rsidR="003810A9">
              <w:rPr>
                <w:webHidden/>
              </w:rPr>
              <w:fldChar w:fldCharType="begin"/>
            </w:r>
            <w:r w:rsidR="003810A9">
              <w:rPr>
                <w:webHidden/>
              </w:rPr>
              <w:instrText xml:space="preserve"> PAGEREF _Toc481061355 \h </w:instrText>
            </w:r>
            <w:r w:rsidR="003810A9">
              <w:rPr>
                <w:webHidden/>
              </w:rPr>
            </w:r>
            <w:r w:rsidR="003810A9">
              <w:rPr>
                <w:webHidden/>
              </w:rPr>
              <w:fldChar w:fldCharType="separate"/>
            </w:r>
            <w:r w:rsidR="003810A9">
              <w:rPr>
                <w:webHidden/>
              </w:rPr>
              <w:t>19-48</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6" w:history="1">
            <w:r w:rsidR="003810A9" w:rsidRPr="009A442F">
              <w:rPr>
                <w:rStyle w:val="Hyperlink"/>
              </w:rPr>
              <w:t>19.4.6</w:t>
            </w:r>
            <w:r w:rsidR="003810A9">
              <w:rPr>
                <w:rFonts w:asciiTheme="minorHAnsi" w:eastAsiaTheme="minorEastAsia" w:hAnsiTheme="minorHAnsi"/>
                <w:lang w:eastAsia="en-AU"/>
              </w:rPr>
              <w:tab/>
            </w:r>
            <w:r w:rsidR="003810A9" w:rsidRPr="009A442F">
              <w:rPr>
                <w:rStyle w:val="Hyperlink"/>
              </w:rPr>
              <w:t>High voltage business customers</w:t>
            </w:r>
            <w:r w:rsidR="003810A9">
              <w:rPr>
                <w:webHidden/>
              </w:rPr>
              <w:tab/>
            </w:r>
            <w:r w:rsidR="003810A9">
              <w:rPr>
                <w:webHidden/>
              </w:rPr>
              <w:fldChar w:fldCharType="begin"/>
            </w:r>
            <w:r w:rsidR="003810A9">
              <w:rPr>
                <w:webHidden/>
              </w:rPr>
              <w:instrText xml:space="preserve"> PAGEREF _Toc481061356 \h </w:instrText>
            </w:r>
            <w:r w:rsidR="003810A9">
              <w:rPr>
                <w:webHidden/>
              </w:rPr>
            </w:r>
            <w:r w:rsidR="003810A9">
              <w:rPr>
                <w:webHidden/>
              </w:rPr>
              <w:fldChar w:fldCharType="separate"/>
            </w:r>
            <w:r w:rsidR="003810A9">
              <w:rPr>
                <w:webHidden/>
              </w:rPr>
              <w:t>19-50</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7" w:history="1">
            <w:r w:rsidR="003810A9" w:rsidRPr="009A442F">
              <w:rPr>
                <w:rStyle w:val="Hyperlink"/>
              </w:rPr>
              <w:t>19.4.7</w:t>
            </w:r>
            <w:r w:rsidR="003810A9">
              <w:rPr>
                <w:rFonts w:asciiTheme="minorHAnsi" w:eastAsiaTheme="minorEastAsia" w:hAnsiTheme="minorHAnsi"/>
                <w:lang w:eastAsia="en-AU"/>
              </w:rPr>
              <w:tab/>
            </w:r>
            <w:r w:rsidR="003810A9" w:rsidRPr="009A442F">
              <w:rPr>
                <w:rStyle w:val="Hyperlink"/>
              </w:rPr>
              <w:t>Tariff levels</w:t>
            </w:r>
            <w:r w:rsidR="003810A9">
              <w:rPr>
                <w:webHidden/>
              </w:rPr>
              <w:tab/>
            </w:r>
            <w:r w:rsidR="003810A9">
              <w:rPr>
                <w:webHidden/>
              </w:rPr>
              <w:fldChar w:fldCharType="begin"/>
            </w:r>
            <w:r w:rsidR="003810A9">
              <w:rPr>
                <w:webHidden/>
              </w:rPr>
              <w:instrText xml:space="preserve"> PAGEREF _Toc481061357 \h </w:instrText>
            </w:r>
            <w:r w:rsidR="003810A9">
              <w:rPr>
                <w:webHidden/>
              </w:rPr>
            </w:r>
            <w:r w:rsidR="003810A9">
              <w:rPr>
                <w:webHidden/>
              </w:rPr>
              <w:fldChar w:fldCharType="separate"/>
            </w:r>
            <w:r w:rsidR="003810A9">
              <w:rPr>
                <w:webHidden/>
              </w:rPr>
              <w:t>19-51</w:t>
            </w:r>
            <w:r w:rsidR="003810A9">
              <w:rPr>
                <w:webHidden/>
              </w:rPr>
              <w:fldChar w:fldCharType="end"/>
            </w:r>
          </w:hyperlink>
        </w:p>
        <w:p w:rsidR="003810A9" w:rsidRDefault="00FF3C4B">
          <w:pPr>
            <w:pStyle w:val="TOC3"/>
            <w:rPr>
              <w:rFonts w:asciiTheme="minorHAnsi" w:eastAsiaTheme="minorEastAsia" w:hAnsiTheme="minorHAnsi"/>
              <w:lang w:eastAsia="en-AU"/>
            </w:rPr>
          </w:pPr>
          <w:hyperlink w:anchor="_Toc481061358" w:history="1">
            <w:r w:rsidR="003810A9" w:rsidRPr="009A442F">
              <w:rPr>
                <w:rStyle w:val="Hyperlink"/>
              </w:rPr>
              <w:t>19.4.8</w:t>
            </w:r>
            <w:r w:rsidR="003810A9">
              <w:rPr>
                <w:rFonts w:asciiTheme="minorHAnsi" w:eastAsiaTheme="minorEastAsia" w:hAnsiTheme="minorHAnsi"/>
                <w:lang w:eastAsia="en-AU"/>
              </w:rPr>
              <w:tab/>
            </w:r>
            <w:r w:rsidR="003810A9" w:rsidRPr="009A442F">
              <w:rPr>
                <w:rStyle w:val="Hyperlink"/>
              </w:rPr>
              <w:t>Charging windows</w:t>
            </w:r>
            <w:r w:rsidR="003810A9">
              <w:rPr>
                <w:webHidden/>
              </w:rPr>
              <w:tab/>
            </w:r>
            <w:r w:rsidR="003810A9">
              <w:rPr>
                <w:webHidden/>
              </w:rPr>
              <w:fldChar w:fldCharType="begin"/>
            </w:r>
            <w:r w:rsidR="003810A9">
              <w:rPr>
                <w:webHidden/>
              </w:rPr>
              <w:instrText xml:space="preserve"> PAGEREF _Toc481061358 \h </w:instrText>
            </w:r>
            <w:r w:rsidR="003810A9">
              <w:rPr>
                <w:webHidden/>
              </w:rPr>
            </w:r>
            <w:r w:rsidR="003810A9">
              <w:rPr>
                <w:webHidden/>
              </w:rPr>
              <w:fldChar w:fldCharType="separate"/>
            </w:r>
            <w:r w:rsidR="003810A9">
              <w:rPr>
                <w:webHidden/>
              </w:rPr>
              <w:t>19-66</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59" w:history="1">
            <w:r w:rsidR="003810A9" w:rsidRPr="009A442F">
              <w:rPr>
                <w:rStyle w:val="Hyperlink"/>
              </w:rPr>
              <w:t>A</w:t>
            </w:r>
            <w:r w:rsidR="003810A9">
              <w:rPr>
                <w:rFonts w:asciiTheme="minorHAnsi" w:eastAsiaTheme="minorEastAsia" w:hAnsiTheme="minorHAnsi"/>
                <w:b w:val="0"/>
                <w:color w:val="auto"/>
                <w:sz w:val="22"/>
                <w:lang w:val="en-AU" w:eastAsia="en-AU"/>
              </w:rPr>
              <w:tab/>
            </w:r>
            <w:r w:rsidR="003810A9" w:rsidRPr="009A442F">
              <w:rPr>
                <w:rStyle w:val="Hyperlink"/>
              </w:rPr>
              <w:t>Background of tariff structure statements</w:t>
            </w:r>
            <w:r w:rsidR="003810A9">
              <w:rPr>
                <w:webHidden/>
              </w:rPr>
              <w:tab/>
            </w:r>
            <w:r w:rsidR="003810A9">
              <w:rPr>
                <w:webHidden/>
              </w:rPr>
              <w:fldChar w:fldCharType="begin"/>
            </w:r>
            <w:r w:rsidR="003810A9">
              <w:rPr>
                <w:webHidden/>
              </w:rPr>
              <w:instrText xml:space="preserve"> PAGEREF _Toc481061359 \h </w:instrText>
            </w:r>
            <w:r w:rsidR="003810A9">
              <w:rPr>
                <w:webHidden/>
              </w:rPr>
            </w:r>
            <w:r w:rsidR="003810A9">
              <w:rPr>
                <w:webHidden/>
              </w:rPr>
              <w:fldChar w:fldCharType="separate"/>
            </w:r>
            <w:r w:rsidR="003810A9">
              <w:rPr>
                <w:webHidden/>
              </w:rPr>
              <w:t>19-80</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60" w:history="1">
            <w:r w:rsidR="003810A9" w:rsidRPr="009A442F">
              <w:rPr>
                <w:rStyle w:val="Hyperlink"/>
              </w:rPr>
              <w:t>B</w:t>
            </w:r>
            <w:r w:rsidR="003810A9">
              <w:rPr>
                <w:rFonts w:asciiTheme="minorHAnsi" w:eastAsiaTheme="minorEastAsia" w:hAnsiTheme="minorHAnsi"/>
                <w:b w:val="0"/>
                <w:color w:val="auto"/>
                <w:sz w:val="22"/>
                <w:lang w:val="en-AU" w:eastAsia="en-AU"/>
              </w:rPr>
              <w:tab/>
            </w:r>
            <w:r w:rsidR="003810A9" w:rsidRPr="009A442F">
              <w:rPr>
                <w:rStyle w:val="Hyperlink"/>
              </w:rPr>
              <w:t>TasNetworks' customer consultation and customer impact analysis</w:t>
            </w:r>
            <w:r w:rsidR="003810A9">
              <w:rPr>
                <w:webHidden/>
              </w:rPr>
              <w:tab/>
            </w:r>
            <w:r w:rsidR="003810A9">
              <w:rPr>
                <w:webHidden/>
              </w:rPr>
              <w:fldChar w:fldCharType="begin"/>
            </w:r>
            <w:r w:rsidR="003810A9">
              <w:rPr>
                <w:webHidden/>
              </w:rPr>
              <w:instrText xml:space="preserve"> PAGEREF _Toc481061360 \h </w:instrText>
            </w:r>
            <w:r w:rsidR="003810A9">
              <w:rPr>
                <w:webHidden/>
              </w:rPr>
            </w:r>
            <w:r w:rsidR="003810A9">
              <w:rPr>
                <w:webHidden/>
              </w:rPr>
              <w:fldChar w:fldCharType="separate"/>
            </w:r>
            <w:r w:rsidR="003810A9">
              <w:rPr>
                <w:webHidden/>
              </w:rPr>
              <w:t>19-89</w:t>
            </w:r>
            <w:r w:rsidR="003810A9">
              <w:rPr>
                <w:webHidden/>
              </w:rPr>
              <w:fldChar w:fldCharType="end"/>
            </w:r>
          </w:hyperlink>
        </w:p>
        <w:p w:rsidR="003810A9" w:rsidRDefault="00FF3C4B">
          <w:pPr>
            <w:pStyle w:val="TOC1"/>
            <w:rPr>
              <w:rFonts w:asciiTheme="minorHAnsi" w:eastAsiaTheme="minorEastAsia" w:hAnsiTheme="minorHAnsi"/>
              <w:b w:val="0"/>
              <w:color w:val="auto"/>
              <w:sz w:val="22"/>
              <w:lang w:val="en-AU" w:eastAsia="en-AU"/>
            </w:rPr>
          </w:pPr>
          <w:hyperlink w:anchor="_Toc481061361" w:history="1">
            <w:r w:rsidR="003810A9" w:rsidRPr="009A442F">
              <w:rPr>
                <w:rStyle w:val="Hyperlink"/>
              </w:rPr>
              <w:t>C</w:t>
            </w:r>
            <w:r w:rsidR="003810A9">
              <w:rPr>
                <w:rFonts w:asciiTheme="minorHAnsi" w:eastAsiaTheme="minorEastAsia" w:hAnsiTheme="minorHAnsi"/>
                <w:b w:val="0"/>
                <w:color w:val="auto"/>
                <w:sz w:val="22"/>
                <w:lang w:val="en-AU" w:eastAsia="en-AU"/>
              </w:rPr>
              <w:tab/>
            </w:r>
            <w:r w:rsidR="003810A9" w:rsidRPr="009A442F">
              <w:rPr>
                <w:rStyle w:val="Hyperlink"/>
              </w:rPr>
              <w:t>AER consultation</w:t>
            </w:r>
            <w:r w:rsidR="003810A9">
              <w:rPr>
                <w:webHidden/>
              </w:rPr>
              <w:tab/>
            </w:r>
            <w:r w:rsidR="003810A9">
              <w:rPr>
                <w:webHidden/>
              </w:rPr>
              <w:fldChar w:fldCharType="begin"/>
            </w:r>
            <w:r w:rsidR="003810A9">
              <w:rPr>
                <w:webHidden/>
              </w:rPr>
              <w:instrText xml:space="preserve"> PAGEREF _Toc481061361 \h </w:instrText>
            </w:r>
            <w:r w:rsidR="003810A9">
              <w:rPr>
                <w:webHidden/>
              </w:rPr>
            </w:r>
            <w:r w:rsidR="003810A9">
              <w:rPr>
                <w:webHidden/>
              </w:rPr>
              <w:fldChar w:fldCharType="separate"/>
            </w:r>
            <w:r w:rsidR="003810A9">
              <w:rPr>
                <w:webHidden/>
              </w:rPr>
              <w:t>19-95</w:t>
            </w:r>
            <w:r w:rsidR="003810A9">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6134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0519A4" w:rsidRDefault="000519A4" w:rsidP="000519A4">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519A4" w:rsidRDefault="000519A4">
      <w:pPr>
        <w:spacing w:line="240" w:lineRule="auto"/>
      </w:pPr>
      <w:r>
        <w:br w:type="page"/>
      </w:r>
    </w:p>
    <w:p w:rsidR="000519A4" w:rsidRDefault="000519A4" w:rsidP="000519A4">
      <w:pPr>
        <w:pStyle w:val="UnnumberedHeading"/>
      </w:pPr>
      <w:bookmarkStart w:id="71" w:name="_Toc481061344"/>
      <w:r>
        <w:lastRenderedPageBreak/>
        <w:t>Glossary of terms</w:t>
      </w:r>
      <w:bookmarkEnd w:id="71"/>
    </w:p>
    <w:tbl>
      <w:tblPr>
        <w:tblStyle w:val="AERtable-text0"/>
        <w:tblW w:w="0" w:type="auto"/>
        <w:tblLook w:val="04A0" w:firstRow="1" w:lastRow="0" w:firstColumn="1" w:lastColumn="0" w:noHBand="0" w:noVBand="1"/>
      </w:tblPr>
      <w:tblGrid>
        <w:gridCol w:w="2518"/>
        <w:gridCol w:w="6175"/>
      </w:tblGrid>
      <w:tr w:rsidR="000519A4" w:rsidRPr="0087648F" w:rsidTr="000519A4">
        <w:trPr>
          <w:cnfStyle w:val="100000000000" w:firstRow="1" w:lastRow="0" w:firstColumn="0" w:lastColumn="0" w:oddVBand="0" w:evenVBand="0" w:oddHBand="0" w:evenHBand="0" w:firstRowFirstColumn="0" w:firstRowLastColumn="0" w:lastRowFirstColumn="0" w:lastRowLastColumn="0"/>
          <w:tblHeader/>
        </w:trPr>
        <w:tc>
          <w:tcPr>
            <w:tcW w:w="2518" w:type="dxa"/>
          </w:tcPr>
          <w:p w:rsidR="000519A4" w:rsidRPr="000519A4" w:rsidRDefault="000519A4" w:rsidP="000519A4">
            <w:r>
              <w:t>Term</w:t>
            </w:r>
          </w:p>
        </w:tc>
        <w:tc>
          <w:tcPr>
            <w:tcW w:w="6175" w:type="dxa"/>
          </w:tcPr>
          <w:p w:rsidR="000519A4" w:rsidRPr="000519A4" w:rsidRDefault="000519A4" w:rsidP="000519A4">
            <w:r>
              <w:t>Interpretation</w:t>
            </w:r>
          </w:p>
        </w:tc>
      </w:tr>
      <w:tr w:rsidR="000519A4" w:rsidTr="000519A4">
        <w:tc>
          <w:tcPr>
            <w:tcW w:w="2518" w:type="dxa"/>
            <w:vAlign w:val="top"/>
          </w:tcPr>
          <w:p w:rsidR="000519A4" w:rsidRPr="000519A4" w:rsidRDefault="000519A4" w:rsidP="000519A4">
            <w:r>
              <w:t>Apparent power</w:t>
            </w:r>
          </w:p>
        </w:tc>
        <w:tc>
          <w:tcPr>
            <w:tcW w:w="6175" w:type="dxa"/>
            <w:vAlign w:val="top"/>
          </w:tcPr>
          <w:p w:rsidR="000519A4" w:rsidRPr="000519A4" w:rsidRDefault="000519A4" w:rsidP="000519A4">
            <w:r>
              <w:t>See kVA</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CoAG Energy Council</w:t>
            </w:r>
          </w:p>
        </w:tc>
        <w:tc>
          <w:tcPr>
            <w:tcW w:w="6175" w:type="dxa"/>
            <w:vAlign w:val="top"/>
          </w:tcPr>
          <w:p w:rsidR="000519A4" w:rsidRPr="000519A4" w:rsidRDefault="000519A4" w:rsidP="000519A4">
            <w:r>
              <w:t xml:space="preserve">The Council of Australian Governments Energy Council, the policy making council for the electricity industry, comprised of federal and state (jurisdictional) governments. </w:t>
            </w:r>
          </w:p>
        </w:tc>
      </w:tr>
      <w:tr w:rsidR="000519A4" w:rsidTr="000519A4">
        <w:tc>
          <w:tcPr>
            <w:tcW w:w="2518" w:type="dxa"/>
            <w:vAlign w:val="top"/>
          </w:tcPr>
          <w:p w:rsidR="000519A4" w:rsidRPr="000519A4" w:rsidRDefault="000519A4" w:rsidP="000519A4">
            <w:r>
              <w:t>Consumption tariff</w:t>
            </w:r>
          </w:p>
        </w:tc>
        <w:tc>
          <w:tcPr>
            <w:tcW w:w="6175" w:type="dxa"/>
            <w:vAlign w:val="top"/>
          </w:tcPr>
          <w:p w:rsidR="000519A4" w:rsidRPr="000519A4" w:rsidRDefault="000519A4" w:rsidP="000519A4">
            <w:r>
              <w:t xml:space="preserve">A tariff based on energy consumed </w:t>
            </w:r>
            <w:r w:rsidRPr="000519A4">
              <w:t>(measured in kWh) during a billing cycle. Examples of consumption tariffs are flat tariffs, inclining block tariffs and declining block tariffs.</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rsidRPr="007F520E">
              <w:t>Declining block tariff</w:t>
            </w:r>
          </w:p>
        </w:tc>
        <w:tc>
          <w:tcPr>
            <w:tcW w:w="6175" w:type="dxa"/>
            <w:vAlign w:val="top"/>
          </w:tcPr>
          <w:p w:rsidR="000519A4" w:rsidRPr="000519A4" w:rsidRDefault="000519A4" w:rsidP="000519A4">
            <w:r w:rsidRPr="007F520E">
              <w:t>A tariff in which the per unit price of energy decreases in steps as energy consumption increases past set thresholds.</w:t>
            </w:r>
          </w:p>
        </w:tc>
      </w:tr>
      <w:tr w:rsidR="000519A4" w:rsidTr="000519A4">
        <w:tc>
          <w:tcPr>
            <w:tcW w:w="2518" w:type="dxa"/>
            <w:vAlign w:val="top"/>
          </w:tcPr>
          <w:p w:rsidR="000519A4" w:rsidRPr="000519A4" w:rsidRDefault="000519A4" w:rsidP="000519A4">
            <w:r w:rsidRPr="007F520E">
              <w:t>Demand charge</w:t>
            </w:r>
          </w:p>
        </w:tc>
        <w:tc>
          <w:tcPr>
            <w:tcW w:w="6175" w:type="dxa"/>
            <w:vAlign w:val="top"/>
          </w:tcPr>
          <w:p w:rsidR="000519A4" w:rsidRPr="000519A4" w:rsidRDefault="000519A4" w:rsidP="000519A4">
            <w:r w:rsidRPr="007F520E">
              <w:t>A tariff component based on the maximum amount of electricity (measured in kW</w:t>
            </w:r>
            <w:r w:rsidRPr="000519A4">
              <w:t xml:space="preserve"> or kVA) used within a specified time (e.g. peak charging window) and which is reset after a specific period (e.g. at the end of a month or billing cycle).</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Demand tariff</w:t>
            </w:r>
          </w:p>
        </w:tc>
        <w:tc>
          <w:tcPr>
            <w:tcW w:w="6175" w:type="dxa"/>
            <w:vAlign w:val="top"/>
          </w:tcPr>
          <w:p w:rsidR="000519A4" w:rsidRPr="000519A4" w:rsidRDefault="000519A4" w:rsidP="000519A4">
            <w:r>
              <w:t xml:space="preserve">A form of tariff that </w:t>
            </w:r>
            <w:r w:rsidRPr="000519A4">
              <w:t>incorporates a demand charge component.</w:t>
            </w:r>
          </w:p>
        </w:tc>
      </w:tr>
      <w:tr w:rsidR="000519A4" w:rsidTr="000519A4">
        <w:tc>
          <w:tcPr>
            <w:tcW w:w="2518" w:type="dxa"/>
            <w:vAlign w:val="top"/>
          </w:tcPr>
          <w:p w:rsidR="000519A4" w:rsidRPr="000519A4" w:rsidRDefault="000519A4" w:rsidP="000519A4">
            <w:r>
              <w:t>Fixed charge</w:t>
            </w:r>
          </w:p>
        </w:tc>
        <w:tc>
          <w:tcPr>
            <w:tcW w:w="6175" w:type="dxa"/>
            <w:vAlign w:val="top"/>
          </w:tcPr>
          <w:p w:rsidR="000519A4" w:rsidRPr="000519A4" w:rsidRDefault="000519A4" w:rsidP="000519A4">
            <w:r>
              <w:t>A tariff component based on a fixed dollar amount per day that customers must pay to be connected to the network</w:t>
            </w:r>
            <w:r w:rsidRPr="000519A4">
              <w:t>.</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rsidRPr="007F520E">
              <w:t>Flat tariff</w:t>
            </w:r>
          </w:p>
        </w:tc>
        <w:tc>
          <w:tcPr>
            <w:tcW w:w="6175" w:type="dxa"/>
            <w:vAlign w:val="top"/>
          </w:tcPr>
          <w:p w:rsidR="000519A4" w:rsidRPr="000519A4" w:rsidRDefault="000519A4" w:rsidP="000519A4">
            <w:r w:rsidRPr="007F520E">
              <w:t xml:space="preserve">A tariff </w:t>
            </w:r>
            <w:r w:rsidRPr="000519A4">
              <w:t xml:space="preserve">based on a per unit usage charge that does not change regardless of how much electricity is consumed or when consumption occurs. </w:t>
            </w:r>
          </w:p>
        </w:tc>
      </w:tr>
      <w:tr w:rsidR="000519A4" w:rsidTr="000519A4">
        <w:tc>
          <w:tcPr>
            <w:tcW w:w="2518" w:type="dxa"/>
            <w:vAlign w:val="top"/>
          </w:tcPr>
          <w:p w:rsidR="000519A4" w:rsidRPr="000519A4" w:rsidRDefault="000519A4" w:rsidP="000519A4">
            <w:r w:rsidRPr="007F520E">
              <w:t>Flat usage charge</w:t>
            </w:r>
          </w:p>
        </w:tc>
        <w:tc>
          <w:tcPr>
            <w:tcW w:w="6175" w:type="dxa"/>
            <w:vAlign w:val="top"/>
          </w:tcPr>
          <w:p w:rsidR="000519A4" w:rsidRPr="000519A4" w:rsidRDefault="000519A4" w:rsidP="000519A4">
            <w:r w:rsidRPr="007F520E">
              <w:t xml:space="preserve">A per unit </w:t>
            </w:r>
            <w:r w:rsidRPr="000519A4">
              <w:t>usage charge that does not change regardless of how much electricity is consumed or when consumption occurs.</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rsidRPr="007F520E">
              <w:t>Inclining block tariff</w:t>
            </w:r>
          </w:p>
        </w:tc>
        <w:tc>
          <w:tcPr>
            <w:tcW w:w="6175" w:type="dxa"/>
            <w:vAlign w:val="top"/>
          </w:tcPr>
          <w:p w:rsidR="000519A4" w:rsidRPr="000519A4" w:rsidRDefault="000519A4" w:rsidP="000519A4">
            <w:r w:rsidRPr="007F520E">
              <w:t>A tariff in which the per unit price of energy increases in steps as energy consumption increases past set thresholds.</w:t>
            </w:r>
          </w:p>
        </w:tc>
      </w:tr>
      <w:tr w:rsidR="000519A4" w:rsidTr="000519A4">
        <w:tc>
          <w:tcPr>
            <w:tcW w:w="2518" w:type="dxa"/>
            <w:vAlign w:val="top"/>
          </w:tcPr>
          <w:p w:rsidR="000519A4" w:rsidRPr="000519A4" w:rsidRDefault="000519A4" w:rsidP="005A01FD">
            <w:r>
              <w:t>Interval</w:t>
            </w:r>
            <w:r w:rsidR="005A01FD">
              <w:t>,</w:t>
            </w:r>
            <w:r>
              <w:t xml:space="preserve"> smart</w:t>
            </w:r>
            <w:r w:rsidR="005A01FD">
              <w:t xml:space="preserve"> and advanced</w:t>
            </w:r>
            <w:r>
              <w:t xml:space="preserve"> meters</w:t>
            </w:r>
          </w:p>
        </w:tc>
        <w:tc>
          <w:tcPr>
            <w:tcW w:w="6175" w:type="dxa"/>
            <w:vAlign w:val="top"/>
          </w:tcPr>
          <w:p w:rsidR="000519A4" w:rsidRPr="000519A4" w:rsidRDefault="000519A4" w:rsidP="000519A4">
            <w:r>
              <w:t>In this decision, used to refer to meters capable of measuring electricity usage in specific time intervals and enabling tariffs that can vary by time of day.</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kW</w:t>
            </w:r>
          </w:p>
        </w:tc>
        <w:tc>
          <w:tcPr>
            <w:tcW w:w="6175" w:type="dxa"/>
            <w:vAlign w:val="top"/>
          </w:tcPr>
          <w:p w:rsidR="000519A4" w:rsidRPr="000519A4" w:rsidRDefault="000519A4" w:rsidP="000519A4">
            <w:r w:rsidRPr="00A26083">
              <w:t>Also called real power. A kilowatt (kW) is 1000 watts. Electrical power is measured in watts (W). In a unity power system the wattage is equal to the voltage times the current.</w:t>
            </w:r>
          </w:p>
        </w:tc>
      </w:tr>
      <w:tr w:rsidR="000519A4" w:rsidTr="000519A4">
        <w:tc>
          <w:tcPr>
            <w:tcW w:w="2518" w:type="dxa"/>
            <w:vAlign w:val="top"/>
          </w:tcPr>
          <w:p w:rsidR="000519A4" w:rsidRPr="000519A4" w:rsidRDefault="000519A4" w:rsidP="000519A4">
            <w:r>
              <w:t>kWh</w:t>
            </w:r>
          </w:p>
        </w:tc>
        <w:tc>
          <w:tcPr>
            <w:tcW w:w="6175" w:type="dxa"/>
            <w:vAlign w:val="top"/>
          </w:tcPr>
          <w:p w:rsidR="000519A4" w:rsidRPr="000519A4" w:rsidRDefault="000519A4" w:rsidP="000519A4">
            <w:r>
              <w:t xml:space="preserve">A </w:t>
            </w:r>
            <w:r w:rsidRPr="000519A4">
              <w:t>kilowatt hour is a unit of energy equivalent to one kilowatt (1 kW) of power used for one hour.</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kVA</w:t>
            </w:r>
          </w:p>
        </w:tc>
        <w:tc>
          <w:tcPr>
            <w:tcW w:w="6175" w:type="dxa"/>
            <w:vAlign w:val="top"/>
          </w:tcPr>
          <w:p w:rsidR="000519A4" w:rsidRPr="000519A4" w:rsidRDefault="000519A4" w:rsidP="000519A4">
            <w:r w:rsidRPr="00A26083">
              <w:t>Also called apparent power. A kilovolt-ampere (kVA) is 1000 volt-amperes. Apparent power is a measure of the current and voltage</w:t>
            </w:r>
            <w:r w:rsidRPr="000519A4">
              <w:t xml:space="preserve"> and will differ from real power when the current and voltage are not in phase.</w:t>
            </w:r>
          </w:p>
        </w:tc>
      </w:tr>
      <w:tr w:rsidR="000519A4" w:rsidTr="000519A4">
        <w:tc>
          <w:tcPr>
            <w:tcW w:w="2518" w:type="dxa"/>
            <w:vAlign w:val="top"/>
          </w:tcPr>
          <w:p w:rsidR="000519A4" w:rsidRPr="000519A4" w:rsidRDefault="000519A4" w:rsidP="000519A4">
            <w:r>
              <w:t>LRMC</w:t>
            </w:r>
          </w:p>
        </w:tc>
        <w:tc>
          <w:tcPr>
            <w:tcW w:w="6175" w:type="dxa"/>
            <w:vAlign w:val="top"/>
          </w:tcPr>
          <w:p w:rsidR="000519A4" w:rsidRPr="000519A4" w:rsidRDefault="000519A4" w:rsidP="000519A4">
            <w:r>
              <w:t>Long Run Marginal Cost. Defined in the National Electricity Rules as follows:</w:t>
            </w:r>
          </w:p>
          <w:p w:rsidR="000519A4" w:rsidRPr="000519A4" w:rsidRDefault="000519A4" w:rsidP="000519A4">
            <w:pPr>
              <w:rPr>
                <w:rStyle w:val="Emphasis"/>
              </w:rPr>
            </w:pPr>
            <w:r w:rsidRPr="00CF1C4B">
              <w:rPr>
                <w:rStyle w:val="Emphasis"/>
              </w:rPr>
              <w:t>"the cost of an incremental change in demand for direct control services provided by a Distribution Network Service Provider over a period of time in which all factors of production required to provide those direct control services can be varied".</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Minimum demand charge</w:t>
            </w:r>
          </w:p>
        </w:tc>
        <w:tc>
          <w:tcPr>
            <w:tcW w:w="6175" w:type="dxa"/>
            <w:vAlign w:val="top"/>
          </w:tcPr>
          <w:p w:rsidR="000519A4" w:rsidRPr="000519A4" w:rsidRDefault="000519A4" w:rsidP="000519A4">
            <w:r>
              <w:t xml:space="preserve">Where a customer is charged for a minimum level of demand during the billing period, irrespective of whether their actual demand reaches that level. </w:t>
            </w:r>
          </w:p>
        </w:tc>
      </w:tr>
      <w:tr w:rsidR="000519A4" w:rsidTr="000519A4">
        <w:tc>
          <w:tcPr>
            <w:tcW w:w="2518" w:type="dxa"/>
            <w:vAlign w:val="top"/>
          </w:tcPr>
          <w:p w:rsidR="000519A4" w:rsidRPr="000519A4" w:rsidRDefault="000519A4" w:rsidP="000519A4">
            <w:r>
              <w:t>NEO</w:t>
            </w:r>
          </w:p>
        </w:tc>
        <w:tc>
          <w:tcPr>
            <w:tcW w:w="6175" w:type="dxa"/>
            <w:vAlign w:val="top"/>
          </w:tcPr>
          <w:p w:rsidR="000519A4" w:rsidRPr="000519A4" w:rsidRDefault="000519A4" w:rsidP="000519A4">
            <w:r w:rsidRPr="006905A1">
              <w:t xml:space="preserve">The </w:t>
            </w:r>
            <w:r w:rsidRPr="000519A4">
              <w:t>National Electricity Objective, defined in the National Electricity Law as follows:</w:t>
            </w:r>
          </w:p>
          <w:p w:rsidR="000519A4" w:rsidRPr="000519A4" w:rsidRDefault="000519A4" w:rsidP="000519A4">
            <w:pPr>
              <w:rPr>
                <w:rStyle w:val="Emphasis"/>
              </w:rPr>
            </w:pPr>
            <w:r w:rsidRPr="006905A1">
              <w:rPr>
                <w:rStyle w:val="Emphasis"/>
              </w:rPr>
              <w:t xml:space="preserve">"to promote efficient investment in, and efficient operation and use of, electricity services for the long term interests of consumers of electricity with respect to— </w:t>
            </w:r>
          </w:p>
          <w:p w:rsidR="000519A4" w:rsidRPr="000519A4" w:rsidRDefault="000519A4" w:rsidP="000519A4">
            <w:pPr>
              <w:rPr>
                <w:rStyle w:val="Emphasis"/>
              </w:rPr>
            </w:pPr>
            <w:r w:rsidRPr="006905A1">
              <w:rPr>
                <w:rStyle w:val="Emphasis"/>
              </w:rPr>
              <w:t xml:space="preserve">(a) price, quality, safety, reliability and security of supply of electricity; and </w:t>
            </w:r>
          </w:p>
          <w:p w:rsidR="000519A4" w:rsidRPr="000519A4" w:rsidRDefault="000519A4" w:rsidP="000519A4">
            <w:r w:rsidRPr="006905A1">
              <w:rPr>
                <w:rStyle w:val="Emphasis"/>
              </w:rPr>
              <w:lastRenderedPageBreak/>
              <w:t>(b) the reliability, safety and security of the national electricity system</w:t>
            </w:r>
            <w:r w:rsidRPr="000519A4">
              <w:rPr>
                <w:rStyle w:val="Emphasis"/>
              </w:rPr>
              <w:t>".</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lastRenderedPageBreak/>
              <w:t>NER</w:t>
            </w:r>
          </w:p>
        </w:tc>
        <w:tc>
          <w:tcPr>
            <w:tcW w:w="6175" w:type="dxa"/>
            <w:vAlign w:val="top"/>
          </w:tcPr>
          <w:p w:rsidR="000519A4" w:rsidRPr="000519A4" w:rsidRDefault="000519A4" w:rsidP="000519A4">
            <w:r>
              <w:t>National Electricity Rules</w:t>
            </w:r>
          </w:p>
        </w:tc>
      </w:tr>
      <w:tr w:rsidR="000519A4" w:rsidTr="000519A4">
        <w:tc>
          <w:tcPr>
            <w:tcW w:w="2518" w:type="dxa"/>
            <w:vAlign w:val="top"/>
          </w:tcPr>
          <w:p w:rsidR="000519A4" w:rsidRPr="000519A4" w:rsidRDefault="000519A4" w:rsidP="000519A4">
            <w:r w:rsidRPr="00A26083">
              <w:t>Power factor</w:t>
            </w:r>
          </w:p>
        </w:tc>
        <w:tc>
          <w:tcPr>
            <w:tcW w:w="6175" w:type="dxa"/>
            <w:vAlign w:val="top"/>
          </w:tcPr>
          <w:p w:rsidR="000519A4" w:rsidRPr="000519A4" w:rsidRDefault="000519A4" w:rsidP="000519A4">
            <w:r w:rsidRPr="00A26083">
              <w:t>The power factor is the ratio of real power to apparent power (kW divided by kVA).</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Tariff</w:t>
            </w:r>
          </w:p>
        </w:tc>
        <w:tc>
          <w:tcPr>
            <w:tcW w:w="6175" w:type="dxa"/>
            <w:vAlign w:val="top"/>
          </w:tcPr>
          <w:p w:rsidR="000519A4" w:rsidRPr="000519A4" w:rsidRDefault="000519A4" w:rsidP="000519A4">
            <w:r w:rsidRPr="00390B3F">
              <w:t xml:space="preserve">A tariff is </w:t>
            </w:r>
            <w:r w:rsidRPr="000519A4">
              <w:t>levied on a customer in return for use of an electricity network. A single tariff may comprise one or more separate charges, or components.</w:t>
            </w:r>
          </w:p>
        </w:tc>
      </w:tr>
      <w:tr w:rsidR="000519A4" w:rsidTr="000519A4">
        <w:tc>
          <w:tcPr>
            <w:tcW w:w="2518" w:type="dxa"/>
            <w:vAlign w:val="top"/>
          </w:tcPr>
          <w:p w:rsidR="000519A4" w:rsidRPr="000519A4" w:rsidRDefault="000519A4" w:rsidP="000519A4">
            <w:r>
              <w:t>Tariff structure</w:t>
            </w:r>
          </w:p>
        </w:tc>
        <w:tc>
          <w:tcPr>
            <w:tcW w:w="6175" w:type="dxa"/>
            <w:vAlign w:val="top"/>
          </w:tcPr>
          <w:p w:rsidR="000519A4" w:rsidRPr="000519A4" w:rsidRDefault="000519A4" w:rsidP="000519A4">
            <w:r>
              <w:t>T</w:t>
            </w:r>
            <w:r w:rsidRPr="000519A4">
              <w:t>ariff structure is the shape, form or design of a tariff, including its different components (charges) and how they may interact.</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Tariff charging parameter</w:t>
            </w:r>
          </w:p>
        </w:tc>
        <w:tc>
          <w:tcPr>
            <w:tcW w:w="6175" w:type="dxa"/>
            <w:vAlign w:val="top"/>
          </w:tcPr>
          <w:p w:rsidR="000519A4" w:rsidRPr="000519A4" w:rsidRDefault="000519A4" w:rsidP="000519A4">
            <w:r>
              <w:t>T</w:t>
            </w:r>
            <w:r w:rsidRPr="000519A4">
              <w:t>he manner in which a tariff component, or charge, is determined (e.g. a fixed charge is a fixed dollar amount per day).</w:t>
            </w:r>
          </w:p>
        </w:tc>
      </w:tr>
      <w:tr w:rsidR="000519A4" w:rsidTr="000519A4">
        <w:tc>
          <w:tcPr>
            <w:tcW w:w="2518" w:type="dxa"/>
            <w:vAlign w:val="top"/>
          </w:tcPr>
          <w:p w:rsidR="000519A4" w:rsidRPr="000519A4" w:rsidRDefault="000519A4" w:rsidP="000519A4">
            <w:r>
              <w:t xml:space="preserve">Tariff class </w:t>
            </w:r>
          </w:p>
        </w:tc>
        <w:tc>
          <w:tcPr>
            <w:tcW w:w="6175" w:type="dxa"/>
            <w:vAlign w:val="top"/>
          </w:tcPr>
          <w:p w:rsidR="000519A4" w:rsidRPr="000519A4" w:rsidRDefault="000519A4" w:rsidP="000519A4">
            <w:r w:rsidRPr="00F8468D">
              <w:t xml:space="preserve">A class of retail customers for one or more </w:t>
            </w:r>
            <w:r w:rsidRPr="000519A4">
              <w:t>direct control services who are subject to a particular tariff or particular tariffs.</w:t>
            </w:r>
          </w:p>
        </w:tc>
      </w:tr>
      <w:tr w:rsidR="000519A4" w:rsidTr="000519A4">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0519A4" w:rsidRPr="000519A4" w:rsidRDefault="000519A4" w:rsidP="000519A4">
            <w:r>
              <w:t>Time of use tariff</w:t>
            </w:r>
          </w:p>
        </w:tc>
        <w:tc>
          <w:tcPr>
            <w:tcW w:w="6175" w:type="dxa"/>
            <w:vAlign w:val="top"/>
          </w:tcPr>
          <w:p w:rsidR="000519A4" w:rsidRPr="000519A4" w:rsidRDefault="000519A4" w:rsidP="000519A4">
            <w:r>
              <w:t>A tariff</w:t>
            </w:r>
            <w:r w:rsidRPr="000519A4">
              <w:t xml:space="preserve"> incorporating usage charges with varying levels applicable at different times of the day or week. A time of use tariff will have defined charging windows in which these different usage charges apply. These charging windows might be labelled the 'peak' window, 'shoulder' window, and 'off-peak' window.</w:t>
            </w:r>
          </w:p>
        </w:tc>
      </w:tr>
      <w:tr w:rsidR="000519A4" w:rsidTr="000519A4">
        <w:tc>
          <w:tcPr>
            <w:tcW w:w="2518" w:type="dxa"/>
            <w:vAlign w:val="top"/>
          </w:tcPr>
          <w:p w:rsidR="000519A4" w:rsidRPr="000519A4" w:rsidRDefault="000519A4" w:rsidP="000519A4">
            <w:r>
              <w:t>Usage charge</w:t>
            </w:r>
          </w:p>
        </w:tc>
        <w:tc>
          <w:tcPr>
            <w:tcW w:w="6175" w:type="dxa"/>
            <w:vAlign w:val="top"/>
          </w:tcPr>
          <w:p w:rsidR="000519A4" w:rsidRPr="000519A4" w:rsidRDefault="000519A4" w:rsidP="000519A4">
            <w:r>
              <w:t xml:space="preserve">A tariff component based on energy </w:t>
            </w:r>
            <w:r w:rsidRPr="000519A4">
              <w:t>consumed (measured in kWh). Usage charges may be flat, inclining with consumption, declining with consumption, variable depending on the time at which consumption occurs, or some combination of these.</w:t>
            </w:r>
          </w:p>
        </w:tc>
      </w:tr>
    </w:tbl>
    <w:p w:rsidR="000519A4" w:rsidRPr="000519A4" w:rsidRDefault="000519A4" w:rsidP="000519A4"/>
    <w:p w:rsidR="00DE563D" w:rsidRDefault="00BB4A90" w:rsidP="00BB4A90">
      <w:pPr>
        <w:pStyle w:val="Heading1"/>
      </w:pPr>
      <w:bookmarkStart w:id="72" w:name="_Toc481061345"/>
      <w:r w:rsidRPr="00BB4A90">
        <w:lastRenderedPageBreak/>
        <w:t>Tariff structure statement</w:t>
      </w:r>
      <w:bookmarkEnd w:id="72"/>
    </w:p>
    <w:p w:rsidR="00E56255" w:rsidRDefault="00E56255" w:rsidP="00E56255">
      <w:r>
        <w:t xml:space="preserve">This attachment sets out our </w:t>
      </w:r>
      <w:r w:rsidR="000E2DEA">
        <w:t>final</w:t>
      </w:r>
      <w:r>
        <w:t xml:space="preserve"> decision on TasNetworks' tariff structure statement for the 2017–19 regulatory control period.</w:t>
      </w:r>
    </w:p>
    <w:p w:rsidR="00E56255" w:rsidRDefault="00E56255" w:rsidP="00E56255">
      <w:r w:rsidRPr="00260302">
        <w:t>Tariff structure statements are a new element of distribution determinations. A tariff structure statement must include a number of specific elements such as a description of a distributor's proposed tariff structures, the tariff classes to which customers will be assigned, the procedures for how customers will be assigned to a tariff, the tariff design and an indicative pricing schedule.</w:t>
      </w:r>
      <w:r w:rsidRPr="00260302">
        <w:rPr>
          <w:rStyle w:val="FootnoteReference"/>
        </w:rPr>
        <w:footnoteReference w:id="1"/>
      </w:r>
      <w:r w:rsidRPr="00260302">
        <w:t xml:space="preserve"> The approved tariff structure statement will apply to a distributor's tariffs for the duration of the regulatory control period.</w:t>
      </w:r>
    </w:p>
    <w:p w:rsidR="00E56255" w:rsidRDefault="00E56255" w:rsidP="00E56255">
      <w:r>
        <w:t>T</w:t>
      </w:r>
      <w:r w:rsidRPr="00260302">
        <w:t>ariff structure</w:t>
      </w:r>
      <w:r>
        <w:t>s</w:t>
      </w:r>
      <w:r w:rsidRPr="00260302">
        <w:t xml:space="preserve"> must comply with the National Electricity Rules' (NER) distribution pricing principles.</w:t>
      </w:r>
      <w:r w:rsidRPr="00260302">
        <w:rPr>
          <w:rStyle w:val="FootnoteReference"/>
        </w:rPr>
        <w:footnoteReference w:id="2"/>
      </w:r>
      <w:r w:rsidRPr="00260302">
        <w:t xml:space="preserve"> The</w:t>
      </w:r>
      <w:r>
        <w:t>se</w:t>
      </w:r>
      <w:r w:rsidRPr="00260302">
        <w:t xml:space="preserve"> principles require distributors to set cost reflective tariffs but also take account of customer impacts</w:t>
      </w:r>
      <w:r w:rsidR="00D4642B">
        <w:t>, including</w:t>
      </w:r>
      <w:r w:rsidRPr="00260302">
        <w:t xml:space="preserve"> the need for transition.</w:t>
      </w:r>
    </w:p>
    <w:p w:rsidR="00E56255" w:rsidRDefault="00E56255" w:rsidP="00E56255">
      <w:r>
        <w:t>T</w:t>
      </w:r>
      <w:r w:rsidRPr="00DC46FD">
        <w:t xml:space="preserve">he distribution pricing principles are not prescriptive. They do not specify particular tariff structures or transitional arrangements. </w:t>
      </w:r>
      <w:r>
        <w:t>As</w:t>
      </w:r>
      <w:r w:rsidRPr="00DC46FD">
        <w:t xml:space="preserve"> a range of approaches </w:t>
      </w:r>
      <w:r>
        <w:t>can</w:t>
      </w:r>
      <w:r w:rsidRPr="00DC46FD">
        <w:t xml:space="preserve"> comply with the distribution pricing principles, we do not seek to enforce a single approach.</w:t>
      </w:r>
    </w:p>
    <w:p w:rsidR="00E56255" w:rsidRDefault="00E56255" w:rsidP="00E56255">
      <w:r w:rsidRPr="00DC46FD">
        <w:t xml:space="preserve">Nonetheless, tariff </w:t>
      </w:r>
      <w:r>
        <w:t xml:space="preserve">structure </w:t>
      </w:r>
      <w:r w:rsidRPr="00DC46FD">
        <w:t>statements are not open to distributors to adopt any approach. We wish to see movement towards more cost reflective tariffs, taking into account customer impacts</w:t>
      </w:r>
      <w:r>
        <w:t>. This is what</w:t>
      </w:r>
      <w:r w:rsidRPr="00DC46FD">
        <w:t xml:space="preserve"> the distribution pricing principles require</w:t>
      </w:r>
      <w:r>
        <w:t>.</w:t>
      </w:r>
    </w:p>
    <w:p w:rsidR="00E56255" w:rsidRDefault="00E56255" w:rsidP="00E56255">
      <w:r w:rsidRPr="00260302">
        <w:t xml:space="preserve">The requirement for a distributor to develop a tariff structure statement follows a process of reform to the NER governing distribution network pricing. The purpose of the reform was to establish </w:t>
      </w:r>
      <w:r>
        <w:t xml:space="preserve">network </w:t>
      </w:r>
      <w:r w:rsidRPr="00260302">
        <w:t>tariffs which better reflect the costs incurred by electricity networks</w:t>
      </w:r>
      <w:r>
        <w:t xml:space="preserve"> in providing regulated network services. Those costs are</w:t>
      </w:r>
      <w:r w:rsidRPr="00260302">
        <w:t xml:space="preserve"> </w:t>
      </w:r>
      <w:r>
        <w:t>driven by</w:t>
      </w:r>
      <w:r w:rsidRPr="00260302">
        <w:t xml:space="preserve"> customer decisions to use electricity at specific times or locations. </w:t>
      </w:r>
      <w:r>
        <w:t>Setting tariffs at cost reflective levels will help c</w:t>
      </w:r>
      <w:r w:rsidR="002143E0">
        <w:t>ustomer</w:t>
      </w:r>
      <w:r>
        <w:t>s make better decisions about their usage.</w:t>
      </w:r>
    </w:p>
    <w:p w:rsidR="00E56255" w:rsidRPr="00260302" w:rsidRDefault="00E56255" w:rsidP="00E56255">
      <w:r>
        <w:t>H</w:t>
      </w:r>
      <w:r w:rsidRPr="00260302">
        <w:t>istorically</w:t>
      </w:r>
      <w:r>
        <w:t xml:space="preserve"> network</w:t>
      </w:r>
      <w:r w:rsidRPr="00260302">
        <w:t xml:space="preserve"> tariffs have not varied according to the time when electricity is used. </w:t>
      </w:r>
      <w:r>
        <w:t xml:space="preserve">As such, they do not accurately reflect (marginal) network costs which </w:t>
      </w:r>
      <w:r w:rsidRPr="00260302">
        <w:t>are primarily driven by peak demand</w:t>
      </w:r>
      <w:r>
        <w:t xml:space="preserve"> on the network at key points in time, not by total usage over a period of time. </w:t>
      </w:r>
      <w:r w:rsidRPr="00260302">
        <w:t>Most existing tariffs send price signals that do not inform customers about the costs imposed on distribution networks in peak demand periods.</w:t>
      </w:r>
    </w:p>
    <w:p w:rsidR="00E56255" w:rsidRDefault="00E56255" w:rsidP="00E56255">
      <w:r>
        <w:t>The introduction of m</w:t>
      </w:r>
      <w:r w:rsidRPr="00260302">
        <w:t xml:space="preserve">ore cost reflective tariffs will allow customers the ability to reduce their bills by shifting their electricity usage away from peak periods. Reducing peak demand means less network capacity will be required to meet future demand. Customers will </w:t>
      </w:r>
      <w:r>
        <w:t>therefore need to pay for</w:t>
      </w:r>
      <w:r w:rsidRPr="00260302">
        <w:t xml:space="preserve"> less network infrastructure. This means lower bills </w:t>
      </w:r>
      <w:r w:rsidR="003B75CF">
        <w:t xml:space="preserve">for all customers </w:t>
      </w:r>
      <w:r w:rsidRPr="00260302">
        <w:t>over the longer term, all else being equal.</w:t>
      </w:r>
      <w:r>
        <w:t xml:space="preserve"> </w:t>
      </w:r>
    </w:p>
    <w:p w:rsidR="00E56255" w:rsidRPr="005D550B" w:rsidRDefault="00E56255" w:rsidP="00E56255">
      <w:r w:rsidRPr="005D550B">
        <w:lastRenderedPageBreak/>
        <w:t>Using the new</w:t>
      </w:r>
      <w:r>
        <w:t xml:space="preserve"> distribution</w:t>
      </w:r>
      <w:r w:rsidRPr="005D550B">
        <w:t xml:space="preserve"> tariffs, electricity retailers will be able to design offers for customers that best meets their needs and support how they want to use electricity—their solar panels, air conditioners, charge their batteries, or electric vehicles. This is likely to result in customers having a choice on the type of tariff available.</w:t>
      </w:r>
    </w:p>
    <w:p w:rsidR="00E56255" w:rsidRDefault="00E56255" w:rsidP="00E56255">
      <w:r w:rsidRPr="005D550B">
        <w:t>Communication to customers will also be important (so that they can understand tariffs and respond), and this is likely to be an ongoing process with retailers playing an important role.</w:t>
      </w:r>
    </w:p>
    <w:p w:rsidR="00E56255" w:rsidRPr="00494CFB" w:rsidRDefault="00E56255" w:rsidP="00E56255">
      <w:pPr>
        <w:rPr>
          <w:rStyle w:val="AERbody"/>
        </w:rPr>
      </w:pPr>
      <w:r w:rsidRPr="00494CFB">
        <w:rPr>
          <w:rStyle w:val="AERbody"/>
        </w:rPr>
        <w:t xml:space="preserve">Because tariff structure statements are new, this </w:t>
      </w:r>
      <w:r w:rsidR="000E2DEA">
        <w:rPr>
          <w:rStyle w:val="AERbody"/>
        </w:rPr>
        <w:t>final</w:t>
      </w:r>
      <w:r w:rsidRPr="00494CFB">
        <w:rPr>
          <w:rStyle w:val="AERbody"/>
        </w:rPr>
        <w:t xml:space="preserve"> decision incorporates concepts which may be unfamiliar to some readers. We suggest for readers that are either unfamiliar with electricity network regulation and its terminology; or those becoming familiar with tariff structure statements to first read appendix</w:t>
      </w:r>
      <w:r w:rsidR="00C6611C">
        <w:rPr>
          <w:rStyle w:val="AERbody"/>
        </w:rPr>
        <w:t xml:space="preserve"> </w:t>
      </w:r>
      <w:r w:rsidR="00C6611C">
        <w:rPr>
          <w:rStyle w:val="AERbody"/>
        </w:rPr>
        <w:fldChar w:fldCharType="begin"/>
      </w:r>
      <w:r w:rsidR="00C6611C">
        <w:rPr>
          <w:rStyle w:val="AERbody"/>
        </w:rPr>
        <w:instrText xml:space="preserve"> REF _Ref477280113 \r \h </w:instrText>
      </w:r>
      <w:r w:rsidR="00C6611C">
        <w:rPr>
          <w:rStyle w:val="AERbody"/>
        </w:rPr>
      </w:r>
      <w:r w:rsidR="00C6611C">
        <w:rPr>
          <w:rStyle w:val="AERbody"/>
        </w:rPr>
        <w:fldChar w:fldCharType="separate"/>
      </w:r>
      <w:r w:rsidR="00F52FCD">
        <w:rPr>
          <w:rStyle w:val="AERbody"/>
        </w:rPr>
        <w:t>A</w:t>
      </w:r>
      <w:r w:rsidR="00C6611C">
        <w:rPr>
          <w:rStyle w:val="AERbody"/>
        </w:rPr>
        <w:fldChar w:fldCharType="end"/>
      </w:r>
      <w:r w:rsidRPr="00494CFB">
        <w:rPr>
          <w:rStyle w:val="AERbody"/>
        </w:rPr>
        <w:t xml:space="preserve"> to this attachment. Appendix</w:t>
      </w:r>
      <w:r w:rsidR="00C6611C">
        <w:rPr>
          <w:rStyle w:val="AERbody"/>
        </w:rPr>
        <w:t xml:space="preserve"> </w:t>
      </w:r>
      <w:r w:rsidR="00C6611C">
        <w:rPr>
          <w:rStyle w:val="AERbody"/>
        </w:rPr>
        <w:fldChar w:fldCharType="begin"/>
      </w:r>
      <w:r w:rsidR="00C6611C">
        <w:rPr>
          <w:rStyle w:val="AERbody"/>
        </w:rPr>
        <w:instrText xml:space="preserve"> REF _Ref477280126 \r \h </w:instrText>
      </w:r>
      <w:r w:rsidR="00C6611C">
        <w:rPr>
          <w:rStyle w:val="AERbody"/>
        </w:rPr>
      </w:r>
      <w:r w:rsidR="00C6611C">
        <w:rPr>
          <w:rStyle w:val="AERbody"/>
        </w:rPr>
        <w:fldChar w:fldCharType="separate"/>
      </w:r>
      <w:r w:rsidR="00F52FCD">
        <w:rPr>
          <w:rStyle w:val="AERbody"/>
        </w:rPr>
        <w:t>A</w:t>
      </w:r>
      <w:r w:rsidR="00C6611C">
        <w:rPr>
          <w:rStyle w:val="AERbody"/>
        </w:rPr>
        <w:fldChar w:fldCharType="end"/>
      </w:r>
      <w:r w:rsidR="00C6611C">
        <w:rPr>
          <w:rStyle w:val="AERbody"/>
        </w:rPr>
        <w:t xml:space="preserve"> </w:t>
      </w:r>
      <w:r w:rsidRPr="00494CFB">
        <w:rPr>
          <w:rStyle w:val="AERbody"/>
        </w:rPr>
        <w:t>sets out the background to tariff structure statements and provides descriptions of the more commonly used concepts.</w:t>
      </w:r>
    </w:p>
    <w:p w:rsidR="00132D43" w:rsidRDefault="0046646A" w:rsidP="00132D43">
      <w:pPr>
        <w:pStyle w:val="Heading2"/>
      </w:pPr>
      <w:bookmarkStart w:id="73" w:name="_Toc481061346"/>
      <w:r>
        <w:t>Final</w:t>
      </w:r>
      <w:r w:rsidR="00132D43">
        <w:t xml:space="preserve"> decision</w:t>
      </w:r>
      <w:bookmarkEnd w:id="73"/>
    </w:p>
    <w:p w:rsidR="006C5C13" w:rsidRDefault="00AC107C" w:rsidP="00132D43">
      <w:r>
        <w:t>Our final decision approves</w:t>
      </w:r>
      <w:r w:rsidR="009C7DE6">
        <w:t xml:space="preserve"> </w:t>
      </w:r>
      <w:r w:rsidR="002C4BF3">
        <w:t xml:space="preserve">TasNetworks' revised </w:t>
      </w:r>
      <w:r w:rsidR="006C5C13">
        <w:t xml:space="preserve">2017–19 </w:t>
      </w:r>
      <w:r w:rsidR="002C4BF3">
        <w:t>tariff structure statement.</w:t>
      </w:r>
    </w:p>
    <w:p w:rsidR="00132D43" w:rsidRDefault="00F56506" w:rsidP="00132D43">
      <w:r>
        <w:t>W</w:t>
      </w:r>
      <w:r w:rsidRPr="004D2CF7">
        <w:t xml:space="preserve">e are </w:t>
      </w:r>
      <w:r>
        <w:t>satisfied TasNetworks revis</w:t>
      </w:r>
      <w:r w:rsidRPr="004D2CF7">
        <w:t xml:space="preserve">ed tariff structure statement </w:t>
      </w:r>
      <w:r>
        <w:t xml:space="preserve">complies </w:t>
      </w:r>
      <w:r w:rsidRPr="004D2CF7">
        <w:t>with the</w:t>
      </w:r>
      <w:r w:rsidR="00327E99">
        <w:t xml:space="preserve"> requirements of a tariff structure statement and the</w:t>
      </w:r>
      <w:r w:rsidRPr="004D2CF7">
        <w:t xml:space="preserve"> distribution pricing principles.</w:t>
      </w:r>
      <w:r>
        <w:rPr>
          <w:rStyle w:val="FootnoteReference"/>
        </w:rPr>
        <w:footnoteReference w:id="3"/>
      </w:r>
      <w:r w:rsidR="00327E99">
        <w:t xml:space="preserve"> It also is accompanied by an indicative pricing schedule as required.</w:t>
      </w:r>
      <w:r w:rsidR="00327E99">
        <w:rPr>
          <w:rStyle w:val="FootnoteReference"/>
        </w:rPr>
        <w:footnoteReference w:id="4"/>
      </w:r>
    </w:p>
    <w:p w:rsidR="00F56506" w:rsidRDefault="002C4BF3" w:rsidP="002C4BF3">
      <w:r>
        <w:t xml:space="preserve">Our draft decision did not approve TasNetworks' initial tariff structure statement because </w:t>
      </w:r>
      <w:r w:rsidR="006C5C13">
        <w:t xml:space="preserve">we considered </w:t>
      </w:r>
      <w:r>
        <w:t>one element</w:t>
      </w:r>
      <w:r w:rsidR="006C5C13">
        <w:t xml:space="preserve"> of it required further justification</w:t>
      </w:r>
      <w:r>
        <w:t xml:space="preserve">. </w:t>
      </w:r>
      <w:r w:rsidR="00F56506">
        <w:t>Specifically, w</w:t>
      </w:r>
      <w:r w:rsidR="001E4602">
        <w:t>e considered</w:t>
      </w:r>
      <w:r>
        <w:t xml:space="preserve"> that TasNetworks had not </w:t>
      </w:r>
      <w:r w:rsidRPr="004D2CF7">
        <w:t>demonstrated reasonable consideration of the impact of proposed increases in fixed charges on high voltage business customers.</w:t>
      </w:r>
      <w:r w:rsidRPr="00011FE4">
        <w:rPr>
          <w:rStyle w:val="FootnoteReference"/>
        </w:rPr>
        <w:footnoteReference w:id="5"/>
      </w:r>
      <w:r>
        <w:t xml:space="preserve"> </w:t>
      </w:r>
    </w:p>
    <w:p w:rsidR="00F56506" w:rsidRDefault="00F56506" w:rsidP="00F56506">
      <w:r>
        <w:t>In response to our draft decision, TasNetworks undertook further consultation with its high voltage customers on the proposed increases to fixed charges, which was well received by those stakeholders.</w:t>
      </w:r>
      <w:r>
        <w:rPr>
          <w:rStyle w:val="FootnoteReference"/>
        </w:rPr>
        <w:footnoteReference w:id="6"/>
      </w:r>
      <w:r w:rsidR="00754BBE">
        <w:t xml:space="preserve"> TasNetworks also provided additional</w:t>
      </w:r>
      <w:r>
        <w:t xml:space="preserve"> customer impact analysis</w:t>
      </w:r>
      <w:r w:rsidR="00754BBE">
        <w:t xml:space="preserve"> on</w:t>
      </w:r>
      <w:r>
        <w:t xml:space="preserve"> the tariff changes for its high voltage customers. </w:t>
      </w:r>
      <w:r w:rsidR="00754BBE">
        <w:t>T</w:t>
      </w:r>
      <w:r>
        <w:t>he analysis demonstrates that</w:t>
      </w:r>
      <w:r w:rsidR="006C5C13">
        <w:t>,</w:t>
      </w:r>
      <w:r>
        <w:t xml:space="preserve"> o</w:t>
      </w:r>
      <w:r w:rsidR="00754BBE">
        <w:t>n average</w:t>
      </w:r>
      <w:r w:rsidR="006C5C13">
        <w:t>,</w:t>
      </w:r>
      <w:r>
        <w:t xml:space="preserve"> network charges for high voltage customers are </w:t>
      </w:r>
      <w:r w:rsidR="006621F7">
        <w:t>declining</w:t>
      </w:r>
      <w:r w:rsidR="006C5C13">
        <w:t xml:space="preserve"> over the 2017–19</w:t>
      </w:r>
      <w:r>
        <w:t xml:space="preserve">, </w:t>
      </w:r>
      <w:r w:rsidR="006621F7">
        <w:t>with</w:t>
      </w:r>
      <w:r>
        <w:t xml:space="preserve"> increases to fixed charge</w:t>
      </w:r>
      <w:r w:rsidR="00754BBE">
        <w:t>s</w:t>
      </w:r>
      <w:r>
        <w:t xml:space="preserve"> more than offset by reductions in variable charges. </w:t>
      </w:r>
      <w:r w:rsidR="006621F7">
        <w:t xml:space="preserve">We consider that the further discussions TasNetworks has held with its high voltage customers, including those who made submissions directly to us, placing the fixed charges in context of overall network charges has assisted customer understanding of future tariff movements and therefore </w:t>
      </w:r>
      <w:r w:rsidRPr="00B94545">
        <w:t>complies with the distribution pricing principles.</w:t>
      </w:r>
      <w:r>
        <w:t xml:space="preserve"> </w:t>
      </w:r>
      <w:r w:rsidR="006621F7">
        <w:t xml:space="preserve">The customer impact analysis presented in the </w:t>
      </w:r>
      <w:r w:rsidR="006621F7">
        <w:lastRenderedPageBreak/>
        <w:t>revised tariff structure statement is also a demonstration of TasNetworks willingness to convey relevant information to its affected stakeholders and customers.</w:t>
      </w:r>
    </w:p>
    <w:p w:rsidR="001E4602" w:rsidRDefault="001E4602" w:rsidP="001E4602">
      <w:r>
        <w:t>Our draft decision approved all other elements of TasNetworks' initial tariff structure statement. We maintain this view for our final decision.</w:t>
      </w:r>
    </w:p>
    <w:p w:rsidR="001E4602" w:rsidRPr="004D2CF7" w:rsidRDefault="001E4602" w:rsidP="001E4602">
      <w:r w:rsidRPr="004D2CF7">
        <w:t xml:space="preserve">We approve the introduction of time of use demand tariffs for </w:t>
      </w:r>
      <w:r>
        <w:t>residential</w:t>
      </w:r>
      <w:r w:rsidRPr="004D2CF7">
        <w:t xml:space="preserve"> and low voltage business customers. Demand based tariffs are more cost reflective compared to existing consumption based tariffs. Demand tariffs better reflect a distributor's forward looking costs which are driven by building network capacity to alleviate network congestion and provide a safe and reliable network during </w:t>
      </w:r>
      <w:r w:rsidR="00F56506" w:rsidRPr="004D2CF7">
        <w:t>peak demand</w:t>
      </w:r>
      <w:r w:rsidRPr="004D2CF7">
        <w:t>.</w:t>
      </w:r>
    </w:p>
    <w:p w:rsidR="001E4602" w:rsidRPr="004D2CF7" w:rsidRDefault="001E4602" w:rsidP="001E4602">
      <w:r>
        <w:t>W</w:t>
      </w:r>
      <w:r w:rsidRPr="004D2CF7">
        <w:t>e approve</w:t>
      </w:r>
      <w:r>
        <w:t xml:space="preserve"> </w:t>
      </w:r>
      <w:r w:rsidRPr="004D2CF7">
        <w:t>the introduction of the time of use demand tariffs to customers on an opt</w:t>
      </w:r>
      <w:r>
        <w:noBreakHyphen/>
      </w:r>
      <w:r w:rsidRPr="004D2CF7">
        <w:t xml:space="preserve">in basis and that legacy tariffs will continue in their current structure for at least the 2017–19 regulatory control period. Both TasNetworks and stakeholders considered this to be a prudent approach, to avoid any sudden price </w:t>
      </w:r>
      <w:r>
        <w:t>movements</w:t>
      </w:r>
      <w:r w:rsidRPr="004D2CF7">
        <w:t xml:space="preserve"> for customers</w:t>
      </w:r>
      <w:r w:rsidR="005F5C1D">
        <w:t xml:space="preserve"> and to introduce them to new charging regimes on a gradual basis</w:t>
      </w:r>
      <w:r w:rsidRPr="004D2CF7">
        <w:t>.</w:t>
      </w:r>
      <w:r w:rsidR="008A04EE">
        <w:rPr>
          <w:rStyle w:val="FootnoteReference"/>
        </w:rPr>
        <w:footnoteReference w:id="7"/>
      </w:r>
    </w:p>
    <w:p w:rsidR="001E4602" w:rsidRPr="004D2CF7" w:rsidRDefault="001E4602" w:rsidP="001E4602">
      <w:r w:rsidRPr="004D2CF7">
        <w:t xml:space="preserve">We approve the proposed time of use demand charging windows for the demand tariffs. The peak demand charging windows </w:t>
      </w:r>
      <w:r w:rsidR="005F5C1D">
        <w:t xml:space="preserve">reasonably </w:t>
      </w:r>
      <w:r w:rsidRPr="004D2CF7">
        <w:t xml:space="preserve">reflect times of </w:t>
      </w:r>
      <w:r>
        <w:t xml:space="preserve">likely </w:t>
      </w:r>
      <w:r w:rsidRPr="004D2CF7">
        <w:t>network stress</w:t>
      </w:r>
      <w:r>
        <w:t xml:space="preserve"> and </w:t>
      </w:r>
      <w:r w:rsidRPr="004D2CF7">
        <w:t>are also wide enough to aid in avoiding customers shifting load and creating new peaks</w:t>
      </w:r>
      <w:r>
        <w:t xml:space="preserve"> at other times</w:t>
      </w:r>
      <w:r w:rsidRPr="004D2CF7">
        <w:t>.</w:t>
      </w:r>
    </w:p>
    <w:p w:rsidR="001E4602" w:rsidRDefault="005F5C1D" w:rsidP="001E4602">
      <w:r>
        <w:t xml:space="preserve">One of the aims of cost reflective pricing is to reduce the extent to which certain customers are paying for the costs that other customers impose on the network through their usage. This is sometimes referred to as a cross subsidy. </w:t>
      </w:r>
      <w:r w:rsidR="001E4602">
        <w:t>We approve</w:t>
      </w:r>
      <w:r w:rsidR="001E4602" w:rsidRPr="004D2CF7">
        <w:t xml:space="preserve"> the realignment of specific</w:t>
      </w:r>
      <w:r>
        <w:t xml:space="preserve"> TasNetworks</w:t>
      </w:r>
      <w:r w:rsidR="001E4602" w:rsidRPr="004D2CF7">
        <w:t xml:space="preserve"> tariffs to remove long standing subsidies between customer groups. Removing the cross subsidies is a movement along the cost reflectivity spectrum and contributes to the achievement of compliance with the distribution pricing principles.</w:t>
      </w:r>
      <w:r>
        <w:t xml:space="preserve"> </w:t>
      </w:r>
    </w:p>
    <w:p w:rsidR="006563C8" w:rsidRDefault="006563C8" w:rsidP="006563C8">
      <w:r>
        <w:t>Although not required for compliance, our draft decision</w:t>
      </w:r>
      <w:r w:rsidR="0020665E">
        <w:t xml:space="preserve"> also</w:t>
      </w:r>
      <w:r>
        <w:t xml:space="preserve"> considered TasNetworks revised tariff structure statement would </w:t>
      </w:r>
      <w:r w:rsidR="00434384">
        <w:t>be more useful if it included</w:t>
      </w:r>
      <w:r>
        <w:t xml:space="preserve"> the following</w:t>
      </w:r>
      <w:r w:rsidRPr="00013C1A">
        <w:t xml:space="preserve"> </w:t>
      </w:r>
      <w:r>
        <w:t>for the benefit of stakeholders:</w:t>
      </w:r>
    </w:p>
    <w:p w:rsidR="006563C8" w:rsidRDefault="006563C8" w:rsidP="006563C8">
      <w:pPr>
        <w:pStyle w:val="AERbulletlistfirststyle"/>
      </w:pPr>
      <w:r>
        <w:t xml:space="preserve">informing customers </w:t>
      </w:r>
      <w:r w:rsidRPr="00097009">
        <w:t xml:space="preserve">of the pre-requisite that an appropriate </w:t>
      </w:r>
      <w:r w:rsidR="005F5C1D">
        <w:t xml:space="preserve">interval </w:t>
      </w:r>
      <w:r w:rsidRPr="00097009">
        <w:t>meter would be required to opt</w:t>
      </w:r>
      <w:r>
        <w:noBreakHyphen/>
      </w:r>
      <w:r w:rsidRPr="00097009">
        <w:t>in to the demand tariff</w:t>
      </w:r>
      <w:r>
        <w:t>,</w:t>
      </w:r>
      <w:r w:rsidRPr="00097009">
        <w:t xml:space="preserve"> and how </w:t>
      </w:r>
      <w:r w:rsidR="005F5C1D">
        <w:t xml:space="preserve">and from whom </w:t>
      </w:r>
      <w:r w:rsidRPr="00097009">
        <w:t xml:space="preserve">to obtain </w:t>
      </w:r>
      <w:r w:rsidR="005F5C1D">
        <w:t>these</w:t>
      </w:r>
      <w:r w:rsidRPr="00097009">
        <w:t xml:space="preserve"> meter</w:t>
      </w:r>
      <w:r w:rsidR="005F5C1D">
        <w:t>s</w:t>
      </w:r>
    </w:p>
    <w:p w:rsidR="006563C8" w:rsidRDefault="006563C8" w:rsidP="006563C8">
      <w:pPr>
        <w:pStyle w:val="AERbulletlistfirststyle"/>
      </w:pPr>
      <w:r>
        <w:t>information</w:t>
      </w:r>
      <w:r w:rsidR="005F5C1D">
        <w:t xml:space="preserve"> TasNetworks</w:t>
      </w:r>
      <w:r>
        <w:t xml:space="preserve"> provided </w:t>
      </w:r>
      <w:r w:rsidR="005F5C1D">
        <w:t xml:space="preserve">in response to the </w:t>
      </w:r>
      <w:r>
        <w:t>AER's issues paper</w:t>
      </w:r>
      <w:r w:rsidR="005F5C1D">
        <w:t xml:space="preserve"> on tariff structure statements</w:t>
      </w:r>
      <w:r>
        <w:t xml:space="preserve"> and response</w:t>
      </w:r>
      <w:r w:rsidR="0020665E">
        <w:t>s</w:t>
      </w:r>
      <w:r>
        <w:t xml:space="preserve"> to information requests, so that all relevant information is in the one document. For example, information provided on recovery of residual costs.</w:t>
      </w:r>
    </w:p>
    <w:p w:rsidR="00D55E0E" w:rsidRDefault="0020665E" w:rsidP="00132D43">
      <w:r>
        <w:t>TasNetworks' has included this information</w:t>
      </w:r>
      <w:r w:rsidR="006563C8">
        <w:t xml:space="preserve"> in its revised tariff structure statement.</w:t>
      </w:r>
    </w:p>
    <w:p w:rsidR="00836BE0" w:rsidRDefault="005F5C1D" w:rsidP="00024D9D">
      <w:r>
        <w:lastRenderedPageBreak/>
        <w:t xml:space="preserve">We approve </w:t>
      </w:r>
      <w:r w:rsidR="0063572D">
        <w:t>TasNetworks</w:t>
      </w:r>
      <w:r w:rsidR="00836BE0">
        <w:t>'</w:t>
      </w:r>
      <w:r w:rsidR="00024D9D">
        <w:t xml:space="preserve"> </w:t>
      </w:r>
      <w:r w:rsidR="00836BE0">
        <w:t xml:space="preserve">introduction of monthly billing </w:t>
      </w:r>
      <w:r w:rsidR="00836BE0" w:rsidRPr="003004DE">
        <w:t>for the new time of use demand based tariffs</w:t>
      </w:r>
      <w:r w:rsidR="00836BE0">
        <w:t xml:space="preserve"> for the 20</w:t>
      </w:r>
      <w:r>
        <w:t>17–19 regulatory control period even though this was not required by our draft decision to ensure compliance with the distribution pricing principles. O</w:t>
      </w:r>
      <w:r w:rsidR="00836BE0">
        <w:t xml:space="preserve">ur draft decision approved </w:t>
      </w:r>
      <w:r>
        <w:t xml:space="preserve">the continuation of </w:t>
      </w:r>
      <w:r w:rsidR="00836BE0">
        <w:t xml:space="preserve">quarterly billing for this initial phase of tariff reform but considered </w:t>
      </w:r>
      <w:r w:rsidR="00836BE0" w:rsidRPr="003004DE">
        <w:t>more frequent billing cycles</w:t>
      </w:r>
      <w:r w:rsidR="00836BE0">
        <w:t xml:space="preserve"> should be implemented</w:t>
      </w:r>
      <w:r w:rsidR="00836BE0" w:rsidRPr="003004DE">
        <w:t xml:space="preserve"> </w:t>
      </w:r>
      <w:r>
        <w:t>by TasNetworks in future</w:t>
      </w:r>
      <w:r w:rsidR="00836BE0" w:rsidRPr="003004DE">
        <w:t xml:space="preserve"> tariff structure statement</w:t>
      </w:r>
      <w:r>
        <w:t>s</w:t>
      </w:r>
      <w:r w:rsidR="00836BE0" w:rsidRPr="003004DE">
        <w:t>.</w:t>
      </w:r>
      <w:r w:rsidR="00836BE0">
        <w:t xml:space="preserve"> Therefore, we are encouraged by TasNetworks' ability</w:t>
      </w:r>
      <w:r w:rsidR="00706ED0">
        <w:t xml:space="preserve"> to introduce monthly billing </w:t>
      </w:r>
      <w:r>
        <w:t xml:space="preserve">earlier that anticipated because it will help </w:t>
      </w:r>
      <w:r w:rsidR="00CE4356">
        <w:t>customer</w:t>
      </w:r>
      <w:r>
        <w:t xml:space="preserve">s understand their demand and consumption patterns in a </w:t>
      </w:r>
      <w:r w:rsidR="00CE4356">
        <w:t>timelier</w:t>
      </w:r>
      <w:r>
        <w:t xml:space="preserve"> manner</w:t>
      </w:r>
      <w:r w:rsidR="00CE4356">
        <w:t xml:space="preserve"> and respond accordingly.</w:t>
      </w:r>
      <w:r>
        <w:t xml:space="preserve"> </w:t>
      </w:r>
    </w:p>
    <w:p w:rsidR="00836BE0" w:rsidRDefault="00836BE0" w:rsidP="00024D9D">
      <w:r>
        <w:t>We al</w:t>
      </w:r>
      <w:r w:rsidR="00706ED0">
        <w:t>so commend TasNetworks' proposed</w:t>
      </w:r>
      <w:r>
        <w:t xml:space="preserve"> tariff trial to better understand the </w:t>
      </w:r>
      <w:r w:rsidR="00706ED0">
        <w:t xml:space="preserve">demand tariff </w:t>
      </w:r>
      <w:r>
        <w:t>impacts.</w:t>
      </w:r>
      <w:r>
        <w:rPr>
          <w:rStyle w:val="FootnoteReference"/>
        </w:rPr>
        <w:footnoteReference w:id="8"/>
      </w:r>
      <w:r>
        <w:t xml:space="preserve"> This information will help TasNetworks understand how customers respond to the demand tariffs in terms of electricity use and impacts on their total bills. This </w:t>
      </w:r>
      <w:r w:rsidR="002E4217">
        <w:t xml:space="preserve">will inform </w:t>
      </w:r>
      <w:r>
        <w:t xml:space="preserve">TasNetworks' </w:t>
      </w:r>
      <w:r w:rsidR="002E4217">
        <w:t>future</w:t>
      </w:r>
      <w:r>
        <w:t xml:space="preserve"> tariff design and communication of tariff impacts with customers. We expect TasNetworks </w:t>
      </w:r>
      <w:r w:rsidR="002E4217">
        <w:t xml:space="preserve">will be able </w:t>
      </w:r>
      <w:r>
        <w:t xml:space="preserve">to provide </w:t>
      </w:r>
      <w:r w:rsidR="002E4217">
        <w:t xml:space="preserve">the </w:t>
      </w:r>
      <w:r>
        <w:t xml:space="preserve">findings of </w:t>
      </w:r>
      <w:r w:rsidR="00754BBE">
        <w:t>its</w:t>
      </w:r>
      <w:r>
        <w:t xml:space="preserve"> tariff trial in its next tariff structure statement.</w:t>
      </w:r>
    </w:p>
    <w:p w:rsidR="00B6063F" w:rsidRDefault="00B6063F" w:rsidP="0082633D">
      <w:pPr>
        <w:pStyle w:val="HeadingBoldBlue"/>
      </w:pPr>
      <w:r>
        <w:t>Stakeholder engagement</w:t>
      </w:r>
    </w:p>
    <w:p w:rsidR="00B6063F" w:rsidRDefault="00B6063F" w:rsidP="00B6063F">
      <w:r>
        <w:t xml:space="preserve">We consider TasNetworks undertook significant consultation processes in developing its tariff structure statement. This helped formulate the design of its cost reflective tariffs with the engagement of customers, retailers and consumer representatives. </w:t>
      </w:r>
    </w:p>
    <w:p w:rsidR="00B6063F" w:rsidRDefault="00B6063F" w:rsidP="00B6063F">
      <w:r>
        <w:t xml:space="preserve">See appendix </w:t>
      </w:r>
      <w:r>
        <w:fldChar w:fldCharType="begin"/>
      </w:r>
      <w:r>
        <w:instrText xml:space="preserve"> REF _Ref478564247 \r \h </w:instrText>
      </w:r>
      <w:r>
        <w:fldChar w:fldCharType="separate"/>
      </w:r>
      <w:r w:rsidR="00F52FCD">
        <w:t>B</w:t>
      </w:r>
      <w:r>
        <w:fldChar w:fldCharType="end"/>
      </w:r>
      <w:r>
        <w:t xml:space="preserve"> for more detail on TasNetworks' stakeholder engagement.</w:t>
      </w:r>
    </w:p>
    <w:p w:rsidR="00B6063F" w:rsidRDefault="00B6063F" w:rsidP="0082633D">
      <w:pPr>
        <w:pStyle w:val="HeadingBoldBlue"/>
      </w:pPr>
      <w:r>
        <w:t>Our process</w:t>
      </w:r>
    </w:p>
    <w:p w:rsidR="00B6063F" w:rsidRDefault="00B6063F" w:rsidP="00B6063F">
      <w:r>
        <w:fldChar w:fldCharType="begin"/>
      </w:r>
      <w:r>
        <w:instrText xml:space="preserve"> REF _Ref478564396 \h </w:instrText>
      </w:r>
      <w:r>
        <w:fldChar w:fldCharType="separate"/>
      </w:r>
      <w:r w:rsidR="00F52FCD">
        <w:t xml:space="preserve">Table </w:t>
      </w:r>
      <w:r w:rsidR="00F52FCD">
        <w:rPr>
          <w:noProof/>
        </w:rPr>
        <w:t>19</w:t>
      </w:r>
      <w:r w:rsidR="00F52FCD">
        <w:t>.</w:t>
      </w:r>
      <w:r w:rsidR="00F52FCD">
        <w:rPr>
          <w:noProof/>
        </w:rPr>
        <w:t>1</w:t>
      </w:r>
      <w:r>
        <w:fldChar w:fldCharType="end"/>
      </w:r>
      <w:r>
        <w:t xml:space="preserve"> below sets </w:t>
      </w:r>
      <w:r w:rsidRPr="0077195E">
        <w:t xml:space="preserve">out how </w:t>
      </w:r>
      <w:r w:rsidR="00123B24">
        <w:t>our</w:t>
      </w:r>
      <w:r w:rsidRPr="0077195E">
        <w:t xml:space="preserve"> </w:t>
      </w:r>
      <w:r w:rsidR="005916DA">
        <w:t>final</w:t>
      </w:r>
      <w:r w:rsidRPr="0077195E">
        <w:t xml:space="preserve"> decision </w:t>
      </w:r>
      <w:r>
        <w:t>follows</w:t>
      </w:r>
      <w:r w:rsidRPr="0077195E">
        <w:t xml:space="preserve"> on from the Power of Choice reform program and into the first annual pricing approval process.</w:t>
      </w:r>
    </w:p>
    <w:p w:rsidR="00B6063F" w:rsidRDefault="005916DA" w:rsidP="00B6063F">
      <w:r>
        <w:t>TasNetworks</w:t>
      </w:r>
      <w:r w:rsidR="00B6063F">
        <w:t xml:space="preserve"> submitted its initial proposed tariff structure statement in </w:t>
      </w:r>
      <w:r w:rsidR="009C321E">
        <w:t>January 2016</w:t>
      </w:r>
      <w:r w:rsidR="00B6063F">
        <w:t xml:space="preserve">. </w:t>
      </w:r>
    </w:p>
    <w:p w:rsidR="00B6063F" w:rsidRDefault="00706ED0" w:rsidP="00B6063F">
      <w:r>
        <w:t>W</w:t>
      </w:r>
      <w:r w:rsidR="00B6063F">
        <w:t xml:space="preserve">e made a draft decision in </w:t>
      </w:r>
      <w:r w:rsidR="009C321E">
        <w:t>September</w:t>
      </w:r>
      <w:r w:rsidR="00B6063F">
        <w:t xml:space="preserve"> 2016 that did not approve </w:t>
      </w:r>
      <w:r w:rsidR="009C321E">
        <w:t>TasNetworks'</w:t>
      </w:r>
      <w:r w:rsidR="00B6063F">
        <w:t xml:space="preserve"> </w:t>
      </w:r>
      <w:r w:rsidR="009C321E">
        <w:t xml:space="preserve">January </w:t>
      </w:r>
      <w:r w:rsidR="00B6063F">
        <w:t>201</w:t>
      </w:r>
      <w:r w:rsidR="009C321E">
        <w:t>6</w:t>
      </w:r>
      <w:r w:rsidR="00B6063F">
        <w:t xml:space="preserve"> tariff structure statement. </w:t>
      </w:r>
      <w:r>
        <w:t xml:space="preserve">In response, </w:t>
      </w:r>
      <w:r w:rsidR="009C321E">
        <w:t>TasNetworks</w:t>
      </w:r>
      <w:r>
        <w:t xml:space="preserve"> submitted a</w:t>
      </w:r>
      <w:r w:rsidR="00B6063F">
        <w:t xml:space="preserve"> revised</w:t>
      </w:r>
      <w:r w:rsidR="009C321E">
        <w:t xml:space="preserve"> tariff structure statement</w:t>
      </w:r>
      <w:r w:rsidR="00B6063F">
        <w:t xml:space="preserve"> proposal in </w:t>
      </w:r>
      <w:r w:rsidR="009C321E">
        <w:t>December</w:t>
      </w:r>
      <w:r w:rsidR="00B6063F">
        <w:t xml:space="preserve"> 2016.</w:t>
      </w:r>
    </w:p>
    <w:p w:rsidR="00B6063F" w:rsidRDefault="00FE31C2" w:rsidP="00B6063F">
      <w:r>
        <w:t>In forming our final decision, w</w:t>
      </w:r>
      <w:r w:rsidR="00B6063F" w:rsidRPr="007E4476">
        <w:t xml:space="preserve">e also took into account stakeholder submissions received on </w:t>
      </w:r>
      <w:r w:rsidR="009C321E">
        <w:t>TasNetworks'</w:t>
      </w:r>
      <w:r w:rsidR="00B6063F" w:rsidRPr="007E4476">
        <w:t xml:space="preserve"> tariff structure statement, comments received at our public forum in Ma</w:t>
      </w:r>
      <w:r w:rsidR="009C321E">
        <w:t>rch</w:t>
      </w:r>
      <w:r w:rsidR="00B6063F" w:rsidRPr="007E4476">
        <w:t xml:space="preserve"> 2016 and submissions made on the revised tariff structure statement. These are considered in the chapters that follow. </w:t>
      </w:r>
    </w:p>
    <w:p w:rsidR="00544E8A" w:rsidRDefault="00544E8A">
      <w:pPr>
        <w:spacing w:line="240" w:lineRule="auto"/>
      </w:pPr>
      <w:r>
        <w:br w:type="page"/>
      </w:r>
    </w:p>
    <w:p w:rsidR="00B6063F" w:rsidRDefault="00B6063F" w:rsidP="00B6063F">
      <w:pPr>
        <w:pStyle w:val="Caption"/>
      </w:pPr>
      <w:bookmarkStart w:id="74" w:name="_Ref478564396"/>
      <w:r>
        <w:lastRenderedPageBreak/>
        <w:t xml:space="preserve">Table </w:t>
      </w:r>
      <w:fldSimple w:instr=" STYLEREF 1 \s ">
        <w:r w:rsidR="00F52FCD">
          <w:rPr>
            <w:noProof/>
          </w:rPr>
          <w:t>19</w:t>
        </w:r>
      </w:fldSimple>
      <w:r w:rsidR="00E914FF">
        <w:t>.</w:t>
      </w:r>
      <w:fldSimple w:instr=" SEQ Table \* ARABIC \s 1 ">
        <w:r w:rsidR="00F52FCD">
          <w:rPr>
            <w:noProof/>
          </w:rPr>
          <w:t>1</w:t>
        </w:r>
      </w:fldSimple>
      <w:bookmarkEnd w:id="74"/>
      <w:r>
        <w:tab/>
        <w:t>Tariff structure statement and annual pricing process timeframes</w:t>
      </w:r>
    </w:p>
    <w:tbl>
      <w:tblPr>
        <w:tblStyle w:val="AERtable-text0"/>
        <w:tblW w:w="0" w:type="auto"/>
        <w:tblLook w:val="04A0" w:firstRow="1" w:lastRow="0" w:firstColumn="1" w:lastColumn="0" w:noHBand="0" w:noVBand="1"/>
      </w:tblPr>
      <w:tblGrid>
        <w:gridCol w:w="6345"/>
        <w:gridCol w:w="2348"/>
      </w:tblGrid>
      <w:tr w:rsidR="005916DA" w:rsidRPr="00E97114" w:rsidTr="00F720FE">
        <w:trPr>
          <w:cnfStyle w:val="100000000000" w:firstRow="1" w:lastRow="0" w:firstColumn="0" w:lastColumn="0" w:oddVBand="0" w:evenVBand="0" w:oddHBand="0" w:evenHBand="0" w:firstRowFirstColumn="0" w:firstRowLastColumn="0" w:lastRowFirstColumn="0" w:lastRowLastColumn="0"/>
        </w:trPr>
        <w:tc>
          <w:tcPr>
            <w:tcW w:w="6345" w:type="dxa"/>
          </w:tcPr>
          <w:p w:rsidR="005916DA" w:rsidRPr="005916DA" w:rsidRDefault="005916DA" w:rsidP="005916DA">
            <w:r w:rsidRPr="00E97114">
              <w:t>Reform milestones</w:t>
            </w:r>
          </w:p>
        </w:tc>
        <w:tc>
          <w:tcPr>
            <w:tcW w:w="2348" w:type="dxa"/>
          </w:tcPr>
          <w:p w:rsidR="005916DA" w:rsidRPr="005916DA" w:rsidRDefault="005916DA" w:rsidP="005916DA">
            <w:r w:rsidRPr="00E97114">
              <w:t>Date</w:t>
            </w:r>
          </w:p>
        </w:tc>
      </w:tr>
      <w:tr w:rsidR="005916DA" w:rsidRPr="00E97114" w:rsidTr="00F720FE">
        <w:tc>
          <w:tcPr>
            <w:tcW w:w="6345" w:type="dxa"/>
          </w:tcPr>
          <w:p w:rsidR="005916DA" w:rsidRPr="005916DA" w:rsidRDefault="005916DA" w:rsidP="005916DA">
            <w:pPr>
              <w:rPr>
                <w:rStyle w:val="Strong"/>
              </w:rPr>
            </w:pPr>
            <w:r w:rsidRPr="00E97114">
              <w:rPr>
                <w:rStyle w:val="Strong"/>
              </w:rPr>
              <w:t>Tariff structure statement process</w:t>
            </w:r>
          </w:p>
        </w:tc>
        <w:tc>
          <w:tcPr>
            <w:tcW w:w="2348" w:type="dxa"/>
          </w:tcPr>
          <w:p w:rsidR="005916DA" w:rsidRPr="00E97114" w:rsidRDefault="005916DA" w:rsidP="005916DA">
            <w:pPr>
              <w:rPr>
                <w:rStyle w:val="Strong"/>
              </w:rPr>
            </w:pPr>
          </w:p>
        </w:tc>
      </w:tr>
      <w:tr w:rsidR="005916DA" w:rsidRPr="00E97114" w:rsidTr="00F720FE">
        <w:trPr>
          <w:cnfStyle w:val="000000010000" w:firstRow="0" w:lastRow="0" w:firstColumn="0" w:lastColumn="0" w:oddVBand="0" w:evenVBand="0" w:oddHBand="0" w:evenHBand="1" w:firstRowFirstColumn="0" w:firstRowLastColumn="0" w:lastRowFirstColumn="0" w:lastRowLastColumn="0"/>
        </w:trPr>
        <w:tc>
          <w:tcPr>
            <w:tcW w:w="6345" w:type="dxa"/>
          </w:tcPr>
          <w:p w:rsidR="005916DA" w:rsidRPr="005916DA" w:rsidRDefault="005916DA" w:rsidP="005916DA">
            <w:r>
              <w:t>TasNetworks</w:t>
            </w:r>
            <w:r w:rsidRPr="005916DA">
              <w:t xml:space="preserve"> submits tariff structure statement proposal to AER</w:t>
            </w:r>
          </w:p>
        </w:tc>
        <w:tc>
          <w:tcPr>
            <w:tcW w:w="2348" w:type="dxa"/>
          </w:tcPr>
          <w:p w:rsidR="005916DA" w:rsidRPr="005916DA" w:rsidRDefault="005916DA" w:rsidP="005916DA">
            <w:r>
              <w:t>29 January 2016</w:t>
            </w:r>
          </w:p>
        </w:tc>
      </w:tr>
      <w:tr w:rsidR="005916DA" w:rsidRPr="00E97114" w:rsidTr="00F720FE">
        <w:tc>
          <w:tcPr>
            <w:tcW w:w="6345" w:type="dxa"/>
          </w:tcPr>
          <w:p w:rsidR="005916DA" w:rsidRPr="005916DA" w:rsidRDefault="005916DA" w:rsidP="005916DA">
            <w:r w:rsidRPr="00E97114">
              <w:t>AER publishes issues paper</w:t>
            </w:r>
          </w:p>
        </w:tc>
        <w:tc>
          <w:tcPr>
            <w:tcW w:w="2348" w:type="dxa"/>
          </w:tcPr>
          <w:p w:rsidR="005916DA" w:rsidRPr="005916DA" w:rsidRDefault="005916DA" w:rsidP="005916DA">
            <w:r w:rsidRPr="00E97114">
              <w:t>11 March 2016</w:t>
            </w:r>
          </w:p>
        </w:tc>
      </w:tr>
      <w:tr w:rsidR="005916DA" w:rsidRPr="00E97114" w:rsidTr="00F720FE">
        <w:trPr>
          <w:cnfStyle w:val="000000010000" w:firstRow="0" w:lastRow="0" w:firstColumn="0" w:lastColumn="0" w:oddVBand="0" w:evenVBand="0" w:oddHBand="0" w:evenHBand="1" w:firstRowFirstColumn="0" w:firstRowLastColumn="0" w:lastRowFirstColumn="0" w:lastRowLastColumn="0"/>
        </w:trPr>
        <w:tc>
          <w:tcPr>
            <w:tcW w:w="6345" w:type="dxa"/>
          </w:tcPr>
          <w:p w:rsidR="005916DA" w:rsidRPr="005916DA" w:rsidRDefault="005916DA" w:rsidP="005916DA">
            <w:r w:rsidRPr="00E97114">
              <w:t xml:space="preserve">Stakeholders' submissions on </w:t>
            </w:r>
            <w:r w:rsidRPr="005916DA">
              <w:t>TasNetworks' proposal and AER's issues paper closed</w:t>
            </w:r>
          </w:p>
        </w:tc>
        <w:tc>
          <w:tcPr>
            <w:tcW w:w="2348" w:type="dxa"/>
          </w:tcPr>
          <w:p w:rsidR="005916DA" w:rsidRPr="005916DA" w:rsidRDefault="005916DA" w:rsidP="005916DA">
            <w:r w:rsidRPr="00E97114">
              <w:t>28 April 2016</w:t>
            </w:r>
          </w:p>
        </w:tc>
      </w:tr>
      <w:tr w:rsidR="005916DA" w:rsidRPr="00E97114" w:rsidTr="00F720FE">
        <w:tc>
          <w:tcPr>
            <w:tcW w:w="6345" w:type="dxa"/>
          </w:tcPr>
          <w:p w:rsidR="005916DA" w:rsidRPr="005916DA" w:rsidRDefault="005916DA" w:rsidP="005916DA">
            <w:r w:rsidRPr="00E97114">
              <w:t xml:space="preserve">AER hosts public forum on </w:t>
            </w:r>
            <w:r w:rsidRPr="005916DA">
              <w:t>TasNetworks' proposal</w:t>
            </w:r>
          </w:p>
        </w:tc>
        <w:tc>
          <w:tcPr>
            <w:tcW w:w="2348" w:type="dxa"/>
          </w:tcPr>
          <w:p w:rsidR="005916DA" w:rsidRPr="005916DA" w:rsidRDefault="005916DA" w:rsidP="005916DA">
            <w:r>
              <w:t>17</w:t>
            </w:r>
            <w:r w:rsidRPr="005916DA">
              <w:t xml:space="preserve"> March 2016</w:t>
            </w:r>
          </w:p>
        </w:tc>
      </w:tr>
      <w:tr w:rsidR="005916DA" w:rsidRPr="00E97114" w:rsidTr="00F720FE">
        <w:trPr>
          <w:cnfStyle w:val="000000010000" w:firstRow="0" w:lastRow="0" w:firstColumn="0" w:lastColumn="0" w:oddVBand="0" w:evenVBand="0" w:oddHBand="0" w:evenHBand="1" w:firstRowFirstColumn="0" w:firstRowLastColumn="0" w:lastRowFirstColumn="0" w:lastRowLastColumn="0"/>
        </w:trPr>
        <w:tc>
          <w:tcPr>
            <w:tcW w:w="6345" w:type="dxa"/>
          </w:tcPr>
          <w:p w:rsidR="005916DA" w:rsidRPr="005916DA" w:rsidRDefault="005916DA" w:rsidP="005916DA">
            <w:r w:rsidRPr="00E97114">
              <w:t>AER publishes draft decision</w:t>
            </w:r>
          </w:p>
        </w:tc>
        <w:tc>
          <w:tcPr>
            <w:tcW w:w="2348" w:type="dxa"/>
          </w:tcPr>
          <w:p w:rsidR="005916DA" w:rsidRPr="005916DA" w:rsidRDefault="005916DA" w:rsidP="005916DA">
            <w:r w:rsidRPr="00E97114">
              <w:t>2</w:t>
            </w:r>
            <w:r w:rsidRPr="005916DA">
              <w:t>9 September 2016</w:t>
            </w:r>
          </w:p>
        </w:tc>
      </w:tr>
      <w:tr w:rsidR="005916DA" w:rsidRPr="00E97114" w:rsidTr="00F720FE">
        <w:tc>
          <w:tcPr>
            <w:tcW w:w="6345" w:type="dxa"/>
          </w:tcPr>
          <w:p w:rsidR="005916DA" w:rsidRPr="005916DA" w:rsidRDefault="005916DA" w:rsidP="005916DA">
            <w:r>
              <w:t>TasNetworks</w:t>
            </w:r>
            <w:r w:rsidRPr="005916DA">
              <w:t xml:space="preserve"> revised proposal and stakeholders' submissions on AER's draft decision due</w:t>
            </w:r>
          </w:p>
        </w:tc>
        <w:tc>
          <w:tcPr>
            <w:tcW w:w="2348" w:type="dxa"/>
          </w:tcPr>
          <w:p w:rsidR="005916DA" w:rsidRPr="005916DA" w:rsidRDefault="005916DA" w:rsidP="005916DA">
            <w:r>
              <w:t>1 December</w:t>
            </w:r>
            <w:r w:rsidRPr="005916DA">
              <w:t xml:space="preserve"> 2016</w:t>
            </w:r>
          </w:p>
        </w:tc>
      </w:tr>
      <w:tr w:rsidR="005916DA" w:rsidRPr="00E97114" w:rsidTr="00F720FE">
        <w:trPr>
          <w:cnfStyle w:val="000000010000" w:firstRow="0" w:lastRow="0" w:firstColumn="0" w:lastColumn="0" w:oddVBand="0" w:evenVBand="0" w:oddHBand="0" w:evenHBand="1" w:firstRowFirstColumn="0" w:firstRowLastColumn="0" w:lastRowFirstColumn="0" w:lastRowLastColumn="0"/>
        </w:trPr>
        <w:tc>
          <w:tcPr>
            <w:tcW w:w="6345" w:type="dxa"/>
          </w:tcPr>
          <w:p w:rsidR="005916DA" w:rsidRPr="005916DA" w:rsidRDefault="005916DA" w:rsidP="005916DA">
            <w:r w:rsidRPr="00E97114">
              <w:t xml:space="preserve">Stakeholders' submissions on </w:t>
            </w:r>
            <w:r w:rsidRPr="005916DA">
              <w:t>TasNetworks revised proposal and other stakeholders' submissions due</w:t>
            </w:r>
          </w:p>
        </w:tc>
        <w:tc>
          <w:tcPr>
            <w:tcW w:w="2348" w:type="dxa"/>
          </w:tcPr>
          <w:p w:rsidR="005916DA" w:rsidRPr="005916DA" w:rsidRDefault="005916DA" w:rsidP="005916DA">
            <w:r>
              <w:t>23 December</w:t>
            </w:r>
            <w:r w:rsidRPr="005916DA">
              <w:t xml:space="preserve"> 2016</w:t>
            </w:r>
          </w:p>
        </w:tc>
      </w:tr>
      <w:tr w:rsidR="005916DA" w:rsidRPr="00E97114" w:rsidTr="00F720FE">
        <w:tc>
          <w:tcPr>
            <w:tcW w:w="6345" w:type="dxa"/>
          </w:tcPr>
          <w:p w:rsidR="005916DA" w:rsidRPr="005916DA" w:rsidRDefault="005916DA" w:rsidP="005916DA">
            <w:r w:rsidRPr="00E97114">
              <w:t>AER publishes final decision</w:t>
            </w:r>
          </w:p>
        </w:tc>
        <w:tc>
          <w:tcPr>
            <w:tcW w:w="2348" w:type="dxa"/>
          </w:tcPr>
          <w:p w:rsidR="005916DA" w:rsidRPr="005916DA" w:rsidRDefault="005916DA" w:rsidP="005916DA">
            <w:r>
              <w:t xml:space="preserve">28 April </w:t>
            </w:r>
            <w:r w:rsidRPr="005916DA">
              <w:t>2017</w:t>
            </w:r>
          </w:p>
        </w:tc>
      </w:tr>
      <w:tr w:rsidR="005916DA" w:rsidRPr="00E97114" w:rsidTr="00F720FE">
        <w:trPr>
          <w:cnfStyle w:val="000000010000" w:firstRow="0" w:lastRow="0" w:firstColumn="0" w:lastColumn="0" w:oddVBand="0" w:evenVBand="0" w:oddHBand="0" w:evenHBand="1" w:firstRowFirstColumn="0" w:firstRowLastColumn="0" w:lastRowFirstColumn="0" w:lastRowLastColumn="0"/>
        </w:trPr>
        <w:tc>
          <w:tcPr>
            <w:tcW w:w="6345" w:type="dxa"/>
          </w:tcPr>
          <w:p w:rsidR="005916DA" w:rsidRPr="005916DA" w:rsidRDefault="005916DA" w:rsidP="005916DA">
            <w:pPr>
              <w:rPr>
                <w:rStyle w:val="Strong"/>
              </w:rPr>
            </w:pPr>
            <w:r w:rsidRPr="00E97114">
              <w:rPr>
                <w:rStyle w:val="Strong"/>
              </w:rPr>
              <w:t>First annual pricing proposal process to apply tariff structure statement</w:t>
            </w:r>
          </w:p>
        </w:tc>
        <w:tc>
          <w:tcPr>
            <w:tcW w:w="2348" w:type="dxa"/>
          </w:tcPr>
          <w:p w:rsidR="005916DA" w:rsidRPr="00E97114" w:rsidRDefault="005916DA" w:rsidP="005916DA">
            <w:pPr>
              <w:rPr>
                <w:rStyle w:val="Strong"/>
              </w:rPr>
            </w:pPr>
          </w:p>
        </w:tc>
      </w:tr>
      <w:tr w:rsidR="005916DA" w:rsidRPr="00E97114" w:rsidTr="00F720FE">
        <w:tc>
          <w:tcPr>
            <w:tcW w:w="6345" w:type="dxa"/>
          </w:tcPr>
          <w:p w:rsidR="005916DA" w:rsidRPr="005916DA" w:rsidRDefault="005916DA" w:rsidP="005916DA">
            <w:r>
              <w:t>TasNetworks</w:t>
            </w:r>
            <w:r w:rsidRPr="005916DA">
              <w:t xml:space="preserve"> submits annual pricing proposal</w:t>
            </w:r>
          </w:p>
        </w:tc>
        <w:tc>
          <w:tcPr>
            <w:tcW w:w="2348" w:type="dxa"/>
          </w:tcPr>
          <w:p w:rsidR="005916DA" w:rsidRPr="005916DA" w:rsidRDefault="005916DA" w:rsidP="005916DA">
            <w:r>
              <w:t>Within 15 business days after publication of final decision</w:t>
            </w:r>
          </w:p>
        </w:tc>
      </w:tr>
      <w:tr w:rsidR="005916DA" w:rsidRPr="00E97114" w:rsidTr="00F720FE">
        <w:trPr>
          <w:cnfStyle w:val="000000010000" w:firstRow="0" w:lastRow="0" w:firstColumn="0" w:lastColumn="0" w:oddVBand="0" w:evenVBand="0" w:oddHBand="0" w:evenHBand="1" w:firstRowFirstColumn="0" w:firstRowLastColumn="0" w:lastRowFirstColumn="0" w:lastRowLastColumn="0"/>
        </w:trPr>
        <w:tc>
          <w:tcPr>
            <w:tcW w:w="6345" w:type="dxa"/>
          </w:tcPr>
          <w:p w:rsidR="005916DA" w:rsidRPr="005916DA" w:rsidRDefault="005916DA" w:rsidP="005916DA">
            <w:r w:rsidRPr="00E97114">
              <w:t>New tariffs take effect</w:t>
            </w:r>
          </w:p>
        </w:tc>
        <w:tc>
          <w:tcPr>
            <w:tcW w:w="2348" w:type="dxa"/>
          </w:tcPr>
          <w:p w:rsidR="005916DA" w:rsidRPr="005916DA" w:rsidRDefault="005916DA" w:rsidP="005916DA">
            <w:r w:rsidRPr="00E97114">
              <w:t>1 July 2017</w:t>
            </w:r>
          </w:p>
        </w:tc>
      </w:tr>
    </w:tbl>
    <w:p w:rsidR="005916DA" w:rsidRPr="00E97114" w:rsidRDefault="005916DA" w:rsidP="005916DA">
      <w:pPr>
        <w:pStyle w:val="AERtablesource"/>
      </w:pPr>
      <w:r w:rsidRPr="0007338F">
        <w:t>Source: AEMC, National Electricity Rules</w:t>
      </w:r>
      <w:r>
        <w:t>,</w:t>
      </w:r>
      <w:r w:rsidRPr="0007338F">
        <w:t xml:space="preserve"> AER analysis.</w:t>
      </w:r>
    </w:p>
    <w:p w:rsidR="009B1CB5" w:rsidRDefault="009B1CB5" w:rsidP="0082633D">
      <w:pPr>
        <w:pStyle w:val="HeadingBoldBlue"/>
      </w:pPr>
      <w:r>
        <w:t>Future direction</w:t>
      </w:r>
    </w:p>
    <w:p w:rsidR="00A32944" w:rsidRPr="00A32944" w:rsidRDefault="00A32944" w:rsidP="00A32944">
      <w:r w:rsidRPr="00A32944">
        <w:t>This is the first tariff structure statement submitted by TasNetworks. The move to cost reflective pricing will take time to implement. The distribution pricing principles require movement towards more cost reflective tariffs with every tariff statement proposal over upcoming regulatory control periods.</w:t>
      </w:r>
    </w:p>
    <w:p w:rsidR="00A32944" w:rsidRPr="00A32944" w:rsidRDefault="00A32944" w:rsidP="00A32944">
      <w:r w:rsidRPr="00A32944">
        <w:t xml:space="preserve">There are some elements of TasNetworks proposal which comply with the distribution pricing principles but which, in our view, would benefit from further consideration in future tariff structure statements. We identify these matters to provide guidance to TasNetworks, and the industry more generally, on our views on the direction the industry should be heading, to maintain compliance with the distribution pricing principles in the future. Accordingly, in each round of tariff structure statements, we expect distributors to propose additional reforms in order to be compliant with the </w:t>
      </w:r>
      <w:r w:rsidR="00F04041">
        <w:t>NER</w:t>
      </w:r>
      <w:r w:rsidRPr="00A32944">
        <w:t>.</w:t>
      </w:r>
    </w:p>
    <w:p w:rsidR="00A32944" w:rsidRPr="00A32944" w:rsidRDefault="00A32944" w:rsidP="00A32944">
      <w:r w:rsidRPr="00A32944">
        <w:t xml:space="preserve">We encourage TasNetworks to make further improvements in the following areas </w:t>
      </w:r>
      <w:r>
        <w:t>for its next</w:t>
      </w:r>
      <w:r w:rsidRPr="00A32944">
        <w:t xml:space="preserve"> tariff structure statement:</w:t>
      </w:r>
    </w:p>
    <w:p w:rsidR="00A32944" w:rsidRPr="00A32944" w:rsidRDefault="00A32944" w:rsidP="00A32944">
      <w:pPr>
        <w:pStyle w:val="AERbulletlistfirststyle"/>
      </w:pPr>
      <w:r w:rsidRPr="00A32944">
        <w:t xml:space="preserve">further consideration of the use of a 30 minute window to measure demand </w:t>
      </w:r>
      <w:r>
        <w:t>(discussed in section</w:t>
      </w:r>
      <w:r w:rsidR="004B6D86">
        <w:t xml:space="preserve"> </w:t>
      </w:r>
      <w:r w:rsidR="004B6D86">
        <w:fldChar w:fldCharType="begin"/>
      </w:r>
      <w:r w:rsidR="004B6D86">
        <w:instrText xml:space="preserve"> REF _Ref479094279 \r \h </w:instrText>
      </w:r>
      <w:r w:rsidR="004B6D86">
        <w:fldChar w:fldCharType="separate"/>
      </w:r>
      <w:r w:rsidR="00F52FCD">
        <w:t>19.4.2.3</w:t>
      </w:r>
      <w:r w:rsidR="004B6D86">
        <w:fldChar w:fldCharType="end"/>
      </w:r>
      <w:r w:rsidR="004B6D86">
        <w:t>)</w:t>
      </w:r>
    </w:p>
    <w:p w:rsidR="00A32944" w:rsidRPr="00A32944" w:rsidRDefault="00A32944" w:rsidP="00A32944">
      <w:pPr>
        <w:pStyle w:val="AERbulletlistfirststyle"/>
      </w:pPr>
      <w:r w:rsidRPr="00A32944">
        <w:t>timeframe for all residential and business customers transition to demand based tariffs (discussed in section</w:t>
      </w:r>
      <w:r w:rsidR="004B6D86">
        <w:fldChar w:fldCharType="begin"/>
      </w:r>
      <w:r w:rsidR="004B6D86">
        <w:instrText xml:space="preserve"> REF _Ref479094279 \r \h </w:instrText>
      </w:r>
      <w:r w:rsidR="004B6D86">
        <w:fldChar w:fldCharType="separate"/>
      </w:r>
      <w:r w:rsidR="00F52FCD">
        <w:t>19.4.2.3</w:t>
      </w:r>
      <w:r w:rsidR="004B6D86">
        <w:fldChar w:fldCharType="end"/>
      </w:r>
      <w:r w:rsidRPr="00A32944">
        <w:t>)</w:t>
      </w:r>
    </w:p>
    <w:p w:rsidR="00A32944" w:rsidRPr="00A32944" w:rsidRDefault="00A32944" w:rsidP="00A32944">
      <w:pPr>
        <w:pStyle w:val="AERbulletlistfirststyle"/>
      </w:pPr>
      <w:r w:rsidRPr="00A32944">
        <w:lastRenderedPageBreak/>
        <w:t>updated time</w:t>
      </w:r>
      <w:r w:rsidR="00754BBE">
        <w:t>frame for tariff realignment to remove cross</w:t>
      </w:r>
      <w:r w:rsidRPr="00A32944">
        <w:t xml:space="preserve"> subsidi</w:t>
      </w:r>
      <w:r w:rsidR="00754BBE">
        <w:t>e</w:t>
      </w:r>
      <w:r w:rsidRPr="00A32944">
        <w:t>s</w:t>
      </w:r>
      <w:r w:rsidR="00754BBE">
        <w:t xml:space="preserve"> from</w:t>
      </w:r>
      <w:r w:rsidRPr="00A32944">
        <w:t xml:space="preserve"> tariffs (discussed in section</w:t>
      </w:r>
      <w:r>
        <w:t>s </w:t>
      </w:r>
      <w:r w:rsidR="004B6D86">
        <w:fldChar w:fldCharType="begin"/>
      </w:r>
      <w:r w:rsidR="004B6D86">
        <w:instrText xml:space="preserve"> REF _Ref479094351 \r \h </w:instrText>
      </w:r>
      <w:r w:rsidR="004B6D86">
        <w:fldChar w:fldCharType="separate"/>
      </w:r>
      <w:r w:rsidR="00F52FCD">
        <w:t>19.4.3.3</w:t>
      </w:r>
      <w:r w:rsidR="004B6D86">
        <w:fldChar w:fldCharType="end"/>
      </w:r>
      <w:r>
        <w:t xml:space="preserve"> and</w:t>
      </w:r>
      <w:r w:rsidR="00F04041">
        <w:t xml:space="preserve"> </w:t>
      </w:r>
      <w:r w:rsidR="00F04041">
        <w:fldChar w:fldCharType="begin"/>
      </w:r>
      <w:r w:rsidR="00F04041">
        <w:instrText xml:space="preserve"> REF _Ref479094462 \r \h </w:instrText>
      </w:r>
      <w:r w:rsidR="00F04041">
        <w:fldChar w:fldCharType="separate"/>
      </w:r>
      <w:r w:rsidR="00F52FCD">
        <w:t>19.4.4.3</w:t>
      </w:r>
      <w:r w:rsidR="00F04041">
        <w:fldChar w:fldCharType="end"/>
      </w:r>
      <w:r w:rsidRPr="00A32944">
        <w:t>)</w:t>
      </w:r>
    </w:p>
    <w:p w:rsidR="00A32944" w:rsidRDefault="00754BBE" w:rsidP="00A32944">
      <w:pPr>
        <w:pStyle w:val="AERbulletlistfirststyle"/>
      </w:pPr>
      <w:r>
        <w:t xml:space="preserve">the </w:t>
      </w:r>
      <w:r w:rsidR="00A32944">
        <w:t>design of low voltage demand tariffs (discussed in section</w:t>
      </w:r>
      <w:r w:rsidR="00F04041">
        <w:t xml:space="preserve"> </w:t>
      </w:r>
      <w:r w:rsidR="00F04041">
        <w:fldChar w:fldCharType="begin"/>
      </w:r>
      <w:r w:rsidR="00F04041">
        <w:instrText xml:space="preserve"> REF _Ref479094462 \r \h </w:instrText>
      </w:r>
      <w:r w:rsidR="00F04041">
        <w:fldChar w:fldCharType="separate"/>
      </w:r>
      <w:r w:rsidR="00F52FCD">
        <w:t>19.4.4.3</w:t>
      </w:r>
      <w:r w:rsidR="00F04041">
        <w:fldChar w:fldCharType="end"/>
      </w:r>
      <w:r w:rsidR="00A32944">
        <w:t>)</w:t>
      </w:r>
    </w:p>
    <w:p w:rsidR="00A32944" w:rsidRDefault="00A32944" w:rsidP="00A32944">
      <w:pPr>
        <w:pStyle w:val="AERbulletlistfirststyle"/>
      </w:pPr>
      <w:r w:rsidRPr="00A32944">
        <w:t>refine</w:t>
      </w:r>
      <w:r>
        <w:t>ment of</w:t>
      </w:r>
      <w:r w:rsidRPr="00A32944">
        <w:t xml:space="preserve"> its methods for es</w:t>
      </w:r>
      <w:r>
        <w:t xml:space="preserve">timating long run marginal cost (discussed in section </w:t>
      </w:r>
      <w:r>
        <w:fldChar w:fldCharType="begin"/>
      </w:r>
      <w:r>
        <w:instrText xml:space="preserve"> REF _Ref477770442 \r \h </w:instrText>
      </w:r>
      <w:r>
        <w:fldChar w:fldCharType="separate"/>
      </w:r>
      <w:r w:rsidR="00F52FCD">
        <w:t>19.4.7.4</w:t>
      </w:r>
      <w:r>
        <w:fldChar w:fldCharType="end"/>
      </w:r>
      <w:r>
        <w:t>)</w:t>
      </w:r>
    </w:p>
    <w:p w:rsidR="009B1CB5" w:rsidRPr="00B6063F" w:rsidRDefault="00A32944" w:rsidP="00B6063F">
      <w:pPr>
        <w:pStyle w:val="AERbulletlistfirststyle"/>
      </w:pPr>
      <w:r w:rsidRPr="00A32944">
        <w:t xml:space="preserve">refinement </w:t>
      </w:r>
      <w:r>
        <w:t>of</w:t>
      </w:r>
      <w:r w:rsidRPr="00A32944">
        <w:t xml:space="preserve"> charging windows to more closely reflect the times of congestion on </w:t>
      </w:r>
      <w:r w:rsidR="00754BBE">
        <w:t>its</w:t>
      </w:r>
      <w:r w:rsidRPr="00A32944">
        <w:t xml:space="preserve"> network</w:t>
      </w:r>
      <w:r>
        <w:t xml:space="preserve"> (discussed in section </w:t>
      </w:r>
      <w:r>
        <w:fldChar w:fldCharType="begin"/>
      </w:r>
      <w:r>
        <w:instrText xml:space="preserve"> REF _Ref479093936 \r \h </w:instrText>
      </w:r>
      <w:r>
        <w:fldChar w:fldCharType="separate"/>
      </w:r>
      <w:r w:rsidR="00F52FCD">
        <w:t>19.4.8.5</w:t>
      </w:r>
      <w:r>
        <w:fldChar w:fldCharType="end"/>
      </w:r>
      <w:r w:rsidR="009F00DB">
        <w:t>)</w:t>
      </w:r>
      <w:r w:rsidRPr="00A32944">
        <w:t>.</w:t>
      </w:r>
    </w:p>
    <w:p w:rsidR="00132D43" w:rsidRDefault="004523B2" w:rsidP="00132D43">
      <w:pPr>
        <w:pStyle w:val="Heading2"/>
      </w:pPr>
      <w:bookmarkStart w:id="75" w:name="_Toc481061347"/>
      <w:r>
        <w:t>TasNetworks'</w:t>
      </w:r>
      <w:r w:rsidR="00132D43">
        <w:t xml:space="preserve"> </w:t>
      </w:r>
      <w:r w:rsidR="0046646A">
        <w:t xml:space="preserve">revised </w:t>
      </w:r>
      <w:r w:rsidR="00132D43">
        <w:t>proposal</w:t>
      </w:r>
      <w:bookmarkEnd w:id="75"/>
    </w:p>
    <w:p w:rsidR="00CD79F6" w:rsidRDefault="00CD79F6" w:rsidP="00132D43">
      <w:r>
        <w:t>TasNetworks</w:t>
      </w:r>
      <w:r w:rsidR="009D15EC">
        <w:t xml:space="preserve"> revised proposal reiterated</w:t>
      </w:r>
      <w:r w:rsidR="00FE31C2">
        <w:t xml:space="preserve"> that</w:t>
      </w:r>
      <w:r>
        <w:t xml:space="preserve"> its approach to changes in network tariffs over the 2017–19 regulatory control period are three-fold:</w:t>
      </w:r>
      <w:r w:rsidR="009D15EC">
        <w:rPr>
          <w:rStyle w:val="FootnoteReference"/>
        </w:rPr>
        <w:footnoteReference w:id="9"/>
      </w:r>
    </w:p>
    <w:p w:rsidR="00CD79F6" w:rsidRDefault="00CD79F6" w:rsidP="00CD79F6">
      <w:pPr>
        <w:pStyle w:val="AERbulletlistfirststyle"/>
      </w:pPr>
      <w:r>
        <w:t>remove the discounts that exist in some of its network tariffs to reduce the level of cross</w:t>
      </w:r>
      <w:r w:rsidR="00754BBE">
        <w:t> </w:t>
      </w:r>
      <w:r>
        <w:t>subsidies between tariffs and within classes of customers</w:t>
      </w:r>
    </w:p>
    <w:p w:rsidR="00CD79F6" w:rsidRDefault="00CD79F6" w:rsidP="00CD79F6">
      <w:pPr>
        <w:pStyle w:val="AERbulletlistfirststyle"/>
      </w:pPr>
      <w:r>
        <w:t xml:space="preserve">rebalance the service and variable components of </w:t>
      </w:r>
      <w:r w:rsidR="00754BBE">
        <w:t xml:space="preserve">most </w:t>
      </w:r>
      <w:r>
        <w:t xml:space="preserve">existing network tariffs by increasing the service </w:t>
      </w:r>
      <w:r w:rsidR="00544E8A">
        <w:t xml:space="preserve">(i.e. fixed) </w:t>
      </w:r>
      <w:r>
        <w:t>charges and reducing the extent to which variable consumption charges are used to recover the cost of providing network services</w:t>
      </w:r>
    </w:p>
    <w:p w:rsidR="00CD79F6" w:rsidRDefault="00CD79F6" w:rsidP="00CD79F6">
      <w:pPr>
        <w:pStyle w:val="AERbulletlistfirststyle"/>
      </w:pPr>
      <w:r>
        <w:t>introduce new time of use demand based network tariffs, which residential and low voltage business customers can opt into via their electricity retailer</w:t>
      </w:r>
      <w:r w:rsidR="00544E8A">
        <w:t>–that is these new tariff are voluntary for customers to take up</w:t>
      </w:r>
      <w:r>
        <w:t>.</w:t>
      </w:r>
    </w:p>
    <w:p w:rsidR="00F720FE" w:rsidRDefault="00754BBE" w:rsidP="00F720FE">
      <w:r>
        <w:t>TasNetworks noted t</w:t>
      </w:r>
      <w:r w:rsidR="00FE31C2">
        <w:t>he subsidised tariffs are a result of historical policy decisions which are no longer relevant or compliant with the current regulatory requirements.</w:t>
      </w:r>
      <w:r w:rsidR="00FE31C2">
        <w:rPr>
          <w:rStyle w:val="FootnoteReference"/>
        </w:rPr>
        <w:footnoteReference w:id="10"/>
      </w:r>
      <w:r w:rsidR="00FE31C2">
        <w:t xml:space="preserve"> To remove the cross subsidies, TasNetworks will</w:t>
      </w:r>
      <w:r w:rsidR="00F720FE">
        <w:t xml:space="preserve"> realign</w:t>
      </w:r>
      <w:r w:rsidR="00FE31C2">
        <w:t xml:space="preserve"> specific tariffs </w:t>
      </w:r>
      <w:r w:rsidR="00F720FE">
        <w:t>over a 15 year period, which commenced in 2014–15. The gradual progression will allow predictability in pricing to customers. The subsidised tariffs to be realigned are:</w:t>
      </w:r>
    </w:p>
    <w:p w:rsidR="00F720FE" w:rsidRDefault="00F720FE" w:rsidP="00F720FE">
      <w:pPr>
        <w:pStyle w:val="AERbulletlistfirststyle"/>
      </w:pPr>
      <w:r>
        <w:t>Business low voltage nursing home tariff</w:t>
      </w:r>
    </w:p>
    <w:p w:rsidR="00F720FE" w:rsidRDefault="00F720FE" w:rsidP="00F720FE">
      <w:pPr>
        <w:pStyle w:val="AERbulletlistfirststyle"/>
      </w:pPr>
      <w:r>
        <w:t>General network – business curtilage tariff</w:t>
      </w:r>
    </w:p>
    <w:p w:rsidR="00F720FE" w:rsidRDefault="00F720FE" w:rsidP="00F720FE">
      <w:pPr>
        <w:pStyle w:val="AERbulletlistfirststyle"/>
      </w:pPr>
      <w:r>
        <w:t>Uncontrolled low voltage tariff.</w:t>
      </w:r>
    </w:p>
    <w:p w:rsidR="00F720FE" w:rsidRDefault="00F720FE" w:rsidP="00F720FE">
      <w:r>
        <w:t xml:space="preserve">TasNetworks also proposed to </w:t>
      </w:r>
      <w:r w:rsidRPr="00CE4041">
        <w:t>rebalance the service and variable charges for most existing tariffs by increasing the</w:t>
      </w:r>
      <w:r>
        <w:t xml:space="preserve"> fixed</w:t>
      </w:r>
      <w:r w:rsidRPr="00CE4041">
        <w:t xml:space="preserve"> service charge </w:t>
      </w:r>
      <w:r w:rsidR="00544E8A">
        <w:t xml:space="preserve">component </w:t>
      </w:r>
      <w:r w:rsidRPr="00CE4041">
        <w:t>and reducing the extent variable charges are used to recover the cost of providing network services.</w:t>
      </w:r>
      <w:r>
        <w:rPr>
          <w:rStyle w:val="FootnoteReference"/>
        </w:rPr>
        <w:footnoteReference w:id="11"/>
      </w:r>
      <w:r w:rsidRPr="00CE4041">
        <w:t xml:space="preserve"> </w:t>
      </w:r>
      <w:r>
        <w:t>It proposed that since most of TasNetworks' costs are fixed, it is appropriate that more costs should be apportioned to the fixed component of the tariff (the service charge). It considered that this change improves cost reflective price signals to customers.</w:t>
      </w:r>
    </w:p>
    <w:p w:rsidR="00C34568" w:rsidRDefault="00F720FE" w:rsidP="00F720FE">
      <w:r>
        <w:lastRenderedPageBreak/>
        <w:t xml:space="preserve">Our draft decision did not approve TasNetworks' initial tariff structure statement because we considered </w:t>
      </w:r>
      <w:r w:rsidR="0017096B">
        <w:t>it did</w:t>
      </w:r>
      <w:r>
        <w:t xml:space="preserve"> not </w:t>
      </w:r>
      <w:r w:rsidRPr="004D2CF7">
        <w:t>demonstrate reasonabl</w:t>
      </w:r>
      <w:r w:rsidR="0017096B">
        <w:t>e consideration of the impact</w:t>
      </w:r>
      <w:r w:rsidRPr="004D2CF7">
        <w:t xml:space="preserve"> the increases in fixed charges</w:t>
      </w:r>
      <w:r w:rsidR="0017096B">
        <w:t xml:space="preserve"> will have</w:t>
      </w:r>
      <w:r w:rsidRPr="004D2CF7">
        <w:t xml:space="preserve"> on high voltage business customers.</w:t>
      </w:r>
      <w:r w:rsidRPr="00011FE4">
        <w:rPr>
          <w:rStyle w:val="FootnoteReference"/>
        </w:rPr>
        <w:footnoteReference w:id="12"/>
      </w:r>
    </w:p>
    <w:p w:rsidR="00150D51" w:rsidRDefault="00F720FE" w:rsidP="00F720FE">
      <w:r>
        <w:t>In response, TasNetworks undertook further consultation with its high voltage</w:t>
      </w:r>
      <w:r w:rsidR="0017096B">
        <w:t xml:space="preserve"> business</w:t>
      </w:r>
      <w:r>
        <w:t xml:space="preserve"> customers on</w:t>
      </w:r>
      <w:r w:rsidR="00A43B0E">
        <w:t xml:space="preserve"> the</w:t>
      </w:r>
      <w:r>
        <w:t xml:space="preserve"> proposed increases</w:t>
      </w:r>
      <w:r w:rsidR="00195A0C">
        <w:t>.</w:t>
      </w:r>
      <w:r w:rsidR="00150D51">
        <w:t xml:space="preserve"> </w:t>
      </w:r>
      <w:r w:rsidR="00195A0C">
        <w:t>Its</w:t>
      </w:r>
      <w:r w:rsidR="00150D51">
        <w:t xml:space="preserve"> revised tariff structure statement sets out </w:t>
      </w:r>
      <w:r w:rsidR="0017096B">
        <w:t>additional</w:t>
      </w:r>
      <w:r w:rsidR="00150D51">
        <w:t xml:space="preserve"> customer impact analysis for these customers.</w:t>
      </w:r>
      <w:r w:rsidR="00F3451C">
        <w:t xml:space="preserve"> Following these consultations, TasNetworks did not alter the design of its high voltage tariffs or the relativities between the fixed supply charge and variables charges. Its rationale was that the increase in fixed supply charges was more than offset by reductions in the variable charges for affected customers.</w:t>
      </w:r>
    </w:p>
    <w:p w:rsidR="00F720FE" w:rsidRDefault="0017096B" w:rsidP="00F720FE">
      <w:r>
        <w:t>Consistent with its initial tariff structure statement, t</w:t>
      </w:r>
      <w:r w:rsidR="00F720FE" w:rsidRPr="00691F3E">
        <w:t xml:space="preserve">he most significant change </w:t>
      </w:r>
      <w:r w:rsidR="00F720FE">
        <w:t>proposed</w:t>
      </w:r>
      <w:r>
        <w:t xml:space="preserve"> by TasNetworks</w:t>
      </w:r>
      <w:r w:rsidR="00F720FE">
        <w:t xml:space="preserve"> is </w:t>
      </w:r>
      <w:r w:rsidR="002958F3">
        <w:t xml:space="preserve">the introduction of an optional </w:t>
      </w:r>
      <w:r w:rsidR="00C34568">
        <w:t xml:space="preserve">(that is, a voluntary) </w:t>
      </w:r>
      <w:r w:rsidR="002958F3" w:rsidRPr="00691F3E">
        <w:t xml:space="preserve">time of use demand tariff </w:t>
      </w:r>
      <w:r w:rsidR="002958F3">
        <w:t xml:space="preserve">for </w:t>
      </w:r>
      <w:r w:rsidR="00F720FE" w:rsidRPr="00691F3E">
        <w:t>residential and low voltage business customers</w:t>
      </w:r>
      <w:r w:rsidR="00F720FE">
        <w:t>. Customers who choose to opt</w:t>
      </w:r>
      <w:r>
        <w:t xml:space="preserve"> </w:t>
      </w:r>
      <w:r w:rsidR="00F720FE">
        <w:t>into the new demand</w:t>
      </w:r>
      <w:r w:rsidR="00F720FE" w:rsidRPr="00691F3E">
        <w:t xml:space="preserve"> tariffs wi</w:t>
      </w:r>
      <w:r w:rsidR="00F720FE">
        <w:t xml:space="preserve">ll also </w:t>
      </w:r>
      <w:r w:rsidR="002958F3">
        <w:t xml:space="preserve">be </w:t>
      </w:r>
      <w:r w:rsidR="00F720FE">
        <w:t>ab</w:t>
      </w:r>
      <w:r w:rsidR="002958F3">
        <w:t>le</w:t>
      </w:r>
      <w:r w:rsidR="00F720FE">
        <w:t xml:space="preserve"> to opt</w:t>
      </w:r>
      <w:r w:rsidR="00F720FE">
        <w:noBreakHyphen/>
      </w:r>
      <w:r w:rsidR="00F720FE" w:rsidRPr="00691F3E">
        <w:t>out</w:t>
      </w:r>
      <w:r w:rsidR="00C34568">
        <w:t xml:space="preserve"> of it after a minimum period of time</w:t>
      </w:r>
      <w:r w:rsidR="00F720FE" w:rsidRPr="00691F3E">
        <w:t>. The new time of use demand tariffs are set out in</w:t>
      </w:r>
      <w:r w:rsidR="00F720FE">
        <w:t xml:space="preserve"> </w:t>
      </w:r>
      <w:r w:rsidR="00F720FE">
        <w:fldChar w:fldCharType="begin"/>
      </w:r>
      <w:r w:rsidR="00F720FE">
        <w:instrText xml:space="preserve"> REF  _Ref459027934 \* Lower \h </w:instrText>
      </w:r>
      <w:r w:rsidR="00F720FE">
        <w:fldChar w:fldCharType="separate"/>
      </w:r>
      <w:r w:rsidR="00F52FCD">
        <w:t xml:space="preserve">table </w:t>
      </w:r>
      <w:r w:rsidR="00F52FCD">
        <w:rPr>
          <w:noProof/>
        </w:rPr>
        <w:t>19</w:t>
      </w:r>
      <w:r w:rsidR="00F52FCD">
        <w:t>.</w:t>
      </w:r>
      <w:r w:rsidR="00F52FCD">
        <w:rPr>
          <w:noProof/>
        </w:rPr>
        <w:t>2</w:t>
      </w:r>
      <w:r w:rsidR="00F720FE">
        <w:fldChar w:fldCharType="end"/>
      </w:r>
      <w:r w:rsidR="00F720FE">
        <w:t>.</w:t>
      </w:r>
    </w:p>
    <w:p w:rsidR="00F720FE" w:rsidRDefault="00F720FE" w:rsidP="00F720FE">
      <w:pPr>
        <w:pStyle w:val="Caption"/>
      </w:pPr>
      <w:bookmarkStart w:id="76" w:name="_Ref459027934"/>
      <w:r>
        <w:t xml:space="preserve">Table </w:t>
      </w:r>
      <w:fldSimple w:instr=" STYLEREF 1 \s ">
        <w:r w:rsidR="00F52FCD">
          <w:rPr>
            <w:noProof/>
          </w:rPr>
          <w:t>19</w:t>
        </w:r>
      </w:fldSimple>
      <w:r w:rsidR="00E914FF">
        <w:t>.</w:t>
      </w:r>
      <w:fldSimple w:instr=" SEQ Table \* ARABIC \s 1 ">
        <w:r w:rsidR="00F52FCD">
          <w:rPr>
            <w:noProof/>
          </w:rPr>
          <w:t>2</w:t>
        </w:r>
      </w:fldSimple>
      <w:bookmarkEnd w:id="76"/>
      <w:r>
        <w:tab/>
        <w:t>New time of use demand based network tariffs</w:t>
      </w:r>
    </w:p>
    <w:tbl>
      <w:tblPr>
        <w:tblStyle w:val="AERtable-text0"/>
        <w:tblW w:w="0" w:type="auto"/>
        <w:tblLook w:val="04A0" w:firstRow="1" w:lastRow="0" w:firstColumn="1" w:lastColumn="0" w:noHBand="0" w:noVBand="1"/>
      </w:tblPr>
      <w:tblGrid>
        <w:gridCol w:w="2093"/>
        <w:gridCol w:w="6600"/>
      </w:tblGrid>
      <w:tr w:rsidR="00F720FE" w:rsidRPr="00691F3E" w:rsidTr="00F720FE">
        <w:trPr>
          <w:cnfStyle w:val="100000000000" w:firstRow="1" w:lastRow="0" w:firstColumn="0" w:lastColumn="0" w:oddVBand="0" w:evenVBand="0" w:oddHBand="0" w:evenHBand="0" w:firstRowFirstColumn="0" w:firstRowLastColumn="0" w:lastRowFirstColumn="0" w:lastRowLastColumn="0"/>
        </w:trPr>
        <w:tc>
          <w:tcPr>
            <w:tcW w:w="2093" w:type="dxa"/>
          </w:tcPr>
          <w:p w:rsidR="00F720FE" w:rsidRPr="00F720FE" w:rsidRDefault="00F720FE" w:rsidP="00F720FE">
            <w:r w:rsidRPr="00691F3E">
              <w:t>Network tariff</w:t>
            </w:r>
          </w:p>
        </w:tc>
        <w:tc>
          <w:tcPr>
            <w:tcW w:w="6600" w:type="dxa"/>
          </w:tcPr>
          <w:p w:rsidR="00F720FE" w:rsidRPr="00F720FE" w:rsidRDefault="00F720FE" w:rsidP="00F720FE">
            <w:r w:rsidRPr="00691F3E">
              <w:t>Description</w:t>
            </w:r>
          </w:p>
        </w:tc>
      </w:tr>
      <w:tr w:rsidR="00F720FE" w:rsidRPr="00691F3E" w:rsidTr="00F720FE">
        <w:tc>
          <w:tcPr>
            <w:tcW w:w="2093" w:type="dxa"/>
          </w:tcPr>
          <w:p w:rsidR="00F720FE" w:rsidRPr="00F720FE" w:rsidRDefault="00F720FE" w:rsidP="00F720FE">
            <w:r w:rsidRPr="00691F3E">
              <w:t>Residential time of use demand tariff</w:t>
            </w:r>
          </w:p>
        </w:tc>
        <w:tc>
          <w:tcPr>
            <w:tcW w:w="6600" w:type="dxa"/>
          </w:tcPr>
          <w:p w:rsidR="00F720FE" w:rsidRPr="00F720FE" w:rsidRDefault="00F720FE" w:rsidP="00F720FE">
            <w:r w:rsidRPr="00691F3E">
              <w:t xml:space="preserve">This network tariff is for </w:t>
            </w:r>
            <w:r w:rsidRPr="00F720FE">
              <w:rPr>
                <w:rStyle w:val="Strong"/>
              </w:rPr>
              <w:t>low voltage installations</w:t>
            </w:r>
            <w:r w:rsidRPr="00F720FE">
              <w:t xml:space="preserve"> at premises used </w:t>
            </w:r>
            <w:r w:rsidRPr="00F720FE">
              <w:rPr>
                <w:rStyle w:val="Strong"/>
              </w:rPr>
              <w:t>wholly or principally as private residential dwellings.</w:t>
            </w:r>
          </w:p>
          <w:p w:rsidR="00F720FE" w:rsidRPr="00F720FE" w:rsidRDefault="00F720FE" w:rsidP="00F720FE">
            <w:r w:rsidRPr="00691F3E">
              <w:t>There are no restrictions on the use of the supply (for example, supply may be used for general power, heating or water heating)</w:t>
            </w:r>
            <w:r w:rsidRPr="00F720FE">
              <w:t>.</w:t>
            </w:r>
          </w:p>
          <w:p w:rsidR="00F720FE" w:rsidRPr="00F720FE" w:rsidRDefault="00F720FE" w:rsidP="00F720FE">
            <w:r w:rsidRPr="00691F3E">
              <w:t>This network tariff may not be used in conjunction with any other tariffs.</w:t>
            </w:r>
          </w:p>
          <w:p w:rsidR="00F720FE" w:rsidRPr="00F720FE" w:rsidRDefault="00F720FE" w:rsidP="00F720FE">
            <w:r w:rsidRPr="00691F3E">
              <w:t xml:space="preserve">An </w:t>
            </w:r>
            <w:r w:rsidRPr="00C34568">
              <w:rPr>
                <w:rStyle w:val="Strong"/>
              </w:rPr>
              <w:t>electronic meter</w:t>
            </w:r>
            <w:r w:rsidRPr="00691F3E">
              <w:t xml:space="preserve"> capable of recording interval data is the minimum required for installations on this network tariff.</w:t>
            </w:r>
          </w:p>
        </w:tc>
      </w:tr>
      <w:tr w:rsidR="00F720FE" w:rsidRPr="00691F3E" w:rsidTr="00F720FE">
        <w:trPr>
          <w:cnfStyle w:val="000000010000" w:firstRow="0" w:lastRow="0" w:firstColumn="0" w:lastColumn="0" w:oddVBand="0" w:evenVBand="0" w:oddHBand="0" w:evenHBand="1" w:firstRowFirstColumn="0" w:firstRowLastColumn="0" w:lastRowFirstColumn="0" w:lastRowLastColumn="0"/>
        </w:trPr>
        <w:tc>
          <w:tcPr>
            <w:tcW w:w="2093" w:type="dxa"/>
          </w:tcPr>
          <w:p w:rsidR="00F720FE" w:rsidRPr="00F720FE" w:rsidRDefault="00F720FE" w:rsidP="00F720FE">
            <w:r w:rsidRPr="00691F3E">
              <w:t>Low voltage commercial time of use demand tariff</w:t>
            </w:r>
          </w:p>
        </w:tc>
        <w:tc>
          <w:tcPr>
            <w:tcW w:w="6600" w:type="dxa"/>
          </w:tcPr>
          <w:p w:rsidR="00F720FE" w:rsidRPr="00F720FE" w:rsidRDefault="00F720FE" w:rsidP="00F720FE">
            <w:r w:rsidRPr="00691F3E">
              <w:t xml:space="preserve">This network tariff is for </w:t>
            </w:r>
            <w:r w:rsidRPr="00F720FE">
              <w:rPr>
                <w:rStyle w:val="Strong"/>
              </w:rPr>
              <w:t>low voltage installations</w:t>
            </w:r>
            <w:r w:rsidRPr="00F720FE">
              <w:t xml:space="preserve"> at premises that </w:t>
            </w:r>
            <w:r w:rsidRPr="00C34568">
              <w:rPr>
                <w:rStyle w:val="Strong"/>
              </w:rPr>
              <w:t>are not</w:t>
            </w:r>
            <w:r w:rsidRPr="00F720FE">
              <w:t xml:space="preserve"> used wholly or principally as private residential dwellings.</w:t>
            </w:r>
          </w:p>
          <w:p w:rsidR="00F720FE" w:rsidRPr="00F720FE" w:rsidRDefault="00F720FE" w:rsidP="00F720FE">
            <w:r w:rsidRPr="00691F3E">
              <w:t>There are no restrictions on the use of the supply (for example, supply may be used for general power, heating or water heating)</w:t>
            </w:r>
            <w:r w:rsidRPr="00F720FE">
              <w:t>.</w:t>
            </w:r>
          </w:p>
          <w:p w:rsidR="00F720FE" w:rsidRPr="00F720FE" w:rsidRDefault="00F720FE" w:rsidP="00F720FE">
            <w:r w:rsidRPr="00691F3E">
              <w:t>This network tariff may not be used in conjunction with any other tariffs.</w:t>
            </w:r>
          </w:p>
          <w:p w:rsidR="00F720FE" w:rsidRPr="00F720FE" w:rsidRDefault="00F720FE" w:rsidP="00F720FE">
            <w:r w:rsidRPr="00691F3E">
              <w:t>An electronic meter capable of recording interval data is the minimum required for installations on this network tariff.</w:t>
            </w:r>
          </w:p>
        </w:tc>
      </w:tr>
      <w:tr w:rsidR="00F720FE" w:rsidRPr="00691F3E" w:rsidTr="00F720FE">
        <w:tc>
          <w:tcPr>
            <w:tcW w:w="2093" w:type="dxa"/>
          </w:tcPr>
          <w:p w:rsidR="00F720FE" w:rsidRPr="00F720FE" w:rsidRDefault="00F720FE" w:rsidP="00F720FE">
            <w:r w:rsidRPr="00691F3E">
              <w:t>Large low voltage commercial time of use demand tariff</w:t>
            </w:r>
          </w:p>
        </w:tc>
        <w:tc>
          <w:tcPr>
            <w:tcW w:w="6600" w:type="dxa"/>
          </w:tcPr>
          <w:p w:rsidR="00F720FE" w:rsidRPr="00F720FE" w:rsidRDefault="00F720FE" w:rsidP="00F720FE">
            <w:r w:rsidRPr="00691F3E">
              <w:t xml:space="preserve">This network tariff is for installations taking </w:t>
            </w:r>
            <w:r w:rsidRPr="00F720FE">
              <w:rPr>
                <w:rStyle w:val="Strong"/>
              </w:rPr>
              <w:t>low voltage multi-phase supply</w:t>
            </w:r>
            <w:r w:rsidRPr="00F720FE">
              <w:t xml:space="preserve"> at premises that </w:t>
            </w:r>
            <w:r w:rsidRPr="00C34568">
              <w:rPr>
                <w:rStyle w:val="Strong"/>
              </w:rPr>
              <w:t>are not</w:t>
            </w:r>
            <w:r w:rsidRPr="00F720FE">
              <w:t xml:space="preserve"> used wholly or principally as private residential dwellings.</w:t>
            </w:r>
          </w:p>
          <w:p w:rsidR="00F720FE" w:rsidRPr="00F720FE" w:rsidRDefault="00F720FE" w:rsidP="00F720FE">
            <w:r w:rsidRPr="00691F3E">
              <w:t>There are no restrictions on the use of the supply (for example, supply may be used for general power, heating or water heating)</w:t>
            </w:r>
            <w:r w:rsidRPr="00F720FE">
              <w:t>.</w:t>
            </w:r>
          </w:p>
          <w:p w:rsidR="00F720FE" w:rsidRPr="00F720FE" w:rsidRDefault="00F720FE" w:rsidP="00F720FE">
            <w:r w:rsidRPr="00691F3E">
              <w:t>This network tariff may not be used in conjunction with any other tariffs.</w:t>
            </w:r>
          </w:p>
          <w:p w:rsidR="00F720FE" w:rsidRPr="00F720FE" w:rsidRDefault="00F720FE" w:rsidP="00F720FE">
            <w:r w:rsidRPr="00691F3E">
              <w:t>An electronic meter capable of recording interval data is the minimum required for installations on this network tariff.</w:t>
            </w:r>
          </w:p>
        </w:tc>
      </w:tr>
    </w:tbl>
    <w:p w:rsidR="00F720FE" w:rsidRDefault="00F720FE" w:rsidP="00F720FE">
      <w:pPr>
        <w:pStyle w:val="AERtablesource"/>
      </w:pPr>
      <w:r>
        <w:t>Source:</w:t>
      </w:r>
      <w:r>
        <w:tab/>
      </w:r>
      <w:r w:rsidR="00A43B0E" w:rsidRPr="004C48BD">
        <w:t xml:space="preserve">TasNetworks, </w:t>
      </w:r>
      <w:r w:rsidR="00A43B0E" w:rsidRPr="00030AAA">
        <w:rPr>
          <w:rStyle w:val="AERtextitalic"/>
        </w:rPr>
        <w:t xml:space="preserve">Tariff structure statement: </w:t>
      </w:r>
      <w:r w:rsidR="00A43B0E">
        <w:rPr>
          <w:rStyle w:val="AERtextitalic"/>
        </w:rPr>
        <w:t>Background and explanation</w:t>
      </w:r>
      <w:r w:rsidR="00A43B0E">
        <w:t>, December</w:t>
      </w:r>
      <w:r w:rsidR="00A43B0E" w:rsidRPr="004C48BD">
        <w:t> 2016, p.</w:t>
      </w:r>
      <w:r w:rsidR="00A43B0E">
        <w:t> 47</w:t>
      </w:r>
      <w:r w:rsidR="00A43B0E" w:rsidRPr="004C48BD">
        <w:t>.</w:t>
      </w:r>
    </w:p>
    <w:p w:rsidR="00150D51" w:rsidRDefault="002958F3" w:rsidP="00150D51">
      <w:r>
        <w:lastRenderedPageBreak/>
        <w:t>T</w:t>
      </w:r>
      <w:r w:rsidR="00150D51" w:rsidRPr="00F96F27">
        <w:t xml:space="preserve">he </w:t>
      </w:r>
      <w:r w:rsidR="00A53112">
        <w:t>new</w:t>
      </w:r>
      <w:r w:rsidR="00150D51" w:rsidRPr="00F96F27">
        <w:t xml:space="preserve"> time of use demand tariffs </w:t>
      </w:r>
      <w:r>
        <w:t>include</w:t>
      </w:r>
      <w:r w:rsidR="00150D51" w:rsidRPr="00F96F27">
        <w:t xml:space="preserve"> a fixed supply charge, a peak demand charge </w:t>
      </w:r>
      <w:r w:rsidR="00150D51">
        <w:t xml:space="preserve">(measured in kW) </w:t>
      </w:r>
      <w:r w:rsidR="00150D51" w:rsidRPr="00F96F27">
        <w:t>and an off peak demand charge</w:t>
      </w:r>
      <w:r w:rsidR="00150D51">
        <w:t xml:space="preserve"> (measured in kW)</w:t>
      </w:r>
      <w:r w:rsidR="00150D51" w:rsidRPr="00F96F27">
        <w:t>.</w:t>
      </w:r>
      <w:r w:rsidR="00150D51" w:rsidRPr="00150D51">
        <w:t xml:space="preserve"> </w:t>
      </w:r>
      <w:r w:rsidR="00150D51" w:rsidRPr="00F96F27">
        <w:t>The dem</w:t>
      </w:r>
      <w:r>
        <w:t>and charges will be based on a</w:t>
      </w:r>
      <w:r w:rsidR="00150D51" w:rsidRPr="00F96F27">
        <w:t xml:space="preserve"> customer</w:t>
      </w:r>
      <w:r w:rsidR="00150D51">
        <w:t>'</w:t>
      </w:r>
      <w:r w:rsidR="00150D51" w:rsidRPr="00F96F27">
        <w:t>s highest 30 minute peak demand over a billing period for each charging window.</w:t>
      </w:r>
    </w:p>
    <w:p w:rsidR="00150D51" w:rsidRDefault="00150D51" w:rsidP="00C97587">
      <w:r>
        <w:t xml:space="preserve">TasNetworks' initial tariff structure statement proposed quarterly billing periods for the new demand based </w:t>
      </w:r>
      <w:r w:rsidR="005F46F4">
        <w:t>tariffs which are the current practice for most of TasNetworks' customers</w:t>
      </w:r>
      <w:r>
        <w:t>.</w:t>
      </w:r>
      <w:r w:rsidR="005F46F4">
        <w:rPr>
          <w:rStyle w:val="FootnoteReference"/>
        </w:rPr>
        <w:footnoteReference w:id="13"/>
      </w:r>
      <w:r>
        <w:t xml:space="preserve"> </w:t>
      </w:r>
      <w:r w:rsidR="005F46F4">
        <w:t xml:space="preserve">However, TasNetworks revised tariff structure statement </w:t>
      </w:r>
      <w:r w:rsidR="00C34568">
        <w:t xml:space="preserve">advises it </w:t>
      </w:r>
      <w:r w:rsidR="0017096B">
        <w:t xml:space="preserve">will now </w:t>
      </w:r>
      <w:r w:rsidR="00B127BF">
        <w:t>provi</w:t>
      </w:r>
      <w:r w:rsidR="0017096B">
        <w:t>de</w:t>
      </w:r>
      <w:r w:rsidR="005F46F4">
        <w:t xml:space="preserve"> m</w:t>
      </w:r>
      <w:r w:rsidR="0017096B">
        <w:t xml:space="preserve">onthly billing </w:t>
      </w:r>
      <w:r w:rsidR="00C34568">
        <w:t>cycles</w:t>
      </w:r>
      <w:r w:rsidR="0017096B">
        <w:t xml:space="preserve"> for the new demand</w:t>
      </w:r>
      <w:r w:rsidR="005F46F4">
        <w:t xml:space="preserve"> tariffs.</w:t>
      </w:r>
      <w:r w:rsidR="005F46F4">
        <w:rPr>
          <w:rStyle w:val="FootnoteReference"/>
        </w:rPr>
        <w:footnoteReference w:id="14"/>
      </w:r>
    </w:p>
    <w:p w:rsidR="00B25920" w:rsidRDefault="002958F3" w:rsidP="002958F3">
      <w:r w:rsidRPr="00F96F27">
        <w:t>Customers wishing to be assigned to a time of use demand tariff will require an electronic meter capable of recording interval data</w:t>
      </w:r>
      <w:r w:rsidR="0017096B">
        <w:t xml:space="preserve"> (an advanced meter)</w:t>
      </w:r>
      <w:r w:rsidRPr="00F96F27">
        <w:t>.</w:t>
      </w:r>
      <w:r w:rsidR="0017096B">
        <w:rPr>
          <w:rStyle w:val="FootnoteReference"/>
        </w:rPr>
        <w:footnoteReference w:id="15"/>
      </w:r>
      <w:r>
        <w:t xml:space="preserve"> TasNetworks' revised tariff structure statement includes </w:t>
      </w:r>
      <w:r w:rsidR="00A53112">
        <w:t>further information on this requirement as well as setting out the metering requirements for all tariffs.</w:t>
      </w:r>
      <w:r w:rsidR="00A53112">
        <w:rPr>
          <w:rStyle w:val="FootnoteReference"/>
        </w:rPr>
        <w:footnoteReference w:id="16"/>
      </w:r>
      <w:r w:rsidR="00C34568">
        <w:t xml:space="preserve"> Retailers and/or TasNetworks would advise the customer of this metering requirement where the customer chooses to opt-in to one of the demand tariffs.</w:t>
      </w:r>
    </w:p>
    <w:p w:rsidR="00B127BF" w:rsidRPr="00F96F27" w:rsidRDefault="00B127BF" w:rsidP="00B127BF">
      <w:r>
        <w:t>TasNetworks revised tariff structure statement also outlines a network tariff trial, underpinned by advanced meters, to better understand the demand tariff impacts.</w:t>
      </w:r>
      <w:r>
        <w:rPr>
          <w:rStyle w:val="FootnoteReference"/>
        </w:rPr>
        <w:footnoteReference w:id="17"/>
      </w:r>
      <w:r>
        <w:t xml:space="preserve"> TasNetworks considered this information will help it understand how customers respond to the demand tariffs in terms of electricity use and impacts on their total bills. This information will assist TasNetworks' with tariff design and communication of tariff impacts with customers</w:t>
      </w:r>
      <w:r w:rsidR="00CC68DF">
        <w:t xml:space="preserve"> for future tariff structure statements</w:t>
      </w:r>
      <w:r>
        <w:t>.</w:t>
      </w:r>
    </w:p>
    <w:p w:rsidR="005F46F4" w:rsidRDefault="005F46F4" w:rsidP="005F46F4">
      <w:r w:rsidRPr="00F96F27">
        <w:t xml:space="preserve">At present, </w:t>
      </w:r>
      <w:r>
        <w:t xml:space="preserve">TasNetworks </w:t>
      </w:r>
      <w:r w:rsidRPr="00F96F27">
        <w:t>residential and small low voltage customers are largely subject to consumption based tariffs, which have a fixed supply charge and variable consumption charge</w:t>
      </w:r>
      <w:r w:rsidR="001753F1">
        <w:t>s</w:t>
      </w:r>
      <w:r>
        <w:t xml:space="preserve"> measured in kWh</w:t>
      </w:r>
      <w:r w:rsidRPr="00F96F27">
        <w:t>.</w:t>
      </w:r>
      <w:r w:rsidR="001753F1">
        <w:rPr>
          <w:rStyle w:val="FootnoteReference"/>
        </w:rPr>
        <w:footnoteReference w:id="18"/>
      </w:r>
      <w:r w:rsidRPr="00F96F27">
        <w:t xml:space="preserve"> The</w:t>
      </w:r>
      <w:r w:rsidR="002958F3">
        <w:t xml:space="preserve">se </w:t>
      </w:r>
      <w:r w:rsidR="002958F3" w:rsidRPr="00F96F27">
        <w:t>consumption based tariffs</w:t>
      </w:r>
      <w:r w:rsidR="002958F3">
        <w:t xml:space="preserve"> will continue in their </w:t>
      </w:r>
      <w:r w:rsidR="00A53112">
        <w:t xml:space="preserve">current </w:t>
      </w:r>
      <w:r w:rsidR="00A53112" w:rsidRPr="00F96F27">
        <w:t>structure</w:t>
      </w:r>
      <w:r w:rsidRPr="00F96F27">
        <w:t xml:space="preserve"> over the 2017–19 regulatory control period.</w:t>
      </w:r>
    </w:p>
    <w:p w:rsidR="00A53112" w:rsidRDefault="00A53112" w:rsidP="00A53112">
      <w:r w:rsidRPr="00F96F27">
        <w:t xml:space="preserve">Tariff classes will remain </w:t>
      </w:r>
      <w:r>
        <w:t xml:space="preserve">consistent with </w:t>
      </w:r>
      <w:r w:rsidRPr="00F96F27">
        <w:t xml:space="preserve">the recent past, based on voltage and network connection characteristics. </w:t>
      </w:r>
      <w:r w:rsidR="001753F1">
        <w:t>As per TasNetworks current practice, c</w:t>
      </w:r>
      <w:r w:rsidRPr="00F96F27">
        <w:t>ustomers will be assigned to tariffs within each tariff class.</w:t>
      </w:r>
    </w:p>
    <w:p w:rsidR="00B127BF" w:rsidRDefault="00B127BF" w:rsidP="00B127BF">
      <w:r>
        <w:t>As required by the NER, TasNetworks also submitted an indicative pricing schedule for its proposed tariffs over the 2017–19 regulatory control period.</w:t>
      </w:r>
      <w:r>
        <w:rPr>
          <w:rStyle w:val="FootnoteReference"/>
        </w:rPr>
        <w:footnoteReference w:id="19"/>
      </w:r>
    </w:p>
    <w:p w:rsidR="009E3CB9" w:rsidRDefault="00B127BF" w:rsidP="00132D43">
      <w:r>
        <w:lastRenderedPageBreak/>
        <w:t>Also,</w:t>
      </w:r>
      <w:r w:rsidR="001625BD">
        <w:t xml:space="preserve"> TasNetworks' has provided additional information on its long run marginal costs and the recovery of its residual costs in response to our draft decision.</w:t>
      </w:r>
    </w:p>
    <w:p w:rsidR="00132D43" w:rsidRDefault="00132D43" w:rsidP="00132D43">
      <w:pPr>
        <w:pStyle w:val="Heading2"/>
      </w:pPr>
      <w:bookmarkStart w:id="77" w:name="_Toc481061348"/>
      <w:r>
        <w:t>Assessment approach</w:t>
      </w:r>
      <w:bookmarkEnd w:id="77"/>
    </w:p>
    <w:p w:rsidR="008B5605" w:rsidRPr="00817871" w:rsidRDefault="008B5605" w:rsidP="008B5605">
      <w:r>
        <w:t xml:space="preserve">The amendments to the </w:t>
      </w:r>
      <w:r w:rsidR="00CC68DF">
        <w:t xml:space="preserve">NER </w:t>
      </w:r>
      <w:r>
        <w:t xml:space="preserve">pricing provisions </w:t>
      </w:r>
      <w:r w:rsidRPr="00817871">
        <w:t>have three aims, namely to provide:</w:t>
      </w:r>
    </w:p>
    <w:p w:rsidR="008B5605" w:rsidRPr="002E001F" w:rsidRDefault="008B5605" w:rsidP="008B5605">
      <w:pPr>
        <w:pStyle w:val="AERbulletlistfirststyle"/>
      </w:pPr>
      <w:r w:rsidRPr="00817871">
        <w:t>better signals of the cost drivers of distribution networks</w:t>
      </w:r>
    </w:p>
    <w:p w:rsidR="008B5605" w:rsidRPr="002E001F" w:rsidRDefault="008B5605" w:rsidP="008B5605">
      <w:pPr>
        <w:pStyle w:val="AERbulletlistfirststyle"/>
      </w:pPr>
      <w:r w:rsidRPr="00817871">
        <w:t>explicit consideration of tariff change impacts</w:t>
      </w:r>
    </w:p>
    <w:p w:rsidR="008B5605" w:rsidRPr="002E001F" w:rsidRDefault="008B5605" w:rsidP="008B5605">
      <w:pPr>
        <w:pStyle w:val="AERbulletlistfirststyle"/>
      </w:pPr>
      <w:r w:rsidRPr="00817871">
        <w:t>transparency and greater certainty on tariff strategies for a regulatory period.</w:t>
      </w:r>
      <w:r w:rsidR="00B77EB1">
        <w:rPr>
          <w:rStyle w:val="FootnoteReference"/>
        </w:rPr>
        <w:footnoteReference w:id="20"/>
      </w:r>
    </w:p>
    <w:p w:rsidR="008B5605" w:rsidRPr="00817871" w:rsidRDefault="008B5605" w:rsidP="008B5605">
      <w:r w:rsidRPr="00817871">
        <w:t xml:space="preserve">A new network pricing objective </w:t>
      </w:r>
      <w:r>
        <w:t>is to</w:t>
      </w:r>
      <w:r w:rsidRPr="00817871">
        <w:t xml:space="preserve"> be the focus for distributors when developing their network prices. This objective is that:</w:t>
      </w:r>
      <w:r w:rsidRPr="007603CC">
        <w:rPr>
          <w:rStyle w:val="FootnoteReference"/>
        </w:rPr>
        <w:footnoteReference w:id="21"/>
      </w:r>
      <w:r w:rsidRPr="007603CC">
        <w:rPr>
          <w:rStyle w:val="FootnoteReference"/>
        </w:rPr>
        <w:t xml:space="preserve"> </w:t>
      </w:r>
    </w:p>
    <w:p w:rsidR="008B5605" w:rsidRPr="00817871" w:rsidRDefault="008B5605" w:rsidP="008B5605">
      <w:pPr>
        <w:pStyle w:val="AERquote"/>
      </w:pPr>
      <w:r>
        <w:t>…</w:t>
      </w:r>
      <w:r w:rsidRPr="00817871">
        <w:t>the tariffs that a distributor charges for provision of direct control services to a retail customer should reflect the distributors' efficient costs of providing those services to the retail customer</w:t>
      </w:r>
      <w:r w:rsidR="00372702">
        <w:t>.</w:t>
      </w:r>
    </w:p>
    <w:p w:rsidR="008B5605" w:rsidRPr="00817871" w:rsidRDefault="008B5605" w:rsidP="008B5605">
      <w:r>
        <w:t>Publication of a tariff structure s</w:t>
      </w:r>
      <w:r w:rsidRPr="00817871">
        <w:t xml:space="preserve">tatement is part of the new tariff arrangements. It should show how a distributor applied the </w:t>
      </w:r>
      <w:r>
        <w:t>distribution</w:t>
      </w:r>
      <w:r w:rsidRPr="00817871">
        <w:t xml:space="preserve"> pricing principles to develop its price structures and indicative price levels for the coming regulatory</w:t>
      </w:r>
      <w:r w:rsidR="00372702">
        <w:t xml:space="preserve"> control</w:t>
      </w:r>
      <w:r w:rsidRPr="00817871">
        <w:t xml:space="preserve"> period.</w:t>
      </w:r>
      <w:r w:rsidRPr="007603CC">
        <w:rPr>
          <w:rStyle w:val="FootnoteReference"/>
        </w:rPr>
        <w:footnoteReference w:id="22"/>
      </w:r>
      <w:r w:rsidRPr="00817871">
        <w:t xml:space="preserve"> A distri</w:t>
      </w:r>
      <w:r>
        <w:t>butor must submit its proposed tariff structure s</w:t>
      </w:r>
      <w:r w:rsidRPr="00817871">
        <w:t xml:space="preserve">tatement to us for assessment. </w:t>
      </w:r>
    </w:p>
    <w:p w:rsidR="00F76761" w:rsidRPr="00817871" w:rsidRDefault="00F76761" w:rsidP="00F76761">
      <w:r w:rsidRPr="00817871">
        <w:t>Generally, a distributor will be r</w:t>
      </w:r>
      <w:r>
        <w:t>equired to submit its proposed tariff structure s</w:t>
      </w:r>
      <w:r w:rsidRPr="00817871">
        <w:t>tatement when submitting its regulatory proposal.</w:t>
      </w:r>
      <w:r w:rsidRPr="007603CC">
        <w:rPr>
          <w:rStyle w:val="FootnoteReference"/>
        </w:rPr>
        <w:footnoteReference w:id="23"/>
      </w:r>
      <w:r w:rsidRPr="00817871">
        <w:t xml:space="preserve"> The </w:t>
      </w:r>
      <w:r w:rsidR="00436AB8">
        <w:t xml:space="preserve">NER </w:t>
      </w:r>
      <w:r w:rsidRPr="00817871">
        <w:t xml:space="preserve">permitted </w:t>
      </w:r>
      <w:r>
        <w:t>submission of a tariff structure statement</w:t>
      </w:r>
      <w:r w:rsidR="00CC68DF">
        <w:t xml:space="preserve"> for some distributors</w:t>
      </w:r>
      <w:r>
        <w:t xml:space="preserve"> outside</w:t>
      </w:r>
      <w:r w:rsidRPr="00817871">
        <w:t xml:space="preserve"> the</w:t>
      </w:r>
      <w:r>
        <w:t xml:space="preserve"> regulatory proposal process</w:t>
      </w:r>
      <w:r w:rsidRPr="00817871">
        <w:t xml:space="preserve"> this time because of the timing of the rule changes.</w:t>
      </w:r>
      <w:r w:rsidRPr="007603CC">
        <w:rPr>
          <w:rStyle w:val="FootnoteReference"/>
        </w:rPr>
        <w:footnoteReference w:id="24"/>
      </w:r>
    </w:p>
    <w:p w:rsidR="008B5605" w:rsidRPr="00690E6A" w:rsidRDefault="008B5605" w:rsidP="008B5605">
      <w:pPr>
        <w:pStyle w:val="HeadingBoldBlue"/>
      </w:pPr>
      <w:r w:rsidRPr="00690E6A">
        <w:t xml:space="preserve">Tariff </w:t>
      </w:r>
      <w:r>
        <w:t>s</w:t>
      </w:r>
      <w:r w:rsidRPr="00690E6A">
        <w:t xml:space="preserve">tructure </w:t>
      </w:r>
      <w:r>
        <w:t>s</w:t>
      </w:r>
      <w:r w:rsidRPr="00690E6A">
        <w:t>tatement requirements</w:t>
      </w:r>
    </w:p>
    <w:p w:rsidR="008B5605" w:rsidRPr="00817871" w:rsidRDefault="008B5605" w:rsidP="008B5605">
      <w:r w:rsidRPr="00817871">
        <w:t xml:space="preserve">There are two </w:t>
      </w:r>
      <w:r>
        <w:t>distinct sets of requirements for tariff structure s</w:t>
      </w:r>
      <w:r w:rsidRPr="00817871">
        <w:t xml:space="preserve">tatements. First, the </w:t>
      </w:r>
      <w:r>
        <w:t>elements an approved tariff structure s</w:t>
      </w:r>
      <w:r w:rsidRPr="00817871">
        <w:t>tat</w:t>
      </w:r>
      <w:r>
        <w:t>ement must contain.</w:t>
      </w:r>
      <w:r>
        <w:rPr>
          <w:rStyle w:val="FootnoteReference"/>
        </w:rPr>
        <w:footnoteReference w:id="25"/>
      </w:r>
      <w:r>
        <w:t xml:space="preserve"> Second, a tariff structure s</w:t>
      </w:r>
      <w:r w:rsidRPr="00817871">
        <w:t xml:space="preserve">tatement must also </w:t>
      </w:r>
      <w:r>
        <w:t>comply with</w:t>
      </w:r>
      <w:r w:rsidRPr="00817871">
        <w:t xml:space="preserve"> the distribution pricing principles.</w:t>
      </w:r>
      <w:r>
        <w:rPr>
          <w:rStyle w:val="FootnoteReference"/>
        </w:rPr>
        <w:footnoteReference w:id="26"/>
      </w:r>
      <w:r w:rsidRPr="00817871">
        <w:t xml:space="preserve"> </w:t>
      </w:r>
    </w:p>
    <w:p w:rsidR="008B5605" w:rsidRPr="007E4476" w:rsidRDefault="008B5605" w:rsidP="008B5605">
      <w:pPr>
        <w:pStyle w:val="HeadingBoldItalic"/>
      </w:pPr>
      <w:r w:rsidRPr="007E4476">
        <w:t>What must a tariff structure statement contain?</w:t>
      </w:r>
    </w:p>
    <w:p w:rsidR="008B5605" w:rsidRPr="00817871" w:rsidRDefault="008B5605" w:rsidP="008B5605">
      <w:r>
        <w:t xml:space="preserve">The </w:t>
      </w:r>
      <w:r w:rsidR="00436AB8">
        <w:t>NER</w:t>
      </w:r>
      <w:r>
        <w:t xml:space="preserve"> require a tariff structure s</w:t>
      </w:r>
      <w:r w:rsidRPr="00817871">
        <w:t>tatement to include:</w:t>
      </w:r>
      <w:r w:rsidRPr="007603CC">
        <w:rPr>
          <w:rStyle w:val="FootnoteReference"/>
        </w:rPr>
        <w:footnoteReference w:id="27"/>
      </w:r>
    </w:p>
    <w:p w:rsidR="008B5605" w:rsidRPr="002E001F" w:rsidRDefault="008B5605" w:rsidP="008B5605">
      <w:pPr>
        <w:pStyle w:val="AERbulletlistfirststyle"/>
      </w:pPr>
      <w:r w:rsidRPr="00817871">
        <w:lastRenderedPageBreak/>
        <w:t>tariff classes into which retail customers for direct control services will be divided</w:t>
      </w:r>
    </w:p>
    <w:p w:rsidR="008B5605" w:rsidRPr="002E001F" w:rsidRDefault="008B5605" w:rsidP="008B5605">
      <w:pPr>
        <w:pStyle w:val="AERbulletlistfirststyle"/>
      </w:pPr>
      <w:r w:rsidRPr="00817871">
        <w:t>policies and procedures the distributor will apply for assigning retail customers to tariffs or reassigning retail customers from one tariff to another</w:t>
      </w:r>
    </w:p>
    <w:p w:rsidR="008B5605" w:rsidRPr="002E001F" w:rsidRDefault="008B5605" w:rsidP="008B5605">
      <w:pPr>
        <w:pStyle w:val="AERbulletlistfirststyle"/>
      </w:pPr>
      <w:r w:rsidRPr="00817871">
        <w:t>structures for each proposed tariff</w:t>
      </w:r>
    </w:p>
    <w:p w:rsidR="008B5605" w:rsidRPr="002E001F" w:rsidRDefault="008B5605" w:rsidP="008B5605">
      <w:pPr>
        <w:pStyle w:val="AERbulletlistfirststyle"/>
      </w:pPr>
      <w:r w:rsidRPr="00817871">
        <w:t>charging parameters for each proposed tariff</w:t>
      </w:r>
    </w:p>
    <w:p w:rsidR="008B5605" w:rsidRPr="002E001F" w:rsidRDefault="008B5605" w:rsidP="008B5605">
      <w:pPr>
        <w:pStyle w:val="AERbulletlistfirststyle"/>
      </w:pPr>
      <w:r w:rsidRPr="00817871">
        <w:t>a description of the approach that the distributor will take in setting each tariff in each pricing proposal.</w:t>
      </w:r>
    </w:p>
    <w:p w:rsidR="008B5605" w:rsidRDefault="008B5605" w:rsidP="008B5605">
      <w:r>
        <w:t>A tariff structure s</w:t>
      </w:r>
      <w:r w:rsidRPr="00817871">
        <w:t>tatement must be accompanied by an indicative pricing schedule.</w:t>
      </w:r>
      <w:r w:rsidRPr="007603CC">
        <w:rPr>
          <w:rStyle w:val="FootnoteReference"/>
        </w:rPr>
        <w:footnoteReference w:id="28"/>
      </w:r>
    </w:p>
    <w:p w:rsidR="0017096B" w:rsidRPr="00817871" w:rsidRDefault="0017096B" w:rsidP="008B5605">
      <w:r>
        <w:t>As set out in section 19.4.1 of our draft decision, we are satisfied TasNetworks' tariff structure statement incorporates all the elements required by the NER.</w:t>
      </w:r>
      <w:r>
        <w:rPr>
          <w:rStyle w:val="FootnoteReference"/>
        </w:rPr>
        <w:footnoteReference w:id="29"/>
      </w:r>
    </w:p>
    <w:p w:rsidR="008B5605" w:rsidRPr="00AB228A" w:rsidRDefault="008B5605" w:rsidP="008B5605">
      <w:pPr>
        <w:pStyle w:val="HeadingBoldItalic"/>
      </w:pPr>
      <w:r>
        <w:t>What must a tariff st</w:t>
      </w:r>
      <w:r w:rsidRPr="00AB228A">
        <w:t>ruc</w:t>
      </w:r>
      <w:r>
        <w:t>ture s</w:t>
      </w:r>
      <w:r w:rsidRPr="00AB228A">
        <w:t>tatement comply with?</w:t>
      </w:r>
    </w:p>
    <w:p w:rsidR="008B5605" w:rsidRPr="00817871" w:rsidRDefault="008B5605" w:rsidP="008B5605">
      <w:r>
        <w:t>A tariff structure s</w:t>
      </w:r>
      <w:r w:rsidRPr="00817871">
        <w:t>tatement must comply with the distribution pricing principles, which may be summarised as:</w:t>
      </w:r>
    </w:p>
    <w:p w:rsidR="008B5605" w:rsidRPr="002E001F" w:rsidRDefault="008B5605" w:rsidP="008B5605">
      <w:pPr>
        <w:pStyle w:val="AERbulletlistfirststyle"/>
      </w:pPr>
      <w:r w:rsidRPr="00817871">
        <w:t>for each tariff class, expected revenue to be recovered from customers must be between the stand alone cost of serving those customers and the avoidable cost of not serving those customers</w:t>
      </w:r>
      <w:r w:rsidRPr="008B5605">
        <w:rPr>
          <w:rStyle w:val="FootnoteReference"/>
        </w:rPr>
        <w:footnoteReference w:id="30"/>
      </w:r>
    </w:p>
    <w:p w:rsidR="008B5605" w:rsidRPr="002E001F" w:rsidRDefault="008B5605" w:rsidP="008B5605">
      <w:pPr>
        <w:pStyle w:val="AERbulletlistfirststyle"/>
      </w:pPr>
      <w:r w:rsidRPr="00817871">
        <w:t xml:space="preserve">each tariff must be based on the </w:t>
      </w:r>
      <w:r w:rsidRPr="000F60A6">
        <w:t>long run marginal cost</w:t>
      </w:r>
      <w:r w:rsidRPr="00817871">
        <w:t xml:space="preserve"> of serving those customers, with the method of calculation and its application determined with regard to the costs and benefits and customer location</w:t>
      </w:r>
      <w:r w:rsidRPr="008B5605">
        <w:rPr>
          <w:rStyle w:val="FootnoteReference"/>
        </w:rPr>
        <w:footnoteReference w:id="31"/>
      </w:r>
    </w:p>
    <w:p w:rsidR="008B5605" w:rsidRPr="002E001F" w:rsidRDefault="008B5605" w:rsidP="008B5605">
      <w:pPr>
        <w:pStyle w:val="AERbulletlistfirststyle"/>
      </w:pPr>
      <w:r w:rsidRPr="00817871">
        <w:t>expected revenue from each tariff must reflect the distributor's efficient costs, permit the distributor to recover revenue consistent with the applicable distribution determination and minimise distortions to efficient price signals</w:t>
      </w:r>
      <w:r w:rsidRPr="008B5605">
        <w:rPr>
          <w:rStyle w:val="FootnoteReference"/>
        </w:rPr>
        <w:footnoteReference w:id="32"/>
      </w:r>
    </w:p>
    <w:p w:rsidR="008B5605" w:rsidRPr="002E001F" w:rsidRDefault="008B5605" w:rsidP="008B5605">
      <w:pPr>
        <w:pStyle w:val="AERbulletlistfirststyle"/>
      </w:pPr>
      <w:r w:rsidRPr="00817871">
        <w:t>distributors must consider the impact on customers of tariff changes and may vary from efficient tariffs, having regard to:</w:t>
      </w:r>
      <w:r w:rsidRPr="008B5605">
        <w:rPr>
          <w:rStyle w:val="FootnoteReference"/>
        </w:rPr>
        <w:footnoteReference w:id="33"/>
      </w:r>
    </w:p>
    <w:p w:rsidR="008B5605" w:rsidRPr="002E001F" w:rsidRDefault="008B5605" w:rsidP="008B5605">
      <w:pPr>
        <w:pStyle w:val="AERbulletlistsecondstyle"/>
      </w:pPr>
      <w:r w:rsidRPr="00817871">
        <w:t>the desirability for efficient tariffs and the need for a reasonable transition period (that may extend over one or more regulatory periods)</w:t>
      </w:r>
    </w:p>
    <w:p w:rsidR="008B5605" w:rsidRPr="002E001F" w:rsidRDefault="008B5605" w:rsidP="008B5605">
      <w:pPr>
        <w:pStyle w:val="AERbulletlistsecondstyle"/>
      </w:pPr>
      <w:r w:rsidRPr="00817871">
        <w:t>the extent of customer choice of tariffs</w:t>
      </w:r>
    </w:p>
    <w:p w:rsidR="008B5605" w:rsidRPr="002E001F" w:rsidRDefault="008B5605" w:rsidP="008B5605">
      <w:pPr>
        <w:pStyle w:val="AERbulletlistsecondstyle"/>
      </w:pPr>
      <w:r w:rsidRPr="00817871">
        <w:t>the extent to which customers can mitigate tariff impacts by their consumption</w:t>
      </w:r>
      <w:r>
        <w:t xml:space="preserve"> decisions</w:t>
      </w:r>
    </w:p>
    <w:p w:rsidR="008B5605" w:rsidRPr="002E001F" w:rsidRDefault="008B5605" w:rsidP="008B5605">
      <w:pPr>
        <w:pStyle w:val="AERbulletlistfirststyle"/>
      </w:pPr>
      <w:r w:rsidRPr="00817871">
        <w:t xml:space="preserve">tariff structures must be understandable </w:t>
      </w:r>
      <w:r>
        <w:t xml:space="preserve">to </w:t>
      </w:r>
      <w:r w:rsidRPr="00817871">
        <w:t>customers</w:t>
      </w:r>
      <w:r w:rsidRPr="008B5605">
        <w:rPr>
          <w:rStyle w:val="FootnoteReference"/>
        </w:rPr>
        <w:footnoteReference w:id="34"/>
      </w:r>
    </w:p>
    <w:p w:rsidR="008B5605" w:rsidRDefault="008B5605" w:rsidP="008B5605">
      <w:pPr>
        <w:pStyle w:val="AERbulletlistfirststyle"/>
      </w:pPr>
      <w:r w:rsidRPr="00817871">
        <w:lastRenderedPageBreak/>
        <w:t xml:space="preserve">tariffs must otherwise comply with the </w:t>
      </w:r>
      <w:r w:rsidR="00436AB8">
        <w:t>NER</w:t>
      </w:r>
      <w:r w:rsidRPr="00817871">
        <w:t xml:space="preserve"> and </w:t>
      </w:r>
      <w:r>
        <w:t>any other</w:t>
      </w:r>
      <w:r w:rsidRPr="00817871">
        <w:t xml:space="preserve"> applicable regulatory requirements.</w:t>
      </w:r>
      <w:r w:rsidRPr="008B5605">
        <w:rPr>
          <w:rStyle w:val="FootnoteReference"/>
        </w:rPr>
        <w:footnoteReference w:id="35"/>
      </w:r>
    </w:p>
    <w:p w:rsidR="008B5605" w:rsidRDefault="008B5605" w:rsidP="008B5605">
      <w:pPr>
        <w:pStyle w:val="AERbulletlistfirststyle"/>
      </w:pPr>
      <w:r>
        <w:t>For the purpose of achieving compliance with the last three principles, the tariff structure statement may depart from comprehensive compliance with the first three principles. Where the distributor does make such a departure, it must explain its reasons for doing so.</w:t>
      </w:r>
      <w:r w:rsidRPr="008B5605">
        <w:rPr>
          <w:rStyle w:val="FootnoteReference"/>
        </w:rPr>
        <w:footnoteReference w:id="36"/>
      </w:r>
      <w:r w:rsidRPr="008B5605">
        <w:rPr>
          <w:rStyle w:val="FootnoteReference"/>
        </w:rPr>
        <w:t xml:space="preserve"> </w:t>
      </w:r>
    </w:p>
    <w:p w:rsidR="001B6AA6" w:rsidRDefault="001B6AA6" w:rsidP="008B5605">
      <w:pPr>
        <w:pStyle w:val="AERbulletlistfirststyle"/>
      </w:pPr>
      <w:r>
        <w:t>Finally, the tariff structure statement must comply with the distribution pricing principles listed above in a manner that will contribute to the achievement of the 'network pricing objective'</w:t>
      </w:r>
      <w:r w:rsidR="00D4785F">
        <w:t xml:space="preserve">, which is </w:t>
      </w:r>
      <w:r>
        <w:t xml:space="preserve">: </w:t>
      </w:r>
    </w:p>
    <w:p w:rsidR="001B6AA6" w:rsidRPr="00D4785F" w:rsidRDefault="001B6AA6" w:rsidP="00D4785F">
      <w:pPr>
        <w:pStyle w:val="AERquote"/>
        <w:rPr>
          <w:rStyle w:val="AERtextitalic"/>
        </w:rPr>
      </w:pPr>
      <w:r w:rsidRPr="00D4785F">
        <w:rPr>
          <w:rStyle w:val="AERtextitalic"/>
        </w:rPr>
        <w:tab/>
        <w:t xml:space="preserve">that the tariffs a </w:t>
      </w:r>
      <w:r w:rsidR="00C83193">
        <w:rPr>
          <w:rStyle w:val="AERtextitalic"/>
        </w:rPr>
        <w:t>distribution network service provider</w:t>
      </w:r>
      <w:r w:rsidRPr="00D4785F">
        <w:rPr>
          <w:rStyle w:val="AERtextitalic"/>
        </w:rPr>
        <w:t xml:space="preserve"> charges in respect </w:t>
      </w:r>
      <w:r w:rsidR="00C83193">
        <w:rPr>
          <w:rStyle w:val="AERtextitalic"/>
        </w:rPr>
        <w:t>of</w:t>
      </w:r>
      <w:r w:rsidRPr="00D4785F">
        <w:rPr>
          <w:rStyle w:val="AERtextitalic"/>
        </w:rPr>
        <w:t xml:space="preserve"> its provision of direct control services to a retail customer should reflect the </w:t>
      </w:r>
      <w:r w:rsidR="00C83193">
        <w:rPr>
          <w:rStyle w:val="AERtextitalic"/>
        </w:rPr>
        <w:t xml:space="preserve">distribution network service provider's </w:t>
      </w:r>
      <w:r w:rsidRPr="00D4785F">
        <w:rPr>
          <w:rStyle w:val="AERtextitalic"/>
        </w:rPr>
        <w:t>efficient costs of providing those services to the retail customer"</w:t>
      </w:r>
      <w:r w:rsidR="00C83193">
        <w:rPr>
          <w:rStyle w:val="FootnoteReference"/>
          <w:i/>
        </w:rPr>
        <w:footnoteReference w:id="37"/>
      </w:r>
    </w:p>
    <w:p w:rsidR="00601E98" w:rsidRDefault="00601E98" w:rsidP="00601E98">
      <w:pPr>
        <w:pStyle w:val="AERbulletlistfirststyle"/>
        <w:numPr>
          <w:ilvl w:val="0"/>
          <w:numId w:val="0"/>
        </w:numPr>
        <w:rPr>
          <w:rStyle w:val="AERbody"/>
        </w:rPr>
      </w:pPr>
      <w:r>
        <w:rPr>
          <w:rStyle w:val="AERbody"/>
        </w:rPr>
        <w:t>As noted, our draft decision did not approve TasNetworks' initial tariff structure statement because we we</w:t>
      </w:r>
      <w:r w:rsidRPr="00601E98">
        <w:rPr>
          <w:rStyle w:val="AERbody"/>
        </w:rPr>
        <w:t xml:space="preserve">re not satisfied </w:t>
      </w:r>
      <w:r>
        <w:rPr>
          <w:rStyle w:val="AERbody"/>
        </w:rPr>
        <w:t>it complied</w:t>
      </w:r>
      <w:r w:rsidRPr="00601E98">
        <w:rPr>
          <w:rStyle w:val="AERbody"/>
        </w:rPr>
        <w:t xml:space="preserve"> with the</w:t>
      </w:r>
      <w:r w:rsidR="00AE6582">
        <w:rPr>
          <w:rStyle w:val="AERbody"/>
        </w:rPr>
        <w:t xml:space="preserve"> distribution pricing principles</w:t>
      </w:r>
      <w:r w:rsidR="00D02E6B">
        <w:rPr>
          <w:rStyle w:val="AERbody"/>
        </w:rPr>
        <w:t xml:space="preserve"> </w:t>
      </w:r>
      <w:r w:rsidR="00AE6582">
        <w:rPr>
          <w:rStyle w:val="AERbody"/>
        </w:rPr>
        <w:t>on</w:t>
      </w:r>
      <w:r w:rsidR="00D02E6B">
        <w:rPr>
          <w:rStyle w:val="AERbody"/>
        </w:rPr>
        <w:t xml:space="preserve"> one element</w:t>
      </w:r>
      <w:r w:rsidRPr="00601E98">
        <w:rPr>
          <w:rStyle w:val="AERbody"/>
        </w:rPr>
        <w:t>.</w:t>
      </w:r>
      <w:r>
        <w:rPr>
          <w:rStyle w:val="FootnoteReference"/>
        </w:rPr>
        <w:footnoteReference w:id="38"/>
      </w:r>
      <w:r>
        <w:rPr>
          <w:rStyle w:val="AERbody"/>
        </w:rPr>
        <w:t xml:space="preserve"> Specifically, we did</w:t>
      </w:r>
      <w:r w:rsidRPr="00601E98">
        <w:rPr>
          <w:rStyle w:val="AERbody"/>
        </w:rPr>
        <w:t xml:space="preserve"> not consider TasNetworks demonstrated reasonable consideration of the impact of </w:t>
      </w:r>
      <w:r w:rsidR="00AE6582">
        <w:rPr>
          <w:rStyle w:val="AERbody"/>
        </w:rPr>
        <w:t>its</w:t>
      </w:r>
      <w:r w:rsidRPr="00601E98">
        <w:rPr>
          <w:rStyle w:val="AERbody"/>
        </w:rPr>
        <w:t xml:space="preserve"> proposed increases in fixed charges on</w:t>
      </w:r>
      <w:r>
        <w:rPr>
          <w:rStyle w:val="AERbody"/>
        </w:rPr>
        <w:t xml:space="preserve"> its</w:t>
      </w:r>
      <w:r w:rsidRPr="00601E98">
        <w:rPr>
          <w:rStyle w:val="AERbody"/>
        </w:rPr>
        <w:t xml:space="preserve"> high voltage business customers.</w:t>
      </w:r>
      <w:r w:rsidR="00D02E6B">
        <w:rPr>
          <w:rStyle w:val="FootnoteReference"/>
        </w:rPr>
        <w:footnoteReference w:id="39"/>
      </w:r>
    </w:p>
    <w:p w:rsidR="008B5605" w:rsidRDefault="008B5605" w:rsidP="008B5605">
      <w:pPr>
        <w:pStyle w:val="HeadingBoldBlue"/>
      </w:pPr>
      <w:r>
        <w:t>Tariff structure statement process</w:t>
      </w:r>
    </w:p>
    <w:p w:rsidR="008B5605" w:rsidRPr="001F43D5" w:rsidRDefault="008B5605" w:rsidP="008B5605">
      <w:pPr>
        <w:pStyle w:val="HeadingBoldItalic"/>
      </w:pPr>
      <w:r w:rsidRPr="001F43D5">
        <w:t xml:space="preserve">Our role in approving a distributor's tariff </w:t>
      </w:r>
      <w:r>
        <w:t xml:space="preserve">structure </w:t>
      </w:r>
      <w:r w:rsidRPr="001F43D5">
        <w:t>statement</w:t>
      </w:r>
    </w:p>
    <w:p w:rsidR="008B5605" w:rsidRDefault="008B5605" w:rsidP="008B5605">
      <w:r w:rsidRPr="001F43D5">
        <w:t>We must approve a distributor's tariff structure statement unless we are</w:t>
      </w:r>
      <w:r w:rsidR="00CC68DF">
        <w:t xml:space="preserve"> not</w:t>
      </w:r>
      <w:r w:rsidRPr="001F43D5">
        <w:t xml:space="preserve"> reasonably satisfied that the proposed tariff structure statement compl</w:t>
      </w:r>
      <w:r w:rsidR="00CC68DF">
        <w:t>ies</w:t>
      </w:r>
      <w:r w:rsidRPr="001F43D5">
        <w:t xml:space="preserve"> with the distribution pricing principles or other applicable requirements of the </w:t>
      </w:r>
      <w:r w:rsidR="00436AB8">
        <w:t>NER</w:t>
      </w:r>
      <w:r w:rsidRPr="001F43D5">
        <w:t>.</w:t>
      </w:r>
      <w:r w:rsidRPr="001F43D5">
        <w:rPr>
          <w:rStyle w:val="FootnoteReference"/>
        </w:rPr>
        <w:footnoteReference w:id="40"/>
      </w:r>
      <w:r w:rsidRPr="007603CC">
        <w:rPr>
          <w:rStyle w:val="FootnoteReference"/>
        </w:rPr>
        <w:t xml:space="preserve"> </w:t>
      </w:r>
      <w:r w:rsidRPr="001F43D5">
        <w:t xml:space="preserve">We make one holistic determination to approve or refuse to approve the distributor's tariff </w:t>
      </w:r>
      <w:r>
        <w:t xml:space="preserve">structure </w:t>
      </w:r>
      <w:r w:rsidRPr="001F43D5">
        <w:t xml:space="preserve">statement. Our analysis on each element of the distributor's tariff structure statement contributes to our overall </w:t>
      </w:r>
      <w:r>
        <w:t>assessment.</w:t>
      </w:r>
    </w:p>
    <w:p w:rsidR="008B5605" w:rsidRPr="00AB228A" w:rsidRDefault="008B5605" w:rsidP="008B5605">
      <w:pPr>
        <w:pStyle w:val="HeadingBoldItalic"/>
      </w:pPr>
      <w:r w:rsidRPr="00AB228A">
        <w:t xml:space="preserve">What happens when a </w:t>
      </w:r>
      <w:r>
        <w:t>distributor submits a proposed tariff structure s</w:t>
      </w:r>
      <w:r w:rsidRPr="00AB228A">
        <w:t>tatement?</w:t>
      </w:r>
    </w:p>
    <w:p w:rsidR="008B5605" w:rsidRPr="00817871" w:rsidRDefault="008B5605" w:rsidP="008B5605">
      <w:r w:rsidRPr="00817871">
        <w:t xml:space="preserve">The </w:t>
      </w:r>
      <w:r w:rsidR="00436AB8">
        <w:t>NER</w:t>
      </w:r>
      <w:r w:rsidRPr="00817871">
        <w:t xml:space="preserve"> re</w:t>
      </w:r>
      <w:r>
        <w:t>quire</w:t>
      </w:r>
      <w:r w:rsidR="00CC68DF">
        <w:t>s</w:t>
      </w:r>
      <w:r>
        <w:t xml:space="preserve"> us to publish the distributor’s proposed tariff structure s</w:t>
      </w:r>
      <w:r w:rsidRPr="00817871">
        <w:t>tatement and invite submissions.</w:t>
      </w:r>
      <w:r w:rsidRPr="007603CC">
        <w:rPr>
          <w:rStyle w:val="FootnoteReference"/>
        </w:rPr>
        <w:footnoteReference w:id="41"/>
      </w:r>
      <w:r>
        <w:t xml:space="preserve"> We then assess a proposed tariff structure s</w:t>
      </w:r>
      <w:r w:rsidRPr="00817871">
        <w:t xml:space="preserve">tatement for its </w:t>
      </w:r>
      <w:r w:rsidRPr="00817871">
        <w:lastRenderedPageBreak/>
        <w:t>compliance with the distribution pricing principles</w:t>
      </w:r>
      <w:r>
        <w:t xml:space="preserve"> and other applicable requirements of the </w:t>
      </w:r>
      <w:r w:rsidR="00436AB8">
        <w:t>NER</w:t>
      </w:r>
      <w:r w:rsidRPr="00817871">
        <w:t>. Taking into account submissions and any supporting information submitted by the distributor, we will publish a draft</w:t>
      </w:r>
      <w:r>
        <w:t xml:space="preserve"> decision on the proposed tariff structure s</w:t>
      </w:r>
      <w:r w:rsidRPr="00817871">
        <w:t>tatement.</w:t>
      </w:r>
      <w:r w:rsidRPr="007603CC">
        <w:rPr>
          <w:rStyle w:val="FootnoteReference"/>
        </w:rPr>
        <w:footnoteReference w:id="42"/>
      </w:r>
      <w:r w:rsidRPr="00817871">
        <w:t xml:space="preserve"> This will set out our reasons for making the </w:t>
      </w:r>
      <w:r>
        <w:t>decision</w:t>
      </w:r>
      <w:r w:rsidRPr="00817871">
        <w:t>.</w:t>
      </w:r>
      <w:r w:rsidRPr="007603CC">
        <w:rPr>
          <w:rStyle w:val="FootnoteReference"/>
        </w:rPr>
        <w:footnoteReference w:id="43"/>
      </w:r>
    </w:p>
    <w:p w:rsidR="008B5605" w:rsidRPr="00817871" w:rsidRDefault="008B5605" w:rsidP="008B5605">
      <w:r w:rsidRPr="00817871">
        <w:t>Our role is largely one of assessing complian</w:t>
      </w:r>
      <w:r>
        <w:t>ce. We must approve a proposed tariff structure s</w:t>
      </w:r>
      <w:r w:rsidRPr="00817871">
        <w:t xml:space="preserve">tatement unless we </w:t>
      </w:r>
      <w:r>
        <w:t>are reasonably satisfied that</w:t>
      </w:r>
      <w:r w:rsidRPr="00817871">
        <w:t xml:space="preserve"> it </w:t>
      </w:r>
      <w:r>
        <w:t>does</w:t>
      </w:r>
      <w:r w:rsidRPr="00817871">
        <w:t xml:space="preserve"> not comply with the distribution pricing principles or other </w:t>
      </w:r>
      <w:r>
        <w:t>applicable</w:t>
      </w:r>
      <w:r w:rsidRPr="00817871">
        <w:t xml:space="preserve"> requirements of the </w:t>
      </w:r>
      <w:r w:rsidR="00436AB8">
        <w:t>NER</w:t>
      </w:r>
      <w:r w:rsidRPr="00817871">
        <w:t>.</w:t>
      </w:r>
      <w:r w:rsidRPr="007603CC">
        <w:rPr>
          <w:rStyle w:val="FootnoteReference"/>
        </w:rPr>
        <w:footnoteReference w:id="44"/>
      </w:r>
      <w:r w:rsidRPr="00817871">
        <w:t xml:space="preserve"> </w:t>
      </w:r>
    </w:p>
    <w:p w:rsidR="008B5605" w:rsidRPr="00AB228A" w:rsidRDefault="008B5605" w:rsidP="008B5605">
      <w:pPr>
        <w:pStyle w:val="HeadingBoldItalic"/>
      </w:pPr>
      <w:r w:rsidRPr="00AB228A">
        <w:t xml:space="preserve">What happens </w:t>
      </w:r>
      <w:r>
        <w:t>if a proposed tariff structure s</w:t>
      </w:r>
      <w:r w:rsidRPr="00AB228A">
        <w:t>tatement is not approved?</w:t>
      </w:r>
    </w:p>
    <w:p w:rsidR="008B5605" w:rsidRPr="00817871" w:rsidRDefault="008B5605" w:rsidP="008B5605">
      <w:r w:rsidRPr="00817871">
        <w:t>A di</w:t>
      </w:r>
      <w:r>
        <w:t>stributor may submit a revised tariff structure s</w:t>
      </w:r>
      <w:r w:rsidRPr="00817871">
        <w:t xml:space="preserve">tatement no later than 45 business days after we publish our draft </w:t>
      </w:r>
      <w:r>
        <w:t>decision</w:t>
      </w:r>
      <w:r w:rsidRPr="00817871">
        <w:t>.</w:t>
      </w:r>
      <w:r w:rsidRPr="007603CC">
        <w:rPr>
          <w:rStyle w:val="FootnoteReference"/>
        </w:rPr>
        <w:footnoteReference w:id="45"/>
      </w:r>
      <w:r w:rsidRPr="00817871">
        <w:t xml:space="preserve"> Under the </w:t>
      </w:r>
      <w:r w:rsidR="00436AB8">
        <w:t>NER</w:t>
      </w:r>
      <w:r w:rsidRPr="00817871">
        <w:t xml:space="preserve">, a distributor </w:t>
      </w:r>
      <w:r>
        <w:t>may only make revisions to its tariff structure s</w:t>
      </w:r>
      <w:r w:rsidRPr="00817871">
        <w:t xml:space="preserve">tatement to address matters raised by our draft </w:t>
      </w:r>
      <w:r>
        <w:t>decision</w:t>
      </w:r>
      <w:r w:rsidRPr="00817871">
        <w:t>.</w:t>
      </w:r>
      <w:r w:rsidRPr="007603CC">
        <w:rPr>
          <w:rStyle w:val="FootnoteReference"/>
        </w:rPr>
        <w:footnoteReference w:id="46"/>
      </w:r>
      <w:r w:rsidRPr="007603CC">
        <w:rPr>
          <w:rStyle w:val="FootnoteReference"/>
        </w:rPr>
        <w:t xml:space="preserve"> </w:t>
      </w:r>
      <w:r>
        <w:t>We will publish the distributor’s revised tariff structure s</w:t>
      </w:r>
      <w:r w:rsidRPr="00817871">
        <w:t>tatement and again call for submissions</w:t>
      </w:r>
      <w:r>
        <w:t xml:space="preserve"> before making a final decision</w:t>
      </w:r>
      <w:r w:rsidRPr="00817871">
        <w:t>.</w:t>
      </w:r>
      <w:r w:rsidRPr="007603CC">
        <w:rPr>
          <w:rStyle w:val="FootnoteReference"/>
        </w:rPr>
        <w:footnoteReference w:id="47"/>
      </w:r>
      <w:r w:rsidRPr="00817871">
        <w:t xml:space="preserve"> </w:t>
      </w:r>
    </w:p>
    <w:p w:rsidR="008B5605" w:rsidRPr="00AB228A" w:rsidRDefault="008B5605" w:rsidP="008B5605">
      <w:pPr>
        <w:pStyle w:val="HeadingBoldItalic"/>
      </w:pPr>
      <w:r>
        <w:t>What happens after a tariff structure s</w:t>
      </w:r>
      <w:r w:rsidRPr="00AB228A">
        <w:t>tatement is approved</w:t>
      </w:r>
      <w:r>
        <w:t>?</w:t>
      </w:r>
    </w:p>
    <w:p w:rsidR="008B5605" w:rsidRPr="00817871" w:rsidRDefault="008B5605" w:rsidP="008B5605">
      <w:r>
        <w:t>Once approved, a tariff structure s</w:t>
      </w:r>
      <w:r w:rsidRPr="00817871">
        <w:t xml:space="preserve">tatement will remain in effect for the relevant regulatory </w:t>
      </w:r>
      <w:r>
        <w:t xml:space="preserve">control </w:t>
      </w:r>
      <w:r w:rsidRPr="00817871">
        <w:t>period.</w:t>
      </w:r>
      <w:r w:rsidRPr="00564E0E">
        <w:rPr>
          <w:rStyle w:val="FootnoteReference"/>
        </w:rPr>
        <w:footnoteReference w:id="48"/>
      </w:r>
      <w:r>
        <w:t xml:space="preserve"> </w:t>
      </w:r>
      <w:r w:rsidRPr="00817871">
        <w:t>The distributor</w:t>
      </w:r>
      <w:r>
        <w:t xml:space="preserve"> must comply with the approved tariff structure s</w:t>
      </w:r>
      <w:r w:rsidRPr="00817871">
        <w:t>tatement when setting prices annually for direct control services.</w:t>
      </w:r>
      <w:r w:rsidRPr="007603CC">
        <w:rPr>
          <w:rStyle w:val="FootnoteReference"/>
        </w:rPr>
        <w:footnoteReference w:id="49"/>
      </w:r>
      <w:r w:rsidRPr="007603CC">
        <w:rPr>
          <w:rStyle w:val="FootnoteReference"/>
        </w:rPr>
        <w:t xml:space="preserve"> </w:t>
      </w:r>
    </w:p>
    <w:p w:rsidR="008B5605" w:rsidRPr="00817871" w:rsidRDefault="008B5605" w:rsidP="008B5605">
      <w:r w:rsidRPr="00817871">
        <w:t xml:space="preserve">We will separately assess the distributor's annual </w:t>
      </w:r>
      <w:r>
        <w:t>pricing</w:t>
      </w:r>
      <w:r w:rsidRPr="00817871">
        <w:t xml:space="preserve"> proposals for the coming 12</w:t>
      </w:r>
      <w:r w:rsidR="006554DC">
        <w:t> </w:t>
      </w:r>
      <w:r w:rsidRPr="00817871">
        <w:t xml:space="preserve">months. Our assessment of annual </w:t>
      </w:r>
      <w:r>
        <w:t>pricing</w:t>
      </w:r>
      <w:r w:rsidRPr="00817871">
        <w:t xml:space="preserve"> proposals will </w:t>
      </w:r>
      <w:r>
        <w:t xml:space="preserve">also </w:t>
      </w:r>
      <w:r w:rsidRPr="00817871">
        <w:t xml:space="preserve">be </w:t>
      </w:r>
      <w:r>
        <w:t xml:space="preserve">to ensure </w:t>
      </w:r>
      <w:r w:rsidRPr="00817871">
        <w:t>consisten</w:t>
      </w:r>
      <w:r>
        <w:t>cy</w:t>
      </w:r>
      <w:r w:rsidRPr="00817871">
        <w:t xml:space="preserve"> with the requirements of the approved </w:t>
      </w:r>
      <w:r>
        <w:t>t</w:t>
      </w:r>
      <w:r w:rsidRPr="00817871">
        <w:t xml:space="preserve">ariff </w:t>
      </w:r>
      <w:r>
        <w:t>s</w:t>
      </w:r>
      <w:r w:rsidRPr="00817871">
        <w:t xml:space="preserve">tructure </w:t>
      </w:r>
      <w:r>
        <w:t>s</w:t>
      </w:r>
      <w:r w:rsidRPr="00817871">
        <w:t xml:space="preserve">tatement. </w:t>
      </w:r>
    </w:p>
    <w:p w:rsidR="008B5605" w:rsidRPr="002E001F" w:rsidRDefault="008B5605" w:rsidP="008B5605">
      <w:r w:rsidRPr="00817871">
        <w:t xml:space="preserve">An approved </w:t>
      </w:r>
      <w:r>
        <w:t>t</w:t>
      </w:r>
      <w:r w:rsidRPr="00817871">
        <w:t xml:space="preserve">ariff </w:t>
      </w:r>
      <w:r>
        <w:t>s</w:t>
      </w:r>
      <w:r w:rsidRPr="00817871">
        <w:t xml:space="preserve">tructure </w:t>
      </w:r>
      <w:r>
        <w:t>s</w:t>
      </w:r>
      <w:r w:rsidRPr="00817871">
        <w:t>tatement</w:t>
      </w:r>
      <w:r>
        <w:t xml:space="preserve"> </w:t>
      </w:r>
      <w:r w:rsidRPr="00817871">
        <w:t xml:space="preserve">may only be amended within a regulatory </w:t>
      </w:r>
      <w:r>
        <w:t xml:space="preserve">control </w:t>
      </w:r>
      <w:r w:rsidRPr="00817871">
        <w:t>period with our approval.</w:t>
      </w:r>
      <w:r w:rsidRPr="007603CC">
        <w:rPr>
          <w:rStyle w:val="FootnoteReference"/>
        </w:rPr>
        <w:footnoteReference w:id="50"/>
      </w:r>
      <w:r w:rsidRPr="00817871">
        <w:t xml:space="preserve"> We will approve an amendment if the distributor demonstrates that an event has occurred that was beyond its control and which it could not have foreseen so that the amended </w:t>
      </w:r>
      <w:r>
        <w:t>t</w:t>
      </w:r>
      <w:r w:rsidRPr="00817871">
        <w:t xml:space="preserve">ariff </w:t>
      </w:r>
      <w:r>
        <w:t>s</w:t>
      </w:r>
      <w:r w:rsidRPr="00817871">
        <w:t xml:space="preserve">tructure </w:t>
      </w:r>
      <w:r>
        <w:t>s</w:t>
      </w:r>
      <w:r w:rsidRPr="00817871">
        <w:t>tatement materially better complies with the distribution pricing principles.</w:t>
      </w:r>
      <w:r w:rsidRPr="007603CC">
        <w:rPr>
          <w:rStyle w:val="FootnoteReference"/>
        </w:rPr>
        <w:footnoteReference w:id="51"/>
      </w:r>
    </w:p>
    <w:p w:rsidR="00132D43" w:rsidRDefault="00132D43" w:rsidP="00132D43">
      <w:pPr>
        <w:pStyle w:val="Heading3"/>
        <w:tabs>
          <w:tab w:val="clear" w:pos="1021"/>
        </w:tabs>
        <w:ind w:left="142" w:hanging="142"/>
      </w:pPr>
      <w:bookmarkStart w:id="78" w:name="_Toc481061349"/>
      <w:r>
        <w:t>Interrelationships</w:t>
      </w:r>
      <w:bookmarkEnd w:id="78"/>
    </w:p>
    <w:p w:rsidR="00132D43" w:rsidRDefault="00CA416F" w:rsidP="00132D43">
      <w:r>
        <w:lastRenderedPageBreak/>
        <w:t xml:space="preserve">In assessing TasNetworks' tariff structure statement, we are </w:t>
      </w:r>
      <w:r w:rsidR="006554DC">
        <w:t>considering</w:t>
      </w:r>
      <w:r>
        <w:t xml:space="preserve"> the tariffs TasNetworks' can charge for</w:t>
      </w:r>
      <w:r w:rsidR="006554DC">
        <w:t xml:space="preserve"> the provision of</w:t>
      </w:r>
      <w:r>
        <w:t xml:space="preserve"> its distribution services over the 201</w:t>
      </w:r>
      <w:r w:rsidR="002F5AC8">
        <w:t>7–19 regulatory control period. Our final decision sets out the total revenue requirement TasN</w:t>
      </w:r>
      <w:r w:rsidR="006554DC">
        <w:t>etworks' can recover through these</w:t>
      </w:r>
      <w:r w:rsidR="002F5AC8">
        <w:t xml:space="preserve"> tariffs. Our final decision on the total revenue requirement is set out in attachment 1 – Annual revenue requirement.</w:t>
      </w:r>
    </w:p>
    <w:p w:rsidR="00CA416F" w:rsidRDefault="00CA416F" w:rsidP="00132D43">
      <w:r>
        <w:t>Our final decision</w:t>
      </w:r>
      <w:r w:rsidR="002F5AC8">
        <w:t xml:space="preserve"> also sets out</w:t>
      </w:r>
      <w:r>
        <w:t xml:space="preserve"> </w:t>
      </w:r>
      <w:r w:rsidR="002F5AC8">
        <w:t xml:space="preserve">the </w:t>
      </w:r>
      <w:r>
        <w:t>revenue cap control mechanism and the side constraint mechanism</w:t>
      </w:r>
      <w:r w:rsidR="002F5AC8">
        <w:t xml:space="preserve"> which calculates TasNetworks' revenues </w:t>
      </w:r>
      <w:r w:rsidR="002F5AC8" w:rsidRPr="002F5AC8">
        <w:t>for each regulatory year after the first year in a regulatory control period</w:t>
      </w:r>
      <w:r w:rsidR="002F5AC8">
        <w:t xml:space="preserve">. Our final decision on these mechanisms is </w:t>
      </w:r>
      <w:r>
        <w:t>set out in attachment 14 – Control mechanisms.</w:t>
      </w:r>
    </w:p>
    <w:p w:rsidR="00AE6582" w:rsidRDefault="00AE6582" w:rsidP="00132D43">
      <w:r>
        <w:t>Tariffs set out in the approved tariff structure statement need to recover the annual revenue requirement and comply with the price controls set out in attachment 14. We check for this as part of our annual assessment of pricing proposals (that is, proposed tariffs) for the upcoming 12 months.</w:t>
      </w:r>
    </w:p>
    <w:p w:rsidR="00132D43" w:rsidRDefault="00132D43" w:rsidP="00132D43">
      <w:pPr>
        <w:pStyle w:val="Heading2"/>
      </w:pPr>
      <w:bookmarkStart w:id="79" w:name="_Toc481061350"/>
      <w:r>
        <w:t xml:space="preserve">Reasons for </w:t>
      </w:r>
      <w:r w:rsidR="0046646A">
        <w:t>final</w:t>
      </w:r>
      <w:r>
        <w:t xml:space="preserve"> decision</w:t>
      </w:r>
      <w:bookmarkEnd w:id="79"/>
    </w:p>
    <w:p w:rsidR="00132D43" w:rsidRDefault="00CC68DF" w:rsidP="00132D43">
      <w:r w:rsidRPr="00CC68DF">
        <w:t xml:space="preserve">The following </w:t>
      </w:r>
      <w:r>
        <w:t xml:space="preserve">discusses our reasons for this final </w:t>
      </w:r>
      <w:r w:rsidRPr="00CC68DF">
        <w:t>decision.</w:t>
      </w:r>
    </w:p>
    <w:p w:rsidR="003A1462" w:rsidRDefault="003A1462" w:rsidP="003A1462">
      <w:pPr>
        <w:pStyle w:val="Heading3"/>
      </w:pPr>
      <w:bookmarkStart w:id="80" w:name="_Toc481061351"/>
      <w:r>
        <w:t>Tariff classes</w:t>
      </w:r>
      <w:bookmarkEnd w:id="80"/>
    </w:p>
    <w:p w:rsidR="006554DC" w:rsidRDefault="006554DC" w:rsidP="003A1462">
      <w:r>
        <w:t xml:space="preserve">We approve the tariff classes proposed by TasNetworks because we </w:t>
      </w:r>
      <w:r w:rsidR="001B6AA6">
        <w:t xml:space="preserve">are satisfied </w:t>
      </w:r>
      <w:r>
        <w:t xml:space="preserve">they </w:t>
      </w:r>
      <w:r w:rsidR="0087158B">
        <w:t xml:space="preserve">contribute to achievement of compliance </w:t>
      </w:r>
      <w:r>
        <w:t>with the distribution pricing principles. We approved the same tariff classes in our draft decision.</w:t>
      </w:r>
      <w:r>
        <w:rPr>
          <w:rStyle w:val="FootnoteReference"/>
        </w:rPr>
        <w:footnoteReference w:id="52"/>
      </w:r>
    </w:p>
    <w:p w:rsidR="004C48BD" w:rsidRDefault="004C48BD" w:rsidP="003A1462">
      <w:r>
        <w:t>TasNetworks' proposed tariff classes are the same as those applied in the current regulatory control period. The tariff classes</w:t>
      </w:r>
      <w:r w:rsidRPr="004C48BD">
        <w:t xml:space="preserve"> group similar customers together taking into account their connection to and use of the network.</w:t>
      </w:r>
      <w:r>
        <w:t xml:space="preserve"> Therefore, we are satisfied the proposed tariff classes are </w:t>
      </w:r>
      <w:r w:rsidR="000D4BAB">
        <w:t>compliant</w:t>
      </w:r>
      <w:r>
        <w:t xml:space="preserve"> with the </w:t>
      </w:r>
      <w:r w:rsidRPr="004C48BD">
        <w:t>rule requirements on the assignment and re-assignment of customers to tariff classes.</w:t>
      </w:r>
      <w:r>
        <w:rPr>
          <w:rStyle w:val="FootnoteReference"/>
        </w:rPr>
        <w:footnoteReference w:id="53"/>
      </w:r>
    </w:p>
    <w:p w:rsidR="004C48BD" w:rsidRDefault="004C48BD" w:rsidP="003A1462">
      <w:r>
        <w:t xml:space="preserve">A simplified version of the tariff classes are set out in </w:t>
      </w:r>
      <w:r w:rsidR="00F505A6">
        <w:fldChar w:fldCharType="begin"/>
      </w:r>
      <w:r w:rsidR="00F505A6">
        <w:instrText xml:space="preserve"> REF  _Ref477278184 \* Lower \h </w:instrText>
      </w:r>
      <w:r w:rsidR="00F505A6">
        <w:fldChar w:fldCharType="separate"/>
      </w:r>
      <w:r w:rsidR="00F52FCD">
        <w:t xml:space="preserve">table </w:t>
      </w:r>
      <w:r w:rsidR="00F52FCD">
        <w:rPr>
          <w:noProof/>
        </w:rPr>
        <w:t>19</w:t>
      </w:r>
      <w:r w:rsidR="00F52FCD">
        <w:t>.</w:t>
      </w:r>
      <w:r w:rsidR="00F52FCD">
        <w:rPr>
          <w:noProof/>
        </w:rPr>
        <w:t>3</w:t>
      </w:r>
      <w:r w:rsidR="00F505A6">
        <w:fldChar w:fldCharType="end"/>
      </w:r>
      <w:r w:rsidR="00F505A6">
        <w:t>. A more detailed version is set out in</w:t>
      </w:r>
      <w:r w:rsidR="00F52FCD">
        <w:t xml:space="preserve"> table 18 of TasNetworks' tariff structure statement – Background and explanation.</w:t>
      </w:r>
      <w:r w:rsidR="00F52FCD">
        <w:rPr>
          <w:rStyle w:val="FootnoteReference"/>
        </w:rPr>
        <w:footnoteReference w:id="54"/>
      </w:r>
    </w:p>
    <w:p w:rsidR="004C48BD" w:rsidRDefault="004C48BD" w:rsidP="004C48BD">
      <w:pPr>
        <w:pStyle w:val="Caption"/>
      </w:pPr>
      <w:bookmarkStart w:id="81" w:name="_Ref477278184"/>
      <w:r>
        <w:t xml:space="preserve">Table </w:t>
      </w:r>
      <w:fldSimple w:instr=" STYLEREF 1 \s ">
        <w:r w:rsidR="00F52FCD">
          <w:rPr>
            <w:noProof/>
          </w:rPr>
          <w:t>19</w:t>
        </w:r>
      </w:fldSimple>
      <w:r w:rsidR="00E914FF">
        <w:t>.</w:t>
      </w:r>
      <w:fldSimple w:instr=" SEQ Table \* ARABIC \s 1 ">
        <w:r w:rsidR="00F52FCD">
          <w:rPr>
            <w:noProof/>
          </w:rPr>
          <w:t>3</w:t>
        </w:r>
      </w:fldSimple>
      <w:bookmarkEnd w:id="81"/>
      <w:r>
        <w:tab/>
        <w:t>TasNetworks' tariff classes for standard control services</w:t>
      </w:r>
    </w:p>
    <w:tbl>
      <w:tblPr>
        <w:tblStyle w:val="AERtable-text0"/>
        <w:tblW w:w="0" w:type="auto"/>
        <w:tblLook w:val="04A0" w:firstRow="1" w:lastRow="0" w:firstColumn="1" w:lastColumn="0" w:noHBand="0" w:noVBand="1"/>
      </w:tblPr>
      <w:tblGrid>
        <w:gridCol w:w="1809"/>
        <w:gridCol w:w="6884"/>
      </w:tblGrid>
      <w:tr w:rsidR="004C48BD" w:rsidTr="00AC107C">
        <w:trPr>
          <w:cnfStyle w:val="100000000000" w:firstRow="1" w:lastRow="0" w:firstColumn="0" w:lastColumn="0" w:oddVBand="0" w:evenVBand="0" w:oddHBand="0" w:evenHBand="0" w:firstRowFirstColumn="0" w:firstRowLastColumn="0" w:lastRowFirstColumn="0" w:lastRowLastColumn="0"/>
        </w:trPr>
        <w:tc>
          <w:tcPr>
            <w:tcW w:w="1809" w:type="dxa"/>
          </w:tcPr>
          <w:p w:rsidR="004C48BD" w:rsidRPr="004C48BD" w:rsidRDefault="004C48BD" w:rsidP="004C48BD">
            <w:r>
              <w:t>Network tariff class</w:t>
            </w:r>
          </w:p>
        </w:tc>
        <w:tc>
          <w:tcPr>
            <w:tcW w:w="6884" w:type="dxa"/>
          </w:tcPr>
          <w:p w:rsidR="004C48BD" w:rsidRPr="004C48BD" w:rsidRDefault="004C48BD" w:rsidP="004C48BD">
            <w:r>
              <w:t>Description</w:t>
            </w:r>
          </w:p>
        </w:tc>
      </w:tr>
      <w:tr w:rsidR="004C48BD" w:rsidTr="00AC107C">
        <w:tc>
          <w:tcPr>
            <w:tcW w:w="1809" w:type="dxa"/>
          </w:tcPr>
          <w:p w:rsidR="004C48BD" w:rsidRPr="004C48BD" w:rsidRDefault="004C48BD" w:rsidP="004C48BD">
            <w:r>
              <w:t>Residential</w:t>
            </w:r>
          </w:p>
        </w:tc>
        <w:tc>
          <w:tcPr>
            <w:tcW w:w="6884" w:type="dxa"/>
          </w:tcPr>
          <w:p w:rsidR="004C48BD" w:rsidRPr="004C48BD" w:rsidRDefault="004C48BD" w:rsidP="004C48BD">
            <w:r>
              <w:t xml:space="preserve">Tariff class is for premises that are wholly or principally as private residential </w:t>
            </w:r>
            <w:r w:rsidRPr="004C48BD">
              <w:t>dwellings. This is a relatively homogenous group of customers.</w:t>
            </w:r>
          </w:p>
        </w:tc>
      </w:tr>
      <w:tr w:rsidR="004C48BD" w:rsidTr="00AC107C">
        <w:trPr>
          <w:cnfStyle w:val="000000010000" w:firstRow="0" w:lastRow="0" w:firstColumn="0" w:lastColumn="0" w:oddVBand="0" w:evenVBand="0" w:oddHBand="0" w:evenHBand="1" w:firstRowFirstColumn="0" w:firstRowLastColumn="0" w:lastRowFirstColumn="0" w:lastRowLastColumn="0"/>
        </w:trPr>
        <w:tc>
          <w:tcPr>
            <w:tcW w:w="1809" w:type="dxa"/>
          </w:tcPr>
          <w:p w:rsidR="004C48BD" w:rsidRPr="004C48BD" w:rsidRDefault="004C48BD" w:rsidP="004C48BD">
            <w:r>
              <w:lastRenderedPageBreak/>
              <w:t>Controlled energy</w:t>
            </w:r>
          </w:p>
        </w:tc>
        <w:tc>
          <w:tcPr>
            <w:tcW w:w="6884" w:type="dxa"/>
          </w:tcPr>
          <w:p w:rsidR="004C48BD" w:rsidRPr="004C48BD" w:rsidRDefault="004C48BD" w:rsidP="004C48BD">
            <w:r>
              <w:t>Tariff class is for off</w:t>
            </w:r>
            <w:r>
              <w:noBreakHyphen/>
              <w:t xml:space="preserve">peak water, residential space and/or indoor pool heating for installations that are private residential dwellings. This is a relatively homogenous </w:t>
            </w:r>
            <w:r w:rsidRPr="004C48BD">
              <w:t>group of customers.</w:t>
            </w:r>
          </w:p>
        </w:tc>
      </w:tr>
      <w:tr w:rsidR="004C48BD" w:rsidTr="00AC107C">
        <w:tc>
          <w:tcPr>
            <w:tcW w:w="1809" w:type="dxa"/>
          </w:tcPr>
          <w:p w:rsidR="004C48BD" w:rsidRPr="004C48BD" w:rsidRDefault="004C48BD" w:rsidP="004C48BD">
            <w:r>
              <w:t>Uncontrolled energy</w:t>
            </w:r>
          </w:p>
        </w:tc>
        <w:tc>
          <w:tcPr>
            <w:tcW w:w="6884" w:type="dxa"/>
          </w:tcPr>
          <w:p w:rsidR="004C48BD" w:rsidRPr="004C48BD" w:rsidRDefault="004C48BD" w:rsidP="004C48BD">
            <w:r>
              <w:t>Tariff class is for water, residential space and/or domestic indoor pool heating for installations that are private residential dwellings. This is a relatively homogenous group of customers.</w:t>
            </w:r>
          </w:p>
        </w:tc>
      </w:tr>
      <w:tr w:rsidR="004C48BD" w:rsidTr="00AC107C">
        <w:trPr>
          <w:cnfStyle w:val="000000010000" w:firstRow="0" w:lastRow="0" w:firstColumn="0" w:lastColumn="0" w:oddVBand="0" w:evenVBand="0" w:oddHBand="0" w:evenHBand="1" w:firstRowFirstColumn="0" w:firstRowLastColumn="0" w:lastRowFirstColumn="0" w:lastRowLastColumn="0"/>
        </w:trPr>
        <w:tc>
          <w:tcPr>
            <w:tcW w:w="1809" w:type="dxa"/>
          </w:tcPr>
          <w:p w:rsidR="004C48BD" w:rsidRPr="004C48BD" w:rsidRDefault="004C48BD" w:rsidP="004C48BD">
            <w:r>
              <w:t>Small low voltage</w:t>
            </w:r>
          </w:p>
        </w:tc>
        <w:tc>
          <w:tcPr>
            <w:tcW w:w="6884" w:type="dxa"/>
          </w:tcPr>
          <w:p w:rsidR="004C48BD" w:rsidRPr="004C48BD" w:rsidRDefault="004C48BD" w:rsidP="004C48BD">
            <w:r>
              <w:t>T</w:t>
            </w:r>
            <w:r w:rsidRPr="004C48BD">
              <w:t>ariff class is for all other businesses (i.e. installations that are not private residential dwellings) that are connected to the low voltage network.</w:t>
            </w:r>
          </w:p>
        </w:tc>
      </w:tr>
      <w:tr w:rsidR="004C48BD" w:rsidTr="00AC107C">
        <w:tc>
          <w:tcPr>
            <w:tcW w:w="1809" w:type="dxa"/>
          </w:tcPr>
          <w:p w:rsidR="004C48BD" w:rsidRPr="004C48BD" w:rsidRDefault="004C48BD" w:rsidP="004C48BD">
            <w:r>
              <w:t>Irrigation</w:t>
            </w:r>
          </w:p>
        </w:tc>
        <w:tc>
          <w:tcPr>
            <w:tcW w:w="6884" w:type="dxa"/>
          </w:tcPr>
          <w:p w:rsidR="004C48BD" w:rsidRPr="004C48BD" w:rsidRDefault="004C48BD" w:rsidP="004C48BD">
            <w:r>
              <w:t>Tariff class is for primary producers' business installations that are used primarily for the irrigation of crops.</w:t>
            </w:r>
          </w:p>
        </w:tc>
      </w:tr>
      <w:tr w:rsidR="004C48BD" w:rsidTr="00AC107C">
        <w:trPr>
          <w:cnfStyle w:val="000000010000" w:firstRow="0" w:lastRow="0" w:firstColumn="0" w:lastColumn="0" w:oddVBand="0" w:evenVBand="0" w:oddHBand="0" w:evenHBand="1" w:firstRowFirstColumn="0" w:firstRowLastColumn="0" w:lastRowFirstColumn="0" w:lastRowLastColumn="0"/>
        </w:trPr>
        <w:tc>
          <w:tcPr>
            <w:tcW w:w="1809" w:type="dxa"/>
          </w:tcPr>
          <w:p w:rsidR="004C48BD" w:rsidRPr="004C48BD" w:rsidRDefault="004C48BD" w:rsidP="004C48BD">
            <w:r>
              <w:t>Large low voltage</w:t>
            </w:r>
          </w:p>
        </w:tc>
        <w:tc>
          <w:tcPr>
            <w:tcW w:w="6884" w:type="dxa"/>
          </w:tcPr>
          <w:p w:rsidR="004C48BD" w:rsidRPr="004C48BD" w:rsidRDefault="004C48BD" w:rsidP="004C48BD">
            <w:r>
              <w:t>Tariff class is for large businesses (i.e. installations that are not private residential dwellings) low voltage customers that, due to their size, are likely to have dedicated (or largely dedicated) transformers and use a small proportion of the shared low voltage system.</w:t>
            </w:r>
          </w:p>
        </w:tc>
      </w:tr>
      <w:tr w:rsidR="004C48BD" w:rsidTr="00AC107C">
        <w:tc>
          <w:tcPr>
            <w:tcW w:w="1809" w:type="dxa"/>
          </w:tcPr>
          <w:p w:rsidR="004C48BD" w:rsidRPr="004C48BD" w:rsidRDefault="004C48BD" w:rsidP="004C48BD">
            <w:r>
              <w:t>High v</w:t>
            </w:r>
            <w:r w:rsidRPr="004C48BD">
              <w:t>oltage</w:t>
            </w:r>
          </w:p>
        </w:tc>
        <w:tc>
          <w:tcPr>
            <w:tcW w:w="6884" w:type="dxa"/>
          </w:tcPr>
          <w:p w:rsidR="004C48BD" w:rsidRPr="004C48BD" w:rsidRDefault="004C48BD" w:rsidP="004C48BD">
            <w:r>
              <w:t>T</w:t>
            </w:r>
            <w:r w:rsidRPr="004C48BD">
              <w:t>ariff class is for large customers that are able to agree a specified maximum demand that is then used for pricing purposes.</w:t>
            </w:r>
          </w:p>
        </w:tc>
      </w:tr>
      <w:tr w:rsidR="004C48BD" w:rsidTr="00AC107C">
        <w:trPr>
          <w:cnfStyle w:val="000000010000" w:firstRow="0" w:lastRow="0" w:firstColumn="0" w:lastColumn="0" w:oddVBand="0" w:evenVBand="0" w:oddHBand="0" w:evenHBand="1" w:firstRowFirstColumn="0" w:firstRowLastColumn="0" w:lastRowFirstColumn="0" w:lastRowLastColumn="0"/>
        </w:trPr>
        <w:tc>
          <w:tcPr>
            <w:tcW w:w="1809" w:type="dxa"/>
          </w:tcPr>
          <w:p w:rsidR="004C48BD" w:rsidRPr="004C48BD" w:rsidRDefault="004C48BD" w:rsidP="004C48BD">
            <w:r>
              <w:t>Unmetered</w:t>
            </w:r>
          </w:p>
        </w:tc>
        <w:tc>
          <w:tcPr>
            <w:tcW w:w="6884" w:type="dxa"/>
          </w:tcPr>
          <w:p w:rsidR="004C48BD" w:rsidRPr="004C48BD" w:rsidRDefault="004C48BD" w:rsidP="004C48BD">
            <w:r>
              <w:t>Tariff class is for unmetered connections, other than streetlights. This is a relatively homogenous group of customers.</w:t>
            </w:r>
          </w:p>
        </w:tc>
      </w:tr>
      <w:tr w:rsidR="004C48BD" w:rsidTr="00AC107C">
        <w:tc>
          <w:tcPr>
            <w:tcW w:w="1809" w:type="dxa"/>
          </w:tcPr>
          <w:p w:rsidR="004C48BD" w:rsidRPr="004C48BD" w:rsidRDefault="004C48BD" w:rsidP="004C48BD">
            <w:r>
              <w:t>Streetlights</w:t>
            </w:r>
          </w:p>
        </w:tc>
        <w:tc>
          <w:tcPr>
            <w:tcW w:w="6884" w:type="dxa"/>
          </w:tcPr>
          <w:p w:rsidR="004C48BD" w:rsidRPr="004C48BD" w:rsidRDefault="004C48BD" w:rsidP="004C48BD">
            <w:r>
              <w:t>Tariff class is for customers that have a public lighting service (other than installation and replacement lamps). This is relatively homogenous group of customers.</w:t>
            </w:r>
          </w:p>
        </w:tc>
      </w:tr>
      <w:tr w:rsidR="004C48BD" w:rsidTr="00AC107C">
        <w:trPr>
          <w:cnfStyle w:val="000000010000" w:firstRow="0" w:lastRow="0" w:firstColumn="0" w:lastColumn="0" w:oddVBand="0" w:evenVBand="0" w:oddHBand="0" w:evenHBand="1" w:firstRowFirstColumn="0" w:firstRowLastColumn="0" w:lastRowFirstColumn="0" w:lastRowLastColumn="0"/>
        </w:trPr>
        <w:tc>
          <w:tcPr>
            <w:tcW w:w="1809" w:type="dxa"/>
          </w:tcPr>
          <w:p w:rsidR="004C48BD" w:rsidRPr="004C48BD" w:rsidRDefault="004C48BD" w:rsidP="004C48BD">
            <w:r>
              <w:t>Individual tariff calculation</w:t>
            </w:r>
          </w:p>
        </w:tc>
        <w:tc>
          <w:tcPr>
            <w:tcW w:w="6884" w:type="dxa"/>
          </w:tcPr>
          <w:p w:rsidR="004C48BD" w:rsidRPr="004C48BD" w:rsidRDefault="004C48BD" w:rsidP="004C48BD">
            <w:r>
              <w:t>Tariff class is for very large customers for which tariffs are calculated on an individual basis.</w:t>
            </w:r>
          </w:p>
        </w:tc>
      </w:tr>
      <w:tr w:rsidR="004C48BD" w:rsidTr="00AC107C">
        <w:tc>
          <w:tcPr>
            <w:tcW w:w="1809" w:type="dxa"/>
          </w:tcPr>
          <w:p w:rsidR="004C48BD" w:rsidRPr="004C48BD" w:rsidRDefault="004C48BD" w:rsidP="004C48BD">
            <w:r>
              <w:t>Embedded generators</w:t>
            </w:r>
          </w:p>
        </w:tc>
        <w:tc>
          <w:tcPr>
            <w:tcW w:w="6884" w:type="dxa"/>
          </w:tcPr>
          <w:p w:rsidR="004C48BD" w:rsidRPr="004C48BD" w:rsidRDefault="004C48BD" w:rsidP="004C48BD">
            <w:r>
              <w:t xml:space="preserve">Tariff class </w:t>
            </w:r>
            <w:r w:rsidRPr="004C48BD">
              <w:t>is for the recording of energy imported into the distribution network, and applies to customers with embedded generation. While there are specific tariffs within this tariff class, TasNetworks do</w:t>
            </w:r>
            <w:r w:rsidR="006554DC">
              <w:t>es</w:t>
            </w:r>
            <w:r w:rsidRPr="004C48BD">
              <w:t xml:space="preserve"> not apply charges for these network tariffs.</w:t>
            </w:r>
          </w:p>
        </w:tc>
      </w:tr>
    </w:tbl>
    <w:p w:rsidR="004C48BD" w:rsidRPr="004C48BD" w:rsidRDefault="004C48BD" w:rsidP="004C48BD">
      <w:pPr>
        <w:pStyle w:val="AERtablesource"/>
      </w:pPr>
      <w:r w:rsidRPr="004C48BD">
        <w:t>Source:</w:t>
      </w:r>
      <w:r w:rsidRPr="004C48BD">
        <w:tab/>
        <w:t xml:space="preserve">TasNetworks, </w:t>
      </w:r>
      <w:r w:rsidRPr="00030AAA">
        <w:rPr>
          <w:rStyle w:val="AERtextitalic"/>
        </w:rPr>
        <w:t>Tariff structure statement</w:t>
      </w:r>
      <w:r w:rsidR="00F505A6" w:rsidRPr="00030AAA">
        <w:rPr>
          <w:rStyle w:val="AERtextitalic"/>
        </w:rPr>
        <w:t>: Formal statement</w:t>
      </w:r>
      <w:r w:rsidR="00F505A6">
        <w:t>, December</w:t>
      </w:r>
      <w:r w:rsidRPr="004C48BD">
        <w:t> 2016, pp. </w:t>
      </w:r>
      <w:r w:rsidR="00F505A6">
        <w:t>13</w:t>
      </w:r>
      <w:r w:rsidRPr="004C48BD">
        <w:t>–</w:t>
      </w:r>
      <w:r w:rsidR="00F505A6">
        <w:t>1</w:t>
      </w:r>
      <w:r w:rsidRPr="004C48BD">
        <w:t>5.</w:t>
      </w:r>
    </w:p>
    <w:p w:rsidR="004C48BD" w:rsidRDefault="004A0CB0" w:rsidP="004A0CB0">
      <w:pPr>
        <w:pStyle w:val="HeadingBoldBlue"/>
      </w:pPr>
      <w:r>
        <w:t>Standalone and avoidable costs</w:t>
      </w:r>
    </w:p>
    <w:p w:rsidR="00B01F5F" w:rsidRDefault="00B01F5F" w:rsidP="00B01F5F">
      <w:r>
        <w:t xml:space="preserve">In setting tariffs, TasNetworks must comply with the distribution pricing principles, which includes </w:t>
      </w:r>
      <w:r w:rsidR="001B6AA6">
        <w:t>removing</w:t>
      </w:r>
      <w:r>
        <w:t xml:space="preserve"> cross subsidies between tariff classes. For each tariff class, expected revenue to be recovered from customers </w:t>
      </w:r>
      <w:r w:rsidR="00A25BE0">
        <w:t xml:space="preserve">should </w:t>
      </w:r>
      <w:r>
        <w:t>be between the standalone cost of serving those customers and the avoidable cost of not serving those customers.</w:t>
      </w:r>
      <w:r>
        <w:rPr>
          <w:rStyle w:val="FootnoteReference"/>
        </w:rPr>
        <w:footnoteReference w:id="55"/>
      </w:r>
      <w:r>
        <w:t xml:space="preserve"> This</w:t>
      </w:r>
      <w:r w:rsidR="006554DC">
        <w:t xml:space="preserve"> constraint</w:t>
      </w:r>
      <w:r>
        <w:t xml:space="preserve"> prevents large cross subsidies between tariff classes, such as</w:t>
      </w:r>
      <w:r w:rsidR="00AE6582">
        <w:t xml:space="preserve"> between</w:t>
      </w:r>
      <w:r>
        <w:t xml:space="preserve"> residential and business customers.</w:t>
      </w:r>
    </w:p>
    <w:p w:rsidR="00B01F5F" w:rsidRDefault="00B01F5F" w:rsidP="00B01F5F">
      <w:r>
        <w:t>The standalone cost for a tariff class is the cost of supplying only the tariff class concerned, with all other tariff classes not being supplied</w:t>
      </w:r>
      <w:r w:rsidR="00AE6582">
        <w:t xml:space="preserve"> at all</w:t>
      </w:r>
      <w:r>
        <w:t>. If customers were to pay above the standalone cost, then it would be economically beneficial for customers to switch to an alternative provider. It would also be economically feasible for an alternative service provider to operate. This creates the possibility of inefficient bypass of the existing infrastructure.</w:t>
      </w:r>
    </w:p>
    <w:p w:rsidR="00B01F5F" w:rsidRDefault="00B01F5F" w:rsidP="00B01F5F">
      <w:r>
        <w:t>The avoidable cost for a tariff class is the reduction in network cost that would take place if the tariff class</w:t>
      </w:r>
      <w:r w:rsidR="00AE6582">
        <w:t xml:space="preserve"> in question</w:t>
      </w:r>
      <w:r>
        <w:t xml:space="preserve"> were not supplied (whilst all other tariff classes </w:t>
      </w:r>
      <w:r>
        <w:lastRenderedPageBreak/>
        <w:t xml:space="preserve">remained supplied). If customers were to be charged below the avoidable cost, it would be economically beneficial for the </w:t>
      </w:r>
      <w:r w:rsidR="00D81773">
        <w:t xml:space="preserve">distributor </w:t>
      </w:r>
      <w:r>
        <w:t>to stop supplying the customers as the associated costs would exceed the revenue obtained.</w:t>
      </w:r>
    </w:p>
    <w:p w:rsidR="00B01F5F" w:rsidRDefault="002207A1" w:rsidP="003A1462">
      <w:r>
        <w:t xml:space="preserve">TasNetworks' provided estimates of the avoidable and standalone costs </w:t>
      </w:r>
      <w:r w:rsidR="00E9387B">
        <w:t>for all of its tariff classes and explained its approach to estimating these costs.</w:t>
      </w:r>
      <w:r w:rsidR="00E9387B">
        <w:rPr>
          <w:rStyle w:val="FootnoteReference"/>
        </w:rPr>
        <w:footnoteReference w:id="56"/>
      </w:r>
      <w:r>
        <w:t xml:space="preserve"> </w:t>
      </w:r>
      <w:r w:rsidR="00AB6769">
        <w:t xml:space="preserve">TasNetworks' approach is consistent to that </w:t>
      </w:r>
      <w:r w:rsidR="009F71A7">
        <w:t>applied previously.</w:t>
      </w:r>
    </w:p>
    <w:p w:rsidR="00E50C3D" w:rsidRDefault="00887888" w:rsidP="003A1462">
      <w:r>
        <w:fldChar w:fldCharType="begin"/>
      </w:r>
      <w:r>
        <w:instrText xml:space="preserve"> REF _Ref477776277 \h </w:instrText>
      </w:r>
      <w:r>
        <w:fldChar w:fldCharType="separate"/>
      </w:r>
      <w:r w:rsidR="00F52FCD">
        <w:t xml:space="preserve">Table </w:t>
      </w:r>
      <w:r w:rsidR="00F52FCD">
        <w:rPr>
          <w:noProof/>
        </w:rPr>
        <w:t>19</w:t>
      </w:r>
      <w:r w:rsidR="00F52FCD">
        <w:t>.</w:t>
      </w:r>
      <w:r w:rsidR="00F52FCD">
        <w:rPr>
          <w:noProof/>
        </w:rPr>
        <w:t>4</w:t>
      </w:r>
      <w:r>
        <w:fldChar w:fldCharType="end"/>
      </w:r>
      <w:r>
        <w:t xml:space="preserve"> compares </w:t>
      </w:r>
      <w:r w:rsidR="00792CB4">
        <w:t xml:space="preserve">TasNetworks' </w:t>
      </w:r>
      <w:r w:rsidR="006554DC">
        <w:t xml:space="preserve">expected revenue </w:t>
      </w:r>
      <w:r w:rsidR="00792CB4">
        <w:t>estimates for 2017–</w:t>
      </w:r>
      <w:r>
        <w:t xml:space="preserve">18 </w:t>
      </w:r>
      <w:r w:rsidR="006554DC">
        <w:t>for each tariff class against</w:t>
      </w:r>
      <w:r>
        <w:t xml:space="preserve"> the avoidable and standalone costs of supply. </w:t>
      </w:r>
      <w:r w:rsidR="009F71A7">
        <w:t xml:space="preserve">As the expected revenue for each tariff class lies within the lower bound of the avoidable cost and the upper bound of the standalone cost, TasNetworks has complied with </w:t>
      </w:r>
      <w:r w:rsidR="00E50C3D">
        <w:t>the NER.</w:t>
      </w:r>
      <w:r w:rsidR="00E50C3D">
        <w:rPr>
          <w:rStyle w:val="FootnoteReference"/>
        </w:rPr>
        <w:footnoteReference w:id="57"/>
      </w:r>
    </w:p>
    <w:p w:rsidR="004A0CB0" w:rsidRDefault="00A5782B" w:rsidP="00A5782B">
      <w:pPr>
        <w:pStyle w:val="Caption"/>
      </w:pPr>
      <w:bookmarkStart w:id="82" w:name="_Ref477776277"/>
      <w:r>
        <w:t xml:space="preserve">Table </w:t>
      </w:r>
      <w:fldSimple w:instr=" STYLEREF 1 \s ">
        <w:r w:rsidR="00F52FCD">
          <w:rPr>
            <w:noProof/>
          </w:rPr>
          <w:t>19</w:t>
        </w:r>
      </w:fldSimple>
      <w:r w:rsidR="00E914FF">
        <w:t>.</w:t>
      </w:r>
      <w:fldSimple w:instr=" SEQ Table \* ARABIC \s 1 ">
        <w:r w:rsidR="00F52FCD">
          <w:rPr>
            <w:noProof/>
          </w:rPr>
          <w:t>4</w:t>
        </w:r>
      </w:fldSimple>
      <w:bookmarkEnd w:id="82"/>
      <w:r>
        <w:tab/>
        <w:t>Avoid</w:t>
      </w:r>
      <w:r w:rsidR="00436AB8">
        <w:t>able and standalone costs, 2017–</w:t>
      </w:r>
      <w:r>
        <w:t>18 ($, million)</w:t>
      </w:r>
    </w:p>
    <w:tbl>
      <w:tblPr>
        <w:tblStyle w:val="AERtable-numbers"/>
        <w:tblW w:w="0" w:type="auto"/>
        <w:tblLook w:val="04A0" w:firstRow="1" w:lastRow="0" w:firstColumn="1" w:lastColumn="0" w:noHBand="0" w:noVBand="1"/>
      </w:tblPr>
      <w:tblGrid>
        <w:gridCol w:w="2173"/>
        <w:gridCol w:w="2173"/>
        <w:gridCol w:w="2173"/>
        <w:gridCol w:w="2174"/>
      </w:tblGrid>
      <w:tr w:rsidR="00DB025F" w:rsidTr="00DB0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B025F" w:rsidRDefault="00DB025F" w:rsidP="003A1462">
            <w:r>
              <w:t>Tariff class</w:t>
            </w:r>
          </w:p>
        </w:tc>
        <w:tc>
          <w:tcPr>
            <w:tcW w:w="2173" w:type="dxa"/>
          </w:tcPr>
          <w:p w:rsidR="00DB025F" w:rsidRDefault="00DB025F" w:rsidP="00A5782B">
            <w:pPr>
              <w:cnfStyle w:val="100000000000" w:firstRow="1" w:lastRow="0" w:firstColumn="0" w:lastColumn="0" w:oddVBand="0" w:evenVBand="0" w:oddHBand="0" w:evenHBand="0" w:firstRowFirstColumn="0" w:firstRowLastColumn="0" w:lastRowFirstColumn="0" w:lastRowLastColumn="0"/>
            </w:pPr>
            <w:r>
              <w:t>Avoidable cost</w:t>
            </w:r>
          </w:p>
        </w:tc>
        <w:tc>
          <w:tcPr>
            <w:tcW w:w="2173" w:type="dxa"/>
          </w:tcPr>
          <w:p w:rsidR="00DB025F" w:rsidRDefault="00DB025F" w:rsidP="00AB6769">
            <w:pPr>
              <w:cnfStyle w:val="100000000000" w:firstRow="1" w:lastRow="0" w:firstColumn="0" w:lastColumn="0" w:oddVBand="0" w:evenVBand="0" w:oddHBand="0" w:evenHBand="0" w:firstRowFirstColumn="0" w:firstRowLastColumn="0" w:lastRowFirstColumn="0" w:lastRowLastColumn="0"/>
            </w:pPr>
            <w:r>
              <w:t>Expected revenue</w:t>
            </w:r>
          </w:p>
        </w:tc>
        <w:tc>
          <w:tcPr>
            <w:tcW w:w="2174" w:type="dxa"/>
          </w:tcPr>
          <w:p w:rsidR="00DB025F" w:rsidRDefault="00DB025F" w:rsidP="003A1462">
            <w:pPr>
              <w:cnfStyle w:val="100000000000" w:firstRow="1" w:lastRow="0" w:firstColumn="0" w:lastColumn="0" w:oddVBand="0" w:evenVBand="0" w:oddHBand="0" w:evenHBand="0" w:firstRowFirstColumn="0" w:firstRowLastColumn="0" w:lastRowFirstColumn="0" w:lastRowLastColumn="0"/>
            </w:pPr>
            <w:r>
              <w:t>Standalone costs</w:t>
            </w:r>
          </w:p>
        </w:tc>
      </w:tr>
      <w:tr w:rsidR="00DB025F" w:rsidTr="00AB6769">
        <w:tc>
          <w:tcPr>
            <w:cnfStyle w:val="001000000000" w:firstRow="0" w:lastRow="0" w:firstColumn="1" w:lastColumn="0" w:oddVBand="0" w:evenVBand="0" w:oddHBand="0" w:evenHBand="0" w:firstRowFirstColumn="0" w:firstRowLastColumn="0" w:lastRowFirstColumn="0" w:lastRowLastColumn="0"/>
            <w:tcW w:w="2173" w:type="dxa"/>
            <w:vAlign w:val="top"/>
          </w:tcPr>
          <w:p w:rsidR="00DB025F" w:rsidRPr="00DB025F" w:rsidRDefault="00DB025F" w:rsidP="00AB6769">
            <w:r w:rsidRPr="00DB025F">
              <w:t>Residential</w:t>
            </w:r>
          </w:p>
        </w:tc>
        <w:tc>
          <w:tcPr>
            <w:tcW w:w="2173" w:type="dxa"/>
            <w:vAlign w:val="top"/>
          </w:tcPr>
          <w:p w:rsidR="00DB025F" w:rsidRPr="00DB025F" w:rsidRDefault="00DB025F" w:rsidP="00AB6769">
            <w:pPr>
              <w:cnfStyle w:val="000000000000" w:firstRow="0" w:lastRow="0" w:firstColumn="0" w:lastColumn="0" w:oddVBand="0" w:evenVBand="0" w:oddHBand="0" w:evenHBand="0" w:firstRowFirstColumn="0" w:firstRowLastColumn="0" w:lastRowFirstColumn="0" w:lastRowLastColumn="0"/>
            </w:pPr>
            <w:r w:rsidRPr="00DB025F">
              <w:t>7.</w:t>
            </w:r>
            <w:r w:rsidR="00257E1C">
              <w:t>6</w:t>
            </w:r>
          </w:p>
        </w:tc>
        <w:tc>
          <w:tcPr>
            <w:tcW w:w="2173" w:type="dxa"/>
            <w:vAlign w:val="top"/>
          </w:tcPr>
          <w:p w:rsidR="00DB025F" w:rsidRPr="00DB025F" w:rsidRDefault="00257E1C" w:rsidP="00AB6769">
            <w:pPr>
              <w:cnfStyle w:val="000000000000" w:firstRow="0" w:lastRow="0" w:firstColumn="0" w:lastColumn="0" w:oddVBand="0" w:evenVBand="0" w:oddHBand="0" w:evenHBand="0" w:firstRowFirstColumn="0" w:firstRowLastColumn="0" w:lastRowFirstColumn="0" w:lastRowLastColumn="0"/>
            </w:pPr>
            <w:r>
              <w:t>102.3</w:t>
            </w:r>
          </w:p>
        </w:tc>
        <w:tc>
          <w:tcPr>
            <w:tcW w:w="2174" w:type="dxa"/>
            <w:vAlign w:val="top"/>
          </w:tcPr>
          <w:p w:rsidR="00DB025F" w:rsidRPr="00DB025F" w:rsidRDefault="00DB025F" w:rsidP="00AB6769">
            <w:pPr>
              <w:cnfStyle w:val="000000000000" w:firstRow="0" w:lastRow="0" w:firstColumn="0" w:lastColumn="0" w:oddVBand="0" w:evenVBand="0" w:oddHBand="0" w:evenHBand="0" w:firstRowFirstColumn="0" w:firstRowLastColumn="0" w:lastRowFirstColumn="0" w:lastRowLastColumn="0"/>
            </w:pPr>
            <w:r w:rsidRPr="00DB025F">
              <w:t>318.4</w:t>
            </w:r>
          </w:p>
        </w:tc>
      </w:tr>
      <w:tr w:rsidR="00DB025F" w:rsidTr="00DB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Controlled energy</w:t>
            </w:r>
          </w:p>
        </w:tc>
        <w:tc>
          <w:tcPr>
            <w:tcW w:w="2173" w:type="dxa"/>
          </w:tcPr>
          <w:p w:rsidR="00DB025F" w:rsidRDefault="00A5782B" w:rsidP="00DB025F">
            <w:pPr>
              <w:cnfStyle w:val="000000010000" w:firstRow="0" w:lastRow="0" w:firstColumn="0" w:lastColumn="0" w:oddVBand="0" w:evenVBand="0" w:oddHBand="0" w:evenHBand="1" w:firstRowFirstColumn="0" w:firstRowLastColumn="0" w:lastRowFirstColumn="0" w:lastRowLastColumn="0"/>
            </w:pPr>
            <w:r>
              <w:t>0</w:t>
            </w:r>
          </w:p>
        </w:tc>
        <w:tc>
          <w:tcPr>
            <w:tcW w:w="2173" w:type="dxa"/>
          </w:tcPr>
          <w:p w:rsidR="00DB025F" w:rsidRDefault="00A5782B" w:rsidP="00DB025F">
            <w:pPr>
              <w:cnfStyle w:val="000000010000" w:firstRow="0" w:lastRow="0" w:firstColumn="0" w:lastColumn="0" w:oddVBand="0" w:evenVBand="0" w:oddHBand="0" w:evenHBand="1" w:firstRowFirstColumn="0" w:firstRowLastColumn="0" w:lastRowFirstColumn="0" w:lastRowLastColumn="0"/>
            </w:pPr>
            <w:r>
              <w:t>1.5</w:t>
            </w:r>
          </w:p>
        </w:tc>
        <w:tc>
          <w:tcPr>
            <w:tcW w:w="2174" w:type="dxa"/>
          </w:tcPr>
          <w:p w:rsidR="00DB025F" w:rsidRDefault="00A5782B" w:rsidP="00DB025F">
            <w:pPr>
              <w:cnfStyle w:val="000000010000" w:firstRow="0" w:lastRow="0" w:firstColumn="0" w:lastColumn="0" w:oddVBand="0" w:evenVBand="0" w:oddHBand="0" w:evenHBand="1" w:firstRowFirstColumn="0" w:firstRowLastColumn="0" w:lastRowFirstColumn="0" w:lastRowLastColumn="0"/>
            </w:pPr>
            <w:r>
              <w:t>312.4</w:t>
            </w:r>
          </w:p>
        </w:tc>
      </w:tr>
      <w:tr w:rsidR="00DB025F" w:rsidTr="00DB025F">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Uncontrolled energy</w:t>
            </w:r>
          </w:p>
        </w:tc>
        <w:tc>
          <w:tcPr>
            <w:tcW w:w="2173"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0</w:t>
            </w:r>
          </w:p>
        </w:tc>
        <w:tc>
          <w:tcPr>
            <w:tcW w:w="2173"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3</w:t>
            </w:r>
            <w:r w:rsidR="00257E1C">
              <w:t>2.9</w:t>
            </w:r>
          </w:p>
        </w:tc>
        <w:tc>
          <w:tcPr>
            <w:tcW w:w="2174"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312.4</w:t>
            </w:r>
          </w:p>
        </w:tc>
      </w:tr>
      <w:tr w:rsidR="00DB025F" w:rsidTr="00DB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Small low voltage</w:t>
            </w:r>
          </w:p>
        </w:tc>
        <w:tc>
          <w:tcPr>
            <w:tcW w:w="2173"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2.1</w:t>
            </w:r>
          </w:p>
        </w:tc>
        <w:tc>
          <w:tcPr>
            <w:tcW w:w="2173"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5</w:t>
            </w:r>
            <w:r w:rsidR="00257E1C">
              <w:t>5</w:t>
            </w:r>
            <w:r>
              <w:t>.3</w:t>
            </w:r>
          </w:p>
        </w:tc>
        <w:tc>
          <w:tcPr>
            <w:tcW w:w="2174" w:type="dxa"/>
          </w:tcPr>
          <w:p w:rsidR="00DB025F" w:rsidRDefault="00DB025F" w:rsidP="00257E1C">
            <w:pPr>
              <w:cnfStyle w:val="000000010000" w:firstRow="0" w:lastRow="0" w:firstColumn="0" w:lastColumn="0" w:oddVBand="0" w:evenVBand="0" w:oddHBand="0" w:evenHBand="1" w:firstRowFirstColumn="0" w:firstRowLastColumn="0" w:lastRowFirstColumn="0" w:lastRowLastColumn="0"/>
            </w:pPr>
            <w:r>
              <w:t>31</w:t>
            </w:r>
            <w:r w:rsidR="00257E1C">
              <w:t>3.3</w:t>
            </w:r>
          </w:p>
        </w:tc>
      </w:tr>
      <w:tr w:rsidR="00DB025F" w:rsidTr="00DB025F">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Irrigation</w:t>
            </w:r>
          </w:p>
        </w:tc>
        <w:tc>
          <w:tcPr>
            <w:tcW w:w="2173" w:type="dxa"/>
          </w:tcPr>
          <w:p w:rsidR="00DB025F" w:rsidRDefault="00DB025F" w:rsidP="00DB025F">
            <w:pPr>
              <w:cnfStyle w:val="000000000000" w:firstRow="0" w:lastRow="0" w:firstColumn="0" w:lastColumn="0" w:oddVBand="0" w:evenVBand="0" w:oddHBand="0" w:evenHBand="0" w:firstRowFirstColumn="0" w:firstRowLastColumn="0" w:lastRowFirstColumn="0" w:lastRowLastColumn="0"/>
            </w:pPr>
            <w:r>
              <w:t>0.4</w:t>
            </w:r>
          </w:p>
        </w:tc>
        <w:tc>
          <w:tcPr>
            <w:tcW w:w="2173" w:type="dxa"/>
          </w:tcPr>
          <w:p w:rsidR="00DB025F" w:rsidRDefault="00DB025F" w:rsidP="00DB025F">
            <w:pPr>
              <w:cnfStyle w:val="000000000000" w:firstRow="0" w:lastRow="0" w:firstColumn="0" w:lastColumn="0" w:oddVBand="0" w:evenVBand="0" w:oddHBand="0" w:evenHBand="0" w:firstRowFirstColumn="0" w:firstRowLastColumn="0" w:lastRowFirstColumn="0" w:lastRowLastColumn="0"/>
            </w:pPr>
            <w:r>
              <w:t>4.8</w:t>
            </w:r>
          </w:p>
        </w:tc>
        <w:tc>
          <w:tcPr>
            <w:tcW w:w="2174" w:type="dxa"/>
          </w:tcPr>
          <w:p w:rsidR="00DB025F" w:rsidRDefault="00DB025F" w:rsidP="00DB025F">
            <w:pPr>
              <w:cnfStyle w:val="000000000000" w:firstRow="0" w:lastRow="0" w:firstColumn="0" w:lastColumn="0" w:oddVBand="0" w:evenVBand="0" w:oddHBand="0" w:evenHBand="0" w:firstRowFirstColumn="0" w:firstRowLastColumn="0" w:lastRowFirstColumn="0" w:lastRowLastColumn="0"/>
            </w:pPr>
            <w:r>
              <w:t>312.7</w:t>
            </w:r>
          </w:p>
        </w:tc>
      </w:tr>
      <w:tr w:rsidR="00DB025F" w:rsidTr="00DB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Large low voltage</w:t>
            </w:r>
          </w:p>
        </w:tc>
        <w:tc>
          <w:tcPr>
            <w:tcW w:w="2173"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2.1</w:t>
            </w:r>
          </w:p>
        </w:tc>
        <w:tc>
          <w:tcPr>
            <w:tcW w:w="2173"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18.9</w:t>
            </w:r>
          </w:p>
        </w:tc>
        <w:tc>
          <w:tcPr>
            <w:tcW w:w="2174"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314.4</w:t>
            </w:r>
          </w:p>
        </w:tc>
      </w:tr>
      <w:tr w:rsidR="00DB025F" w:rsidTr="00DB025F">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High v</w:t>
            </w:r>
            <w:r w:rsidRPr="00DB025F">
              <w:t>oltage</w:t>
            </w:r>
          </w:p>
        </w:tc>
        <w:tc>
          <w:tcPr>
            <w:tcW w:w="2173" w:type="dxa"/>
          </w:tcPr>
          <w:p w:rsidR="00DB025F" w:rsidRDefault="00DB025F" w:rsidP="00DB025F">
            <w:pPr>
              <w:cnfStyle w:val="000000000000" w:firstRow="0" w:lastRow="0" w:firstColumn="0" w:lastColumn="0" w:oddVBand="0" w:evenVBand="0" w:oddHBand="0" w:evenHBand="0" w:firstRowFirstColumn="0" w:firstRowLastColumn="0" w:lastRowFirstColumn="0" w:lastRowLastColumn="0"/>
            </w:pPr>
            <w:r>
              <w:t>1.3</w:t>
            </w:r>
          </w:p>
        </w:tc>
        <w:tc>
          <w:tcPr>
            <w:tcW w:w="2173" w:type="dxa"/>
          </w:tcPr>
          <w:p w:rsidR="00DB025F" w:rsidRDefault="00DB025F" w:rsidP="00257E1C">
            <w:pPr>
              <w:cnfStyle w:val="000000000000" w:firstRow="0" w:lastRow="0" w:firstColumn="0" w:lastColumn="0" w:oddVBand="0" w:evenVBand="0" w:oddHBand="0" w:evenHBand="0" w:firstRowFirstColumn="0" w:firstRowLastColumn="0" w:lastRowFirstColumn="0" w:lastRowLastColumn="0"/>
            </w:pPr>
            <w:r>
              <w:t>6.</w:t>
            </w:r>
            <w:r w:rsidR="00257E1C">
              <w:t>4</w:t>
            </w:r>
          </w:p>
        </w:tc>
        <w:tc>
          <w:tcPr>
            <w:tcW w:w="2174" w:type="dxa"/>
          </w:tcPr>
          <w:p w:rsidR="00DB025F" w:rsidRDefault="00DB025F" w:rsidP="00DB025F">
            <w:pPr>
              <w:cnfStyle w:val="000000000000" w:firstRow="0" w:lastRow="0" w:firstColumn="0" w:lastColumn="0" w:oddVBand="0" w:evenVBand="0" w:oddHBand="0" w:evenHBand="0" w:firstRowFirstColumn="0" w:firstRowLastColumn="0" w:lastRowFirstColumn="0" w:lastRowLastColumn="0"/>
            </w:pPr>
            <w:r>
              <w:t>313.6</w:t>
            </w:r>
          </w:p>
        </w:tc>
      </w:tr>
      <w:tr w:rsidR="00DB025F" w:rsidTr="00DB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Unmetered</w:t>
            </w:r>
          </w:p>
        </w:tc>
        <w:tc>
          <w:tcPr>
            <w:tcW w:w="2173" w:type="dxa"/>
          </w:tcPr>
          <w:p w:rsidR="00DB025F" w:rsidRDefault="00A5782B" w:rsidP="00DB025F">
            <w:pPr>
              <w:cnfStyle w:val="000000010000" w:firstRow="0" w:lastRow="0" w:firstColumn="0" w:lastColumn="0" w:oddVBand="0" w:evenVBand="0" w:oddHBand="0" w:evenHBand="1" w:firstRowFirstColumn="0" w:firstRowLastColumn="0" w:lastRowFirstColumn="0" w:lastRowLastColumn="0"/>
            </w:pPr>
            <w:r>
              <w:t>0</w:t>
            </w:r>
          </w:p>
        </w:tc>
        <w:tc>
          <w:tcPr>
            <w:tcW w:w="2173" w:type="dxa"/>
          </w:tcPr>
          <w:p w:rsidR="00DB025F" w:rsidRDefault="00A5782B" w:rsidP="00DB025F">
            <w:pPr>
              <w:cnfStyle w:val="000000010000" w:firstRow="0" w:lastRow="0" w:firstColumn="0" w:lastColumn="0" w:oddVBand="0" w:evenVBand="0" w:oddHBand="0" w:evenHBand="1" w:firstRowFirstColumn="0" w:firstRowLastColumn="0" w:lastRowFirstColumn="0" w:lastRowLastColumn="0"/>
            </w:pPr>
            <w:r>
              <w:t>0.8</w:t>
            </w:r>
          </w:p>
        </w:tc>
        <w:tc>
          <w:tcPr>
            <w:tcW w:w="2174" w:type="dxa"/>
          </w:tcPr>
          <w:p w:rsidR="00DB025F" w:rsidRDefault="00A5782B" w:rsidP="00DB025F">
            <w:pPr>
              <w:cnfStyle w:val="000000010000" w:firstRow="0" w:lastRow="0" w:firstColumn="0" w:lastColumn="0" w:oddVBand="0" w:evenVBand="0" w:oddHBand="0" w:evenHBand="1" w:firstRowFirstColumn="0" w:firstRowLastColumn="0" w:lastRowFirstColumn="0" w:lastRowLastColumn="0"/>
            </w:pPr>
            <w:r>
              <w:t>312.4</w:t>
            </w:r>
          </w:p>
        </w:tc>
      </w:tr>
      <w:tr w:rsidR="00DB025F" w:rsidTr="00DB025F">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Streetlights</w:t>
            </w:r>
          </w:p>
        </w:tc>
        <w:tc>
          <w:tcPr>
            <w:tcW w:w="2173"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0.1</w:t>
            </w:r>
          </w:p>
        </w:tc>
        <w:tc>
          <w:tcPr>
            <w:tcW w:w="2173"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1.8</w:t>
            </w:r>
          </w:p>
        </w:tc>
        <w:tc>
          <w:tcPr>
            <w:tcW w:w="2174"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312.4</w:t>
            </w:r>
          </w:p>
        </w:tc>
      </w:tr>
      <w:tr w:rsidR="00DB025F" w:rsidTr="00DB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Individual tariff calculation</w:t>
            </w:r>
          </w:p>
        </w:tc>
        <w:tc>
          <w:tcPr>
            <w:tcW w:w="2173"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0.1</w:t>
            </w:r>
          </w:p>
        </w:tc>
        <w:tc>
          <w:tcPr>
            <w:tcW w:w="2173" w:type="dxa"/>
          </w:tcPr>
          <w:p w:rsidR="00DB025F" w:rsidRDefault="00DB025F" w:rsidP="00257E1C">
            <w:pPr>
              <w:cnfStyle w:val="000000010000" w:firstRow="0" w:lastRow="0" w:firstColumn="0" w:lastColumn="0" w:oddVBand="0" w:evenVBand="0" w:oddHBand="0" w:evenHBand="1" w:firstRowFirstColumn="0" w:firstRowLastColumn="0" w:lastRowFirstColumn="0" w:lastRowLastColumn="0"/>
            </w:pPr>
            <w:r>
              <w:t>1.</w:t>
            </w:r>
            <w:r w:rsidR="00257E1C">
              <w:t>2</w:t>
            </w:r>
          </w:p>
        </w:tc>
        <w:tc>
          <w:tcPr>
            <w:tcW w:w="2174" w:type="dxa"/>
          </w:tcPr>
          <w:p w:rsidR="00DB025F" w:rsidRDefault="00DB025F" w:rsidP="00DB025F">
            <w:pPr>
              <w:cnfStyle w:val="000000010000" w:firstRow="0" w:lastRow="0" w:firstColumn="0" w:lastColumn="0" w:oddVBand="0" w:evenVBand="0" w:oddHBand="0" w:evenHBand="1" w:firstRowFirstColumn="0" w:firstRowLastColumn="0" w:lastRowFirstColumn="0" w:lastRowLastColumn="0"/>
            </w:pPr>
            <w:r>
              <w:t>312.5</w:t>
            </w:r>
          </w:p>
        </w:tc>
      </w:tr>
      <w:tr w:rsidR="00DB025F" w:rsidTr="00DB025F">
        <w:tc>
          <w:tcPr>
            <w:cnfStyle w:val="001000000000" w:firstRow="0" w:lastRow="0" w:firstColumn="1" w:lastColumn="0" w:oddVBand="0" w:evenVBand="0" w:oddHBand="0" w:evenHBand="0" w:firstRowFirstColumn="0" w:firstRowLastColumn="0" w:lastRowFirstColumn="0" w:lastRowLastColumn="0"/>
            <w:tcW w:w="2173" w:type="dxa"/>
          </w:tcPr>
          <w:p w:rsidR="00DB025F" w:rsidRPr="00DB025F" w:rsidRDefault="00DB025F" w:rsidP="00DB025F">
            <w:r>
              <w:t>Embedded generators</w:t>
            </w:r>
            <w:r w:rsidR="00A5782B" w:rsidRPr="00A5782B">
              <w:rPr>
                <w:rStyle w:val="AERsuperscript"/>
              </w:rPr>
              <w:t>1</w:t>
            </w:r>
          </w:p>
        </w:tc>
        <w:tc>
          <w:tcPr>
            <w:tcW w:w="2173"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n.a.</w:t>
            </w:r>
          </w:p>
        </w:tc>
        <w:tc>
          <w:tcPr>
            <w:tcW w:w="2173"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n.a.</w:t>
            </w:r>
          </w:p>
        </w:tc>
        <w:tc>
          <w:tcPr>
            <w:tcW w:w="2174" w:type="dxa"/>
          </w:tcPr>
          <w:p w:rsidR="00DB025F" w:rsidRDefault="00A5782B" w:rsidP="00DB025F">
            <w:pPr>
              <w:cnfStyle w:val="000000000000" w:firstRow="0" w:lastRow="0" w:firstColumn="0" w:lastColumn="0" w:oddVBand="0" w:evenVBand="0" w:oddHBand="0" w:evenHBand="0" w:firstRowFirstColumn="0" w:firstRowLastColumn="0" w:lastRowFirstColumn="0" w:lastRowLastColumn="0"/>
            </w:pPr>
            <w:r>
              <w:t>n.a.</w:t>
            </w:r>
          </w:p>
        </w:tc>
      </w:tr>
    </w:tbl>
    <w:p w:rsidR="004A0CB0" w:rsidRDefault="00A5782B" w:rsidP="00A5782B">
      <w:pPr>
        <w:pStyle w:val="AERtablesource"/>
      </w:pPr>
      <w:r>
        <w:t>Source:</w:t>
      </w:r>
      <w:r>
        <w:tab/>
      </w:r>
      <w:r w:rsidRPr="004C48BD">
        <w:t xml:space="preserve">TasNetworks, </w:t>
      </w:r>
      <w:r w:rsidRPr="00030AAA">
        <w:rPr>
          <w:rStyle w:val="AERtextitalic"/>
        </w:rPr>
        <w:t xml:space="preserve">Tariff structure statement: </w:t>
      </w:r>
      <w:r>
        <w:rPr>
          <w:rStyle w:val="AERtextitalic"/>
        </w:rPr>
        <w:t>Background and explanation</w:t>
      </w:r>
      <w:r w:rsidR="00257E1C">
        <w:rPr>
          <w:rStyle w:val="AERtextitalic"/>
        </w:rPr>
        <w:t>: Amended clean</w:t>
      </w:r>
      <w:r>
        <w:t xml:space="preserve">, </w:t>
      </w:r>
      <w:r w:rsidR="00257E1C">
        <w:t>29 March 2017</w:t>
      </w:r>
      <w:r w:rsidRPr="004C48BD">
        <w:t>, p.</w:t>
      </w:r>
      <w:r>
        <w:t> 77</w:t>
      </w:r>
      <w:r w:rsidRPr="004C48BD">
        <w:t>.</w:t>
      </w:r>
    </w:p>
    <w:p w:rsidR="00A5782B" w:rsidRDefault="00A5782B" w:rsidP="00A5782B">
      <w:pPr>
        <w:pStyle w:val="AERtablesource"/>
      </w:pPr>
      <w:r>
        <w:tab/>
        <w:t>1.) TasNetworks do</w:t>
      </w:r>
      <w:r w:rsidR="00AB6769">
        <w:t>es</w:t>
      </w:r>
      <w:r>
        <w:t xml:space="preserve"> not apply a charge for this network tariff class.</w:t>
      </w:r>
    </w:p>
    <w:p w:rsidR="00257E1C" w:rsidRPr="00257E1C" w:rsidRDefault="00257E1C" w:rsidP="00257E1C">
      <w:pPr>
        <w:pStyle w:val="AERtablesource"/>
      </w:pPr>
      <w:r>
        <w:t>Note:</w:t>
      </w:r>
      <w:r>
        <w:tab/>
        <w:t>When responding to our information request, TasNetworks uncovered errors in table 15 of its revised tariff structure statement</w:t>
      </w:r>
      <w:r w:rsidR="00637BF8">
        <w:t xml:space="preserve"> and provided amendments</w:t>
      </w:r>
      <w:r>
        <w:t xml:space="preserve"> (see TasNetworks, </w:t>
      </w:r>
      <w:r w:rsidRPr="00637BF8">
        <w:rPr>
          <w:rStyle w:val="AERtextitalic"/>
        </w:rPr>
        <w:t>Response to questions raised by the AER: Request ID: IR#022</w:t>
      </w:r>
      <w:r>
        <w:t>,</w:t>
      </w:r>
      <w:r w:rsidR="00637BF8">
        <w:t xml:space="preserve"> 29 March 2017,</w:t>
      </w:r>
      <w:r>
        <w:t xml:space="preserve"> p. 5). </w:t>
      </w:r>
      <w:r w:rsidR="00637BF8">
        <w:fldChar w:fldCharType="begin"/>
      </w:r>
      <w:r w:rsidR="00637BF8">
        <w:instrText xml:space="preserve"> REF _Ref477776277 \h </w:instrText>
      </w:r>
      <w:r w:rsidR="00637BF8">
        <w:fldChar w:fldCharType="separate"/>
      </w:r>
      <w:r w:rsidR="00F52FCD">
        <w:t xml:space="preserve">Table </w:t>
      </w:r>
      <w:r w:rsidR="00F52FCD">
        <w:rPr>
          <w:noProof/>
        </w:rPr>
        <w:t>19</w:t>
      </w:r>
      <w:r w:rsidR="00F52FCD">
        <w:t>.</w:t>
      </w:r>
      <w:r w:rsidR="00F52FCD">
        <w:rPr>
          <w:noProof/>
        </w:rPr>
        <w:t>4</w:t>
      </w:r>
      <w:r w:rsidR="00637BF8">
        <w:fldChar w:fldCharType="end"/>
      </w:r>
      <w:r w:rsidR="00637BF8">
        <w:t xml:space="preserve"> incorporates these changes.</w:t>
      </w:r>
    </w:p>
    <w:p w:rsidR="004C48BD" w:rsidRDefault="00951506" w:rsidP="00951506">
      <w:pPr>
        <w:pStyle w:val="Heading3"/>
      </w:pPr>
      <w:bookmarkStart w:id="83" w:name="_Ref479093136"/>
      <w:bookmarkStart w:id="84" w:name="_Ref479093142"/>
      <w:bookmarkStart w:id="85" w:name="_Toc481061352"/>
      <w:r>
        <w:t>Residential customer tariffs</w:t>
      </w:r>
      <w:bookmarkEnd w:id="83"/>
      <w:bookmarkEnd w:id="84"/>
      <w:bookmarkEnd w:id="85"/>
    </w:p>
    <w:p w:rsidR="00266576" w:rsidRDefault="00266576" w:rsidP="00266576">
      <w:r>
        <w:t xml:space="preserve">We </w:t>
      </w:r>
      <w:r w:rsidR="00AC107C">
        <w:t>approve TasNetworks' proposed five residential customer tariffs</w:t>
      </w:r>
      <w:r w:rsidR="001D786A" w:rsidRPr="001D786A">
        <w:t xml:space="preserve"> </w:t>
      </w:r>
      <w:r w:rsidR="00FE636E">
        <w:t>for</w:t>
      </w:r>
      <w:r w:rsidR="001D786A" w:rsidRPr="001B5D22">
        <w:t xml:space="preserve"> the 2017–19 regulatory control period</w:t>
      </w:r>
      <w:r w:rsidR="00BA4E37">
        <w:t xml:space="preserve"> because</w:t>
      </w:r>
      <w:r>
        <w:t xml:space="preserve"> </w:t>
      </w:r>
      <w:r w:rsidR="00BA4E37" w:rsidRPr="00BA4E37">
        <w:t xml:space="preserve">we are satisfied they contribute to the achievement </w:t>
      </w:r>
      <w:r w:rsidR="00BA4E37" w:rsidRPr="00BA4E37">
        <w:lastRenderedPageBreak/>
        <w:t>of compliance with the distribution pricing principles.</w:t>
      </w:r>
      <w:r w:rsidR="00BA4E37">
        <w:t xml:space="preserve"> </w:t>
      </w:r>
      <w:r>
        <w:t>We approved the same tariffs</w:t>
      </w:r>
      <w:r w:rsidRPr="00266576">
        <w:t xml:space="preserve"> </w:t>
      </w:r>
      <w:r>
        <w:t>in our draft decision.</w:t>
      </w:r>
      <w:r>
        <w:rPr>
          <w:rStyle w:val="FootnoteReference"/>
        </w:rPr>
        <w:footnoteReference w:id="58"/>
      </w:r>
    </w:p>
    <w:p w:rsidR="005C39FF" w:rsidRDefault="005C39FF" w:rsidP="005C39FF">
      <w:r>
        <w:t>Four of the</w:t>
      </w:r>
      <w:r w:rsidR="00681B9C">
        <w:t xml:space="preserve"> </w:t>
      </w:r>
      <w:r>
        <w:t>residential</w:t>
      </w:r>
      <w:r w:rsidR="00BA4E37">
        <w:t xml:space="preserve"> customer</w:t>
      </w:r>
      <w:r w:rsidRPr="001B5D22">
        <w:t xml:space="preserve"> tariffs are currently available and </w:t>
      </w:r>
      <w:r>
        <w:t>will</w:t>
      </w:r>
      <w:r w:rsidRPr="001B5D22">
        <w:t xml:space="preserve"> continue in their current design. TasNetworks </w:t>
      </w:r>
      <w:r>
        <w:t>will also</w:t>
      </w:r>
      <w:r w:rsidRPr="001B5D22">
        <w:t xml:space="preserve"> introduce a new time of use demand tariff </w:t>
      </w:r>
      <w:r w:rsidR="00266576">
        <w:t xml:space="preserve">which will be </w:t>
      </w:r>
      <w:r w:rsidRPr="001B5D22">
        <w:t>available to customers on an opt</w:t>
      </w:r>
      <w:r w:rsidR="006B0498">
        <w:noBreakHyphen/>
      </w:r>
      <w:r w:rsidRPr="001B5D22">
        <w:t>in basis. The design of the demand tariff will be new to TasNetworks' residential customers</w:t>
      </w:r>
      <w:r w:rsidR="00751CF6">
        <w:t xml:space="preserve"> because this network tariff has never previously been offered</w:t>
      </w:r>
      <w:r w:rsidRPr="001B5D22">
        <w:t>.</w:t>
      </w:r>
    </w:p>
    <w:p w:rsidR="00F53E9A" w:rsidRDefault="00580C9F" w:rsidP="00922935">
      <w:r>
        <w:t>TasNetworks' stated</w:t>
      </w:r>
      <w:r w:rsidR="00F251F5">
        <w:t xml:space="preserve"> that its current consumption based tariffs are no longer fit for purpose</w:t>
      </w:r>
      <w:r w:rsidR="00751CF6">
        <w:t xml:space="preserve"> because</w:t>
      </w:r>
      <w:r w:rsidR="00F251F5">
        <w:t xml:space="preserve"> as they do not reflect the cost drivers of its business.</w:t>
      </w:r>
      <w:r w:rsidR="00F251F5">
        <w:rPr>
          <w:rStyle w:val="FootnoteReference"/>
        </w:rPr>
        <w:footnoteReference w:id="59"/>
      </w:r>
      <w:r w:rsidR="00F251F5">
        <w:t xml:space="preserve"> Rather that time of use demand based tariffs better reflect the costs of providing</w:t>
      </w:r>
      <w:r w:rsidR="00681B9C">
        <w:t xml:space="preserve"> its</w:t>
      </w:r>
      <w:r w:rsidR="00F251F5">
        <w:t xml:space="preserve"> network services and drivers of those costs.</w:t>
      </w:r>
      <w:r w:rsidR="00751CF6">
        <w:rPr>
          <w:rStyle w:val="FootnoteReference"/>
        </w:rPr>
        <w:footnoteReference w:id="60"/>
      </w:r>
      <w:r w:rsidRPr="00580C9F">
        <w:t xml:space="preserve"> </w:t>
      </w:r>
      <w:r>
        <w:t xml:space="preserve">TasNetworks' consideration is that all residential and business customers will transition to a time of use demand based tariff in </w:t>
      </w:r>
      <w:r w:rsidR="00751CF6">
        <w:t>the future</w:t>
      </w:r>
      <w:r>
        <w:t>.</w:t>
      </w:r>
      <w:r>
        <w:rPr>
          <w:rStyle w:val="FootnoteReference"/>
        </w:rPr>
        <w:footnoteReference w:id="61"/>
      </w:r>
    </w:p>
    <w:p w:rsidR="00A67B1B" w:rsidRDefault="00580C9F" w:rsidP="00681B9C">
      <w:r>
        <w:t xml:space="preserve">However, </w:t>
      </w:r>
      <w:r w:rsidR="009A073E">
        <w:t>TasNetworks' propos</w:t>
      </w:r>
      <w:r>
        <w:t>ed</w:t>
      </w:r>
      <w:r w:rsidR="00681B9C">
        <w:t xml:space="preserve"> to continue with the</w:t>
      </w:r>
      <w:r w:rsidR="00F53E9A">
        <w:t xml:space="preserve"> consumption based tariffs</w:t>
      </w:r>
      <w:r w:rsidR="004C4785">
        <w:t xml:space="preserve"> </w:t>
      </w:r>
      <w:r w:rsidR="001E0291">
        <w:t>over</w:t>
      </w:r>
      <w:r w:rsidR="00F53E9A">
        <w:t xml:space="preserve"> the </w:t>
      </w:r>
      <w:r w:rsidR="004C4785">
        <w:t>2017–19 regulatory control period to allow</w:t>
      </w:r>
      <w:r w:rsidR="009A073E">
        <w:t xml:space="preserve"> customers time to</w:t>
      </w:r>
      <w:r w:rsidR="00F53E9A">
        <w:t xml:space="preserve"> understand and accept the new</w:t>
      </w:r>
      <w:r w:rsidR="009A073E">
        <w:t xml:space="preserve"> demand</w:t>
      </w:r>
      <w:r w:rsidR="00F53E9A">
        <w:t xml:space="preserve"> tariff.</w:t>
      </w:r>
      <w:r w:rsidR="00F53E9A">
        <w:rPr>
          <w:rStyle w:val="FootnoteReference"/>
        </w:rPr>
        <w:footnoteReference w:id="62"/>
      </w:r>
    </w:p>
    <w:p w:rsidR="00EB44A7" w:rsidRDefault="00681B9C" w:rsidP="00681B9C">
      <w:r>
        <w:t>We consider this approach appropriate</w:t>
      </w:r>
      <w:r w:rsidR="000F77BA">
        <w:t xml:space="preserve"> in the short term</w:t>
      </w:r>
      <w:r>
        <w:t xml:space="preserve"> </w:t>
      </w:r>
      <w:r w:rsidR="00EB44A7">
        <w:t>as the</w:t>
      </w:r>
      <w:r w:rsidR="005D45DF">
        <w:t xml:space="preserve"> demand tariff</w:t>
      </w:r>
      <w:r w:rsidR="00EB44A7">
        <w:t xml:space="preserve"> represent</w:t>
      </w:r>
      <w:r w:rsidR="005D45DF">
        <w:t>s</w:t>
      </w:r>
      <w:r w:rsidR="00EB44A7">
        <w:t xml:space="preserve"> a significant change for residential customers</w:t>
      </w:r>
      <w:r w:rsidR="00886370">
        <w:t xml:space="preserve">. </w:t>
      </w:r>
      <w:r w:rsidR="004242E9">
        <w:t xml:space="preserve">We also consider this approach appropriate because residential customers will be able to transition to </w:t>
      </w:r>
      <w:r w:rsidR="00EB44A7" w:rsidRPr="00EB44A7">
        <w:t xml:space="preserve">the demand tariff </w:t>
      </w:r>
      <w:r w:rsidR="004242E9">
        <w:t>if they want to</w:t>
      </w:r>
      <w:r w:rsidR="00EB44A7">
        <w:t>.</w:t>
      </w:r>
      <w:r w:rsidR="000F77BA">
        <w:t xml:space="preserve"> </w:t>
      </w:r>
    </w:p>
    <w:p w:rsidR="004C4785" w:rsidRDefault="004C4785" w:rsidP="00922935">
      <w:r>
        <w:t>TasNetworks'</w:t>
      </w:r>
      <w:r w:rsidR="00141CFB">
        <w:t xml:space="preserve"> also noted it</w:t>
      </w:r>
      <w:r>
        <w:t xml:space="preserve"> will undertake a tariff trial </w:t>
      </w:r>
      <w:r w:rsidR="00110A79">
        <w:t>to better understand the impacts of</w:t>
      </w:r>
      <w:r w:rsidR="006554DC">
        <w:t xml:space="preserve"> the new</w:t>
      </w:r>
      <w:r w:rsidR="00110A79">
        <w:t xml:space="preserve"> demand tariffs.</w:t>
      </w:r>
      <w:r w:rsidR="00110A79">
        <w:rPr>
          <w:rStyle w:val="FootnoteReference"/>
        </w:rPr>
        <w:footnoteReference w:id="63"/>
      </w:r>
      <w:r w:rsidR="00110A79">
        <w:t xml:space="preserve"> This information will help TasNetworks understand how customers respond to </w:t>
      </w:r>
      <w:r w:rsidR="00681B9C">
        <w:t xml:space="preserve">the demand tariffs in terms of electricity use and impacts on their total bills. </w:t>
      </w:r>
      <w:r w:rsidR="009C7B02">
        <w:t>It</w:t>
      </w:r>
      <w:r w:rsidR="000F77BA">
        <w:t xml:space="preserve"> will</w:t>
      </w:r>
      <w:r w:rsidR="009C7B02">
        <w:t xml:space="preserve"> also</w:t>
      </w:r>
      <w:r w:rsidR="000F77BA">
        <w:t xml:space="preserve"> </w:t>
      </w:r>
      <w:r w:rsidR="005D45DF">
        <w:t>assist TasNetworks</w:t>
      </w:r>
      <w:r w:rsidR="003A4D81">
        <w:t xml:space="preserve"> with</w:t>
      </w:r>
      <w:r w:rsidR="005D45DF">
        <w:t xml:space="preserve"> tariff design and </w:t>
      </w:r>
      <w:r w:rsidR="003A4D81">
        <w:t xml:space="preserve">communication of </w:t>
      </w:r>
      <w:r w:rsidR="00523BFB">
        <w:t xml:space="preserve">tariff impacts with </w:t>
      </w:r>
      <w:r w:rsidR="005D45DF">
        <w:t>customer</w:t>
      </w:r>
      <w:r w:rsidR="00523BFB">
        <w:t xml:space="preserve">s. We </w:t>
      </w:r>
      <w:r w:rsidR="00914AE9">
        <w:t>anticipate</w:t>
      </w:r>
      <w:r w:rsidR="00523BFB">
        <w:t xml:space="preserve"> TasN</w:t>
      </w:r>
      <w:r w:rsidR="006554DC">
        <w:t>etworks</w:t>
      </w:r>
      <w:r w:rsidR="00914AE9">
        <w:t xml:space="preserve"> will</w:t>
      </w:r>
      <w:r w:rsidR="006554DC">
        <w:t xml:space="preserve"> provide</w:t>
      </w:r>
      <w:r w:rsidR="00914AE9">
        <w:t xml:space="preserve"> outline</w:t>
      </w:r>
      <w:r w:rsidR="006554DC">
        <w:t xml:space="preserve"> </w:t>
      </w:r>
      <w:r w:rsidR="00914AE9">
        <w:t xml:space="preserve">the </w:t>
      </w:r>
      <w:r w:rsidR="006554DC">
        <w:t>findings of its</w:t>
      </w:r>
      <w:r w:rsidR="00523BFB">
        <w:t xml:space="preserve"> tariff trial </w:t>
      </w:r>
      <w:r w:rsidR="005D45DF">
        <w:t>in its next tariff structure statement.</w:t>
      </w:r>
    </w:p>
    <w:p w:rsidR="00B61C42" w:rsidRDefault="00816627" w:rsidP="009F20D9">
      <w:pPr>
        <w:pStyle w:val="Heading4"/>
      </w:pPr>
      <w:bookmarkStart w:id="86" w:name="_Ref479094290"/>
      <w:r>
        <w:t>Tariff design</w:t>
      </w:r>
      <w:bookmarkEnd w:id="86"/>
    </w:p>
    <w:p w:rsidR="00523BFB" w:rsidRDefault="00523BFB" w:rsidP="00523BFB">
      <w:r>
        <w:t>We</w:t>
      </w:r>
      <w:r w:rsidRPr="00910295">
        <w:t xml:space="preserve"> consider </w:t>
      </w:r>
      <w:r>
        <w:t xml:space="preserve">the tariff design of </w:t>
      </w:r>
      <w:r w:rsidRPr="00910295">
        <w:t>TasNetworks' proposed tariff</w:t>
      </w:r>
      <w:r w:rsidR="004C4622">
        <w:t>s</w:t>
      </w:r>
      <w:r w:rsidRPr="00910295">
        <w:t xml:space="preserve"> </w:t>
      </w:r>
      <w:r>
        <w:t xml:space="preserve">contributes to the achievement of compliance with </w:t>
      </w:r>
      <w:r w:rsidRPr="00910295">
        <w:t xml:space="preserve">the distribution pricing principles. </w:t>
      </w:r>
      <w:r>
        <w:t xml:space="preserve">TasNetworks' continuing </w:t>
      </w:r>
      <w:r w:rsidR="00914AE9">
        <w:t xml:space="preserve">(legacy) </w:t>
      </w:r>
      <w:r>
        <w:t xml:space="preserve">tariffs will maintain their current designs which are largely flat </w:t>
      </w:r>
      <w:r w:rsidR="00741723">
        <w:t>consumption</w:t>
      </w:r>
      <w:r>
        <w:t xml:space="preserve"> or time of </w:t>
      </w:r>
      <w:r w:rsidR="00741723">
        <w:t>use consumption</w:t>
      </w:r>
      <w:r>
        <w:t xml:space="preserve"> tariffs. The </w:t>
      </w:r>
      <w:r w:rsidR="00AD52B0">
        <w:t xml:space="preserve">design of </w:t>
      </w:r>
      <w:r>
        <w:t xml:space="preserve">new time of use demand </w:t>
      </w:r>
      <w:r>
        <w:lastRenderedPageBreak/>
        <w:t xml:space="preserve">tariff will comprise of a fixed charge and two demand charges (for peak and off-peak periods). </w:t>
      </w:r>
      <w:r w:rsidRPr="00910295">
        <w:t>While</w:t>
      </w:r>
      <w:r>
        <w:t xml:space="preserve"> </w:t>
      </w:r>
      <w:r w:rsidRPr="00910295">
        <w:t>some continuing tariffs will not be cost reflective</w:t>
      </w:r>
      <w:r>
        <w:t xml:space="preserve"> in the short term</w:t>
      </w:r>
      <w:r w:rsidRPr="00910295">
        <w:t>, we consider</w:t>
      </w:r>
      <w:r>
        <w:t xml:space="preserve"> the</w:t>
      </w:r>
      <w:r w:rsidRPr="00910295">
        <w:t xml:space="preserve"> </w:t>
      </w:r>
      <w:r>
        <w:t>overall</w:t>
      </w:r>
      <w:r w:rsidRPr="00910295">
        <w:t xml:space="preserve"> suite of tariffs represent a positive movement along</w:t>
      </w:r>
      <w:r w:rsidR="00364006">
        <w:t xml:space="preserve"> the cost reflectivity spectrum for the 2017–19 regulatory control period.</w:t>
      </w:r>
      <w:r w:rsidR="00D85F52">
        <w:t xml:space="preserve"> W</w:t>
      </w:r>
      <w:r w:rsidR="00D85F52" w:rsidRPr="00910295">
        <w:t xml:space="preserve">e expect </w:t>
      </w:r>
      <w:r w:rsidR="00914AE9">
        <w:t xml:space="preserve">that </w:t>
      </w:r>
      <w:r w:rsidR="00D85F52" w:rsidRPr="00910295">
        <w:t>TasNetworks</w:t>
      </w:r>
      <w:r w:rsidR="00914AE9">
        <w:t xml:space="preserve"> will undertake measures</w:t>
      </w:r>
      <w:r w:rsidR="00D85F52" w:rsidRPr="00910295">
        <w:t xml:space="preserve"> to move further along the cost reflectivity spectrum in its </w:t>
      </w:r>
      <w:r w:rsidR="00D85F52">
        <w:t>2019–24</w:t>
      </w:r>
      <w:r w:rsidR="00D85F52" w:rsidRPr="00910295">
        <w:t xml:space="preserve"> tariff structure statement.</w:t>
      </w:r>
    </w:p>
    <w:p w:rsidR="001D786A" w:rsidRDefault="001D786A" w:rsidP="001D786A">
      <w:pPr>
        <w:pStyle w:val="HeadingBoldItalic"/>
      </w:pPr>
      <w:r>
        <w:t>Continuing residential tariffs</w:t>
      </w:r>
    </w:p>
    <w:p w:rsidR="00844A31" w:rsidRDefault="00844A31" w:rsidP="005C39FF">
      <w:r>
        <w:t xml:space="preserve">We approve TasNetworks' continuing residential tariffs </w:t>
      </w:r>
      <w:r w:rsidR="00523BFB">
        <w:t>in their current design</w:t>
      </w:r>
      <w:r w:rsidR="00496DED">
        <w:t xml:space="preserve"> as set out in </w:t>
      </w:r>
      <w:r w:rsidR="00496DED">
        <w:fldChar w:fldCharType="begin"/>
      </w:r>
      <w:r w:rsidR="00496DED">
        <w:instrText xml:space="preserve"> REF  _Ref477522473 \* Lower \h </w:instrText>
      </w:r>
      <w:r w:rsidR="00496DED">
        <w:fldChar w:fldCharType="separate"/>
      </w:r>
      <w:r w:rsidR="00F52FCD">
        <w:t xml:space="preserve">table </w:t>
      </w:r>
      <w:r w:rsidR="00F52FCD">
        <w:rPr>
          <w:noProof/>
        </w:rPr>
        <w:t>19</w:t>
      </w:r>
      <w:r w:rsidR="00F52FCD">
        <w:t>.</w:t>
      </w:r>
      <w:r w:rsidR="00F52FCD">
        <w:rPr>
          <w:noProof/>
        </w:rPr>
        <w:t>5</w:t>
      </w:r>
      <w:r w:rsidR="00496DED">
        <w:fldChar w:fldCharType="end"/>
      </w:r>
      <w:r>
        <w:t>:</w:t>
      </w:r>
    </w:p>
    <w:p w:rsidR="00844A31" w:rsidRDefault="00844A31" w:rsidP="00844A31">
      <w:pPr>
        <w:pStyle w:val="AERbulletlistfirststyle"/>
      </w:pPr>
      <w:r>
        <w:t>a default</w:t>
      </w:r>
      <w:r w:rsidR="005C39FF">
        <w:t xml:space="preserve"> 'flat' </w:t>
      </w:r>
      <w:r w:rsidR="00741723">
        <w:t>consumption</w:t>
      </w:r>
      <w:r w:rsidR="005C39FF">
        <w:t xml:space="preserve"> tariff </w:t>
      </w:r>
      <w:r>
        <w:t>comprising</w:t>
      </w:r>
      <w:r w:rsidR="005C39FF" w:rsidRPr="009D18C9">
        <w:t xml:space="preserve"> a</w:t>
      </w:r>
      <w:r w:rsidR="005C39FF">
        <w:t xml:space="preserve"> </w:t>
      </w:r>
      <w:r w:rsidR="005C39FF" w:rsidRPr="009D18C9">
        <w:t xml:space="preserve">fixed </w:t>
      </w:r>
      <w:r w:rsidR="005C39FF">
        <w:t xml:space="preserve">service </w:t>
      </w:r>
      <w:r w:rsidR="005C39FF" w:rsidRPr="009D18C9">
        <w:t>charge</w:t>
      </w:r>
      <w:r w:rsidR="005C39FF">
        <w:t xml:space="preserve"> (fixed charge) and a</w:t>
      </w:r>
      <w:r w:rsidR="005C39FF" w:rsidRPr="009D18C9">
        <w:t xml:space="preserve"> </w:t>
      </w:r>
      <w:r w:rsidR="00741723">
        <w:t>consumption</w:t>
      </w:r>
      <w:r w:rsidR="005C39FF" w:rsidRPr="009D18C9">
        <w:t xml:space="preserve"> charge</w:t>
      </w:r>
      <w:r w:rsidR="005C39FF">
        <w:t xml:space="preserve"> that does not vary in different time periods or with how much electricity is consumed</w:t>
      </w:r>
      <w:r w:rsidR="00914AE9">
        <w:t>.</w:t>
      </w:r>
    </w:p>
    <w:p w:rsidR="00844A31" w:rsidRDefault="00844A31" w:rsidP="00844A31">
      <w:pPr>
        <w:pStyle w:val="AERbulletlistfirststyle"/>
      </w:pPr>
      <w:r>
        <w:t>a</w:t>
      </w:r>
      <w:r w:rsidR="00741723">
        <w:t xml:space="preserve"> similarly structured flat consumption</w:t>
      </w:r>
      <w:r>
        <w:t xml:space="preserve"> tariff</w:t>
      </w:r>
      <w:r w:rsidR="00741723">
        <w:t xml:space="preserve"> is</w:t>
      </w:r>
      <w:r>
        <w:t xml:space="preserve"> available to customers with a prepayment metering product.</w:t>
      </w:r>
      <w:r>
        <w:rPr>
          <w:rStyle w:val="FootnoteReference"/>
        </w:rPr>
        <w:footnoteReference w:id="64"/>
      </w:r>
      <w:r>
        <w:t xml:space="preserve"> </w:t>
      </w:r>
      <w:r w:rsidR="00914AE9">
        <w:t>However, t</w:t>
      </w:r>
      <w:r>
        <w:t>his tariff is not available to new customers.</w:t>
      </w:r>
      <w:r>
        <w:rPr>
          <w:rStyle w:val="FootnoteReference"/>
        </w:rPr>
        <w:footnoteReference w:id="65"/>
      </w:r>
    </w:p>
    <w:p w:rsidR="005C39FF" w:rsidRDefault="00844A31" w:rsidP="00844A31">
      <w:pPr>
        <w:pStyle w:val="AERbulletlistfirststyle"/>
      </w:pPr>
      <w:r w:rsidRPr="00844A31">
        <w:t>an opt</w:t>
      </w:r>
      <w:r w:rsidR="006B0498">
        <w:noBreakHyphen/>
      </w:r>
      <w:r w:rsidRPr="00844A31">
        <w:t xml:space="preserve">in time of use consumption tariff comprising a fixed charge and variable </w:t>
      </w:r>
      <w:r w:rsidR="00741723">
        <w:t>consumption</w:t>
      </w:r>
      <w:r w:rsidRPr="00844A31">
        <w:t xml:space="preserve"> charges for different periods of the day—peak and off pea</w:t>
      </w:r>
      <w:r>
        <w:t>k</w:t>
      </w:r>
      <w:r w:rsidR="00BB754D">
        <w:t>. P</w:t>
      </w:r>
      <w:r w:rsidR="00BB754D" w:rsidRPr="00BB754D">
        <w:t>eak charges occur from 7am to 10am and 4pm to 9pm weekdays. All other times, inclu</w:t>
      </w:r>
      <w:r w:rsidR="00BB754D">
        <w:t>ding weekends, will be off peak</w:t>
      </w:r>
      <w:r w:rsidR="00914AE9">
        <w:t>.</w:t>
      </w:r>
    </w:p>
    <w:p w:rsidR="00844A31" w:rsidRDefault="00844A31" w:rsidP="00844A31">
      <w:pPr>
        <w:pStyle w:val="AERbulletlistfirststyle"/>
      </w:pPr>
      <w:r w:rsidRPr="00844A31">
        <w:tab/>
        <w:t xml:space="preserve">a similarly structured </w:t>
      </w:r>
      <w:r>
        <w:t>time of use consumption</w:t>
      </w:r>
      <w:r w:rsidR="00914AE9">
        <w:t xml:space="preserve"> tariff </w:t>
      </w:r>
      <w:r w:rsidRPr="00844A31">
        <w:t>available to customers who have a prepayment metering product.</w:t>
      </w:r>
    </w:p>
    <w:p w:rsidR="00540FF5" w:rsidRPr="00540FF5" w:rsidRDefault="00540FF5" w:rsidP="00540FF5">
      <w:pPr>
        <w:pStyle w:val="Caption"/>
      </w:pPr>
      <w:bookmarkStart w:id="87" w:name="_Ref477522473"/>
      <w:r>
        <w:t xml:space="preserve">Table </w:t>
      </w:r>
      <w:fldSimple w:instr=" STYLEREF 1 \s ">
        <w:r w:rsidR="00F52FCD">
          <w:rPr>
            <w:noProof/>
          </w:rPr>
          <w:t>19</w:t>
        </w:r>
      </w:fldSimple>
      <w:r w:rsidR="00E914FF">
        <w:t>.</w:t>
      </w:r>
      <w:fldSimple w:instr=" SEQ Table \* ARABIC \s 1 ">
        <w:r w:rsidR="00F52FCD">
          <w:rPr>
            <w:noProof/>
          </w:rPr>
          <w:t>5</w:t>
        </w:r>
      </w:fldSimple>
      <w:bookmarkEnd w:id="87"/>
      <w:r>
        <w:tab/>
        <w:t>TasNetworks</w:t>
      </w:r>
      <w:r w:rsidR="00496DED">
        <w:t>'</w:t>
      </w:r>
      <w:r>
        <w:t xml:space="preserve"> continuing residential tariffs</w:t>
      </w:r>
    </w:p>
    <w:tbl>
      <w:tblPr>
        <w:tblStyle w:val="AERtable-text0"/>
        <w:tblW w:w="0" w:type="auto"/>
        <w:tblLook w:val="04A0" w:firstRow="1" w:lastRow="0" w:firstColumn="1" w:lastColumn="0" w:noHBand="0" w:noVBand="1"/>
      </w:tblPr>
      <w:tblGrid>
        <w:gridCol w:w="1448"/>
        <w:gridCol w:w="1449"/>
        <w:gridCol w:w="1449"/>
        <w:gridCol w:w="1449"/>
        <w:gridCol w:w="1449"/>
        <w:gridCol w:w="1449"/>
      </w:tblGrid>
      <w:tr w:rsidR="00540FF5" w:rsidTr="00540FF5">
        <w:trPr>
          <w:cnfStyle w:val="100000000000" w:firstRow="1" w:lastRow="0" w:firstColumn="0" w:lastColumn="0" w:oddVBand="0" w:evenVBand="0" w:oddHBand="0" w:evenHBand="0" w:firstRowFirstColumn="0" w:firstRowLastColumn="0" w:lastRowFirstColumn="0" w:lastRowLastColumn="0"/>
        </w:trPr>
        <w:tc>
          <w:tcPr>
            <w:tcW w:w="1448" w:type="dxa"/>
          </w:tcPr>
          <w:p w:rsidR="00540FF5" w:rsidRDefault="00540FF5" w:rsidP="005C39FF">
            <w:r>
              <w:t>Tariff</w:t>
            </w:r>
          </w:p>
        </w:tc>
        <w:tc>
          <w:tcPr>
            <w:tcW w:w="1449" w:type="dxa"/>
          </w:tcPr>
          <w:p w:rsidR="00540FF5" w:rsidRDefault="00540FF5" w:rsidP="005C39FF">
            <w:r>
              <w:t>Customer type</w:t>
            </w:r>
          </w:p>
        </w:tc>
        <w:tc>
          <w:tcPr>
            <w:tcW w:w="1449" w:type="dxa"/>
          </w:tcPr>
          <w:p w:rsidR="00540FF5" w:rsidRDefault="00540FF5" w:rsidP="005C39FF">
            <w:r>
              <w:t>Assignment</w:t>
            </w:r>
          </w:p>
        </w:tc>
        <w:tc>
          <w:tcPr>
            <w:tcW w:w="1449" w:type="dxa"/>
          </w:tcPr>
          <w:p w:rsidR="00540FF5" w:rsidRDefault="00540FF5" w:rsidP="005C39FF">
            <w:r>
              <w:t>Meter type</w:t>
            </w:r>
          </w:p>
        </w:tc>
        <w:tc>
          <w:tcPr>
            <w:tcW w:w="1449" w:type="dxa"/>
          </w:tcPr>
          <w:p w:rsidR="00540FF5" w:rsidRDefault="00540FF5" w:rsidP="005C39FF">
            <w:r>
              <w:t>Tariff structure</w:t>
            </w:r>
          </w:p>
        </w:tc>
        <w:tc>
          <w:tcPr>
            <w:tcW w:w="1449" w:type="dxa"/>
          </w:tcPr>
          <w:p w:rsidR="00540FF5" w:rsidRDefault="00540FF5" w:rsidP="005C39FF">
            <w:r>
              <w:t>Notes</w:t>
            </w:r>
          </w:p>
        </w:tc>
      </w:tr>
      <w:tr w:rsidR="00540FF5" w:rsidTr="00540FF5">
        <w:tc>
          <w:tcPr>
            <w:tcW w:w="1448" w:type="dxa"/>
          </w:tcPr>
          <w:p w:rsidR="00540FF5" w:rsidRPr="00540FF5" w:rsidRDefault="00540FF5" w:rsidP="00540FF5">
            <w:r>
              <w:t>Residential low voltage general</w:t>
            </w:r>
          </w:p>
        </w:tc>
        <w:tc>
          <w:tcPr>
            <w:tcW w:w="1449" w:type="dxa"/>
          </w:tcPr>
          <w:p w:rsidR="00540FF5" w:rsidRPr="00540FF5" w:rsidRDefault="00540FF5" w:rsidP="00540FF5">
            <w:r>
              <w:t>New/Existing</w:t>
            </w:r>
          </w:p>
        </w:tc>
        <w:tc>
          <w:tcPr>
            <w:tcW w:w="1449" w:type="dxa"/>
          </w:tcPr>
          <w:p w:rsidR="00540FF5" w:rsidRPr="00540FF5" w:rsidRDefault="00540FF5" w:rsidP="00540FF5">
            <w:r>
              <w:t>Default for new/existing customers</w:t>
            </w:r>
          </w:p>
        </w:tc>
        <w:tc>
          <w:tcPr>
            <w:tcW w:w="1449" w:type="dxa"/>
          </w:tcPr>
          <w:p w:rsidR="00540FF5" w:rsidRPr="00540FF5" w:rsidRDefault="00540FF5" w:rsidP="00540FF5">
            <w:r>
              <w:t>Type 6 is the minimum requirement</w:t>
            </w:r>
          </w:p>
        </w:tc>
        <w:tc>
          <w:tcPr>
            <w:tcW w:w="1449" w:type="dxa"/>
          </w:tcPr>
          <w:p w:rsidR="00540FF5" w:rsidRPr="00540FF5" w:rsidRDefault="00540FF5" w:rsidP="00540FF5">
            <w:r>
              <w:t>Fixed charge + flat usage</w:t>
            </w:r>
            <w:r w:rsidRPr="00540FF5">
              <w:t xml:space="preserve"> charge</w:t>
            </w:r>
          </w:p>
        </w:tc>
        <w:tc>
          <w:tcPr>
            <w:tcW w:w="1449" w:type="dxa"/>
          </w:tcPr>
          <w:p w:rsidR="00540FF5" w:rsidRDefault="00540FF5" w:rsidP="00540FF5"/>
        </w:tc>
      </w:tr>
      <w:tr w:rsidR="00540FF5" w:rsidTr="00540FF5">
        <w:trPr>
          <w:cnfStyle w:val="000000010000" w:firstRow="0" w:lastRow="0" w:firstColumn="0" w:lastColumn="0" w:oddVBand="0" w:evenVBand="0" w:oddHBand="0" w:evenHBand="1" w:firstRowFirstColumn="0" w:firstRowLastColumn="0" w:lastRowFirstColumn="0" w:lastRowLastColumn="0"/>
        </w:trPr>
        <w:tc>
          <w:tcPr>
            <w:tcW w:w="1448" w:type="dxa"/>
          </w:tcPr>
          <w:p w:rsidR="00540FF5" w:rsidRPr="00540FF5" w:rsidRDefault="00540FF5" w:rsidP="00540FF5">
            <w:r>
              <w:t>Residential low voltage PAYG</w:t>
            </w:r>
          </w:p>
        </w:tc>
        <w:tc>
          <w:tcPr>
            <w:tcW w:w="1449" w:type="dxa"/>
          </w:tcPr>
          <w:p w:rsidR="00540FF5" w:rsidRPr="00540FF5" w:rsidRDefault="00540FF5" w:rsidP="00540FF5">
            <w:r>
              <w:t>Existing</w:t>
            </w:r>
          </w:p>
        </w:tc>
        <w:tc>
          <w:tcPr>
            <w:tcW w:w="1449" w:type="dxa"/>
          </w:tcPr>
          <w:p w:rsidR="00540FF5" w:rsidRPr="00540FF5" w:rsidRDefault="00540FF5" w:rsidP="00540FF5">
            <w:r>
              <w:t xml:space="preserve">Closed to new customers </w:t>
            </w:r>
          </w:p>
        </w:tc>
        <w:tc>
          <w:tcPr>
            <w:tcW w:w="1449" w:type="dxa"/>
          </w:tcPr>
          <w:p w:rsidR="00540FF5" w:rsidRPr="00540FF5" w:rsidRDefault="00540FF5" w:rsidP="00540FF5">
            <w:r>
              <w:t>Prepayment meter</w:t>
            </w:r>
          </w:p>
        </w:tc>
        <w:tc>
          <w:tcPr>
            <w:tcW w:w="1449" w:type="dxa"/>
          </w:tcPr>
          <w:p w:rsidR="00540FF5" w:rsidRPr="00540FF5" w:rsidRDefault="00540FF5" w:rsidP="00540FF5">
            <w:r w:rsidRPr="00DE78EF">
              <w:t>Fixed charge + flat usage</w:t>
            </w:r>
            <w:r w:rsidRPr="00540FF5">
              <w:t xml:space="preserve"> charge</w:t>
            </w:r>
          </w:p>
        </w:tc>
        <w:tc>
          <w:tcPr>
            <w:tcW w:w="1449" w:type="dxa"/>
          </w:tcPr>
          <w:p w:rsidR="00540FF5" w:rsidRPr="00540FF5" w:rsidRDefault="00540FF5" w:rsidP="00540FF5">
            <w:r>
              <w:t>Customers must have a prepayment metering product installed prior to 1 July 2013.</w:t>
            </w:r>
          </w:p>
        </w:tc>
      </w:tr>
      <w:tr w:rsidR="00540FF5" w:rsidTr="00540FF5">
        <w:tc>
          <w:tcPr>
            <w:tcW w:w="1448" w:type="dxa"/>
          </w:tcPr>
          <w:p w:rsidR="00540FF5" w:rsidRPr="00540FF5" w:rsidRDefault="00540FF5" w:rsidP="00540FF5">
            <w:r>
              <w:t>Residential low voltage time of use</w:t>
            </w:r>
          </w:p>
        </w:tc>
        <w:tc>
          <w:tcPr>
            <w:tcW w:w="1449" w:type="dxa"/>
          </w:tcPr>
          <w:p w:rsidR="00540FF5" w:rsidRPr="00540FF5" w:rsidRDefault="00540FF5" w:rsidP="00540FF5">
            <w:r>
              <w:t>New/Existing</w:t>
            </w:r>
          </w:p>
        </w:tc>
        <w:tc>
          <w:tcPr>
            <w:tcW w:w="1449" w:type="dxa"/>
          </w:tcPr>
          <w:p w:rsidR="00540FF5" w:rsidRPr="00540FF5" w:rsidRDefault="00540FF5" w:rsidP="00540FF5">
            <w:r>
              <w:t>Optional for new/existing customers</w:t>
            </w:r>
          </w:p>
        </w:tc>
        <w:tc>
          <w:tcPr>
            <w:tcW w:w="1449" w:type="dxa"/>
          </w:tcPr>
          <w:p w:rsidR="00540FF5" w:rsidRPr="00540FF5" w:rsidRDefault="00540FF5" w:rsidP="00540FF5">
            <w:r w:rsidRPr="00DE78EF">
              <w:t>Type 6</w:t>
            </w:r>
            <w:r w:rsidRPr="00540FF5">
              <w:t xml:space="preserve"> capable of recording time of use data is the minimum requirement</w:t>
            </w:r>
          </w:p>
        </w:tc>
        <w:tc>
          <w:tcPr>
            <w:tcW w:w="1449" w:type="dxa"/>
          </w:tcPr>
          <w:p w:rsidR="00540FF5" w:rsidRPr="00540FF5" w:rsidRDefault="00540FF5" w:rsidP="00540FF5">
            <w:r>
              <w:t>Fixed charge + time of use charges</w:t>
            </w:r>
          </w:p>
        </w:tc>
        <w:tc>
          <w:tcPr>
            <w:tcW w:w="1449" w:type="dxa"/>
          </w:tcPr>
          <w:p w:rsidR="00540FF5" w:rsidRPr="00540FF5" w:rsidRDefault="00540FF5" w:rsidP="00540FF5">
            <w:r>
              <w:t>Peak = 7–10AM, 4–9PM weekdays</w:t>
            </w:r>
          </w:p>
          <w:p w:rsidR="00540FF5" w:rsidRPr="00540FF5" w:rsidRDefault="00540FF5" w:rsidP="00540FF5">
            <w:r>
              <w:t>Off peak = All other times</w:t>
            </w:r>
          </w:p>
        </w:tc>
      </w:tr>
      <w:tr w:rsidR="00540FF5" w:rsidTr="00540FF5">
        <w:trPr>
          <w:cnfStyle w:val="000000010000" w:firstRow="0" w:lastRow="0" w:firstColumn="0" w:lastColumn="0" w:oddVBand="0" w:evenVBand="0" w:oddHBand="0" w:evenHBand="1" w:firstRowFirstColumn="0" w:firstRowLastColumn="0" w:lastRowFirstColumn="0" w:lastRowLastColumn="0"/>
        </w:trPr>
        <w:tc>
          <w:tcPr>
            <w:tcW w:w="1448" w:type="dxa"/>
          </w:tcPr>
          <w:p w:rsidR="00540FF5" w:rsidRPr="00540FF5" w:rsidRDefault="00540FF5" w:rsidP="00540FF5">
            <w:r>
              <w:lastRenderedPageBreak/>
              <w:t>Residential low voltage PAYG time of use</w:t>
            </w:r>
          </w:p>
        </w:tc>
        <w:tc>
          <w:tcPr>
            <w:tcW w:w="1449" w:type="dxa"/>
          </w:tcPr>
          <w:p w:rsidR="00540FF5" w:rsidRPr="00540FF5" w:rsidRDefault="00540FF5" w:rsidP="00540FF5">
            <w:r>
              <w:t>New/Existing</w:t>
            </w:r>
          </w:p>
        </w:tc>
        <w:tc>
          <w:tcPr>
            <w:tcW w:w="1449" w:type="dxa"/>
          </w:tcPr>
          <w:p w:rsidR="00540FF5" w:rsidRPr="00540FF5" w:rsidRDefault="00540FF5" w:rsidP="00540FF5">
            <w:r>
              <w:t xml:space="preserve">Optional </w:t>
            </w:r>
          </w:p>
        </w:tc>
        <w:tc>
          <w:tcPr>
            <w:tcW w:w="1449" w:type="dxa"/>
          </w:tcPr>
          <w:p w:rsidR="00540FF5" w:rsidRPr="00540FF5" w:rsidRDefault="00540FF5" w:rsidP="00540FF5">
            <w:r w:rsidRPr="00DE78EF">
              <w:t>Type 6</w:t>
            </w:r>
            <w:r w:rsidRPr="00540FF5">
              <w:t xml:space="preserve"> capable of recording time of use data is the minimum requirement</w:t>
            </w:r>
          </w:p>
        </w:tc>
        <w:tc>
          <w:tcPr>
            <w:tcW w:w="1449" w:type="dxa"/>
          </w:tcPr>
          <w:p w:rsidR="00540FF5" w:rsidRPr="00540FF5" w:rsidRDefault="00540FF5" w:rsidP="00540FF5">
            <w:r>
              <w:t>Fixed charge + time of use charges</w:t>
            </w:r>
          </w:p>
        </w:tc>
        <w:tc>
          <w:tcPr>
            <w:tcW w:w="1449" w:type="dxa"/>
          </w:tcPr>
          <w:p w:rsidR="00540FF5" w:rsidRPr="00540FF5" w:rsidRDefault="00540FF5" w:rsidP="00540FF5">
            <w:r w:rsidRPr="00A41B17">
              <w:t>Peak = 7–10AM, 4–9PM weekdays</w:t>
            </w:r>
          </w:p>
          <w:p w:rsidR="00540FF5" w:rsidRPr="00540FF5" w:rsidRDefault="00540FF5" w:rsidP="00540FF5">
            <w:r w:rsidRPr="00A41B17">
              <w:t>Off peak = All other times</w:t>
            </w:r>
          </w:p>
        </w:tc>
      </w:tr>
    </w:tbl>
    <w:p w:rsidR="009E6B15" w:rsidRDefault="006554DC" w:rsidP="00C43B2B">
      <w:r>
        <w:t xml:space="preserve">As noted </w:t>
      </w:r>
      <w:r w:rsidR="00C43B2B">
        <w:t xml:space="preserve">TasNetworks' </w:t>
      </w:r>
      <w:r>
        <w:t>considered</w:t>
      </w:r>
      <w:r w:rsidR="00C43B2B">
        <w:t xml:space="preserve"> these consumption based tariffs are no longer fit for purpose as they do not reflect the cost drivers of its business.</w:t>
      </w:r>
      <w:r w:rsidR="00C43B2B">
        <w:rPr>
          <w:rStyle w:val="FootnoteReference"/>
        </w:rPr>
        <w:footnoteReference w:id="66"/>
      </w:r>
      <w:r w:rsidR="00C43B2B">
        <w:t xml:space="preserve"> </w:t>
      </w:r>
      <w:r w:rsidR="009E6B15">
        <w:t xml:space="preserve">Rather the new time of use demand based tariffs better reflect these cost drivers. </w:t>
      </w:r>
    </w:p>
    <w:p w:rsidR="009E6B15" w:rsidRDefault="00914AE9" w:rsidP="00C43B2B">
      <w:r>
        <w:t>Although</w:t>
      </w:r>
      <w:r w:rsidR="009E6B15">
        <w:t xml:space="preserve"> </w:t>
      </w:r>
      <w:r w:rsidR="00C43B2B">
        <w:t xml:space="preserve">TasNetworks' consideration is that all residential and business customers will transition to a time of use demand based tariff </w:t>
      </w:r>
      <w:r>
        <w:t>over</w:t>
      </w:r>
      <w:r w:rsidR="00C43B2B">
        <w:t xml:space="preserve"> time</w:t>
      </w:r>
      <w:r>
        <w:t>,</w:t>
      </w:r>
      <w:r w:rsidR="009E6B15">
        <w:t xml:space="preserve"> it proposed to continue with the consumption based tariffs </w:t>
      </w:r>
      <w:r>
        <w:t>during</w:t>
      </w:r>
      <w:r w:rsidR="009E6B15">
        <w:t xml:space="preserve"> the 2017–19 regulatory control period</w:t>
      </w:r>
      <w:r w:rsidR="00C43B2B">
        <w:t>.</w:t>
      </w:r>
      <w:r w:rsidR="00C43B2B">
        <w:rPr>
          <w:rStyle w:val="FootnoteReference"/>
        </w:rPr>
        <w:footnoteReference w:id="67"/>
      </w:r>
      <w:r w:rsidR="009E6B15">
        <w:t xml:space="preserve"> By doing so it will </w:t>
      </w:r>
      <w:r w:rsidR="00C43B2B">
        <w:t>allow customers time to understand and accept the new demand tariff.</w:t>
      </w:r>
      <w:r w:rsidR="00C43B2B">
        <w:rPr>
          <w:rStyle w:val="FootnoteReference"/>
        </w:rPr>
        <w:footnoteReference w:id="68"/>
      </w:r>
      <w:r w:rsidR="00C43B2B">
        <w:t xml:space="preserve"> </w:t>
      </w:r>
      <w:r>
        <w:t xml:space="preserve">It would also minimise potential disruption from a change in tariff charging for the vast majority of its </w:t>
      </w:r>
      <w:r w:rsidR="00AD6A1B">
        <w:t>customers.</w:t>
      </w:r>
    </w:p>
    <w:p w:rsidR="00C43B2B" w:rsidRDefault="00C43B2B" w:rsidP="00C43B2B">
      <w:r>
        <w:t>We consider this approach appropriate in the short term as the demand tariff represents a significant change for residential customers. We also consider this approach appropriate because</w:t>
      </w:r>
      <w:r w:rsidR="009E6B15">
        <w:t xml:space="preserve"> the more cost reflective demand tariff will be available to those</w:t>
      </w:r>
      <w:r>
        <w:t xml:space="preserve"> residential customers </w:t>
      </w:r>
      <w:r w:rsidR="009E6B15">
        <w:t>who</w:t>
      </w:r>
      <w:r>
        <w:t xml:space="preserve"> want to</w:t>
      </w:r>
      <w:r w:rsidR="009E6B15">
        <w:t xml:space="preserve"> transition to it</w:t>
      </w:r>
      <w:r>
        <w:t xml:space="preserve">. </w:t>
      </w:r>
      <w:r w:rsidR="00AD6A1B">
        <w:t>It provides a signal to retailers that TasNetworks intends to utilise demand based charging for low voltage customers into the future.</w:t>
      </w:r>
    </w:p>
    <w:p w:rsidR="00B956E1" w:rsidRDefault="00B956E1" w:rsidP="00B956E1">
      <w:pPr>
        <w:pStyle w:val="HeadingBoldItalic"/>
      </w:pPr>
      <w:r>
        <w:t>New time of use demand tariff for residential customers</w:t>
      </w:r>
    </w:p>
    <w:p w:rsidR="001D3960" w:rsidRDefault="00B956E1" w:rsidP="00951506">
      <w:r>
        <w:t>We approve TasNetworks</w:t>
      </w:r>
      <w:r w:rsidR="00E7694B">
        <w:t>'</w:t>
      </w:r>
      <w:r>
        <w:t xml:space="preserve"> introduction of the time of use demand tariff for residential customers because we consider it contributes toward the achievement of compliance with the distribution pricing principles.</w:t>
      </w:r>
    </w:p>
    <w:p w:rsidR="00B956E1" w:rsidRDefault="00B948E7" w:rsidP="00951506">
      <w:r>
        <w:t xml:space="preserve">The design of the demand tariff will </w:t>
      </w:r>
      <w:r w:rsidRPr="00B948E7">
        <w:t>allow customers the ability to manage their peak loads which will ultimately assist in greater network utilisation and</w:t>
      </w:r>
      <w:r w:rsidR="001D3960">
        <w:t xml:space="preserve"> if customer behavioural change is effected</w:t>
      </w:r>
      <w:r w:rsidR="00B46CC0">
        <w:t xml:space="preserve"> towards reducing demand</w:t>
      </w:r>
      <w:r w:rsidR="001D3960">
        <w:t>,</w:t>
      </w:r>
      <w:r w:rsidRPr="00B948E7">
        <w:t xml:space="preserve"> minimi</w:t>
      </w:r>
      <w:r>
        <w:t xml:space="preserve">se future investment costs. </w:t>
      </w:r>
      <w:r w:rsidR="00B46CC0">
        <w:t>We consider t</w:t>
      </w:r>
      <w:r>
        <w:t>he</w:t>
      </w:r>
      <w:r w:rsidRPr="00B948E7">
        <w:t xml:space="preserve"> demand tariff shows movement along the cost reflectivity spectrum, away from consumption tariffs.</w:t>
      </w:r>
    </w:p>
    <w:p w:rsidR="00741723" w:rsidRDefault="00741723" w:rsidP="00741723">
      <w:r w:rsidRPr="001B256F">
        <w:t>The</w:t>
      </w:r>
      <w:r>
        <w:t xml:space="preserve"> design of the</w:t>
      </w:r>
      <w:r w:rsidRPr="001B256F">
        <w:t xml:space="preserve"> demand tariff include</w:t>
      </w:r>
      <w:r>
        <w:t>s</w:t>
      </w:r>
      <w:r w:rsidRPr="001B256F">
        <w:t xml:space="preserve"> a fixed </w:t>
      </w:r>
      <w:r>
        <w:t>service</w:t>
      </w:r>
      <w:r w:rsidRPr="001B256F">
        <w:t xml:space="preserve"> charge, a peak demand charge and an off peak demand charge (</w:t>
      </w:r>
      <w:r>
        <w:fldChar w:fldCharType="begin"/>
      </w:r>
      <w:r>
        <w:instrText xml:space="preserve"> REF  _Ref459032799 \* Lower \h </w:instrText>
      </w:r>
      <w:r>
        <w:fldChar w:fldCharType="separate"/>
      </w:r>
      <w:r w:rsidR="00F52FCD">
        <w:t xml:space="preserve">figure </w:t>
      </w:r>
      <w:r w:rsidR="00F52FCD">
        <w:rPr>
          <w:noProof/>
        </w:rPr>
        <w:t>19</w:t>
      </w:r>
      <w:r w:rsidR="00F52FCD">
        <w:t>.</w:t>
      </w:r>
      <w:r w:rsidR="00F52FCD">
        <w:rPr>
          <w:noProof/>
        </w:rPr>
        <w:t>1</w:t>
      </w:r>
      <w:r>
        <w:fldChar w:fldCharType="end"/>
      </w:r>
      <w:r w:rsidRPr="001B256F">
        <w:t xml:space="preserve">). </w:t>
      </w:r>
      <w:r w:rsidR="001D3960">
        <w:t xml:space="preserve">To make this new tariff as simple to understand as reasonably possible, </w:t>
      </w:r>
      <w:r>
        <w:t>TasNetworks' demand tariff does not include any consumption based charges.</w:t>
      </w:r>
    </w:p>
    <w:p w:rsidR="00741723" w:rsidRDefault="00741723" w:rsidP="00741723">
      <w:pPr>
        <w:pStyle w:val="Caption"/>
      </w:pPr>
      <w:bookmarkStart w:id="88" w:name="_Ref459032799"/>
      <w:r>
        <w:lastRenderedPageBreak/>
        <w:t xml:space="preserve">Figure </w:t>
      </w:r>
      <w:fldSimple w:instr=" STYLEREF 1 \s ">
        <w:r w:rsidR="00F52FCD">
          <w:rPr>
            <w:noProof/>
          </w:rPr>
          <w:t>19</w:t>
        </w:r>
      </w:fldSimple>
      <w:r w:rsidR="00792F99">
        <w:t>.</w:t>
      </w:r>
      <w:fldSimple w:instr=" SEQ Figure \* ARABIC \s 1 ">
        <w:r w:rsidR="00F52FCD">
          <w:rPr>
            <w:noProof/>
          </w:rPr>
          <w:t>1</w:t>
        </w:r>
      </w:fldSimple>
      <w:bookmarkEnd w:id="88"/>
      <w:r>
        <w:tab/>
        <w:t>Charging components of the time of used demand tariff</w:t>
      </w:r>
    </w:p>
    <w:p w:rsidR="00741723" w:rsidRDefault="00741723" w:rsidP="00741723">
      <w:r w:rsidRPr="00741723">
        <w:rPr>
          <w:noProof/>
          <w:lang w:eastAsia="en-AU"/>
        </w:rPr>
        <w:drawing>
          <wp:inline distT="0" distB="0" distL="0" distR="0" wp14:anchorId="668FD883" wp14:editId="3772100D">
            <wp:extent cx="5382895" cy="1315720"/>
            <wp:effectExtent l="0" t="0" r="8255" b="0"/>
            <wp:docPr id="1" name="Picture 1" descr="C:\Users\pharr\TasNetworks\2017-19 Reset\TSS\Components of the new demand based network tarif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arr\TasNetworks\2017-19 Reset\TSS\Components of the new demand based network tariff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1315720"/>
                    </a:xfrm>
                    <a:prstGeom prst="rect">
                      <a:avLst/>
                    </a:prstGeom>
                    <a:noFill/>
                    <a:ln>
                      <a:noFill/>
                    </a:ln>
                  </pic:spPr>
                </pic:pic>
              </a:graphicData>
            </a:graphic>
          </wp:inline>
        </w:drawing>
      </w:r>
    </w:p>
    <w:p w:rsidR="00741723" w:rsidRDefault="00741723" w:rsidP="00741723">
      <w:pPr>
        <w:pStyle w:val="AERtablesource"/>
      </w:pPr>
      <w:r>
        <w:t>Source:</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48</w:t>
      </w:r>
      <w:r w:rsidRPr="004C48BD">
        <w:t>.</w:t>
      </w:r>
    </w:p>
    <w:p w:rsidR="00364006" w:rsidRDefault="00364006" w:rsidP="00364006">
      <w:r w:rsidRPr="001B256F">
        <w:t xml:space="preserve">The demand charges </w:t>
      </w:r>
      <w:r>
        <w:t>are</w:t>
      </w:r>
      <w:r w:rsidRPr="001B256F">
        <w:t xml:space="preserve"> based on a customer's highest 30 minute demand over a billing period for each charging window—</w:t>
      </w:r>
      <w:r>
        <w:t>peak and off peak</w:t>
      </w:r>
      <w:r w:rsidRPr="001B256F">
        <w:t>.</w:t>
      </w:r>
      <w:r>
        <w:rPr>
          <w:rStyle w:val="FootnoteReference"/>
        </w:rPr>
        <w:footnoteReference w:id="69"/>
      </w:r>
      <w:r>
        <w:t xml:space="preserve"> The peak demand charge will be set at</w:t>
      </w:r>
      <w:r w:rsidRPr="001B256F">
        <w:t xml:space="preserve"> a higher rate than the off peak demand charge thereby signalling to customers the value of using the network, particularly at peak times.</w:t>
      </w:r>
      <w:r>
        <w:t xml:space="preserve"> The peak demand charge will</w:t>
      </w:r>
      <w:r w:rsidRPr="001B256F">
        <w:t xml:space="preserve"> signal the forward looking cos</w:t>
      </w:r>
      <w:r>
        <w:t>ts associated with demand growth.</w:t>
      </w:r>
    </w:p>
    <w:p w:rsidR="00D3691A" w:rsidRDefault="0066678F" w:rsidP="0066678F">
      <w:r>
        <w:t>The demand tariff charging windows will align with</w:t>
      </w:r>
      <w:r w:rsidRPr="00CC5C2C">
        <w:t xml:space="preserve"> those of the continuing</w:t>
      </w:r>
      <w:r>
        <w:t xml:space="preserve"> residential time of use consumption</w:t>
      </w:r>
      <w:r w:rsidRPr="00CC5C2C">
        <w:t xml:space="preserve"> tariff</w:t>
      </w:r>
      <w:r>
        <w:t>.</w:t>
      </w:r>
      <w:r w:rsidRPr="00675A29">
        <w:t xml:space="preserve"> That is, peak charges will occur from 7am to 10am and 4pm to 9pm weekdays.</w:t>
      </w:r>
      <w:r w:rsidR="00B46CC0">
        <w:t xml:space="preserve"> </w:t>
      </w:r>
      <w:r w:rsidR="00D3691A" w:rsidRPr="00675A29">
        <w:t>All other times, including weekends, will be off</w:t>
      </w:r>
      <w:r w:rsidR="00D3691A">
        <w:t> </w:t>
      </w:r>
      <w:r w:rsidR="00D3691A" w:rsidRPr="00675A29">
        <w:t>peak</w:t>
      </w:r>
      <w:r w:rsidR="00D3691A">
        <w:t>.</w:t>
      </w:r>
    </w:p>
    <w:p w:rsidR="0066678F" w:rsidRDefault="00B46CC0" w:rsidP="0066678F">
      <w:r>
        <w:t xml:space="preserve">We consider that </w:t>
      </w:r>
      <w:r w:rsidR="00BF502D">
        <w:t>t</w:t>
      </w:r>
      <w:r>
        <w:t>his will make transitioning from the consumption based tariff to the demand tariff easier for customers because the peak and off-peak charging times will be the same. Customers will therefore be better able</w:t>
      </w:r>
      <w:r w:rsidR="00D3691A">
        <w:t xml:space="preserve"> to respond to the new tariff if</w:t>
      </w:r>
      <w:r>
        <w:t xml:space="preserve"> they choose to take it up</w:t>
      </w:r>
      <w:r w:rsidR="00D3691A">
        <w:t xml:space="preserve"> without needing to adjust their behaviour to account for different peak and off-peak time periods.</w:t>
      </w:r>
    </w:p>
    <w:p w:rsidR="00496DED" w:rsidRPr="00540FF5" w:rsidRDefault="00496DED" w:rsidP="00496DED">
      <w:pPr>
        <w:pStyle w:val="Caption"/>
      </w:pPr>
      <w:r>
        <w:t xml:space="preserve">Table </w:t>
      </w:r>
      <w:fldSimple w:instr=" STYLEREF 1 \s ">
        <w:r w:rsidR="00F52FCD">
          <w:rPr>
            <w:noProof/>
          </w:rPr>
          <w:t>19</w:t>
        </w:r>
      </w:fldSimple>
      <w:r w:rsidR="00E914FF">
        <w:t>.</w:t>
      </w:r>
      <w:fldSimple w:instr=" SEQ Table \* ARABIC \s 1 ">
        <w:r w:rsidR="00F52FCD">
          <w:rPr>
            <w:noProof/>
          </w:rPr>
          <w:t>6</w:t>
        </w:r>
      </w:fldSimple>
      <w:r>
        <w:tab/>
        <w:t>TasNetworks' residential time of use demand tariff</w:t>
      </w:r>
    </w:p>
    <w:tbl>
      <w:tblPr>
        <w:tblStyle w:val="AERtable-text0"/>
        <w:tblW w:w="0" w:type="auto"/>
        <w:tblLook w:val="04A0" w:firstRow="1" w:lastRow="0" w:firstColumn="1" w:lastColumn="0" w:noHBand="0" w:noVBand="1"/>
      </w:tblPr>
      <w:tblGrid>
        <w:gridCol w:w="1384"/>
        <w:gridCol w:w="1418"/>
        <w:gridCol w:w="1134"/>
        <w:gridCol w:w="1275"/>
        <w:gridCol w:w="1418"/>
        <w:gridCol w:w="2064"/>
      </w:tblGrid>
      <w:tr w:rsidR="00496DED" w:rsidTr="00454143">
        <w:trPr>
          <w:cnfStyle w:val="100000000000" w:firstRow="1" w:lastRow="0" w:firstColumn="0" w:lastColumn="0" w:oddVBand="0" w:evenVBand="0" w:oddHBand="0" w:evenHBand="0" w:firstRowFirstColumn="0" w:firstRowLastColumn="0" w:lastRowFirstColumn="0" w:lastRowLastColumn="0"/>
        </w:trPr>
        <w:tc>
          <w:tcPr>
            <w:tcW w:w="1384" w:type="dxa"/>
          </w:tcPr>
          <w:p w:rsidR="00496DED" w:rsidRPr="00496DED" w:rsidRDefault="00496DED" w:rsidP="00496DED">
            <w:r>
              <w:t>Tariff</w:t>
            </w:r>
          </w:p>
        </w:tc>
        <w:tc>
          <w:tcPr>
            <w:tcW w:w="1418" w:type="dxa"/>
          </w:tcPr>
          <w:p w:rsidR="00496DED" w:rsidRPr="00496DED" w:rsidRDefault="00496DED" w:rsidP="00496DED">
            <w:r>
              <w:t>Customer type</w:t>
            </w:r>
          </w:p>
        </w:tc>
        <w:tc>
          <w:tcPr>
            <w:tcW w:w="1134" w:type="dxa"/>
          </w:tcPr>
          <w:p w:rsidR="00496DED" w:rsidRPr="00496DED" w:rsidRDefault="00496DED" w:rsidP="00496DED">
            <w:r>
              <w:t>Assignment</w:t>
            </w:r>
          </w:p>
        </w:tc>
        <w:tc>
          <w:tcPr>
            <w:tcW w:w="1275" w:type="dxa"/>
          </w:tcPr>
          <w:p w:rsidR="00496DED" w:rsidRPr="00496DED" w:rsidRDefault="00496DED" w:rsidP="00496DED">
            <w:r>
              <w:t>Meter type</w:t>
            </w:r>
          </w:p>
        </w:tc>
        <w:tc>
          <w:tcPr>
            <w:tcW w:w="1418" w:type="dxa"/>
          </w:tcPr>
          <w:p w:rsidR="00496DED" w:rsidRPr="00496DED" w:rsidRDefault="00496DED" w:rsidP="00496DED">
            <w:r>
              <w:t>Tariff structure</w:t>
            </w:r>
          </w:p>
        </w:tc>
        <w:tc>
          <w:tcPr>
            <w:tcW w:w="2064" w:type="dxa"/>
          </w:tcPr>
          <w:p w:rsidR="00496DED" w:rsidRPr="00496DED" w:rsidRDefault="00496DED" w:rsidP="00496DED">
            <w:r>
              <w:t>Notes</w:t>
            </w:r>
          </w:p>
        </w:tc>
      </w:tr>
      <w:tr w:rsidR="00496DED" w:rsidTr="00454143">
        <w:tc>
          <w:tcPr>
            <w:tcW w:w="1384" w:type="dxa"/>
          </w:tcPr>
          <w:p w:rsidR="00496DED" w:rsidRPr="00496DED" w:rsidRDefault="00496DED" w:rsidP="00496DED">
            <w:r>
              <w:t>Residential time of use demand</w:t>
            </w:r>
          </w:p>
        </w:tc>
        <w:tc>
          <w:tcPr>
            <w:tcW w:w="1418" w:type="dxa"/>
          </w:tcPr>
          <w:p w:rsidR="00496DED" w:rsidRPr="00496DED" w:rsidRDefault="00496DED" w:rsidP="00496DED">
            <w:r>
              <w:t>New/Existing</w:t>
            </w:r>
          </w:p>
        </w:tc>
        <w:tc>
          <w:tcPr>
            <w:tcW w:w="1134" w:type="dxa"/>
          </w:tcPr>
          <w:p w:rsidR="00496DED" w:rsidRPr="00496DED" w:rsidRDefault="00496DED" w:rsidP="00496DED">
            <w:r>
              <w:t>Optional</w:t>
            </w:r>
          </w:p>
        </w:tc>
        <w:tc>
          <w:tcPr>
            <w:tcW w:w="1275" w:type="dxa"/>
          </w:tcPr>
          <w:p w:rsidR="00496DED" w:rsidRPr="00496DED" w:rsidRDefault="00496DED" w:rsidP="00496DED">
            <w:r w:rsidRPr="00CB59D6">
              <w:t xml:space="preserve">Type 6 capable of </w:t>
            </w:r>
            <w:r w:rsidRPr="00496DED">
              <w:t>recording time of use demand data in half–hourly blocks is the minimum requirement</w:t>
            </w:r>
          </w:p>
        </w:tc>
        <w:tc>
          <w:tcPr>
            <w:tcW w:w="1418" w:type="dxa"/>
          </w:tcPr>
          <w:p w:rsidR="00496DED" w:rsidRPr="00496DED" w:rsidRDefault="00496DED" w:rsidP="00496DED">
            <w:r w:rsidRPr="00A41B17">
              <w:t xml:space="preserve">Fixed charge + </w:t>
            </w:r>
            <w:r w:rsidRPr="00496DED">
              <w:t>peak and off peak demand charges</w:t>
            </w:r>
          </w:p>
        </w:tc>
        <w:tc>
          <w:tcPr>
            <w:tcW w:w="2064" w:type="dxa"/>
          </w:tcPr>
          <w:p w:rsidR="00496DED" w:rsidRPr="00496DED" w:rsidRDefault="00496DED" w:rsidP="00496DED">
            <w:r w:rsidRPr="004B5EBA">
              <w:t>Demand charges are based on the highest 30 minute demand incurred for each charging window over a billing period (typically quarterly)</w:t>
            </w:r>
          </w:p>
          <w:p w:rsidR="00496DED" w:rsidRPr="00496DED" w:rsidRDefault="00496DED" w:rsidP="00496DED">
            <w:r w:rsidRPr="00A41B17">
              <w:t>Peak = 7–10AM, 4–9PM weekdays</w:t>
            </w:r>
          </w:p>
          <w:p w:rsidR="00496DED" w:rsidRPr="00496DED" w:rsidRDefault="00496DED" w:rsidP="00496DED">
            <w:r w:rsidRPr="00A41B17">
              <w:t>Off peak = All other times</w:t>
            </w:r>
          </w:p>
        </w:tc>
      </w:tr>
    </w:tbl>
    <w:p w:rsidR="0066678F" w:rsidRDefault="001A0BA6" w:rsidP="00364006">
      <w:r>
        <w:t>While the distribution pricing principles require consideration of locational pricing,</w:t>
      </w:r>
      <w:r>
        <w:rPr>
          <w:rStyle w:val="FootnoteReference"/>
        </w:rPr>
        <w:footnoteReference w:id="70"/>
      </w:r>
      <w:r>
        <w:t xml:space="preserve"> currently in Tasmania </w:t>
      </w:r>
      <w:r w:rsidRPr="001B256F">
        <w:t>network tariffs</w:t>
      </w:r>
      <w:r>
        <w:t xml:space="preserve"> for customers that consume</w:t>
      </w:r>
      <w:r w:rsidRPr="001B256F">
        <w:t xml:space="preserve"> less than 150MWh of </w:t>
      </w:r>
      <w:r w:rsidRPr="001B256F">
        <w:lastRenderedPageBreak/>
        <w:t>electricity per annum</w:t>
      </w:r>
      <w:r>
        <w:t xml:space="preserve"> are required</w:t>
      </w:r>
      <w:r w:rsidRPr="001B256F">
        <w:t xml:space="preserve"> to be uniform.</w:t>
      </w:r>
      <w:r>
        <w:rPr>
          <w:rStyle w:val="FootnoteReference"/>
        </w:rPr>
        <w:footnoteReference w:id="71"/>
      </w:r>
      <w:r>
        <w:t xml:space="preserve"> Therefore TasNetworks' current ability to develop locational cost reflective tariffs is limited.</w:t>
      </w:r>
    </w:p>
    <w:p w:rsidR="00520280" w:rsidRDefault="00520280" w:rsidP="00520280">
      <w:pPr>
        <w:pStyle w:val="HeadingBoldItalic"/>
      </w:pPr>
      <w:r>
        <w:t>30 minute demand measurement periods</w:t>
      </w:r>
    </w:p>
    <w:p w:rsidR="005876C3" w:rsidRDefault="00520280" w:rsidP="00520280">
      <w:r w:rsidRPr="00490073">
        <w:t>TasNetworks propos</w:t>
      </w:r>
      <w:r w:rsidR="005876C3">
        <w:t>ed</w:t>
      </w:r>
      <w:r w:rsidRPr="00490073">
        <w:t xml:space="preserve"> to calculate the peak and off peak demand charges based on a customer's highest 30 minute peak demand over a billing period for each charging window.</w:t>
      </w:r>
      <w:r w:rsidR="00A22E4D">
        <w:rPr>
          <w:rStyle w:val="FootnoteReference"/>
        </w:rPr>
        <w:footnoteReference w:id="72"/>
      </w:r>
      <w:r w:rsidRPr="00490073">
        <w:t xml:space="preserve"> We approve of this basis of charging in this initial phase of tariff reform</w:t>
      </w:r>
      <w:r>
        <w:t xml:space="preserve"> as we consider the simplicity of a single 30 minute period will be easily understood by customers which will allow them to respond to the price signals.</w:t>
      </w:r>
      <w:r>
        <w:rPr>
          <w:rStyle w:val="FootnoteReference"/>
        </w:rPr>
        <w:footnoteReference w:id="73"/>
      </w:r>
      <w:r>
        <w:t xml:space="preserve"> We also consider customer impact is adequately managed given the demand tariff is opt</w:t>
      </w:r>
      <w:r>
        <w:noBreakHyphen/>
        <w:t xml:space="preserve">in </w:t>
      </w:r>
      <w:r w:rsidRPr="00490073">
        <w:t xml:space="preserve">meaning only customers who choose to be exposed to the demand charges will face those price signals. </w:t>
      </w:r>
      <w:r w:rsidR="004C0CE7">
        <w:t xml:space="preserve">We approved the same basis of charging in our </w:t>
      </w:r>
      <w:r w:rsidR="004C0CE7" w:rsidRPr="004C0CE7">
        <w:t>draft decision.</w:t>
      </w:r>
      <w:r w:rsidR="004C0CE7" w:rsidRPr="004C0CE7">
        <w:rPr>
          <w:rStyle w:val="FootnoteReference"/>
        </w:rPr>
        <w:footnoteReference w:id="74"/>
      </w:r>
    </w:p>
    <w:p w:rsidR="004C0CE7" w:rsidRDefault="009E6B15" w:rsidP="004C0CE7">
      <w:r>
        <w:t>Stakeholder</w:t>
      </w:r>
      <w:r w:rsidR="004C0CE7">
        <w:t xml:space="preserve"> submissions from David Headberry and Nekon raised concern regarding the demand measurement periods.</w:t>
      </w:r>
      <w:r w:rsidR="004C0CE7">
        <w:rPr>
          <w:rStyle w:val="FootnoteReference"/>
        </w:rPr>
        <w:footnoteReference w:id="75"/>
      </w:r>
      <w:r w:rsidR="004C0CE7">
        <w:t xml:space="preserve"> Both submissions considered monthly charging of one peak incident is not necessarily representative of a customer's demand on the network. Rather, a continuous incentive such as an average of peak demands over a period should be employed. Nekon al</w:t>
      </w:r>
      <w:r>
        <w:t xml:space="preserve">so posited </w:t>
      </w:r>
      <w:r w:rsidR="004C0CE7">
        <w:t xml:space="preserve">that </w:t>
      </w:r>
      <w:r>
        <w:t>a</w:t>
      </w:r>
      <w:r w:rsidR="004C0CE7">
        <w:t xml:space="preserve"> better represent</w:t>
      </w:r>
      <w:r>
        <w:t>ation of</w:t>
      </w:r>
      <w:r w:rsidR="004C0CE7">
        <w:t xml:space="preserve"> a true user pay approach would be daily peak demand charging.</w:t>
      </w:r>
      <w:r w:rsidR="004C0CE7">
        <w:rPr>
          <w:rStyle w:val="FootnoteReference"/>
        </w:rPr>
        <w:footnoteReference w:id="76"/>
      </w:r>
    </w:p>
    <w:p w:rsidR="009E6B15" w:rsidRDefault="007730E7" w:rsidP="004C0CE7">
      <w:r>
        <w:t xml:space="preserve">While we accept TasNetworks' proposed approach for this initial phase of tariff reform for the reasons stated above, </w:t>
      </w:r>
      <w:r w:rsidR="004C0CE7">
        <w:t>we</w:t>
      </w:r>
      <w:r>
        <w:t xml:space="preserve"> too</w:t>
      </w:r>
      <w:r w:rsidR="004C0CE7">
        <w:t xml:space="preserve"> </w:t>
      </w:r>
      <w:r w:rsidR="004C0CE7" w:rsidRPr="004C0CE7">
        <w:t>are interested in exploring whether an alternative basis of charging is a more reliable basis for TasNetworks</w:t>
      </w:r>
      <w:r w:rsidR="004C0CE7">
        <w:t>'</w:t>
      </w:r>
      <w:r w:rsidR="004C0CE7" w:rsidRPr="004C0CE7">
        <w:t xml:space="preserve"> 2019–24 tariff structure statement</w:t>
      </w:r>
      <w:r w:rsidR="004C0CE7">
        <w:t xml:space="preserve">. </w:t>
      </w:r>
      <w:r w:rsidR="009E6B15">
        <w:t>We set out our current considerations on this issue in the future directions</w:t>
      </w:r>
      <w:r w:rsidR="00AD2BC2">
        <w:t xml:space="preserve"> discussion </w:t>
      </w:r>
      <w:r w:rsidR="009E6B15">
        <w:t>below</w:t>
      </w:r>
      <w:r w:rsidR="00AD2BC2">
        <w:t xml:space="preserve"> (see section </w:t>
      </w:r>
      <w:r w:rsidR="00AD2BC2">
        <w:fldChar w:fldCharType="begin"/>
      </w:r>
      <w:r w:rsidR="00AD2BC2">
        <w:instrText xml:space="preserve"> REF _Ref479094279 \r \h </w:instrText>
      </w:r>
      <w:r w:rsidR="00AD2BC2">
        <w:fldChar w:fldCharType="separate"/>
      </w:r>
      <w:r w:rsidR="00F52FCD">
        <w:t>19.4.2.3</w:t>
      </w:r>
      <w:r w:rsidR="00AD2BC2">
        <w:fldChar w:fldCharType="end"/>
      </w:r>
      <w:r w:rsidR="00AD2BC2">
        <w:t>)</w:t>
      </w:r>
      <w:r w:rsidR="009E6B15">
        <w:t>.</w:t>
      </w:r>
    </w:p>
    <w:p w:rsidR="007730E7" w:rsidRDefault="007730E7" w:rsidP="004C0CE7">
      <w:r>
        <w:t>We</w:t>
      </w:r>
      <w:r w:rsidR="009E6B15">
        <w:t xml:space="preserve"> also</w:t>
      </w:r>
      <w:r>
        <w:t xml:space="preserve"> consider TasNetworks' demand tariff trial (discussed below) will provide </w:t>
      </w:r>
      <w:r w:rsidR="00AD2BC2">
        <w:t xml:space="preserve">valuable </w:t>
      </w:r>
      <w:r>
        <w:t xml:space="preserve">insights into </w:t>
      </w:r>
      <w:r w:rsidR="00AD2BC2">
        <w:t>measurement periods for TasNetworks' next tariff structure statement</w:t>
      </w:r>
      <w:r>
        <w:t xml:space="preserve">. </w:t>
      </w:r>
    </w:p>
    <w:p w:rsidR="00A51562" w:rsidRDefault="00A51562" w:rsidP="00A51562">
      <w:pPr>
        <w:pStyle w:val="HeadingBoldItalic"/>
      </w:pPr>
      <w:r>
        <w:t>Billing periods</w:t>
      </w:r>
    </w:p>
    <w:p w:rsidR="00A51562" w:rsidRDefault="00A51562" w:rsidP="00A51562">
      <w:r>
        <w:t>We approve TasNetworks' revised tariff structure statement to provide monthly billing for the new time of use demand based tariffs from 1 July 2017.</w:t>
      </w:r>
      <w:r>
        <w:rPr>
          <w:rStyle w:val="FootnoteReference"/>
        </w:rPr>
        <w:footnoteReference w:id="77"/>
      </w:r>
      <w:r>
        <w:t xml:space="preserve"> We consider monthly billing will provide customers timelier feedback on when their maximum demand incidents occur and how this impacts their bills. This timelier information will provide </w:t>
      </w:r>
      <w:r>
        <w:lastRenderedPageBreak/>
        <w:t>sharper price signals to customers and support their decisions on how they consume electricity.</w:t>
      </w:r>
    </w:p>
    <w:p w:rsidR="00A51562" w:rsidRDefault="00A51562" w:rsidP="00A51562">
      <w:r>
        <w:t>TasNetworks initially proposed quarterly</w:t>
      </w:r>
      <w:r w:rsidRPr="00030AAA">
        <w:t xml:space="preserve"> </w:t>
      </w:r>
      <w:r>
        <w:t>billing cycles for the new demand tariffs due to current constraints; although</w:t>
      </w:r>
      <w:r w:rsidR="00AD2BC2">
        <w:t xml:space="preserve"> in noted that</w:t>
      </w:r>
      <w:r>
        <w:t xml:space="preserve"> monthly billing cycles would be explored for the future.</w:t>
      </w:r>
      <w:r>
        <w:rPr>
          <w:rStyle w:val="FootnoteReference"/>
        </w:rPr>
        <w:footnoteReference w:id="78"/>
      </w:r>
    </w:p>
    <w:p w:rsidR="00D3691A" w:rsidRDefault="00AD2BC2" w:rsidP="00D3691A">
      <w:r>
        <w:t>While o</w:t>
      </w:r>
      <w:r w:rsidR="00A51562">
        <w:t>ur draft decision accepted the quarterly billing cycles</w:t>
      </w:r>
      <w:r>
        <w:t xml:space="preserve"> for TasNetworks' first tariff structure statement, </w:t>
      </w:r>
      <w:r w:rsidR="00A51562">
        <w:t>we noted</w:t>
      </w:r>
      <w:r>
        <w:t xml:space="preserve"> that</w:t>
      </w:r>
      <w:r w:rsidR="00A51562">
        <w:t xml:space="preserve"> monthly billing cycles should be implemented in TasNetworks' next tariff structure statement.</w:t>
      </w:r>
      <w:r w:rsidR="00A51562">
        <w:rPr>
          <w:rStyle w:val="FootnoteReference"/>
        </w:rPr>
        <w:footnoteReference w:id="79"/>
      </w:r>
      <w:r w:rsidR="00D3691A">
        <w:t xml:space="preserve"> The introduction of monthly billing was supported by the </w:t>
      </w:r>
      <w:r w:rsidR="00D3691A" w:rsidRPr="006B209A">
        <w:t xml:space="preserve">Tasmanian Renewable Energy Alliance </w:t>
      </w:r>
      <w:r w:rsidR="00D3691A">
        <w:t>(</w:t>
      </w:r>
      <w:r w:rsidR="00D3691A" w:rsidRPr="00490073">
        <w:t>TREA</w:t>
      </w:r>
      <w:r w:rsidR="00D3691A">
        <w:t>),</w:t>
      </w:r>
      <w:r w:rsidR="00D3691A" w:rsidRPr="00490073">
        <w:t xml:space="preserve"> TasCOSS</w:t>
      </w:r>
      <w:r w:rsidR="00D3691A">
        <w:t xml:space="preserve"> and the Alternative Technology Association (ATA) who considered it optimal for the demand tariffs.</w:t>
      </w:r>
      <w:r w:rsidR="00D3691A">
        <w:rPr>
          <w:rStyle w:val="FootnoteReference"/>
        </w:rPr>
        <w:footnoteReference w:id="80"/>
      </w:r>
    </w:p>
    <w:p w:rsidR="00A51562" w:rsidRDefault="00D3691A" w:rsidP="00A51562">
      <w:r>
        <w:t>Based on TasNetworks revised proposal and its alignment withy stakeholder views</w:t>
      </w:r>
      <w:r w:rsidR="00A51562">
        <w:t xml:space="preserve">, we </w:t>
      </w:r>
      <w:r>
        <w:t>support</w:t>
      </w:r>
      <w:r w:rsidR="00A51562">
        <w:t xml:space="preserve"> TasNetworks' </w:t>
      </w:r>
      <w:r w:rsidR="00AD2BC2">
        <w:t>introduction of</w:t>
      </w:r>
      <w:r w:rsidR="00A51562">
        <w:t xml:space="preserve"> monthly billing </w:t>
      </w:r>
      <w:r w:rsidR="00AD2BC2">
        <w:t>for the demand tariffs for</w:t>
      </w:r>
      <w:r w:rsidR="00A51562">
        <w:t xml:space="preserve"> this initial phase of tariff reform.</w:t>
      </w:r>
    </w:p>
    <w:p w:rsidR="00DE04BA" w:rsidRDefault="00A51562" w:rsidP="00A51562">
      <w:pPr>
        <w:pStyle w:val="HeadingBoldItalic"/>
      </w:pPr>
      <w:r>
        <w:t>Tariff trial and metering</w:t>
      </w:r>
    </w:p>
    <w:p w:rsidR="00A51562" w:rsidRDefault="00A51562" w:rsidP="00A51562">
      <w:r>
        <w:t xml:space="preserve">We approve of </w:t>
      </w:r>
      <w:r w:rsidR="002F5AC8">
        <w:t xml:space="preserve">TasNetworks' </w:t>
      </w:r>
      <w:r>
        <w:t>proposal to</w:t>
      </w:r>
      <w:r w:rsidR="002F5AC8">
        <w:t xml:space="preserve"> undertake a tariff trial to better understand the impacts of demand tariffs.</w:t>
      </w:r>
      <w:r w:rsidR="002F5AC8">
        <w:rPr>
          <w:rStyle w:val="FootnoteReference"/>
        </w:rPr>
        <w:footnoteReference w:id="81"/>
      </w:r>
      <w:r w:rsidR="002F5AC8">
        <w:t xml:space="preserve"> </w:t>
      </w:r>
      <w:r>
        <w:t xml:space="preserve">TasNetworks' tariff trial will </w:t>
      </w:r>
      <w:r w:rsidR="00DA1C92">
        <w:t>use</w:t>
      </w:r>
      <w:r>
        <w:t xml:space="preserve"> advanced meters </w:t>
      </w:r>
      <w:r w:rsidR="00DA1C92">
        <w:t xml:space="preserve">acting as 'off market' devices and will be </w:t>
      </w:r>
      <w:r>
        <w:t>located near existing</w:t>
      </w:r>
      <w:r w:rsidR="00DA1C92">
        <w:t xml:space="preserve"> meters</w:t>
      </w:r>
      <w:r>
        <w:t>. Data will be captured over a 24 month period and participants will be provided with a web</w:t>
      </w:r>
      <w:r>
        <w:noBreakHyphen/>
        <w:t xml:space="preserve">based interface displaying their household </w:t>
      </w:r>
      <w:r w:rsidR="00D3691A">
        <w:t xml:space="preserve">demand and </w:t>
      </w:r>
      <w:r>
        <w:t>consumption</w:t>
      </w:r>
      <w:r w:rsidR="00D3691A">
        <w:t xml:space="preserve"> levels</w:t>
      </w:r>
      <w:r>
        <w:t xml:space="preserve">. The data will assist </w:t>
      </w:r>
      <w:r w:rsidR="002F5AC8">
        <w:t>TasNetworks understand how</w:t>
      </w:r>
      <w:r w:rsidR="00AD2BC2">
        <w:t xml:space="preserve"> its</w:t>
      </w:r>
      <w:r w:rsidR="002F5AC8">
        <w:t xml:space="preserve"> customers respond to the demand tariffs in terms of electricity use and impacts on their total bills. It will also assist TasNetworks with </w:t>
      </w:r>
      <w:r w:rsidR="00AD2BC2">
        <w:t xml:space="preserve">future </w:t>
      </w:r>
      <w:r w:rsidR="002F5AC8">
        <w:t>tariff design and communication of tariff impacts with</w:t>
      </w:r>
      <w:r w:rsidR="00AD2BC2">
        <w:t xml:space="preserve"> its</w:t>
      </w:r>
      <w:r w:rsidR="002F5AC8">
        <w:t xml:space="preserve"> customers. </w:t>
      </w:r>
    </w:p>
    <w:p w:rsidR="00383FF0" w:rsidRDefault="00AD2BC2" w:rsidP="00383FF0">
      <w:r>
        <w:t>We agree with the submissions from the</w:t>
      </w:r>
      <w:r w:rsidRPr="00DF6CA8">
        <w:t xml:space="preserve"> Tasmanian Small Business Council</w:t>
      </w:r>
      <w:r>
        <w:t xml:space="preserve"> (TSBC) and</w:t>
      </w:r>
      <w:r w:rsidR="00383FF0">
        <w:t xml:space="preserve"> </w:t>
      </w:r>
      <w:r w:rsidR="005656A1">
        <w:t>C</w:t>
      </w:r>
      <w:r w:rsidR="00383FF0">
        <w:t xml:space="preserve">onsumer </w:t>
      </w:r>
      <w:r w:rsidR="005656A1">
        <w:t>C</w:t>
      </w:r>
      <w:r w:rsidR="00383FF0">
        <w:t xml:space="preserve">hallenge </w:t>
      </w:r>
      <w:r w:rsidR="005656A1">
        <w:t>P</w:t>
      </w:r>
      <w:r w:rsidR="00383FF0">
        <w:t xml:space="preserve">anel </w:t>
      </w:r>
      <w:r w:rsidR="00D3691A">
        <w:t>member</w:t>
      </w:r>
      <w:r>
        <w:t xml:space="preserve"> Jo D</w:t>
      </w:r>
      <w:r w:rsidRPr="007C720D">
        <w:t>e Silva</w:t>
      </w:r>
      <w:r>
        <w:t xml:space="preserve"> which</w:t>
      </w:r>
      <w:r w:rsidRPr="007C720D">
        <w:t xml:space="preserve"> considered TasNetworks</w:t>
      </w:r>
      <w:r>
        <w:t xml:space="preserve"> should</w:t>
      </w:r>
      <w:r w:rsidRPr="007C720D">
        <w:t xml:space="preserve"> be commended for its tariff tri</w:t>
      </w:r>
      <w:r>
        <w:t>al of the new demand tariffs.</w:t>
      </w:r>
      <w:r>
        <w:rPr>
          <w:rStyle w:val="FootnoteReference"/>
        </w:rPr>
        <w:footnoteReference w:id="82"/>
      </w:r>
      <w:r>
        <w:t xml:space="preserve"> The submissions</w:t>
      </w:r>
      <w:r w:rsidRPr="007C720D">
        <w:t xml:space="preserve"> considered TasNetworks and its customers will be in a better position to make informed decisions </w:t>
      </w:r>
      <w:r w:rsidR="00D3691A">
        <w:t>after their experience in the trial</w:t>
      </w:r>
      <w:r>
        <w:t>.</w:t>
      </w:r>
      <w:r>
        <w:rPr>
          <w:rStyle w:val="FootnoteReference"/>
        </w:rPr>
        <w:footnoteReference w:id="83"/>
      </w:r>
      <w:r w:rsidR="00383FF0">
        <w:t xml:space="preserve"> </w:t>
      </w:r>
    </w:p>
    <w:p w:rsidR="00A51562" w:rsidRDefault="00383FF0" w:rsidP="00A51562">
      <w:r>
        <w:lastRenderedPageBreak/>
        <w:t xml:space="preserve">The trial will also address </w:t>
      </w:r>
      <w:r w:rsidR="002F5AC8">
        <w:t>Nekon</w:t>
      </w:r>
      <w:r>
        <w:t xml:space="preserve">'s </w:t>
      </w:r>
      <w:r w:rsidR="0064068F">
        <w:t>concern that there is a</w:t>
      </w:r>
      <w:r w:rsidR="002F5AC8">
        <w:t xml:space="preserve"> lack of data to support TasNetworks' proposed tariff reform.</w:t>
      </w:r>
      <w:r w:rsidR="002F5AC8">
        <w:rPr>
          <w:rStyle w:val="FootnoteReference"/>
        </w:rPr>
        <w:footnoteReference w:id="84"/>
      </w:r>
      <w:r w:rsidR="00BD38F9">
        <w:t xml:space="preserve"> </w:t>
      </w:r>
      <w:r w:rsidR="00AD2BC2">
        <w:t>We also consider th</w:t>
      </w:r>
      <w:r w:rsidR="00BD38F9">
        <w:t>e trial will provide insights into John Herbst's considerations that peak volume charging is more cost reflect</w:t>
      </w:r>
      <w:r w:rsidR="00C75996">
        <w:t>ive</w:t>
      </w:r>
      <w:r w:rsidR="00BD38F9">
        <w:t xml:space="preserve"> and provides better price signal than peak demand charging.</w:t>
      </w:r>
      <w:r w:rsidR="00BD38F9">
        <w:rPr>
          <w:rStyle w:val="FootnoteReference"/>
        </w:rPr>
        <w:footnoteReference w:id="85"/>
      </w:r>
      <w:r w:rsidR="00BD38F9">
        <w:t xml:space="preserve"> </w:t>
      </w:r>
      <w:r w:rsidR="00A51562">
        <w:t>We expect TasNetworks to provide</w:t>
      </w:r>
      <w:r w:rsidR="008C6E80">
        <w:t xml:space="preserve"> the</w:t>
      </w:r>
      <w:r w:rsidR="00A51562">
        <w:t xml:space="preserve"> findings of </w:t>
      </w:r>
      <w:r w:rsidR="00AD2BC2">
        <w:t>its</w:t>
      </w:r>
      <w:r w:rsidR="00A51562">
        <w:t xml:space="preserve"> tariff trial in its next tariff structure statement</w:t>
      </w:r>
      <w:r w:rsidR="00C75996">
        <w:t xml:space="preserve"> </w:t>
      </w:r>
      <w:r w:rsidR="008C6E80">
        <w:t>development</w:t>
      </w:r>
      <w:r w:rsidR="00C75996">
        <w:t xml:space="preserve"> process</w:t>
      </w:r>
      <w:r w:rsidR="00A51562">
        <w:t>.</w:t>
      </w:r>
    </w:p>
    <w:p w:rsidR="00BC25A5" w:rsidRDefault="00BF1B60" w:rsidP="00A51562">
      <w:r>
        <w:t xml:space="preserve">We also note that </w:t>
      </w:r>
      <w:r w:rsidR="00A51562">
        <w:t>Don Maisch and Nekon submitted concerns about the cost of the metering technology needed for the new demand tariffs.</w:t>
      </w:r>
      <w:r w:rsidR="00A51562">
        <w:rPr>
          <w:rStyle w:val="FootnoteReference"/>
        </w:rPr>
        <w:footnoteReference w:id="86"/>
      </w:r>
      <w:r w:rsidR="00A51562">
        <w:t xml:space="preserve"> </w:t>
      </w:r>
      <w:r>
        <w:t xml:space="preserve">As noted in our draft decision, the network tariff reform is </w:t>
      </w:r>
      <w:r w:rsidRPr="00BF1B60">
        <w:t xml:space="preserve">commencing at the same time as reforms to </w:t>
      </w:r>
      <w:r w:rsidR="00DA1C92">
        <w:t xml:space="preserve">the </w:t>
      </w:r>
      <w:r w:rsidRPr="00BF1B60">
        <w:t>provision of metering</w:t>
      </w:r>
      <w:r>
        <w:t xml:space="preserve"> and metering</w:t>
      </w:r>
      <w:r w:rsidRPr="00BF1B60">
        <w:t xml:space="preserve"> services.</w:t>
      </w:r>
      <w:r>
        <w:rPr>
          <w:rStyle w:val="FootnoteReference"/>
        </w:rPr>
        <w:footnoteReference w:id="87"/>
      </w:r>
      <w:r w:rsidR="002A24E4">
        <w:t xml:space="preserve"> </w:t>
      </w:r>
      <w:r w:rsidR="00DB064E">
        <w:t>The reforms will introduce competition in the provision of meters from 1 December 2017 through 'a market–led approach to the deployment of advanced meters'.</w:t>
      </w:r>
      <w:r w:rsidR="00DB064E">
        <w:rPr>
          <w:rStyle w:val="FootnoteReference"/>
        </w:rPr>
        <w:footnoteReference w:id="88"/>
      </w:r>
      <w:r w:rsidR="00DB064E">
        <w:t xml:space="preserve"> Therefore, while customers will incur the cost of a new advanced meter, </w:t>
      </w:r>
      <w:r w:rsidR="004865E2">
        <w:t xml:space="preserve">we consider that </w:t>
      </w:r>
      <w:r w:rsidR="00DB064E">
        <w:t>competition for the provision of these meters will see customers pay no more than necessary for them.</w:t>
      </w:r>
    </w:p>
    <w:p w:rsidR="00A51562" w:rsidRDefault="00A51562" w:rsidP="00A51562">
      <w:r>
        <w:t xml:space="preserve">Don Maisch also submitted concerns regarding the health effects of consumers from </w:t>
      </w:r>
      <w:r w:rsidR="0064068F">
        <w:t>advanced</w:t>
      </w:r>
      <w:r>
        <w:t xml:space="preserve"> meter emissions.</w:t>
      </w:r>
      <w:r>
        <w:rPr>
          <w:rStyle w:val="FootnoteReference"/>
        </w:rPr>
        <w:footnoteReference w:id="89"/>
      </w:r>
      <w:r w:rsidR="00612F1F">
        <w:t xml:space="preserve"> However, </w:t>
      </w:r>
      <w:r w:rsidR="00C75996">
        <w:t>w</w:t>
      </w:r>
      <w:r w:rsidR="00251A60">
        <w:t>e have no role in determining possible health related impact</w:t>
      </w:r>
      <w:r w:rsidR="00A66142">
        <w:t>s</w:t>
      </w:r>
      <w:r w:rsidR="00251A60">
        <w:t xml:space="preserve"> of the meters. </w:t>
      </w:r>
      <w:r w:rsidR="00612F1F">
        <w:t>We do observe that there have been</w:t>
      </w:r>
      <w:r w:rsidR="003F58B7">
        <w:t xml:space="preserve"> concerns about the health effect of smart meters raised by consumers such as Don Maisch</w:t>
      </w:r>
      <w:r w:rsidR="00F23335">
        <w:t xml:space="preserve"> and such concerns have been considered by other agencies in other jurisdictions</w:t>
      </w:r>
      <w:r w:rsidR="003F58B7">
        <w:t>.</w:t>
      </w:r>
    </w:p>
    <w:p w:rsidR="00A51562" w:rsidRDefault="003F58B7" w:rsidP="00702845">
      <w:r w:rsidRPr="003F58B7">
        <w:t>All smart meters installed in Victoria must comply with electromagnetic exposure limits developed by the Australian Radiation Protection and Nuclear Safety Agency</w:t>
      </w:r>
      <w:r>
        <w:t xml:space="preserve">. That agency found that </w:t>
      </w:r>
      <w:r w:rsidRPr="003F58B7">
        <w:t>radiofrequency electromagnetic radiation</w:t>
      </w:r>
      <w:r>
        <w:t xml:space="preserve"> from these meters is very low and well below exposure limits.</w:t>
      </w:r>
      <w:r>
        <w:rPr>
          <w:rStyle w:val="FootnoteReference"/>
        </w:rPr>
        <w:footnoteReference w:id="90"/>
      </w:r>
      <w:r>
        <w:t xml:space="preserve"> </w:t>
      </w:r>
      <w:r w:rsidR="00251A60">
        <w:t>To further respond to consumers concerns about the health related implications of smart meters, t</w:t>
      </w:r>
      <w:r>
        <w:t xml:space="preserve">he Victorian government </w:t>
      </w:r>
      <w:r w:rsidR="00251A60">
        <w:t>undertook independent testing in 2011</w:t>
      </w:r>
      <w:r>
        <w:t xml:space="preserve"> and 2015</w:t>
      </w:r>
      <w:r w:rsidR="00251A60">
        <w:t xml:space="preserve"> to ensure the smart meters continued to meet the standards set by the Radiation Protection agency. The studies confirmed this to be the case.</w:t>
      </w:r>
      <w:r w:rsidR="00251A60">
        <w:rPr>
          <w:rStyle w:val="FootnoteReference"/>
        </w:rPr>
        <w:footnoteReference w:id="91"/>
      </w:r>
      <w:r w:rsidR="00251A60">
        <w:t xml:space="preserve"> </w:t>
      </w:r>
    </w:p>
    <w:p w:rsidR="00816627" w:rsidRDefault="00816627" w:rsidP="001D5828">
      <w:pPr>
        <w:pStyle w:val="Heading4"/>
      </w:pPr>
      <w:r>
        <w:t>Tariff assignment</w:t>
      </w:r>
    </w:p>
    <w:p w:rsidR="003B558A" w:rsidRDefault="00957663" w:rsidP="00951506">
      <w:r>
        <w:lastRenderedPageBreak/>
        <w:t>We a</w:t>
      </w:r>
      <w:r w:rsidR="00AC107C">
        <w:t>pprove</w:t>
      </w:r>
      <w:r>
        <w:t xml:space="preserve"> </w:t>
      </w:r>
      <w:r w:rsidR="002201F5">
        <w:t xml:space="preserve">TasNetworks' proposed </w:t>
      </w:r>
      <w:r>
        <w:t xml:space="preserve">tariff assignment policy </w:t>
      </w:r>
      <w:r w:rsidR="002201F5">
        <w:t>for residential customers</w:t>
      </w:r>
      <w:r w:rsidR="003B558A">
        <w:t xml:space="preserve">. We approved the same </w:t>
      </w:r>
      <w:r w:rsidR="003B558A" w:rsidRPr="003B558A">
        <w:t>tariff assignment policy</w:t>
      </w:r>
      <w:r w:rsidR="003B558A">
        <w:t xml:space="preserve"> in our draft decision.</w:t>
      </w:r>
      <w:r w:rsidR="003B558A">
        <w:rPr>
          <w:rStyle w:val="FootnoteReference"/>
        </w:rPr>
        <w:footnoteReference w:id="92"/>
      </w:r>
    </w:p>
    <w:p w:rsidR="000C5C8F" w:rsidRDefault="000C5C8F" w:rsidP="000C5C8F">
      <w:r w:rsidRPr="0026731D">
        <w:t>For the</w:t>
      </w:r>
      <w:r>
        <w:t xml:space="preserve"> 2017–19 regulatory control period</w:t>
      </w:r>
      <w:r w:rsidRPr="0026731D">
        <w:t xml:space="preserve">, no residential customers will be mandatorily assigned to a time of use consumption or </w:t>
      </w:r>
      <w:r>
        <w:t xml:space="preserve">demand tariff. Instead these </w:t>
      </w:r>
      <w:r w:rsidRPr="0026731D">
        <w:t>ta</w:t>
      </w:r>
      <w:r w:rsidR="007A0707">
        <w:t>riffs will be offered on an opt</w:t>
      </w:r>
      <w:r w:rsidR="006B0498">
        <w:noBreakHyphen/>
      </w:r>
      <w:r w:rsidRPr="0026731D">
        <w:t>in basis.</w:t>
      </w:r>
      <w:r>
        <w:rPr>
          <w:rStyle w:val="FootnoteReference"/>
        </w:rPr>
        <w:footnoteReference w:id="93"/>
      </w:r>
      <w:r w:rsidRPr="0026731D">
        <w:t xml:space="preserve"> </w:t>
      </w:r>
      <w:r>
        <w:t>The default</w:t>
      </w:r>
      <w:r w:rsidR="00E40FE6">
        <w:t xml:space="preserve"> assignment of residential customers will </w:t>
      </w:r>
      <w:r>
        <w:t xml:space="preserve">remain the </w:t>
      </w:r>
      <w:r w:rsidRPr="003B558A">
        <w:t>'flat' consumption tariff</w:t>
      </w:r>
      <w:r>
        <w:t>.</w:t>
      </w:r>
    </w:p>
    <w:p w:rsidR="007A0707" w:rsidRDefault="007A0707" w:rsidP="000C5C8F">
      <w:r>
        <w:t>We re</w:t>
      </w:r>
      <w:r w:rsidR="00167BCD">
        <w:t>ceived a number of submissions on TasNetworks' tariff assignment policy.</w:t>
      </w:r>
    </w:p>
    <w:p w:rsidR="00167BCD" w:rsidRDefault="0060640D" w:rsidP="00167BCD">
      <w:r>
        <w:t xml:space="preserve">Consumer Challenge Panel member </w:t>
      </w:r>
      <w:r w:rsidR="00167BCD" w:rsidRPr="007C720D">
        <w:t>Jo De Silva</w:t>
      </w:r>
      <w:r w:rsidR="00167BCD">
        <w:t xml:space="preserve">, TSBC and </w:t>
      </w:r>
      <w:r w:rsidR="00167BCD" w:rsidRPr="00BB1B6C">
        <w:t>TREA</w:t>
      </w:r>
      <w:r w:rsidR="00167BCD">
        <w:t xml:space="preserve"> supported the introduction of</w:t>
      </w:r>
      <w:r w:rsidR="00167BCD" w:rsidRPr="007C720D">
        <w:t xml:space="preserve"> the new</w:t>
      </w:r>
      <w:r w:rsidR="00167BCD">
        <w:t xml:space="preserve"> cost reflective time of use</w:t>
      </w:r>
      <w:r w:rsidR="00167BCD" w:rsidRPr="007C720D">
        <w:t xml:space="preserve"> demand tariffs on an opt</w:t>
      </w:r>
      <w:r w:rsidR="00167BCD">
        <w:noBreakHyphen/>
      </w:r>
      <w:r w:rsidR="00167BCD" w:rsidRPr="007C720D">
        <w:t>in basis.</w:t>
      </w:r>
      <w:r w:rsidR="00167BCD" w:rsidRPr="007C720D">
        <w:rPr>
          <w:rStyle w:val="FootnoteReference"/>
        </w:rPr>
        <w:footnoteReference w:id="94"/>
      </w:r>
      <w:r w:rsidR="00167BCD">
        <w:t xml:space="preserve"> These stakeholders considered an opt</w:t>
      </w:r>
      <w:r w:rsidR="00167BCD">
        <w:noBreakHyphen/>
        <w:t>in approach appropriate as time was</w:t>
      </w:r>
      <w:r w:rsidR="00167BCD" w:rsidRPr="007C720D">
        <w:t xml:space="preserve"> needed</w:t>
      </w:r>
      <w:r w:rsidR="00167BCD">
        <w:t xml:space="preserve"> for customers to better understand the tariffs and their impacts before being subject to them. The TSBC encouraged TasNetworks to provide further assistance to customers to support this outcome.</w:t>
      </w:r>
      <w:r w:rsidR="00167BCD">
        <w:rPr>
          <w:rStyle w:val="FootnoteReference"/>
        </w:rPr>
        <w:footnoteReference w:id="95"/>
      </w:r>
    </w:p>
    <w:p w:rsidR="00167BCD" w:rsidRDefault="00167BCD" w:rsidP="00167BCD">
      <w:r>
        <w:t>While TREA supported the demand tariffs be made available on an opt</w:t>
      </w:r>
      <w:r>
        <w:noBreakHyphen/>
        <w:t xml:space="preserve">in basis, it raised concern with TasNetworks' view that all customers will transition to time of use demand tariffs </w:t>
      </w:r>
      <w:r w:rsidR="008C6E80">
        <w:t>in future</w:t>
      </w:r>
      <w:r>
        <w:t>.</w:t>
      </w:r>
      <w:r>
        <w:rPr>
          <w:rStyle w:val="FootnoteReference"/>
        </w:rPr>
        <w:footnoteReference w:id="96"/>
      </w:r>
      <w:r>
        <w:t xml:space="preserve"> </w:t>
      </w:r>
      <w:r w:rsidRPr="004777CD">
        <w:t>It considered that data</w:t>
      </w:r>
      <w:r w:rsidR="00CC08D9">
        <w:t xml:space="preserve"> should</w:t>
      </w:r>
      <w:r w:rsidRPr="004777CD">
        <w:t xml:space="preserve"> be collected over the 2017–19 regulatory control period to inform TasNetworks on </w:t>
      </w:r>
      <w:r w:rsidR="008C6E80">
        <w:t xml:space="preserve">any additional </w:t>
      </w:r>
      <w:r w:rsidRPr="004777CD">
        <w:t>options for moving to more efficient and cost reflective tariffs</w:t>
      </w:r>
      <w:r w:rsidR="008C6E80">
        <w:t>,</w:t>
      </w:r>
      <w:r w:rsidRPr="004777CD">
        <w:t xml:space="preserve"> while minimising adverse customer impacts.</w:t>
      </w:r>
    </w:p>
    <w:p w:rsidR="00167BCD" w:rsidRDefault="008C6E80" w:rsidP="00167BCD">
      <w:r>
        <w:t>C</w:t>
      </w:r>
      <w:r w:rsidR="00167BCD" w:rsidRPr="00C8112C">
        <w:t xml:space="preserve">onsumer </w:t>
      </w:r>
      <w:r w:rsidR="0060640D">
        <w:t>C</w:t>
      </w:r>
      <w:r w:rsidR="00167BCD" w:rsidRPr="00C8112C">
        <w:t xml:space="preserve">hallenge </w:t>
      </w:r>
      <w:r w:rsidR="0060640D">
        <w:t>P</w:t>
      </w:r>
      <w:r w:rsidR="00167BCD" w:rsidRPr="00C8112C">
        <w:t>anel member David Headberry</w:t>
      </w:r>
      <w:r w:rsidR="00167BCD">
        <w:t xml:space="preserve"> did not support the opt</w:t>
      </w:r>
      <w:r w:rsidR="00167BCD">
        <w:noBreakHyphen/>
        <w:t>in approach for the demand tariffs</w:t>
      </w:r>
      <w:r w:rsidR="0060640D">
        <w:t>. He considered</w:t>
      </w:r>
      <w:r w:rsidR="00167BCD">
        <w:t xml:space="preserve"> it distorts cost reflectivity because</w:t>
      </w:r>
      <w:r w:rsidR="007639A9">
        <w:t xml:space="preserve"> custom</w:t>
      </w:r>
      <w:r w:rsidR="00167BCD" w:rsidRPr="00C8112C">
        <w:t>ers will only opt</w:t>
      </w:r>
      <w:r w:rsidR="00167BCD" w:rsidRPr="00C8112C">
        <w:softHyphen/>
      </w:r>
      <w:r w:rsidR="00167BCD">
        <w:noBreakHyphen/>
      </w:r>
      <w:r w:rsidR="00167BCD" w:rsidRPr="00C8112C">
        <w:t xml:space="preserve">in if they get a lower </w:t>
      </w:r>
      <w:r w:rsidR="00167BCD">
        <w:t>bill</w:t>
      </w:r>
      <w:r w:rsidR="00167BCD" w:rsidRPr="00C8112C">
        <w:t>.</w:t>
      </w:r>
      <w:r w:rsidR="00167BCD" w:rsidRPr="00C8112C">
        <w:rPr>
          <w:rStyle w:val="FootnoteReference"/>
        </w:rPr>
        <w:footnoteReference w:id="97"/>
      </w:r>
      <w:r w:rsidR="00167BCD">
        <w:t xml:space="preserve"> While Nekon submitted there was not enough information on </w:t>
      </w:r>
      <w:r w:rsidR="00A9719F">
        <w:t xml:space="preserve">opting out </w:t>
      </w:r>
      <w:r w:rsidR="00167BCD">
        <w:t>provisions for demand tariff</w:t>
      </w:r>
      <w:r w:rsidR="00A9719F">
        <w:t>s</w:t>
      </w:r>
      <w:r w:rsidR="00167BCD">
        <w:t xml:space="preserve"> once a customer has opted in.</w:t>
      </w:r>
      <w:r w:rsidR="00167BCD">
        <w:rPr>
          <w:rStyle w:val="FootnoteReference"/>
        </w:rPr>
        <w:footnoteReference w:id="98"/>
      </w:r>
    </w:p>
    <w:p w:rsidR="00251A60" w:rsidRDefault="00A9719F" w:rsidP="00153EA5">
      <w:r>
        <w:t>After t</w:t>
      </w:r>
      <w:r w:rsidR="00CC08D9">
        <w:t xml:space="preserve">aking into consideration </w:t>
      </w:r>
      <w:r>
        <w:t>the stakeholder s</w:t>
      </w:r>
      <w:r w:rsidR="00CC08D9">
        <w:t>ubmissions, w</w:t>
      </w:r>
      <w:r w:rsidR="000C5C8F">
        <w:t>e maintain our draft decision</w:t>
      </w:r>
      <w:r w:rsidR="00E71C99">
        <w:t xml:space="preserve"> view</w:t>
      </w:r>
      <w:r w:rsidR="000C5C8F">
        <w:t xml:space="preserve"> that </w:t>
      </w:r>
      <w:r w:rsidR="00700720" w:rsidRPr="000C5C8F">
        <w:t>TasNetworks</w:t>
      </w:r>
      <w:r w:rsidR="00226568">
        <w:t>'</w:t>
      </w:r>
      <w:r w:rsidR="00700720" w:rsidRPr="000C5C8F">
        <w:t xml:space="preserve"> proposed</w:t>
      </w:r>
      <w:r w:rsidR="00903F4C">
        <w:t xml:space="preserve"> opt</w:t>
      </w:r>
      <w:r w:rsidR="00903F4C">
        <w:noBreakHyphen/>
        <w:t>in</w:t>
      </w:r>
      <w:r w:rsidR="00700720" w:rsidRPr="000C5C8F">
        <w:t xml:space="preserve"> </w:t>
      </w:r>
      <w:r w:rsidR="000C5C8F" w:rsidRPr="000C5C8F">
        <w:t>approach</w:t>
      </w:r>
      <w:r>
        <w:t xml:space="preserve"> </w:t>
      </w:r>
      <w:r w:rsidR="000C5C8F" w:rsidRPr="000C5C8F">
        <w:t>contributes to the achievement of compliance with the distribution pricing principles.</w:t>
      </w:r>
      <w:r w:rsidR="00226568">
        <w:rPr>
          <w:rStyle w:val="FootnoteReference"/>
        </w:rPr>
        <w:footnoteReference w:id="99"/>
      </w:r>
    </w:p>
    <w:p w:rsidR="00903F4C" w:rsidRDefault="006D131A" w:rsidP="00153EA5">
      <w:r>
        <w:t>We are of this view</w:t>
      </w:r>
      <w:r w:rsidR="000C5C8F" w:rsidRPr="000C5C8F">
        <w:t xml:space="preserve"> because it takes into account customer impacts by ensuring that </w:t>
      </w:r>
      <w:r w:rsidR="00153EA5">
        <w:t>residential</w:t>
      </w:r>
      <w:r w:rsidR="000C5C8F" w:rsidRPr="000C5C8F">
        <w:t xml:space="preserve"> customers have time to better understand new demand tariffs</w:t>
      </w:r>
      <w:r w:rsidR="00153EA5">
        <w:t xml:space="preserve"> before switching to it</w:t>
      </w:r>
      <w:r w:rsidR="000C5C8F" w:rsidRPr="000C5C8F">
        <w:t xml:space="preserve">. </w:t>
      </w:r>
      <w:r w:rsidR="00251A60">
        <w:t xml:space="preserve">TasNetworks has taken account of customer concerns by only </w:t>
      </w:r>
      <w:r w:rsidR="00251A60">
        <w:lastRenderedPageBreak/>
        <w:t xml:space="preserve">proposing an opt-in demand tariff for 2017–19. </w:t>
      </w:r>
      <w:r w:rsidR="000C5C8F" w:rsidRPr="000C5C8F">
        <w:t>In this way, the goal of tariff reform is progressively explained over time, lending itself to potentially more acceptance than one based on significant sho</w:t>
      </w:r>
      <w:r w:rsidR="00153EA5">
        <w:t>rt term change.</w:t>
      </w:r>
      <w:r w:rsidR="009A2DE1">
        <w:t xml:space="preserve"> TasNetworks has also taken into account the relatively short two year regulatory control period when considering customer assignments in the immediate term.</w:t>
      </w:r>
    </w:p>
    <w:p w:rsidR="00903F4C" w:rsidRDefault="006D131A" w:rsidP="00FA6A43">
      <w:r>
        <w:t>The basis of o</w:t>
      </w:r>
      <w:r w:rsidR="00A5214D">
        <w:t>ur</w:t>
      </w:r>
      <w:r w:rsidR="00903F4C">
        <w:t xml:space="preserve"> </w:t>
      </w:r>
      <w:r>
        <w:t>view</w:t>
      </w:r>
      <w:r w:rsidR="00A525BA">
        <w:t xml:space="preserve"> that customers need time to understand the tariff changes</w:t>
      </w:r>
      <w:r w:rsidR="00903F4C">
        <w:t xml:space="preserve"> is </w:t>
      </w:r>
      <w:r>
        <w:t xml:space="preserve">prevalent in </w:t>
      </w:r>
      <w:r w:rsidR="00903F4C">
        <w:t>the submission</w:t>
      </w:r>
      <w:r w:rsidR="00A525BA">
        <w:t>s</w:t>
      </w:r>
      <w:r w:rsidR="00903F4C">
        <w:t xml:space="preserve"> from</w:t>
      </w:r>
      <w:r w:rsidR="00A525BA">
        <w:t xml:space="preserve"> Nekon and</w:t>
      </w:r>
      <w:r w:rsidR="00903F4C">
        <w:t xml:space="preserve"> r</w:t>
      </w:r>
      <w:r w:rsidR="00903F4C" w:rsidRPr="007C720D">
        <w:t>esidential</w:t>
      </w:r>
      <w:r w:rsidR="00A525BA">
        <w:t xml:space="preserve"> retail customer, Michael Powe.</w:t>
      </w:r>
      <w:r w:rsidR="00FA6A43">
        <w:t xml:space="preserve"> </w:t>
      </w:r>
      <w:r w:rsidR="00A525BA">
        <w:t>Nekon submitted that the broader community is yet to understand and provide input into the proposed tariff changes.</w:t>
      </w:r>
      <w:r w:rsidR="00A525BA">
        <w:rPr>
          <w:rStyle w:val="FootnoteReference"/>
        </w:rPr>
        <w:footnoteReference w:id="100"/>
      </w:r>
      <w:r w:rsidR="00A525BA">
        <w:t xml:space="preserve"> While Michael Powe considered </w:t>
      </w:r>
      <w:r w:rsidR="00903F4C">
        <w:t>the current tariffs should</w:t>
      </w:r>
      <w:r w:rsidR="00FA6A43">
        <w:t xml:space="preserve"> not be altered </w:t>
      </w:r>
      <w:r w:rsidR="00903F4C">
        <w:t>and if TasNetworks requires more income then it should increase the kilowatts per hour charge rather than implementing new tariffs.</w:t>
      </w:r>
      <w:r w:rsidR="00A525BA" w:rsidRPr="007C720D">
        <w:rPr>
          <w:rStyle w:val="FootnoteReference"/>
        </w:rPr>
        <w:footnoteReference w:id="101"/>
      </w:r>
    </w:p>
    <w:p w:rsidR="00241B5C" w:rsidRDefault="00903F4C" w:rsidP="00A5214D">
      <w:r>
        <w:t>Michael Powe</w:t>
      </w:r>
      <w:r w:rsidR="00E724E5">
        <w:t>'s submission</w:t>
      </w:r>
      <w:r>
        <w:t xml:space="preserve"> is a personal account of the concerns of TasNetworks' customers </w:t>
      </w:r>
      <w:r w:rsidR="00E724E5">
        <w:t>during</w:t>
      </w:r>
      <w:r>
        <w:t xml:space="preserve"> this initial phase of tariff reform. It als</w:t>
      </w:r>
      <w:r w:rsidR="007639A9">
        <w:t>o supports our considerations on</w:t>
      </w:r>
      <w:r>
        <w:t xml:space="preserve"> TasNetworks tariff structure statement which attempts to balance the transition to more cost reflective pricing against customer awareness and</w:t>
      </w:r>
      <w:r w:rsidRPr="008F31D6">
        <w:t xml:space="preserve"> </w:t>
      </w:r>
      <w:r>
        <w:t xml:space="preserve">impacts. </w:t>
      </w:r>
      <w:r w:rsidR="00E724E5">
        <w:t xml:space="preserve">TasNetworks needs to develop cost reflecting pricing under the new rules. </w:t>
      </w:r>
      <w:r w:rsidR="00A5214D">
        <w:t>The continuation of TasNetworks'</w:t>
      </w:r>
      <w:r>
        <w:t xml:space="preserve"> existing tariffs over the 2017</w:t>
      </w:r>
      <w:r w:rsidR="00A5214D">
        <w:t>–19 regulatory control period will</w:t>
      </w:r>
      <w:r>
        <w:t xml:space="preserve"> allow customers like Michael Powe, time to understand the new demand tariff</w:t>
      </w:r>
      <w:r w:rsidR="007639A9">
        <w:t>s</w:t>
      </w:r>
      <w:r>
        <w:t xml:space="preserve"> as </w:t>
      </w:r>
      <w:r w:rsidR="007639A9">
        <w:t>they</w:t>
      </w:r>
      <w:r>
        <w:t xml:space="preserve"> r</w:t>
      </w:r>
      <w:r w:rsidR="00A525BA">
        <w:t>epresent a significant change</w:t>
      </w:r>
      <w:r w:rsidR="007639A9">
        <w:t xml:space="preserve"> to customers</w:t>
      </w:r>
      <w:r w:rsidR="00A525BA">
        <w:t>.</w:t>
      </w:r>
      <w:r w:rsidR="00E724E5">
        <w:t xml:space="preserve"> And these </w:t>
      </w:r>
      <w:r w:rsidR="006A140C">
        <w:t>customers</w:t>
      </w:r>
      <w:r w:rsidR="00E724E5">
        <w:t xml:space="preserve"> will not</w:t>
      </w:r>
      <w:r w:rsidR="006A140C">
        <w:t xml:space="preserve"> be compelled to take up the new demand tariff.</w:t>
      </w:r>
    </w:p>
    <w:p w:rsidR="00903F4C" w:rsidRDefault="00A9719F" w:rsidP="00A5214D">
      <w:r>
        <w:t>As noted by TasNetworks,</w:t>
      </w:r>
      <w:r w:rsidRPr="00890500">
        <w:t xml:space="preserve"> </w:t>
      </w:r>
      <w:r>
        <w:t>a</w:t>
      </w:r>
      <w:r w:rsidRPr="00890500">
        <w:t xml:space="preserve">n important part of </w:t>
      </w:r>
      <w:r>
        <w:t>its</w:t>
      </w:r>
      <w:r w:rsidRPr="00890500">
        <w:t xml:space="preserve"> ongoing </w:t>
      </w:r>
      <w:r w:rsidR="00241B5C" w:rsidRPr="00890500">
        <w:t xml:space="preserve">network tariffs </w:t>
      </w:r>
      <w:r w:rsidRPr="00890500">
        <w:t>review</w:t>
      </w:r>
      <w:r w:rsidR="00241B5C">
        <w:t xml:space="preserve"> </w:t>
      </w:r>
      <w:r w:rsidRPr="00890500">
        <w:t>and contin</w:t>
      </w:r>
      <w:r>
        <w:t xml:space="preserve">uing tariff reform journey is </w:t>
      </w:r>
      <w:r w:rsidRPr="00890500">
        <w:t>customer consultation.</w:t>
      </w:r>
      <w:r>
        <w:rPr>
          <w:rStyle w:val="FootnoteReference"/>
        </w:rPr>
        <w:footnoteReference w:id="102"/>
      </w:r>
      <w:r>
        <w:t xml:space="preserve"> We encourage TasNetworks to continue to engage with customers</w:t>
      </w:r>
      <w:r w:rsidR="006A140C">
        <w:t>,</w:t>
      </w:r>
      <w:r>
        <w:t xml:space="preserve"> such as Michael Powe</w:t>
      </w:r>
      <w:r w:rsidR="006A140C">
        <w:t>,</w:t>
      </w:r>
      <w:r>
        <w:t xml:space="preserve"> for its next tariff structure statement. </w:t>
      </w:r>
      <w:r w:rsidR="00903F4C">
        <w:t xml:space="preserve">We </w:t>
      </w:r>
      <w:r w:rsidR="00E71C99">
        <w:t>consider</w:t>
      </w:r>
      <w:r w:rsidR="00903F4C">
        <w:t xml:space="preserve"> TasNetworks tariff trial to better understand the impacts of demand tariffs and </w:t>
      </w:r>
      <w:r w:rsidR="00241B5C">
        <w:t xml:space="preserve">how </w:t>
      </w:r>
      <w:r w:rsidR="00903F4C">
        <w:t xml:space="preserve">customers respond </w:t>
      </w:r>
      <w:r w:rsidR="00241B5C">
        <w:t>to these tariffs through their</w:t>
      </w:r>
      <w:r w:rsidR="00903F4C">
        <w:t xml:space="preserve"> electricity </w:t>
      </w:r>
      <w:r w:rsidR="00A5214D">
        <w:t>use and impacts on total bills</w:t>
      </w:r>
      <w:r w:rsidR="00E71C99">
        <w:t xml:space="preserve"> will assist</w:t>
      </w:r>
      <w:r w:rsidR="00FA6A43">
        <w:t xml:space="preserve"> with this engagement</w:t>
      </w:r>
      <w:r w:rsidR="00A5214D">
        <w:t>.</w:t>
      </w:r>
      <w:r w:rsidR="00CC08D9">
        <w:t xml:space="preserve"> </w:t>
      </w:r>
      <w:r>
        <w:t xml:space="preserve">This position is supported by </w:t>
      </w:r>
      <w:r w:rsidR="00CC08D9">
        <w:t>TREA.</w:t>
      </w:r>
      <w:r>
        <w:rPr>
          <w:rStyle w:val="FootnoteReference"/>
        </w:rPr>
        <w:footnoteReference w:id="103"/>
      </w:r>
    </w:p>
    <w:p w:rsidR="00CC08D9" w:rsidRDefault="00A5214D" w:rsidP="00037F5A">
      <w:r>
        <w:t>While we accept an opt</w:t>
      </w:r>
      <w:r>
        <w:noBreakHyphen/>
        <w:t xml:space="preserve">in approach for this initial phase of tariff reform, we acknowledge </w:t>
      </w:r>
      <w:r w:rsidRPr="00A5214D">
        <w:t>David Headberry</w:t>
      </w:r>
      <w:r>
        <w:t xml:space="preserve">'s </w:t>
      </w:r>
      <w:r w:rsidR="00037F5A">
        <w:t xml:space="preserve">view that </w:t>
      </w:r>
      <w:r>
        <w:t>opt</w:t>
      </w:r>
      <w:r>
        <w:noBreakHyphen/>
        <w:t>in arrangements may not be appropriate in</w:t>
      </w:r>
      <w:r w:rsidR="006A140C">
        <w:t>to the medium term</w:t>
      </w:r>
      <w:r>
        <w:t xml:space="preserve">. </w:t>
      </w:r>
      <w:r w:rsidR="00037F5A">
        <w:t>As</w:t>
      </w:r>
      <w:r w:rsidR="00CC08D9">
        <w:t xml:space="preserve"> we</w:t>
      </w:r>
      <w:r w:rsidR="00037F5A">
        <w:t xml:space="preserve"> discuss further below, </w:t>
      </w:r>
      <w:r w:rsidR="00037F5A" w:rsidRPr="00037F5A">
        <w:t>for the next round of tariff structure statements</w:t>
      </w:r>
      <w:r w:rsidR="00CC08D9">
        <w:t xml:space="preserve"> we may consider</w:t>
      </w:r>
      <w:r w:rsidR="00037F5A" w:rsidRPr="00037F5A">
        <w:t xml:space="preserve"> default assignment to cost reflective tariffs with opt-out provisions</w:t>
      </w:r>
      <w:r w:rsidR="00037F5A">
        <w:t xml:space="preserve"> or mandatory </w:t>
      </w:r>
      <w:r w:rsidR="00037F5A" w:rsidRPr="00037F5A">
        <w:t>assignment</w:t>
      </w:r>
      <w:r w:rsidR="00037F5A">
        <w:t xml:space="preserve"> may be more appropriate. </w:t>
      </w:r>
      <w:r w:rsidR="00A9719F">
        <w:t>We note the approach of moving customers to cost reflective tariffs will need to be considered against the customer impact</w:t>
      </w:r>
      <w:r w:rsidR="00A9719F" w:rsidRPr="00037F5A">
        <w:t xml:space="preserve"> principle in the NER.</w:t>
      </w:r>
      <w:r w:rsidR="00A9719F">
        <w:t xml:space="preserve"> This position is also supported by TREA.</w:t>
      </w:r>
      <w:r w:rsidR="00FF3E3F">
        <w:rPr>
          <w:rStyle w:val="FootnoteReference"/>
        </w:rPr>
        <w:footnoteReference w:id="104"/>
      </w:r>
    </w:p>
    <w:p w:rsidR="00CC08D9" w:rsidRDefault="00037F5A" w:rsidP="00903F4C">
      <w:r>
        <w:t xml:space="preserve">In regard to Nekon's consideration that there was not enough information provided by TasNetworks on the provisions for opting out of a demand tariff once a customer has </w:t>
      </w:r>
      <w:r>
        <w:lastRenderedPageBreak/>
        <w:t>opted in, we agree.</w:t>
      </w:r>
      <w:r>
        <w:rPr>
          <w:rStyle w:val="FootnoteReference"/>
        </w:rPr>
        <w:footnoteReference w:id="105"/>
      </w:r>
      <w:r>
        <w:t xml:space="preserve"> We</w:t>
      </w:r>
      <w:r w:rsidR="00CC08D9">
        <w:t xml:space="preserve"> note upon request from us, TasNetworks has provided its Network Tariff Application and Price Guide for the 2017–19 regulatory control period which provides detail </w:t>
      </w:r>
      <w:r w:rsidR="00A9719F">
        <w:t xml:space="preserve">of the opt out arrangements. </w:t>
      </w:r>
      <w:r w:rsidR="00FF3E3F">
        <w:t xml:space="preserve">We have published TasNetworks' </w:t>
      </w:r>
      <w:r w:rsidR="00FF3E3F" w:rsidRPr="00FF3E3F">
        <w:t>Network Tariff Application and Price Guide</w:t>
      </w:r>
      <w:r w:rsidR="00FF3E3F">
        <w:t xml:space="preserve"> with our final decision.</w:t>
      </w:r>
    </w:p>
    <w:p w:rsidR="00702845" w:rsidRDefault="00903F4C" w:rsidP="00903F4C">
      <w:r>
        <w:t>We also note that TasNetworks total revenue requirement is not impacted by the introduction of the new demand tariffs</w:t>
      </w:r>
      <w:r w:rsidR="00095625">
        <w:t>,</w:t>
      </w:r>
      <w:r>
        <w:t xml:space="preserve"> as alluded to by Michael Powe.</w:t>
      </w:r>
      <w:r>
        <w:rPr>
          <w:rStyle w:val="FootnoteReference"/>
        </w:rPr>
        <w:footnoteReference w:id="106"/>
      </w:r>
      <w:r>
        <w:t xml:space="preserve"> Rather TasNetworks' total revenue requirement is subject to a revenue cap control mechanism for the 2017–19 regulatory control period. As such</w:t>
      </w:r>
      <w:r w:rsidR="00702845">
        <w:t>,</w:t>
      </w:r>
      <w:r>
        <w:t xml:space="preserve"> TasNetworks' cannot earn more revenue than that as set out in our final decision. We note our final decision total revenue requirement will see TasNetworks' earn lower annual revenues over the 2017–19 regulatory control period than it has over the current regulatory control period. </w:t>
      </w:r>
    </w:p>
    <w:p w:rsidR="00F167D2" w:rsidRDefault="00702845" w:rsidP="00702845">
      <w:r>
        <w:t>On a related issue, Nekon submitted that while the total revenue requirement is capped it is concerned there are no measures to cap annual tariff levels.</w:t>
      </w:r>
      <w:r>
        <w:rPr>
          <w:rStyle w:val="FootnoteReference"/>
        </w:rPr>
        <w:footnoteReference w:id="107"/>
      </w:r>
      <w:r>
        <w:t xml:space="preserve"> We note the NER sets out that f</w:t>
      </w:r>
      <w:r w:rsidRPr="00702845">
        <w:t>or each regulatory year a</w:t>
      </w:r>
      <w:r w:rsidR="00A3503D">
        <w:t>fter the first year in</w:t>
      </w:r>
      <w:r w:rsidRPr="00702845">
        <w:t xml:space="preserve"> a regulatory control period, side constraints apply to the weighted average revenue raised from each tariff class.</w:t>
      </w:r>
      <w:r w:rsidR="00A3503D" w:rsidRPr="00A3503D">
        <w:rPr>
          <w:rStyle w:val="FootnoteReference"/>
        </w:rPr>
        <w:footnoteReference w:id="108"/>
      </w:r>
      <w:r w:rsidRPr="00702845">
        <w:t xml:space="preserve"> In accordance with the NER, the permissible percentage increase is the greater of CPI–X plus 2 per cent or CPI plus 2 per cent.</w:t>
      </w:r>
      <w:r w:rsidR="00A3503D">
        <w:t xml:space="preserve"> Although this constraint applies at the tariff class level</w:t>
      </w:r>
      <w:r w:rsidR="00F167D2">
        <w:t>,</w:t>
      </w:r>
      <w:r w:rsidR="00A3503D">
        <w:t xml:space="preserve"> by way of application it also constrains the movement in individual tariffs.</w:t>
      </w:r>
    </w:p>
    <w:p w:rsidR="00702845" w:rsidRDefault="00A3503D" w:rsidP="00702845">
      <w:r>
        <w:t>Further, TasNetworks</w:t>
      </w:r>
      <w:r w:rsidR="00BE0875">
        <w:t xml:space="preserve"> tariff structure statement</w:t>
      </w:r>
      <w:r>
        <w:t xml:space="preserve"> is required to</w:t>
      </w:r>
      <w:r w:rsidR="00BE0875">
        <w:t xml:space="preserve"> be </w:t>
      </w:r>
      <w:r w:rsidR="00BE0875" w:rsidRPr="00BE0875">
        <w:t>accompanied by an indicative pricing schedule</w:t>
      </w:r>
      <w:r w:rsidR="007819BD">
        <w:t xml:space="preserve"> which sets out the price level for each tariff of the regulatory control period</w:t>
      </w:r>
      <w:r w:rsidR="00BE0875" w:rsidRPr="00BE0875">
        <w:t>.</w:t>
      </w:r>
      <w:r w:rsidR="00BE0875">
        <w:rPr>
          <w:rStyle w:val="FootnoteReference"/>
        </w:rPr>
        <w:footnoteReference w:id="109"/>
      </w:r>
      <w:r w:rsidR="00BE0875">
        <w:t xml:space="preserve"> Any significant departures from the indicative pricing schedule must be explained in TasNetworks' annual pricing proposal.</w:t>
      </w:r>
      <w:r w:rsidR="00BE0875">
        <w:rPr>
          <w:rStyle w:val="FootnoteReference"/>
        </w:rPr>
        <w:footnoteReference w:id="110"/>
      </w:r>
      <w:r w:rsidR="00F167D2">
        <w:t xml:space="preserve"> We consider both of these mechanisms together impose limitations on annual individual tariff variations.</w:t>
      </w:r>
    </w:p>
    <w:p w:rsidR="00903F4C" w:rsidRDefault="00903F4C" w:rsidP="00903F4C">
      <w:r>
        <w:t>Our final decision on TasNetworks</w:t>
      </w:r>
      <w:r w:rsidR="00702845">
        <w:t>'</w:t>
      </w:r>
      <w:r>
        <w:t xml:space="preserve"> revenue cap control mechanism</w:t>
      </w:r>
      <w:r w:rsidR="00702845">
        <w:t xml:space="preserve"> and the side constraint mechanism</w:t>
      </w:r>
      <w:r>
        <w:t xml:space="preserve"> is set out in attachment 14 – Control mechanisms. Our final decision on TasNetworks' revenues is set out in attachment 1 – Annual revenue requirement.</w:t>
      </w:r>
      <w:r w:rsidR="00BE0875">
        <w:t xml:space="preserve"> TasNetworks' indicative pricing</w:t>
      </w:r>
      <w:r w:rsidR="00A3503D">
        <w:t xml:space="preserve"> schedule is set out in its revised tariff structure statement.</w:t>
      </w:r>
    </w:p>
    <w:p w:rsidR="002F5AC8" w:rsidRDefault="009D5C07" w:rsidP="00153EA5">
      <w:r>
        <w:t xml:space="preserve">We also note that </w:t>
      </w:r>
      <w:r w:rsidRPr="009D5C07">
        <w:t xml:space="preserve">TasNetworks </w:t>
      </w:r>
      <w:r>
        <w:t xml:space="preserve">responded to our draft decision consideration that its </w:t>
      </w:r>
      <w:r w:rsidRPr="009D5C07">
        <w:t>revised tariff structure statement</w:t>
      </w:r>
      <w:r>
        <w:t xml:space="preserve"> should set out that a</w:t>
      </w:r>
      <w:r w:rsidRPr="009D5C07">
        <w:t xml:space="preserve"> pre-requisite to opt</w:t>
      </w:r>
      <w:r w:rsidR="006B0498">
        <w:noBreakHyphen/>
      </w:r>
      <w:r w:rsidRPr="009D5C07">
        <w:t>in to the demand tariff is to obtain an appropriate meter</w:t>
      </w:r>
      <w:r>
        <w:t>.</w:t>
      </w:r>
      <w:r>
        <w:rPr>
          <w:rStyle w:val="FootnoteReference"/>
        </w:rPr>
        <w:footnoteReference w:id="111"/>
      </w:r>
      <w:r>
        <w:t xml:space="preserve"> </w:t>
      </w:r>
      <w:r w:rsidR="00702D78">
        <w:t xml:space="preserve">This requirement was not clear in </w:t>
      </w:r>
      <w:r w:rsidR="00702D78">
        <w:lastRenderedPageBreak/>
        <w:t xml:space="preserve">TasNetworks' initial tariff structure statement and was raised as an issue </w:t>
      </w:r>
      <w:r>
        <w:t xml:space="preserve">in the </w:t>
      </w:r>
      <w:r w:rsidRPr="009D5C07">
        <w:t>submission from TasCOSS</w:t>
      </w:r>
      <w:r>
        <w:t>.</w:t>
      </w:r>
      <w:r>
        <w:rPr>
          <w:rStyle w:val="FootnoteReference"/>
        </w:rPr>
        <w:footnoteReference w:id="112"/>
      </w:r>
    </w:p>
    <w:p w:rsidR="00816627" w:rsidRDefault="00816627" w:rsidP="001D5828">
      <w:pPr>
        <w:pStyle w:val="Heading4"/>
      </w:pPr>
      <w:bookmarkStart w:id="89" w:name="_Ref479094279"/>
      <w:r>
        <w:t>Future direction</w:t>
      </w:r>
      <w:bookmarkEnd w:id="89"/>
    </w:p>
    <w:p w:rsidR="0079353A" w:rsidRDefault="0079353A" w:rsidP="0079353A">
      <w:pPr>
        <w:pStyle w:val="HeadingBoldItalic"/>
      </w:pPr>
      <w:r>
        <w:t>Demand measurement periods</w:t>
      </w:r>
    </w:p>
    <w:p w:rsidR="00BC25A5" w:rsidRDefault="00BC25A5" w:rsidP="007730E7">
      <w:r>
        <w:t xml:space="preserve">While we accept </w:t>
      </w:r>
      <w:r w:rsidRPr="00490073">
        <w:t>TasNetworks</w:t>
      </w:r>
      <w:r>
        <w:t>'</w:t>
      </w:r>
      <w:r w:rsidRPr="00490073">
        <w:t xml:space="preserve"> calculat</w:t>
      </w:r>
      <w:r>
        <w:t>ion of</w:t>
      </w:r>
      <w:r w:rsidRPr="00490073">
        <w:t xml:space="preserve"> peak and off peak demand charges based on a customer's highest 30 minute peak demand over a billing period</w:t>
      </w:r>
      <w:r>
        <w:t>,</w:t>
      </w:r>
      <w:r w:rsidRPr="00BC25A5">
        <w:t xml:space="preserve"> we are interested in whether an alternative basis of charging is a more reliable basis for TasNetworks' 2019–24 tariff structure statement.</w:t>
      </w:r>
      <w:r>
        <w:t xml:space="preserve"> </w:t>
      </w:r>
    </w:p>
    <w:p w:rsidR="007730E7" w:rsidRDefault="007730E7" w:rsidP="007730E7">
      <w:r>
        <w:t>For example, an</w:t>
      </w:r>
      <w:r w:rsidRPr="00490073">
        <w:t xml:space="preserve"> alternative approach is to average a customer</w:t>
      </w:r>
      <w:r>
        <w:t>’s top several demand periods for</w:t>
      </w:r>
      <w:r w:rsidRPr="00490073">
        <w:t xml:space="preserve"> each charging window during a billing period. We </w:t>
      </w:r>
      <w:r>
        <w:t>note</w:t>
      </w:r>
      <w:r w:rsidRPr="00490073">
        <w:t xml:space="preserve"> Ergon Energy proposed to average the four highest demand periods as the basis of calculating the peak demand charge for its residential customers. While we </w:t>
      </w:r>
      <w:r>
        <w:t>approve</w:t>
      </w:r>
      <w:r w:rsidRPr="00490073">
        <w:t xml:space="preserve"> TasNetworks' approach of using a single 30 minute period, we also consider there are potential benefits in </w:t>
      </w:r>
      <w:r>
        <w:t>the</w:t>
      </w:r>
      <w:r w:rsidRPr="00490073">
        <w:t xml:space="preserve"> averaging approach. We are interested in working through this issue with the industry and stakeholders for the next round of tariff structure statements.</w:t>
      </w:r>
    </w:p>
    <w:p w:rsidR="00BC25A5" w:rsidRDefault="00BC25A5" w:rsidP="007730E7">
      <w:r>
        <w:t>We note the submissions from David Headberry and Nekon considered a continuous incentive such as an average of peak demands over a period should be employed.</w:t>
      </w:r>
      <w:r>
        <w:rPr>
          <w:rStyle w:val="FootnoteReference"/>
        </w:rPr>
        <w:footnoteReference w:id="113"/>
      </w:r>
      <w:r>
        <w:t xml:space="preserve"> Nekon also posited another approach that would better represent a true user pay approach would be daily peak demand charging.</w:t>
      </w:r>
      <w:r>
        <w:rPr>
          <w:rStyle w:val="FootnoteReference"/>
        </w:rPr>
        <w:footnoteReference w:id="114"/>
      </w:r>
    </w:p>
    <w:p w:rsidR="007730E7" w:rsidRPr="00490073" w:rsidRDefault="007730E7" w:rsidP="007730E7">
      <w:r w:rsidRPr="00490073">
        <w:t>The potential differences in these approaches relate to the extent to which they:</w:t>
      </w:r>
    </w:p>
    <w:p w:rsidR="007730E7" w:rsidRPr="00490073" w:rsidRDefault="007730E7" w:rsidP="007730E7">
      <w:pPr>
        <w:pStyle w:val="AERbulletlistfirststyle"/>
      </w:pPr>
      <w:r w:rsidRPr="00490073">
        <w:t>send price signals to customers that are more closely aligned with the network’s co</w:t>
      </w:r>
      <w:r>
        <w:t>-</w:t>
      </w:r>
      <w:r w:rsidRPr="00490073">
        <w:t>incident demand</w:t>
      </w:r>
    </w:p>
    <w:p w:rsidR="007730E7" w:rsidRPr="00490073" w:rsidRDefault="007730E7" w:rsidP="007730E7">
      <w:pPr>
        <w:pStyle w:val="AERbulletlistfirststyle"/>
      </w:pPr>
      <w:r w:rsidRPr="00490073">
        <w:t>enable customers to respond to price signals</w:t>
      </w:r>
    </w:p>
    <w:p w:rsidR="007730E7" w:rsidRDefault="007730E7" w:rsidP="007730E7">
      <w:pPr>
        <w:pStyle w:val="AERbulletlistfirststyle"/>
      </w:pPr>
      <w:r w:rsidRPr="00490073">
        <w:t xml:space="preserve">avoid or manage the potential for a customer to </w:t>
      </w:r>
      <w:r>
        <w:t>incur</w:t>
      </w:r>
      <w:r w:rsidRPr="00490073">
        <w:t xml:space="preserve"> ‘bill shock’.</w:t>
      </w:r>
    </w:p>
    <w:p w:rsidR="007730E7" w:rsidRDefault="007730E7" w:rsidP="007730E7">
      <w:r w:rsidRPr="00490073">
        <w:t xml:space="preserve">It is not an individual customer’s peak demand that drives network costs, but the extent to which that customer’s peak demand contributes towards network congestion and the network’s co-incident demand. However, the network’s co-incident demand may not be on the same day as an individual customer’s highest demand. </w:t>
      </w:r>
      <w:r w:rsidR="00095625">
        <w:t xml:space="preserve">As an example, </w:t>
      </w:r>
      <w:r w:rsidRPr="00490073">
        <w:t xml:space="preserve">Ergon Energy’s averaging approach increases the probability that a customer’s highest demand will coincide with the day, or days, on which </w:t>
      </w:r>
      <w:r w:rsidR="00095625">
        <w:t>Ergon Energy's</w:t>
      </w:r>
      <w:r w:rsidR="00095625" w:rsidRPr="00490073">
        <w:t xml:space="preserve"> </w:t>
      </w:r>
      <w:r w:rsidRPr="00490073">
        <w:t>network peak demand also occurs.</w:t>
      </w:r>
    </w:p>
    <w:p w:rsidR="007730E7" w:rsidRDefault="007730E7" w:rsidP="007730E7">
      <w:r w:rsidRPr="00490073">
        <w:lastRenderedPageBreak/>
        <w:t xml:space="preserve">We encourage distributors to collect data during this first tariff structure statement period that demonstrates the extent to which customers' peak demand typically occurs at the same time as the network also experiences </w:t>
      </w:r>
      <w:r>
        <w:t xml:space="preserve">its </w:t>
      </w:r>
      <w:r w:rsidRPr="00490073">
        <w:t>peak demand. This should provide a useful basis for determining if subsequent tariff structure statements should change to averaging a customer’s highest demand days.</w:t>
      </w:r>
      <w:r w:rsidR="00BC25A5">
        <w:t xml:space="preserve"> </w:t>
      </w:r>
      <w:r w:rsidR="00095625">
        <w:t>TasNetworks should consider Ergon Energy's averaging of demand days when undertaking its 2019–24 tariff structure statement consultation on ways to measure customer demand.</w:t>
      </w:r>
    </w:p>
    <w:p w:rsidR="007730E7" w:rsidRDefault="007730E7" w:rsidP="007730E7">
      <w:r w:rsidRPr="00490073">
        <w:t xml:space="preserve">The use of a single period or averaging approach may also have an impact on a customer’s ability to respond to price signals. Price signals aim to elicit an informed and considered response by </w:t>
      </w:r>
      <w:r w:rsidR="00921B5E">
        <w:t>customer</w:t>
      </w:r>
      <w:r w:rsidRPr="00490073">
        <w:t>s. If a customer has automatic appliances (e.g. air-conditioner or battery storage programmed to respond to peak demand periods), then responding to price signals might be str</w:t>
      </w:r>
      <w:r>
        <w:t>aight forward.</w:t>
      </w:r>
    </w:p>
    <w:p w:rsidR="007730E7" w:rsidRDefault="007730E7" w:rsidP="007730E7">
      <w:r w:rsidRPr="00490073">
        <w:t xml:space="preserve">However, in the absence of automatic appliances, there is the potential for customer’s peak demand periods to occur more by accident than design, especially initially, as customers gradually become familiar with demand signals and the amount of electricity different appliances consume. If a customer’s top 30 minute demand window occurs by accident in one billing period, they will have a heightened incentive to understand their electricity usage the following billing period to avoid a repeat situation. Whereas an averaging approach might assist a customer in responding within the billing period, rather than waiting until the next billing </w:t>
      </w:r>
      <w:r>
        <w:t>cycle</w:t>
      </w:r>
      <w:r w:rsidRPr="00490073">
        <w:t>. For similar reasons, an averaging approach may also assist a customer to avoid or manage ‘bill shock’.</w:t>
      </w:r>
    </w:p>
    <w:p w:rsidR="00BC25A5" w:rsidRDefault="00BC25A5" w:rsidP="007730E7">
      <w:r>
        <w:t xml:space="preserve">We consider </w:t>
      </w:r>
      <w:r w:rsidRPr="00BC25A5">
        <w:t>TasNetworks' demand tariff trial will provide</w:t>
      </w:r>
      <w:r>
        <w:t xml:space="preserve"> valuable</w:t>
      </w:r>
      <w:r w:rsidRPr="00BC25A5">
        <w:t xml:space="preserve"> i</w:t>
      </w:r>
      <w:r>
        <w:t>nsights into t</w:t>
      </w:r>
      <w:r w:rsidR="002143E0">
        <w:t>he demand measurement period as well as how</w:t>
      </w:r>
      <w:r>
        <w:t xml:space="preserve"> c</w:t>
      </w:r>
      <w:r w:rsidR="003055FC">
        <w:t>ustom</w:t>
      </w:r>
      <w:r>
        <w:t>er</w:t>
      </w:r>
      <w:r w:rsidR="002143E0">
        <w:t>s</w:t>
      </w:r>
      <w:r>
        <w:t xml:space="preserve"> respon</w:t>
      </w:r>
      <w:r w:rsidR="002143E0">
        <w:t>d to these signals</w:t>
      </w:r>
      <w:r>
        <w:t xml:space="preserve"> for its next tariff structure statement.</w:t>
      </w:r>
    </w:p>
    <w:p w:rsidR="0079353A" w:rsidRDefault="0079353A" w:rsidP="0079353A">
      <w:pPr>
        <w:pStyle w:val="HeadingBoldItalic"/>
      </w:pPr>
      <w:r>
        <w:t>Tariff assignment</w:t>
      </w:r>
    </w:p>
    <w:p w:rsidR="00DD20E6" w:rsidRDefault="00DD20E6" w:rsidP="00DD20E6">
      <w:r>
        <w:t xml:space="preserve">For this first round of </w:t>
      </w:r>
      <w:r w:rsidRPr="00DD20E6">
        <w:t>tariff structure statements</w:t>
      </w:r>
      <w:r>
        <w:t>, we have accepted the use of opt</w:t>
      </w:r>
      <w:r w:rsidR="006B0498">
        <w:noBreakHyphen/>
      </w:r>
      <w:r>
        <w:t>in assignment policies in moving customers to cost reflective tariffs. However, we also observe that sole reliance on opt</w:t>
      </w:r>
      <w:r w:rsidR="006B0498">
        <w:noBreakHyphen/>
      </w:r>
      <w:r>
        <w:t xml:space="preserve">in arrangements may not be appropriate into the future. </w:t>
      </w:r>
      <w:r w:rsidR="008E51F1">
        <w:t>Distributors</w:t>
      </w:r>
      <w:r>
        <w:t xml:space="preserve"> should consider this as part of their consultation for the</w:t>
      </w:r>
      <w:r w:rsidR="00FE79E3">
        <w:t>ir next</w:t>
      </w:r>
      <w:r>
        <w:t xml:space="preserve"> tariff structure statements.</w:t>
      </w:r>
    </w:p>
    <w:p w:rsidR="00DD20E6" w:rsidRDefault="00F23335" w:rsidP="00DD20E6">
      <w:r>
        <w:t xml:space="preserve">Our views about </w:t>
      </w:r>
      <w:r w:rsidR="00935C48">
        <w:t>tariff assignments</w:t>
      </w:r>
      <w:r>
        <w:t xml:space="preserve"> and how we see this evolving over future regulatory periods was set out in </w:t>
      </w:r>
      <w:r w:rsidR="00DD20E6">
        <w:t xml:space="preserve">each of our </w:t>
      </w:r>
      <w:r w:rsidR="00FE79E3">
        <w:t>tariff structure statement decisions</w:t>
      </w:r>
      <w:r w:rsidR="00DD20E6">
        <w:t xml:space="preserve"> </w:t>
      </w:r>
      <w:r>
        <w:t xml:space="preserve">for distributors </w:t>
      </w:r>
      <w:r w:rsidR="00DD20E6">
        <w:t>across Queensland, N</w:t>
      </w:r>
      <w:r w:rsidR="00FE79E3">
        <w:t xml:space="preserve">ew </w:t>
      </w:r>
      <w:r w:rsidR="00DD20E6">
        <w:t>S</w:t>
      </w:r>
      <w:r w:rsidR="00FE79E3">
        <w:t xml:space="preserve">outh </w:t>
      </w:r>
      <w:r w:rsidR="00DD20E6">
        <w:t>W</w:t>
      </w:r>
      <w:r w:rsidR="00FE79E3">
        <w:t>ales</w:t>
      </w:r>
      <w:r w:rsidR="00DD20E6">
        <w:t xml:space="preserve">, </w:t>
      </w:r>
      <w:r w:rsidR="00FE79E3">
        <w:t xml:space="preserve">South Australia and the </w:t>
      </w:r>
      <w:r w:rsidR="00DD20E6">
        <w:t>A</w:t>
      </w:r>
      <w:r w:rsidR="00FE79E3">
        <w:t xml:space="preserve">ustralian </w:t>
      </w:r>
      <w:r w:rsidR="00DD20E6">
        <w:t>C</w:t>
      </w:r>
      <w:r w:rsidR="00FE79E3">
        <w:t xml:space="preserve">apital </w:t>
      </w:r>
      <w:r w:rsidR="00DD20E6">
        <w:t>T</w:t>
      </w:r>
      <w:r w:rsidR="00FE79E3">
        <w:t>erritory.</w:t>
      </w:r>
      <w:r>
        <w:t xml:space="preserve"> This is set out below.</w:t>
      </w:r>
    </w:p>
    <w:p w:rsidR="00DD20E6" w:rsidRDefault="00DD20E6" w:rsidP="00DD20E6">
      <w:r>
        <w:t>An opt</w:t>
      </w:r>
      <w:r w:rsidR="006B0498">
        <w:noBreakHyphen/>
      </w:r>
      <w:r>
        <w:t xml:space="preserve">in approach to tariff assignment is at one end of the spectrum of possible approaches, including: </w:t>
      </w:r>
    </w:p>
    <w:p w:rsidR="00DD20E6" w:rsidRPr="00DD20E6" w:rsidRDefault="00DD20E6" w:rsidP="00DD20E6">
      <w:pPr>
        <w:pStyle w:val="AERbulletlistfirststyle"/>
      </w:pPr>
      <w:r>
        <w:t>assigning customers to a cost reflective tariff (subject to appropriate metering) by default but allowing opt–out provisions</w:t>
      </w:r>
    </w:p>
    <w:p w:rsidR="00DD20E6" w:rsidRPr="00DD20E6" w:rsidRDefault="00DD20E6" w:rsidP="00DD20E6">
      <w:pPr>
        <w:pStyle w:val="AERbulletlistfirststyle"/>
      </w:pPr>
      <w:r>
        <w:t>leaving existing customers on current tariffs but assigning new customers to cost reflective tariffs (subject to appropriate metering) and allowing opt–out provisions</w:t>
      </w:r>
    </w:p>
    <w:p w:rsidR="00DD20E6" w:rsidRPr="00DD20E6" w:rsidRDefault="00DD20E6" w:rsidP="00DD20E6">
      <w:pPr>
        <w:pStyle w:val="AERbulletlistfirststyle"/>
      </w:pPr>
      <w:r>
        <w:lastRenderedPageBreak/>
        <w:t>mandatorily assigning customers to cost reflective tariffs wherever appropriate metering is available (with no opt-out provisions).</w:t>
      </w:r>
    </w:p>
    <w:p w:rsidR="00DD20E6" w:rsidRDefault="00DD20E6" w:rsidP="00DD20E6">
      <w:r>
        <w:t>Our current view is that, for the next round of tariff structure statements, default assignment to cost reflective tariffs with opt-out provis</w:t>
      </w:r>
      <w:r w:rsidR="008E51F1">
        <w:t>ions should be adopted over opt</w:t>
      </w:r>
      <w:r w:rsidR="006B0498">
        <w:noBreakHyphen/>
      </w:r>
      <w:r>
        <w:t>in arrangements</w:t>
      </w:r>
      <w:r w:rsidR="006466B8">
        <w:t>. This is because</w:t>
      </w:r>
      <w:r>
        <w:t xml:space="preserve"> it would better contribute to compliance with the distribution pricing principles by providing more appropriate price signals to retailers. Each tariff structure statement should show movement towards more cost reflective tariffs, taking into account of possible customer impacts.</w:t>
      </w:r>
      <w:r>
        <w:rPr>
          <w:rStyle w:val="FootnoteReference"/>
        </w:rPr>
        <w:footnoteReference w:id="115"/>
      </w:r>
      <w:r>
        <w:t xml:space="preserve"> We are also open to considering mandatory tariff assignment arrangement proposals (i.e. no opt-out provisions), as long as distributors have addressed the customer impact principle in the </w:t>
      </w:r>
      <w:r w:rsidR="00436AB8">
        <w:t>NER</w:t>
      </w:r>
      <w:r>
        <w:t xml:space="preserve">. </w:t>
      </w:r>
    </w:p>
    <w:p w:rsidR="00DD20E6" w:rsidRDefault="00DD20E6" w:rsidP="00DD20E6">
      <w:r>
        <w:t>In the next round of tariff reform we consider new customers across all networks should be assigned by default to cost reflective tariffs.</w:t>
      </w:r>
      <w:r>
        <w:rPr>
          <w:rStyle w:val="FootnoteReference"/>
        </w:rPr>
        <w:footnoteReference w:id="116"/>
      </w:r>
      <w:r>
        <w:t xml:space="preserve"> By ‘new’ customer, we mean customers in new premises who are connecting their premise to the network for the first time. This is because:</w:t>
      </w:r>
    </w:p>
    <w:p w:rsidR="00DD20E6" w:rsidRPr="00DD20E6" w:rsidRDefault="00DD20E6" w:rsidP="00DD20E6">
      <w:pPr>
        <w:pStyle w:val="AERbulletlistfirststyle"/>
      </w:pPr>
      <w:r>
        <w:t>After 1 December 2017, newly connected premises must have a smart meter installed—this means these customers will have meters which are capable of calculating cost reflective network tariffs.</w:t>
      </w:r>
      <w:r w:rsidRPr="00DD20E6">
        <w:rPr>
          <w:rStyle w:val="FootnoteReference"/>
        </w:rPr>
        <w:footnoteReference w:id="117"/>
      </w:r>
      <w:r w:rsidRPr="00DD20E6">
        <w:t xml:space="preserve"> </w:t>
      </w:r>
    </w:p>
    <w:p w:rsidR="00DD20E6" w:rsidRPr="00DD20E6" w:rsidRDefault="00DD20E6" w:rsidP="00DD20E6">
      <w:pPr>
        <w:pStyle w:val="AERbulletlistfirststyle"/>
      </w:pPr>
      <w:r>
        <w:t>These customers are also at a point where they are about to make new investment decisions and they should make these decisions on the basis of cost reflective network tariffs—these decisions may include the energy efficiency of their building design, whether they install solar PV or batteries in their new home or office, and decisions over any new appliances they are buying as part of moving to a new premise.</w:t>
      </w:r>
    </w:p>
    <w:p w:rsidR="00DD20E6" w:rsidRPr="00DD20E6" w:rsidRDefault="00DD20E6" w:rsidP="00DD20E6">
      <w:pPr>
        <w:pStyle w:val="AERbulletlistfirststyle"/>
      </w:pPr>
      <w:r>
        <w:t xml:space="preserve">Alignment with the metering contestability rule change also means that this change occurs in an environment where the meter is provided by or through a customer's retailer on a competitive basis. The meter will no longer be a regulated service provided by the distributor. While the </w:t>
      </w:r>
      <w:r w:rsidR="00436AB8">
        <w:t>NER</w:t>
      </w:r>
      <w:r>
        <w:t xml:space="preserve"> prescribe minimum functional requirements for these meters, retailers can also offer customers smart meters with a range of other additional features. The installation of smart meters by retailers may increase the range of services and pricing options that are available to </w:t>
      </w:r>
      <w:r w:rsidR="00921B5E">
        <w:t>customers</w:t>
      </w:r>
      <w:r>
        <w:t>, and therefore help c</w:t>
      </w:r>
      <w:r w:rsidR="00921B5E">
        <w:t>ustomers</w:t>
      </w:r>
      <w:r>
        <w:t xml:space="preserve"> respond to retail packages that incorporate the new network tariffs.</w:t>
      </w:r>
      <w:r w:rsidRPr="00DD20E6">
        <w:rPr>
          <w:rStyle w:val="FootnoteReference"/>
        </w:rPr>
        <w:footnoteReference w:id="118"/>
      </w:r>
      <w:r w:rsidRPr="00DD20E6">
        <w:t xml:space="preserve"> </w:t>
      </w:r>
    </w:p>
    <w:p w:rsidR="00DD20E6" w:rsidRDefault="00DD20E6" w:rsidP="00DD20E6">
      <w:r>
        <w:t xml:space="preserve">On the other hand, existing customers may have made significant investments on the basis of current tariff structures. Further, many existing customers (outside of Victoria) may not have appropriate metering technology in place to enable uptake of more cost </w:t>
      </w:r>
      <w:r>
        <w:lastRenderedPageBreak/>
        <w:t>reflective network tariff options. However, for existing customers, there are two approaches we consider meet the need to move customers onto cost reflective network tariffs</w:t>
      </w:r>
      <w:r>
        <w:rPr>
          <w:rStyle w:val="FootnoteReference"/>
        </w:rPr>
        <w:footnoteReference w:id="119"/>
      </w:r>
      <w:r>
        <w:t xml:space="preserve"> while balancing the customer impact</w:t>
      </w:r>
      <w:r>
        <w:rPr>
          <w:rStyle w:val="FootnoteReference"/>
        </w:rPr>
        <w:footnoteReference w:id="120"/>
      </w:r>
      <w:r>
        <w:t xml:space="preserve"> considerations. We encourage distributors to focus on either or both of these approaches. These two approaches are outlined below.</w:t>
      </w:r>
    </w:p>
    <w:p w:rsidR="00DD20E6" w:rsidRDefault="00DD20E6" w:rsidP="00DD20E6">
      <w:r>
        <w:t>Firstly, for existing customers making significant new investments we consider these customers could be assigned by default to cost reflective network tariffs. This approach should be technology neutral—for example, we did not approve SAPN’s proposed ‘solar tariff’.</w:t>
      </w:r>
      <w:r>
        <w:rPr>
          <w:rStyle w:val="FootnoteReference"/>
        </w:rPr>
        <w:footnoteReference w:id="121"/>
      </w:r>
      <w:r>
        <w:t xml:space="preserve"> We consider the time of making new investments is a good time to transition customers to cost reflective tariffs. This approach gives customers the opportunity to consider their new investment with regard to the implications of the new tariff they will be assigned—that is, the network cost implications of their usage.</w:t>
      </w:r>
      <w:r>
        <w:rPr>
          <w:rStyle w:val="FootnoteReference"/>
        </w:rPr>
        <w:footnoteReference w:id="122"/>
      </w:r>
      <w:r>
        <w:t xml:space="preserve"> Significant new investments may include:</w:t>
      </w:r>
    </w:p>
    <w:p w:rsidR="00DD20E6" w:rsidRPr="00DD20E6" w:rsidRDefault="00DD20E6" w:rsidP="00DD20E6">
      <w:pPr>
        <w:pStyle w:val="AERbulletlistfirststyle"/>
      </w:pPr>
      <w:r>
        <w:t>change from single to three phase connection</w:t>
      </w:r>
    </w:p>
    <w:p w:rsidR="00DD20E6" w:rsidRPr="00DD20E6" w:rsidRDefault="00DD20E6" w:rsidP="00DD20E6">
      <w:pPr>
        <w:pStyle w:val="AERbulletlistfirststyle"/>
      </w:pPr>
      <w:r>
        <w:t>new solar photovoltaic connection</w:t>
      </w:r>
    </w:p>
    <w:p w:rsidR="00DD20E6" w:rsidRPr="00DD20E6" w:rsidRDefault="00DD20E6" w:rsidP="00DD20E6">
      <w:pPr>
        <w:pStyle w:val="AERbulletlistfirststyle"/>
      </w:pPr>
      <w:r>
        <w:t xml:space="preserve">new battery </w:t>
      </w:r>
    </w:p>
    <w:p w:rsidR="00DD20E6" w:rsidRPr="00DD20E6" w:rsidRDefault="00DD20E6" w:rsidP="00DD20E6">
      <w:pPr>
        <w:pStyle w:val="AERbulletlistfirststyle"/>
      </w:pPr>
      <w:r>
        <w:t>new electric vehicle.</w:t>
      </w:r>
    </w:p>
    <w:p w:rsidR="00DD20E6" w:rsidRDefault="00DD20E6" w:rsidP="00DD20E6">
      <w:r>
        <w:t>Some of these upgrades are identifiable to distributors; others may require additional reporting arrangements.</w:t>
      </w:r>
      <w:r>
        <w:rPr>
          <w:rStyle w:val="FootnoteReference"/>
        </w:rPr>
        <w:footnoteReference w:id="123"/>
      </w:r>
      <w:r>
        <w:t xml:space="preserve"> </w:t>
      </w:r>
    </w:p>
    <w:p w:rsidR="00DD20E6" w:rsidRDefault="00DD20E6" w:rsidP="00DD20E6">
      <w:r>
        <w:t xml:space="preserve">In moving to default assignment to cost reflective tariffs in the next tariff structure statement period, distributors are required to address the customer impact provisions of the </w:t>
      </w:r>
      <w:r w:rsidR="00436AB8">
        <w:t>NER</w:t>
      </w:r>
      <w:r>
        <w:t>.</w:t>
      </w:r>
      <w:r>
        <w:rPr>
          <w:rStyle w:val="FootnoteReference"/>
        </w:rPr>
        <w:footnoteReference w:id="124"/>
      </w:r>
      <w:r>
        <w:t xml:space="preserve"> One option suggested by SAPN, would be to assign residential and small business customers (with smart meters) to a cost reflective tariff only after at least one or two years of interval metering data is available.</w:t>
      </w:r>
      <w:r>
        <w:rPr>
          <w:rStyle w:val="FootnoteReference"/>
        </w:rPr>
        <w:footnoteReference w:id="125"/>
      </w:r>
      <w:r>
        <w:t xml:space="preserve"> Our preliminary view is that we are open to this approach as we expect it would enable the end customer to make more informed decisions over what retail offer they choose because they would have a better understanding of their current consumption patterns. </w:t>
      </w:r>
    </w:p>
    <w:p w:rsidR="00DD20E6" w:rsidRDefault="00DD20E6" w:rsidP="00DD20E6">
      <w:r>
        <w:t xml:space="preserve">Secondly, for existing customers who remain on flat </w:t>
      </w:r>
      <w:r w:rsidR="008E51F1">
        <w:t>consumption</w:t>
      </w:r>
      <w:r>
        <w:t xml:space="preserve"> or block tariffs, we consider the relative levels of these network tariffs </w:t>
      </w:r>
      <w:r w:rsidR="008E51F1">
        <w:t xml:space="preserve">could be increased </w:t>
      </w:r>
      <w:r>
        <w:t>compared to more cost reflective tariff options. This is to encourage customers to choose retail offerings which voluntarily opt</w:t>
      </w:r>
      <w:r w:rsidR="006B0498">
        <w:noBreakHyphen/>
      </w:r>
      <w:r>
        <w:t>in to cost reflective network tariffs.</w:t>
      </w:r>
    </w:p>
    <w:p w:rsidR="00DD20E6" w:rsidRDefault="00DD20E6" w:rsidP="00DD20E6">
      <w:r>
        <w:lastRenderedPageBreak/>
        <w:t>In our view all customers should eventually be on cost reflective tariffs as this will provide more appropriate pricing signals to retailers. By cost reflective network tariffs we mean network tariffs which incorporate higher charges during times of network congestion and lower charges during times when the network is not congested. Demand and time-of-use tariffs are examples of tariffs with this feature. In contrast, we consider flat rate, inclining block or declining block network tariffs are not cost reflective. This is because the charges under these tariffs are unrelated to times of network congestion.</w:t>
      </w:r>
    </w:p>
    <w:p w:rsidR="00DD20E6" w:rsidRDefault="00DD20E6" w:rsidP="00887E3A">
      <w:pPr>
        <w:pStyle w:val="HeadingOrange"/>
      </w:pPr>
      <w:r>
        <w:t>Emerging technologies—batteries and electric vehicles</w:t>
      </w:r>
    </w:p>
    <w:p w:rsidR="00DD20E6" w:rsidRDefault="00DD20E6" w:rsidP="00DD20E6">
      <w:r>
        <w:t xml:space="preserve">In the near future some </w:t>
      </w:r>
      <w:r w:rsidR="00921B5E">
        <w:t>customer</w:t>
      </w:r>
      <w:r>
        <w:t>s may change their pattern of use by installing battery storage at their premises. The low but increasing popularity of electric vehicles may also have an impact on the grid. If the incentives are right, with appropriate pricing signals, battery storage and electric vehicle adoption could bring many benefits to the electricity network. They have the potential to help manage peak demand, reducing the need to grow the network, ultimately relieving pressure on electricity prices. On the other hand, if the incentives are not right, the increase in batteries and electric vehicles could lead to inefficient investments—both by the network and end customers—with these inefficient costs paid for by end customers.</w:t>
      </w:r>
      <w:r w:rsidR="009747A1">
        <w:t xml:space="preserve"> This consideration is supported by TasNetworks.</w:t>
      </w:r>
      <w:r w:rsidR="009747A1">
        <w:rPr>
          <w:rStyle w:val="FootnoteReference"/>
        </w:rPr>
        <w:footnoteReference w:id="126"/>
      </w:r>
    </w:p>
    <w:p w:rsidR="00DD20E6" w:rsidRDefault="00DD20E6" w:rsidP="00DD20E6">
      <w:r>
        <w:t>Customers with batteries and electric vehicles are likely to be beneficiaries of cost reflective tariffs. Even without opt-out arrangements, it is possible these customers may opt</w:t>
      </w:r>
      <w:r w:rsidR="006B0498">
        <w:noBreakHyphen/>
      </w:r>
      <w:r>
        <w:t xml:space="preserve">in by choosing retail tariffs based on cost reflective network tariffs. This is because batteries and electric vehicles have the capacity to store energy at off-peak times and inject energy at peak times—this could assist in reducing a household’s use of electricity drawn from the grid at peak times. </w:t>
      </w:r>
      <w:r w:rsidR="00315A2C">
        <w:t xml:space="preserve"> The effect could be to reduce network demand, all else equal.</w:t>
      </w:r>
    </w:p>
    <w:p w:rsidR="00DD20E6" w:rsidRDefault="00DD20E6" w:rsidP="00DD20E6">
      <w:r>
        <w:t>It would be useful to monitor the extent to which customers with batteries and electric vehicles choose retail tariffs that are based on the more cost reflective network tariffs. If uptake is not forthcoming, changes to reporting arrangements may be desirable to make these customers identifiable to distributors. This could then be used as a basis for default tariff assignment to cost reflective network tariffs in the future if necessary.</w:t>
      </w:r>
    </w:p>
    <w:p w:rsidR="00DD20E6" w:rsidRDefault="00DD20E6" w:rsidP="00DD20E6">
      <w:r>
        <w:t>We invite distributors and industry, as part of the development of the next phase of tariff structure statements, to consider whether triggers, such as the installation of electric vehicles and batteries should be considered for reassignment. Further:</w:t>
      </w:r>
    </w:p>
    <w:p w:rsidR="00DD20E6" w:rsidRPr="00DD20E6" w:rsidRDefault="00DD20E6" w:rsidP="00DD20E6">
      <w:pPr>
        <w:pStyle w:val="AERbulletlistfirststyle"/>
      </w:pPr>
      <w:r>
        <w:t xml:space="preserve">What impediments (if any) would need to be addressed to allow this to occur? </w:t>
      </w:r>
    </w:p>
    <w:p w:rsidR="00DD20E6" w:rsidRPr="00DD20E6" w:rsidRDefault="00DD20E6" w:rsidP="00DD20E6">
      <w:pPr>
        <w:pStyle w:val="AERbulletlistfirststyle"/>
      </w:pPr>
      <w:r>
        <w:t xml:space="preserve">Are additional changes required to incentivise customers to charge or discharge their batteries or electric vehicles at efficient times? </w:t>
      </w:r>
    </w:p>
    <w:p w:rsidR="00DD20E6" w:rsidRDefault="00DD20E6" w:rsidP="00DD20E6">
      <w:r>
        <w:lastRenderedPageBreak/>
        <w:t xml:space="preserve">Even with the above changes, it is likely the speed of tariff reform will still be gradual. This is because it will depend on </w:t>
      </w:r>
      <w:r w:rsidR="00921B5E">
        <w:t>customer</w:t>
      </w:r>
      <w:r>
        <w:t xml:space="preserve"> and retailer driven factors, as only a proportion of customers over any given period will be have a new connection to the network or significantly change their connection. Nonetheless the pace of reform will likely be quicker than if chief reliance is placed on an opt</w:t>
      </w:r>
      <w:r w:rsidR="006B0498">
        <w:noBreakHyphen/>
      </w:r>
      <w:r>
        <w:t>in only approach.</w:t>
      </w:r>
    </w:p>
    <w:p w:rsidR="00DD20E6" w:rsidRDefault="00DD20E6" w:rsidP="00DD20E6">
      <w:r>
        <w:t>Tariff reform is a long term process. We consider the distribution pricing principles require movement towards more cost reflective tariffs with every tariff structure statement proposal over upcoming regulatory control periods.</w:t>
      </w:r>
      <w:r>
        <w:rPr>
          <w:rStyle w:val="FootnoteReference"/>
        </w:rPr>
        <w:footnoteReference w:id="127"/>
      </w:r>
      <w:r>
        <w:t xml:space="preserve"> </w:t>
      </w:r>
    </w:p>
    <w:p w:rsidR="00B61C42" w:rsidRDefault="00B61C42" w:rsidP="00B61C42">
      <w:pPr>
        <w:pStyle w:val="Heading3"/>
      </w:pPr>
      <w:bookmarkStart w:id="90" w:name="_Ref479093394"/>
      <w:bookmarkStart w:id="91" w:name="_Toc481061353"/>
      <w:r>
        <w:t>Controlled and uncontrolled load tariffs</w:t>
      </w:r>
      <w:bookmarkEnd w:id="90"/>
      <w:bookmarkEnd w:id="91"/>
    </w:p>
    <w:p w:rsidR="0036650B" w:rsidRDefault="00246CEF" w:rsidP="00951506">
      <w:r w:rsidRPr="00246CEF">
        <w:t>We approve TasNetworks' proposed</w:t>
      </w:r>
      <w:r>
        <w:t xml:space="preserve"> continuation of its controlled and uncontrolled load tariffs </w:t>
      </w:r>
      <w:r w:rsidRPr="00246CEF">
        <w:t xml:space="preserve">for the 2017–19 regulatory control period. </w:t>
      </w:r>
      <w:r w:rsidR="0036650B">
        <w:t>These tariffs are</w:t>
      </w:r>
      <w:r w:rsidR="0036650B" w:rsidRPr="004503AF">
        <w:t xml:space="preserve"> primarily used for water heating and space heating</w:t>
      </w:r>
      <w:r w:rsidR="0036650B" w:rsidRPr="00734417">
        <w:t xml:space="preserve"> </w:t>
      </w:r>
      <w:r w:rsidR="0036650B" w:rsidRPr="004503AF">
        <w:t>for low voltage customers.</w:t>
      </w:r>
    </w:p>
    <w:p w:rsidR="00246CEF" w:rsidRDefault="00246CEF" w:rsidP="00951506">
      <w:r w:rsidRPr="00246CEF">
        <w:t>We approved the same tariffs in our draft decision.</w:t>
      </w:r>
      <w:r>
        <w:rPr>
          <w:rStyle w:val="FootnoteReference"/>
        </w:rPr>
        <w:footnoteReference w:id="128"/>
      </w:r>
    </w:p>
    <w:p w:rsidR="00246CEF" w:rsidRDefault="00246CEF" w:rsidP="001D5828">
      <w:pPr>
        <w:pStyle w:val="Heading4"/>
      </w:pPr>
      <w:r>
        <w:t>Tariff design</w:t>
      </w:r>
    </w:p>
    <w:p w:rsidR="00FE6020" w:rsidRDefault="0036650B" w:rsidP="00951506">
      <w:r>
        <w:t>The</w:t>
      </w:r>
      <w:r w:rsidR="00E06923">
        <w:t xml:space="preserve"> tariff</w:t>
      </w:r>
      <w:r>
        <w:t xml:space="preserve"> design of the controlled and uncontrolled load tariffs include a service charge and a flat consumption charge.</w:t>
      </w:r>
      <w:r w:rsidR="00454143">
        <w:t xml:space="preserve"> </w:t>
      </w:r>
      <w:r w:rsidR="00FE6020">
        <w:t xml:space="preserve">These tariffs are set </w:t>
      </w:r>
      <w:r w:rsidR="00496DED">
        <w:t xml:space="preserve">out in </w:t>
      </w:r>
      <w:r w:rsidR="00496DED">
        <w:fldChar w:fldCharType="begin"/>
      </w:r>
      <w:r w:rsidR="00496DED">
        <w:instrText xml:space="preserve"> REF  _Ref477522713 \* Lower \h </w:instrText>
      </w:r>
      <w:r w:rsidR="00496DED">
        <w:fldChar w:fldCharType="separate"/>
      </w:r>
      <w:r w:rsidR="00F52FCD">
        <w:t xml:space="preserve">table </w:t>
      </w:r>
      <w:r w:rsidR="00F52FCD">
        <w:rPr>
          <w:noProof/>
        </w:rPr>
        <w:t>19</w:t>
      </w:r>
      <w:r w:rsidR="00F52FCD">
        <w:t>.</w:t>
      </w:r>
      <w:r w:rsidR="00F52FCD">
        <w:rPr>
          <w:noProof/>
        </w:rPr>
        <w:t>7</w:t>
      </w:r>
      <w:r w:rsidR="00496DED">
        <w:fldChar w:fldCharType="end"/>
      </w:r>
      <w:r w:rsidR="00FE6020">
        <w:t>.</w:t>
      </w:r>
    </w:p>
    <w:p w:rsidR="00BB754D" w:rsidRDefault="00FE6020" w:rsidP="00951506">
      <w:r>
        <w:t>T</w:t>
      </w:r>
      <w:r w:rsidR="00496DED">
        <w:t xml:space="preserve">he </w:t>
      </w:r>
      <w:r w:rsidR="00BB754D">
        <w:t xml:space="preserve">controlled load tariffs </w:t>
      </w:r>
      <w:r w:rsidR="003F334D">
        <w:t>utilise</w:t>
      </w:r>
      <w:r w:rsidR="00454143">
        <w:t xml:space="preserve"> the network at off–peak times</w:t>
      </w:r>
      <w:r w:rsidR="00E06923">
        <w:t xml:space="preserve"> at a reduced rate</w:t>
      </w:r>
      <w:r w:rsidR="00454143">
        <w:t>. However, the uncontrolled load tariff</w:t>
      </w:r>
      <w:r w:rsidR="0011357C">
        <w:t xml:space="preserve"> is not cost reflective as it</w:t>
      </w:r>
      <w:r w:rsidR="00454143">
        <w:t xml:space="preserve"> allows consumption at off</w:t>
      </w:r>
      <w:r w:rsidR="00454143">
        <w:noBreakHyphen/>
        <w:t>peak rates at all times, including peak periods. TasNetworks</w:t>
      </w:r>
      <w:r w:rsidR="00E06923">
        <w:t xml:space="preserve"> also</w:t>
      </w:r>
      <w:r w:rsidR="00454143">
        <w:t xml:space="preserve"> noted this tariff is not cost </w:t>
      </w:r>
      <w:r w:rsidR="00E06923">
        <w:t>reflective because</w:t>
      </w:r>
      <w:r w:rsidR="002F5F64">
        <w:t xml:space="preserve"> it is subsidised by other customers.</w:t>
      </w:r>
      <w:r w:rsidR="002F5F64">
        <w:rPr>
          <w:rStyle w:val="FootnoteReference"/>
        </w:rPr>
        <w:footnoteReference w:id="129"/>
      </w:r>
      <w:r w:rsidR="00A141DE">
        <w:t xml:space="preserve"> The cross subsidy </w:t>
      </w:r>
      <w:r>
        <w:t>is</w:t>
      </w:r>
      <w:r w:rsidR="00A141DE">
        <w:t xml:space="preserve"> due to historical policy settings which TasNetworks acknowledged are no longer relevant or compliant with the current regulatory arrangements.</w:t>
      </w:r>
    </w:p>
    <w:p w:rsidR="00FE6020" w:rsidRDefault="00FE6020" w:rsidP="00FE6020">
      <w:r>
        <w:t xml:space="preserve">TasNetworks proposed to remove the cross subsidy by aligning the uncontrolled load tariff to be </w:t>
      </w:r>
      <w:r w:rsidR="003C7579">
        <w:t xml:space="preserve">at </w:t>
      </w:r>
      <w:r>
        <w:t>parity with the residential low voltage general network tariff.</w:t>
      </w:r>
      <w:r>
        <w:rPr>
          <w:rStyle w:val="FootnoteReference"/>
        </w:rPr>
        <w:footnoteReference w:id="130"/>
      </w:r>
      <w:r>
        <w:t xml:space="preserve"> TasNetworks considered this an appropriate approach as there is no distinguishable difference between the customers on these tariffs.</w:t>
      </w:r>
    </w:p>
    <w:p w:rsidR="002F5F64" w:rsidRDefault="002F5F64" w:rsidP="00951506">
      <w:r>
        <w:t>We maintain our draft decision consideration to approve TasNetworks</w:t>
      </w:r>
      <w:r w:rsidR="00DA1631">
        <w:t>'</w:t>
      </w:r>
      <w:r>
        <w:t xml:space="preserve"> p</w:t>
      </w:r>
      <w:r w:rsidR="003F334D">
        <w:t xml:space="preserve">roposed approach to remove the cross subsidy </w:t>
      </w:r>
      <w:r>
        <w:t>over time as a movement along the cost reflectivity spectrum.</w:t>
      </w:r>
      <w:r>
        <w:rPr>
          <w:rStyle w:val="FootnoteReference"/>
        </w:rPr>
        <w:footnoteReference w:id="131"/>
      </w:r>
      <w:r>
        <w:t xml:space="preserve"> Th</w:t>
      </w:r>
      <w:r w:rsidR="003F334D">
        <w:t>e removal of the cross subsidy</w:t>
      </w:r>
      <w:r>
        <w:t xml:space="preserve"> will allow tariffs to </w:t>
      </w:r>
      <w:r w:rsidRPr="00382637">
        <w:t>be based on the cost of providing the service</w:t>
      </w:r>
      <w:r>
        <w:t>.</w:t>
      </w:r>
      <w:r>
        <w:rPr>
          <w:rStyle w:val="FootnoteReference"/>
        </w:rPr>
        <w:footnoteReference w:id="132"/>
      </w:r>
    </w:p>
    <w:p w:rsidR="00496DED" w:rsidRPr="00540FF5" w:rsidRDefault="00496DED" w:rsidP="00496DED">
      <w:pPr>
        <w:pStyle w:val="Caption"/>
      </w:pPr>
      <w:bookmarkStart w:id="92" w:name="_Ref477522713"/>
      <w:r>
        <w:lastRenderedPageBreak/>
        <w:t xml:space="preserve">Table </w:t>
      </w:r>
      <w:fldSimple w:instr=" STYLEREF 1 \s ">
        <w:r w:rsidR="00F52FCD">
          <w:rPr>
            <w:noProof/>
          </w:rPr>
          <w:t>19</w:t>
        </w:r>
      </w:fldSimple>
      <w:r w:rsidR="00E914FF">
        <w:t>.</w:t>
      </w:r>
      <w:fldSimple w:instr=" SEQ Table \* ARABIC \s 1 ">
        <w:r w:rsidR="00F52FCD">
          <w:rPr>
            <w:noProof/>
          </w:rPr>
          <w:t>7</w:t>
        </w:r>
      </w:fldSimple>
      <w:bookmarkEnd w:id="92"/>
      <w:r>
        <w:tab/>
        <w:t>TasNetworks' controlled and uncontrolled load tariffs</w:t>
      </w:r>
    </w:p>
    <w:tbl>
      <w:tblPr>
        <w:tblStyle w:val="AERtable-text0"/>
        <w:tblW w:w="0" w:type="auto"/>
        <w:tblLook w:val="04A0" w:firstRow="1" w:lastRow="0" w:firstColumn="1" w:lastColumn="0" w:noHBand="0" w:noVBand="1"/>
      </w:tblPr>
      <w:tblGrid>
        <w:gridCol w:w="1448"/>
        <w:gridCol w:w="1354"/>
        <w:gridCol w:w="1134"/>
        <w:gridCol w:w="1275"/>
        <w:gridCol w:w="1134"/>
        <w:gridCol w:w="2348"/>
      </w:tblGrid>
      <w:tr w:rsidR="00496DED" w:rsidTr="00496DED">
        <w:trPr>
          <w:cnfStyle w:val="100000000000" w:firstRow="1" w:lastRow="0" w:firstColumn="0" w:lastColumn="0" w:oddVBand="0" w:evenVBand="0" w:oddHBand="0" w:evenHBand="0" w:firstRowFirstColumn="0" w:firstRowLastColumn="0" w:lastRowFirstColumn="0" w:lastRowLastColumn="0"/>
        </w:trPr>
        <w:tc>
          <w:tcPr>
            <w:tcW w:w="1448" w:type="dxa"/>
          </w:tcPr>
          <w:p w:rsidR="00496DED" w:rsidRPr="00496DED" w:rsidRDefault="00496DED" w:rsidP="00496DED">
            <w:r>
              <w:t>Tariff</w:t>
            </w:r>
          </w:p>
        </w:tc>
        <w:tc>
          <w:tcPr>
            <w:tcW w:w="1354" w:type="dxa"/>
          </w:tcPr>
          <w:p w:rsidR="00496DED" w:rsidRPr="00496DED" w:rsidRDefault="00496DED" w:rsidP="00496DED">
            <w:r>
              <w:t>Customer type</w:t>
            </w:r>
          </w:p>
        </w:tc>
        <w:tc>
          <w:tcPr>
            <w:tcW w:w="1134" w:type="dxa"/>
          </w:tcPr>
          <w:p w:rsidR="00496DED" w:rsidRPr="00496DED" w:rsidRDefault="00496DED" w:rsidP="00496DED">
            <w:r>
              <w:t>Assignment</w:t>
            </w:r>
          </w:p>
        </w:tc>
        <w:tc>
          <w:tcPr>
            <w:tcW w:w="1275" w:type="dxa"/>
          </w:tcPr>
          <w:p w:rsidR="00496DED" w:rsidRPr="00496DED" w:rsidRDefault="00496DED" w:rsidP="00496DED">
            <w:r>
              <w:t>Meter type</w:t>
            </w:r>
          </w:p>
        </w:tc>
        <w:tc>
          <w:tcPr>
            <w:tcW w:w="1134" w:type="dxa"/>
          </w:tcPr>
          <w:p w:rsidR="00496DED" w:rsidRPr="00496DED" w:rsidRDefault="00496DED" w:rsidP="00496DED">
            <w:r>
              <w:t>Tariff structure</w:t>
            </w:r>
          </w:p>
        </w:tc>
        <w:tc>
          <w:tcPr>
            <w:tcW w:w="2348" w:type="dxa"/>
          </w:tcPr>
          <w:p w:rsidR="00496DED" w:rsidRPr="00496DED" w:rsidRDefault="00496DED" w:rsidP="00496DED">
            <w:r>
              <w:t>Notes</w:t>
            </w:r>
          </w:p>
        </w:tc>
      </w:tr>
      <w:tr w:rsidR="00496DED" w:rsidTr="00496DED">
        <w:tc>
          <w:tcPr>
            <w:tcW w:w="1448" w:type="dxa"/>
          </w:tcPr>
          <w:p w:rsidR="00496DED" w:rsidRPr="00496DED" w:rsidRDefault="00496DED" w:rsidP="00496DED">
            <w:r>
              <w:t>Uncontrolled</w:t>
            </w:r>
            <w:r w:rsidRPr="00496DED">
              <w:t xml:space="preserve"> low voltage heating</w:t>
            </w:r>
          </w:p>
        </w:tc>
        <w:tc>
          <w:tcPr>
            <w:tcW w:w="1354" w:type="dxa"/>
          </w:tcPr>
          <w:p w:rsidR="00496DED" w:rsidRPr="00496DED" w:rsidRDefault="00496DED" w:rsidP="00496DED">
            <w:r w:rsidRPr="00594206">
              <w:t>New/Existing</w:t>
            </w:r>
          </w:p>
        </w:tc>
        <w:tc>
          <w:tcPr>
            <w:tcW w:w="1134" w:type="dxa"/>
          </w:tcPr>
          <w:p w:rsidR="00496DED" w:rsidRPr="00496DED" w:rsidRDefault="00496DED" w:rsidP="00496DED">
            <w:r>
              <w:t xml:space="preserve">Optional </w:t>
            </w:r>
          </w:p>
        </w:tc>
        <w:tc>
          <w:tcPr>
            <w:tcW w:w="1275" w:type="dxa"/>
          </w:tcPr>
          <w:p w:rsidR="00496DED" w:rsidRPr="00496DED" w:rsidRDefault="00496DED" w:rsidP="00496DED">
            <w:r w:rsidRPr="00594206">
              <w:t xml:space="preserve">Type 6 is the minimum </w:t>
            </w:r>
            <w:r w:rsidRPr="00496DED">
              <w:t>requirement</w:t>
            </w:r>
          </w:p>
        </w:tc>
        <w:tc>
          <w:tcPr>
            <w:tcW w:w="1134" w:type="dxa"/>
          </w:tcPr>
          <w:p w:rsidR="00496DED" w:rsidRPr="00496DED" w:rsidRDefault="00496DED" w:rsidP="00496DED">
            <w:r w:rsidRPr="005939C9">
              <w:t>Fixed charge + flat usage</w:t>
            </w:r>
            <w:r w:rsidRPr="00496DED">
              <w:t xml:space="preserve"> charge</w:t>
            </w:r>
          </w:p>
        </w:tc>
        <w:tc>
          <w:tcPr>
            <w:tcW w:w="2348" w:type="dxa"/>
          </w:tcPr>
          <w:p w:rsidR="00496DED" w:rsidRPr="00496DED" w:rsidRDefault="00496DED" w:rsidP="00496DED">
            <w:r>
              <w:t>Tariff is cross subsidised by other customers.</w:t>
            </w:r>
          </w:p>
          <w:p w:rsidR="00496DED" w:rsidRPr="00496DED" w:rsidRDefault="00496DED" w:rsidP="00496DED">
            <w:r>
              <w:t>Tariff  only available with Residential low voltage general, Business low voltage or Business low voltage nursing homes</w:t>
            </w:r>
          </w:p>
        </w:tc>
      </w:tr>
      <w:tr w:rsidR="00496DED" w:rsidTr="00496DED">
        <w:trPr>
          <w:cnfStyle w:val="000000010000" w:firstRow="0" w:lastRow="0" w:firstColumn="0" w:lastColumn="0" w:oddVBand="0" w:evenVBand="0" w:oddHBand="0" w:evenHBand="1" w:firstRowFirstColumn="0" w:firstRowLastColumn="0" w:lastRowFirstColumn="0" w:lastRowLastColumn="0"/>
        </w:trPr>
        <w:tc>
          <w:tcPr>
            <w:tcW w:w="1448" w:type="dxa"/>
          </w:tcPr>
          <w:p w:rsidR="00496DED" w:rsidRPr="00496DED" w:rsidRDefault="00496DED" w:rsidP="00496DED">
            <w:r>
              <w:t>Controlled</w:t>
            </w:r>
            <w:r w:rsidRPr="00496DED">
              <w:t xml:space="preserve"> low voltage energy – Off peak with afternoon boost</w:t>
            </w:r>
          </w:p>
        </w:tc>
        <w:tc>
          <w:tcPr>
            <w:tcW w:w="1354" w:type="dxa"/>
          </w:tcPr>
          <w:p w:rsidR="00496DED" w:rsidRPr="00496DED" w:rsidRDefault="00496DED" w:rsidP="00496DED">
            <w:r>
              <w:t>New/Existing</w:t>
            </w:r>
          </w:p>
        </w:tc>
        <w:tc>
          <w:tcPr>
            <w:tcW w:w="1134" w:type="dxa"/>
          </w:tcPr>
          <w:p w:rsidR="00496DED" w:rsidRPr="00496DED" w:rsidRDefault="00496DED" w:rsidP="00496DED">
            <w:r>
              <w:t>Optional</w:t>
            </w:r>
          </w:p>
        </w:tc>
        <w:tc>
          <w:tcPr>
            <w:tcW w:w="1275" w:type="dxa"/>
          </w:tcPr>
          <w:p w:rsidR="00496DED" w:rsidRPr="00496DED" w:rsidRDefault="00496DED" w:rsidP="00496DED">
            <w:r w:rsidRPr="00565592">
              <w:t>Type 6 is the minimum requirement</w:t>
            </w:r>
          </w:p>
        </w:tc>
        <w:tc>
          <w:tcPr>
            <w:tcW w:w="1134" w:type="dxa"/>
          </w:tcPr>
          <w:p w:rsidR="00496DED" w:rsidRPr="00496DED" w:rsidRDefault="00496DED" w:rsidP="00496DED">
            <w:r w:rsidRPr="005939C9">
              <w:t>Fixed charge + flat usage</w:t>
            </w:r>
            <w:r w:rsidRPr="00496DED">
              <w:t xml:space="preserve"> charge</w:t>
            </w:r>
          </w:p>
        </w:tc>
        <w:tc>
          <w:tcPr>
            <w:tcW w:w="2348" w:type="dxa"/>
          </w:tcPr>
          <w:p w:rsidR="00496DED" w:rsidRPr="00496DED" w:rsidRDefault="00496DED" w:rsidP="00496DED">
            <w:r>
              <w:t>Available for nine hours between 10PM–7AM with a further two hours between 1PM–4:30PM</w:t>
            </w:r>
          </w:p>
          <w:p w:rsidR="00496DED" w:rsidRPr="00496DED" w:rsidRDefault="00496DED" w:rsidP="00496DED">
            <w:r>
              <w:t xml:space="preserve">Tariff only </w:t>
            </w:r>
            <w:r w:rsidRPr="00496DED">
              <w:t>available with Residential low voltage general, Business low voltage or Business low voltage nursing homes</w:t>
            </w:r>
          </w:p>
        </w:tc>
      </w:tr>
      <w:tr w:rsidR="00496DED" w:rsidTr="00496DED">
        <w:tc>
          <w:tcPr>
            <w:tcW w:w="1448" w:type="dxa"/>
          </w:tcPr>
          <w:p w:rsidR="00496DED" w:rsidRPr="00496DED" w:rsidRDefault="00496DED" w:rsidP="00496DED">
            <w:r>
              <w:t>Controlled low voltage energy–with night period</w:t>
            </w:r>
          </w:p>
        </w:tc>
        <w:tc>
          <w:tcPr>
            <w:tcW w:w="1354" w:type="dxa"/>
          </w:tcPr>
          <w:p w:rsidR="00496DED" w:rsidRPr="00496DED" w:rsidRDefault="00496DED" w:rsidP="00496DED">
            <w:r>
              <w:t>New/Existing</w:t>
            </w:r>
          </w:p>
        </w:tc>
        <w:tc>
          <w:tcPr>
            <w:tcW w:w="1134" w:type="dxa"/>
          </w:tcPr>
          <w:p w:rsidR="00496DED" w:rsidRPr="00496DED" w:rsidRDefault="00496DED" w:rsidP="00496DED">
            <w:r>
              <w:t>Optional</w:t>
            </w:r>
          </w:p>
        </w:tc>
        <w:tc>
          <w:tcPr>
            <w:tcW w:w="1275" w:type="dxa"/>
          </w:tcPr>
          <w:p w:rsidR="00496DED" w:rsidRPr="00496DED" w:rsidRDefault="00496DED" w:rsidP="00496DED">
            <w:r w:rsidRPr="00EA263D">
              <w:t>Type 6 capable of recording time of use data</w:t>
            </w:r>
            <w:r w:rsidRPr="00496DED">
              <w:t xml:space="preserve"> and ability to control energy flows is the minimum requirement</w:t>
            </w:r>
          </w:p>
        </w:tc>
        <w:tc>
          <w:tcPr>
            <w:tcW w:w="1134" w:type="dxa"/>
          </w:tcPr>
          <w:p w:rsidR="00496DED" w:rsidRPr="00496DED" w:rsidRDefault="00496DED" w:rsidP="00496DED">
            <w:r w:rsidRPr="005939C9">
              <w:t xml:space="preserve">Fixed charge + </w:t>
            </w:r>
            <w:r w:rsidRPr="00496DED">
              <w:t>flat usage charge</w:t>
            </w:r>
          </w:p>
        </w:tc>
        <w:tc>
          <w:tcPr>
            <w:tcW w:w="2348" w:type="dxa"/>
          </w:tcPr>
          <w:p w:rsidR="00496DED" w:rsidRPr="00496DED" w:rsidRDefault="00496DED" w:rsidP="00496DED">
            <w:r>
              <w:t>Available between 10PM–7AM</w:t>
            </w:r>
          </w:p>
          <w:p w:rsidR="00496DED" w:rsidRPr="00496DED" w:rsidRDefault="00496DED" w:rsidP="00496DED">
            <w:r w:rsidRPr="00565592">
              <w:t>Tariff only available with Residential low voltage general,</w:t>
            </w:r>
            <w:r w:rsidRPr="00496DED">
              <w:t xml:space="preserve"> Residential low voltage time of us, Business low voltage or Business low voltage time of use</w:t>
            </w:r>
          </w:p>
        </w:tc>
      </w:tr>
    </w:tbl>
    <w:p w:rsidR="00246CEF" w:rsidRDefault="00246CEF" w:rsidP="001D5828">
      <w:pPr>
        <w:pStyle w:val="Heading4"/>
      </w:pPr>
      <w:r>
        <w:t>Tariff assignment</w:t>
      </w:r>
    </w:p>
    <w:p w:rsidR="00D34134" w:rsidRDefault="00D34134" w:rsidP="00951506">
      <w:r>
        <w:t>We approve TasNetworks' proposed tariff assignment policy for the controlled and uncontrolled load tariffs.</w:t>
      </w:r>
    </w:p>
    <w:p w:rsidR="00D34134" w:rsidRDefault="00D34134" w:rsidP="00951506">
      <w:r>
        <w:t xml:space="preserve">The </w:t>
      </w:r>
      <w:r w:rsidRPr="00D34134">
        <w:t>controlled and uncontrolled load tariffs</w:t>
      </w:r>
      <w:r>
        <w:t xml:space="preserve"> are optional for both new and existing customers. The tariffs are not available </w:t>
      </w:r>
      <w:r w:rsidR="00315A2C">
        <w:t>as a single use tariff</w:t>
      </w:r>
      <w:r>
        <w:t xml:space="preserve"> but rather available for customers who also have a general network tariff. A type 6 meter is the minimum requirement </w:t>
      </w:r>
      <w:r w:rsidR="00E21872">
        <w:t>for these tariffs.</w:t>
      </w:r>
    </w:p>
    <w:p w:rsidR="00E21872" w:rsidRDefault="00E21872" w:rsidP="00951506">
      <w:r w:rsidRPr="00D95474">
        <w:t>TasNetworks noted as part of its stakeholder engagement one of</w:t>
      </w:r>
      <w:r>
        <w:t xml:space="preserve"> the options it proposed was to</w:t>
      </w:r>
      <w:r w:rsidRPr="00D95474">
        <w:t xml:space="preserve"> remov</w:t>
      </w:r>
      <w:r>
        <w:t>e</w:t>
      </w:r>
      <w:r w:rsidRPr="00D95474">
        <w:t xml:space="preserve"> the uncontrolled low voltage network tariff</w:t>
      </w:r>
      <w:r>
        <w:t xml:space="preserve"> to all new customers</w:t>
      </w:r>
      <w:r w:rsidRPr="00D95474">
        <w:t>.</w:t>
      </w:r>
      <w:r>
        <w:rPr>
          <w:rStyle w:val="FootnoteReference"/>
        </w:rPr>
        <w:footnoteReference w:id="133"/>
      </w:r>
      <w:r w:rsidRPr="00D95474">
        <w:t xml:space="preserve"> However, </w:t>
      </w:r>
      <w:r w:rsidR="00FE6020">
        <w:t>feedback it received during its customer</w:t>
      </w:r>
      <w:r w:rsidRPr="00D95474">
        <w:t xml:space="preserve"> engagement was not supportive of this approach. As a result, it changed its strategy to rebalance the </w:t>
      </w:r>
      <w:r>
        <w:t>tariff</w:t>
      </w:r>
      <w:r w:rsidRPr="00D95474">
        <w:t xml:space="preserve"> </w:t>
      </w:r>
      <w:r>
        <w:t>to be more cost reflective.</w:t>
      </w:r>
    </w:p>
    <w:p w:rsidR="00246CEF" w:rsidRDefault="00246CEF" w:rsidP="001D5828">
      <w:pPr>
        <w:pStyle w:val="Heading4"/>
      </w:pPr>
      <w:bookmarkStart w:id="93" w:name="_Ref479094351"/>
      <w:r>
        <w:t>Future direction</w:t>
      </w:r>
      <w:bookmarkEnd w:id="93"/>
    </w:p>
    <w:p w:rsidR="00E21872" w:rsidRDefault="00E21872" w:rsidP="00951506">
      <w:r>
        <w:lastRenderedPageBreak/>
        <w:t xml:space="preserve">TasNetworks stated it </w:t>
      </w:r>
      <w:r w:rsidR="0082511D">
        <w:t>will</w:t>
      </w:r>
      <w:r>
        <w:t xml:space="preserve"> realign the </w:t>
      </w:r>
      <w:r w:rsidRPr="00E21872">
        <w:t>uncontrolled load tariff with the residential low voltage general network tariff</w:t>
      </w:r>
      <w:r>
        <w:t xml:space="preserve"> by the end of </w:t>
      </w:r>
      <w:r w:rsidR="00D54328">
        <w:t>the 2024–29 regulatory control period. However, it will seek to rebalance the tariffs more quickly where revenue determinations and price impacts allow. We approve of this approach by TasNetworks.</w:t>
      </w:r>
    </w:p>
    <w:p w:rsidR="00246CEF" w:rsidRDefault="00D54328" w:rsidP="00951506">
      <w:r>
        <w:t>We also note the controlled and uncontrolled load tariffs are not available to customers on the time of use</w:t>
      </w:r>
      <w:r w:rsidR="0082511D">
        <w:t xml:space="preserve"> consumption and</w:t>
      </w:r>
      <w:r>
        <w:t xml:space="preserve"> demand tariff</w:t>
      </w:r>
      <w:r w:rsidR="0082511D">
        <w:t>s</w:t>
      </w:r>
      <w:r>
        <w:t>. We would expect this</w:t>
      </w:r>
      <w:r w:rsidR="0082511D">
        <w:t xml:space="preserve"> practice</w:t>
      </w:r>
      <w:r>
        <w:t xml:space="preserve"> </w:t>
      </w:r>
      <w:r w:rsidR="009C78D8">
        <w:t xml:space="preserve">to continue </w:t>
      </w:r>
      <w:r w:rsidR="0082511D">
        <w:t>for future regulatory control periods</w:t>
      </w:r>
      <w:r w:rsidR="009C78D8">
        <w:t>.</w:t>
      </w:r>
    </w:p>
    <w:p w:rsidR="00B61C42" w:rsidRDefault="00B61C42" w:rsidP="00B61C42">
      <w:pPr>
        <w:pStyle w:val="Heading3"/>
      </w:pPr>
      <w:bookmarkStart w:id="94" w:name="_Ref479093382"/>
      <w:bookmarkStart w:id="95" w:name="_Ref479093675"/>
      <w:bookmarkStart w:id="96" w:name="_Toc481061354"/>
      <w:r>
        <w:t>Low voltage business customers</w:t>
      </w:r>
      <w:bookmarkEnd w:id="94"/>
      <w:bookmarkEnd w:id="95"/>
      <w:bookmarkEnd w:id="96"/>
    </w:p>
    <w:p w:rsidR="00DE5D77" w:rsidRDefault="00DE5D77" w:rsidP="00DE5D77">
      <w:r w:rsidRPr="00DE5D77">
        <w:t xml:space="preserve">We approve the low voltage business customer tariffs </w:t>
      </w:r>
      <w:r>
        <w:t xml:space="preserve">for the 2017-19 regulatory control period </w:t>
      </w:r>
      <w:r w:rsidRPr="00DE5D77">
        <w:t>as contributing to achieving compliance with the distribution pricing principles. These tariffs are mostly paid by small to medium sized businesses.</w:t>
      </w:r>
      <w:r>
        <w:t xml:space="preserve"> We approved the same tariffs</w:t>
      </w:r>
      <w:r w:rsidRPr="00266576">
        <w:t xml:space="preserve"> </w:t>
      </w:r>
      <w:r>
        <w:t>in our draft decision.</w:t>
      </w:r>
      <w:r>
        <w:rPr>
          <w:rStyle w:val="FootnoteReference"/>
        </w:rPr>
        <w:footnoteReference w:id="134"/>
      </w:r>
    </w:p>
    <w:p w:rsidR="00DE5D77" w:rsidRDefault="00DE5D77" w:rsidP="00DE5D77">
      <w:r w:rsidRPr="00DE5D77">
        <w:t>Existing tariffs for customers assigned to these tariffs are being realigned to make them more cost reflective, and a new opt-in demand tariff is to be introduced to signal the impact of customers' usage decisions on the network. We note that demand is a driver of network costs, so tariffs which attempt to signal demand are a move along the cost reflectivity spectrum.</w:t>
      </w:r>
    </w:p>
    <w:p w:rsidR="00DE5D77" w:rsidRPr="00DE5D77" w:rsidRDefault="00DE5D77" w:rsidP="00DE5D77">
      <w:r w:rsidRPr="00DE5D77">
        <w:t>This does not mean that they are the only tariff types that are cost reflective. Locational or geographic prices could also be used in future to send more targeted price signals to retailers and end use customers.</w:t>
      </w:r>
    </w:p>
    <w:p w:rsidR="00DE5D77" w:rsidRPr="00DE5D77" w:rsidRDefault="00DE5D77" w:rsidP="00DE5D77">
      <w:r w:rsidRPr="00DE5D77">
        <w:t>The revised tariff structure statement sets out TasNetworks intent to amend tariffs as part of its tariff reform journey. These tariffs will involve the removal of cross subsidies and be aligned with the general purpose tariff (called TAS22). The affected tariffs are:</w:t>
      </w:r>
    </w:p>
    <w:p w:rsidR="00DE5D77" w:rsidRPr="00DE5D77" w:rsidRDefault="00DE5D77" w:rsidP="00DE5D77">
      <w:pPr>
        <w:pStyle w:val="AERbulletlistfirststyle"/>
      </w:pPr>
      <w:r w:rsidRPr="00DE5D77">
        <w:t xml:space="preserve">Business low voltage nursing homes network tariff (TAS34), which is closed to new connections. </w:t>
      </w:r>
    </w:p>
    <w:p w:rsidR="00DE5D77" w:rsidRPr="00DE5D77" w:rsidRDefault="00DE5D77" w:rsidP="00DE5D77">
      <w:pPr>
        <w:pStyle w:val="AERbulletlistfirststyle"/>
      </w:pPr>
      <w:r w:rsidRPr="00DE5D77">
        <w:t>General network – Business curtilage network tariff (TASCURT). This tariff is closed to new connections.</w:t>
      </w:r>
    </w:p>
    <w:p w:rsidR="00DE5D77" w:rsidRPr="00DE5D77" w:rsidRDefault="00DE5D77" w:rsidP="00DE5D77">
      <w:r w:rsidRPr="00DE5D77">
        <w:t>Our draft decision approved the removal of cross subsidies within low voltage business tariffs. This is on the basis that the introduction of a demand tariff for the low voltage customers and the realignment of legacy tariffs contributed to achievement of compliance with the distribution pricing principles.</w:t>
      </w:r>
      <w:r w:rsidRPr="00DE5D77">
        <w:rPr>
          <w:rStyle w:val="AERsuperscript"/>
        </w:rPr>
        <w:footnoteReference w:id="135"/>
      </w:r>
      <w:r w:rsidR="009F7238">
        <w:t>The realignment of existing tariffs removes the cross subsidies between tariffs and customers. By realigning tariff rates, pricing distortions are reduced for all customers, helping to achieve efficient consumption and demand patterns in the long run.</w:t>
      </w:r>
    </w:p>
    <w:p w:rsidR="00DE5D77" w:rsidRPr="00DE5D77" w:rsidRDefault="00DE5D77" w:rsidP="00DE5D77">
      <w:r w:rsidRPr="00DE5D77">
        <w:lastRenderedPageBreak/>
        <w:t>The new time of use demand tariff will consist of the following elements</w:t>
      </w:r>
      <w:r w:rsidRPr="00DE5D77">
        <w:rPr>
          <w:rStyle w:val="AERsuperscript"/>
        </w:rPr>
        <w:footnoteReference w:id="136"/>
      </w:r>
      <w:r w:rsidRPr="00DE5D77">
        <w:rPr>
          <w:rStyle w:val="AERsuperscript"/>
        </w:rPr>
        <w:t>:</w:t>
      </w:r>
    </w:p>
    <w:p w:rsidR="00DE5D77" w:rsidRPr="00DE5D77" w:rsidRDefault="00DE5D77" w:rsidP="00734003">
      <w:pPr>
        <w:pStyle w:val="AERbulletlistfirststyle"/>
      </w:pPr>
      <w:r w:rsidRPr="00DE5D77">
        <w:t>Service charge—this is fixed service to property charge</w:t>
      </w:r>
    </w:p>
    <w:p w:rsidR="00DE5D77" w:rsidRPr="00DE5D77" w:rsidRDefault="00DE5D77" w:rsidP="00734003">
      <w:pPr>
        <w:pStyle w:val="AERbulletlistfirststyle"/>
      </w:pPr>
      <w:r w:rsidRPr="00DE5D77">
        <w:t>Peak demand charge—operates during the peak demand window</w:t>
      </w:r>
    </w:p>
    <w:p w:rsidR="00DE5D77" w:rsidRPr="00DE5D77" w:rsidRDefault="00DE5D77" w:rsidP="00734003">
      <w:pPr>
        <w:pStyle w:val="AERbulletlistfirststyle"/>
      </w:pPr>
      <w:r w:rsidRPr="00DE5D77">
        <w:t xml:space="preserve">Off peak demand charge—this is charged at a lower rate than the peak demand charge. </w:t>
      </w:r>
    </w:p>
    <w:p w:rsidR="00DE5D77" w:rsidRPr="00DE5D77" w:rsidRDefault="00DE5D77" w:rsidP="00DE5D77">
      <w:r w:rsidRPr="00DE5D77">
        <w:t xml:space="preserve">The demand component will be charged based on the average of demand over a 30 minute interval. The highest recorded demand during the 30 minute intervals in the </w:t>
      </w:r>
      <w:r w:rsidR="005E6476">
        <w:t xml:space="preserve">peak </w:t>
      </w:r>
      <w:r w:rsidRPr="00DE5D77">
        <w:t>period charging window will be the amount of demand that is charged to the customer. During weekends only the off-peak tariff rate will be charged.</w:t>
      </w:r>
    </w:p>
    <w:p w:rsidR="00DE5D77" w:rsidRPr="00DE5D77" w:rsidRDefault="00DE5D77" w:rsidP="00DE5D77">
      <w:r w:rsidRPr="00DE5D77">
        <w:t xml:space="preserve">TasNetworks will also bill retailers on a monthly basis for those customers that choose the opt-in demand tariff. This amendment from its initial tariff structure statement is being introduced to provide customers with more timely information </w:t>
      </w:r>
      <w:r w:rsidR="00734003">
        <w:t>about their demand and consumption levels.</w:t>
      </w:r>
    </w:p>
    <w:p w:rsidR="00DE5D77" w:rsidRPr="00DE5D77" w:rsidRDefault="00DE5D77" w:rsidP="00734003">
      <w:r w:rsidRPr="00DE5D77">
        <w:t>Customer</w:t>
      </w:r>
      <w:r w:rsidR="00935C48">
        <w:t>s</w:t>
      </w:r>
      <w:r w:rsidRPr="00DE5D77">
        <w:t xml:space="preserve"> remaining on their existing legacy tariffs will continue to receive bills on a quarterly basis</w:t>
      </w:r>
      <w:r w:rsidR="00734003">
        <w:t>.</w:t>
      </w:r>
      <w:r w:rsidRPr="00DE5D77">
        <w:rPr>
          <w:rStyle w:val="AERsuperscript"/>
        </w:rPr>
        <w:footnoteReference w:id="137"/>
      </w:r>
      <w:r w:rsidRPr="00DE5D77">
        <w:rPr>
          <w:rStyle w:val="AERsuperscript"/>
        </w:rPr>
        <w:t xml:space="preserve"> </w:t>
      </w:r>
      <w:r w:rsidR="00734003">
        <w:t xml:space="preserve">However </w:t>
      </w:r>
      <w:r w:rsidRPr="00DE5D77">
        <w:t>we note that TasNetw</w:t>
      </w:r>
      <w:r w:rsidR="00DF4D79">
        <w:t>orks implies that over time, its intention is</w:t>
      </w:r>
      <w:r w:rsidRPr="00DE5D77">
        <w:t xml:space="preserve"> to move towards more regular billing cycles, to enhance the opportunity for customers to respond quickly to price signals.</w:t>
      </w:r>
      <w:r w:rsidR="00DF4D79">
        <w:t xml:space="preserve"> We support this approach as do various stakeholders.</w:t>
      </w:r>
      <w:r w:rsidR="00E53649">
        <w:rPr>
          <w:rStyle w:val="FootnoteReference"/>
        </w:rPr>
        <w:footnoteReference w:id="138"/>
      </w:r>
    </w:p>
    <w:p w:rsidR="00DE5D77" w:rsidRPr="00DE5D77" w:rsidRDefault="00DE5D77" w:rsidP="00DE5D77">
      <w:r w:rsidRPr="00DE5D77">
        <w:t>This is most relevant where a customer has a smart meter and other devices like in-home displays or web based applications that can provide real time data. This will enable customers to see which appliances are driving their electricity use at any point in time. They can then adjust behaviour to shift that load or reduce it in response to price signals.</w:t>
      </w:r>
    </w:p>
    <w:p w:rsidR="00DE5D77" w:rsidRPr="00DE5D77" w:rsidRDefault="00DE5D77" w:rsidP="00DE5D77">
      <w:r w:rsidRPr="00DE5D77">
        <w:t>In this way, a customer on the demand tariff will be rewarded for reducing their demand during the peak charging period. This will reduce pressure on the network and mitigate the need for costly investment upgrades potentially required to otherwise meet increasing demand within set reliability limits. We consider that tariffs which help to achieve such an outcome contribute to achieving compliance with the distribution pricing principles.</w:t>
      </w:r>
      <w:r w:rsidRPr="00DE5D77">
        <w:rPr>
          <w:rStyle w:val="AERsuperscript"/>
        </w:rPr>
        <w:footnoteReference w:id="139"/>
      </w:r>
    </w:p>
    <w:p w:rsidR="00DE5D77" w:rsidRPr="00DE5D77" w:rsidRDefault="00DE5D77" w:rsidP="00DE5D77">
      <w:r w:rsidRPr="00DE5D77">
        <w:lastRenderedPageBreak/>
        <w:t>We acknowledge that some stakeholders, such as Tasmanian Renewable Energy Alliance, consider that a demand tariff is not the only means to achieve a cost reflective tariff. They were concerned that customers might find it difficult to understand, and potentially confusing, and that a change in customer behaviour may not occur under this new pricing regime.</w:t>
      </w:r>
      <w:r w:rsidRPr="00DE5D77">
        <w:rPr>
          <w:rStyle w:val="AERsuperscript"/>
        </w:rPr>
        <w:footnoteReference w:id="140"/>
      </w:r>
      <w:r w:rsidRPr="00DE5D77">
        <w:t xml:space="preserve"> </w:t>
      </w:r>
    </w:p>
    <w:p w:rsidR="00DE5D77" w:rsidRPr="00DE5D77" w:rsidRDefault="00DE5D77" w:rsidP="00DE5D77">
      <w:r w:rsidRPr="00DE5D77">
        <w:t>We agree that a demand tariff is not the only option for developing a cost reflective tariff. Others could include time of use tariffs that charge based on energy throughput (kWh) at different times of the day. Critical peak charges, or rebates, could also apply during extreme days on the network. In this case, prices could be many times higher than for all other periods when the network is not facing a potential network constraint. Other options could be to charge customers based only on their location within the network, with only those locations most heavily affected by a network constraint or high maximum demand being charged peak tariffs. All other locations could maintain a much lower charge.</w:t>
      </w:r>
    </w:p>
    <w:p w:rsidR="00DE5D77" w:rsidRPr="00DE5D77" w:rsidRDefault="00DE5D77" w:rsidP="00DE5D77">
      <w:r w:rsidRPr="00DE5D77">
        <w:t xml:space="preserve">All these measures have the challenge of customer education and acceptance. With the exception of time of use tariffs, the other tariff types have been used only sparingly in the national electricity market. They are likely to perhaps face a bigger hurdle for </w:t>
      </w:r>
      <w:r w:rsidR="00C947BC">
        <w:t xml:space="preserve">energy </w:t>
      </w:r>
      <w:r w:rsidRPr="00DE5D77">
        <w:t>networks and retailers to overcome when engaging with their customers about new tariffs.</w:t>
      </w:r>
    </w:p>
    <w:p w:rsidR="00DE5D77" w:rsidRPr="00DE5D77" w:rsidRDefault="00947D8B" w:rsidP="00DE5D77">
      <w:r>
        <w:t>Distributors</w:t>
      </w:r>
      <w:r w:rsidR="00DE5D77" w:rsidRPr="00DE5D77">
        <w:t xml:space="preserve"> have therefore been given discretion under the rules to propose tariffs that they consider meet the pricing principles</w:t>
      </w:r>
      <w:r w:rsidR="008C5469">
        <w:t xml:space="preserve">. Our </w:t>
      </w:r>
      <w:r w:rsidR="00DE5D77" w:rsidRPr="00DE5D77">
        <w:t>role is to assess if those proposal meet the principles. That does not mean of course, that some other group</w:t>
      </w:r>
      <w:r w:rsidR="00C947BC">
        <w:t>s or set</w:t>
      </w:r>
      <w:r w:rsidR="00DE5D77" w:rsidRPr="00DE5D77">
        <w:t xml:space="preserve"> of tariffs could not also meet the pricing principles. </w:t>
      </w:r>
    </w:p>
    <w:p w:rsidR="00DE5D77" w:rsidRPr="00DE5D77" w:rsidRDefault="00DE5D77" w:rsidP="00DE5D77">
      <w:r w:rsidRPr="00DE5D77">
        <w:t>We note that TasNetworks has decided to use demand charges as the basis for its new cost reflective tariffs and wants to approach this over an extended transition period. It will use this time to educate network customers about the new tariffs, explore data collection options and customer behavioural responses, which might enable refinement of future tariffs. Demand, measured in kW, is also a more prevalent driver of a distribution networks costs that consumption alone.</w:t>
      </w:r>
    </w:p>
    <w:p w:rsidR="00DE5D77" w:rsidRPr="00DE5D77" w:rsidRDefault="00DE5D77" w:rsidP="00DE5D77">
      <w:r w:rsidRPr="00DE5D77">
        <w:t>We encourage all distributors, including TasNetworks, to consider other tariff options for future tariff structure statements. This is to en</w:t>
      </w:r>
      <w:r w:rsidR="00A717A2">
        <w:t>sure that with each new proposed tariff structure</w:t>
      </w:r>
      <w:r w:rsidRPr="00DE5D77">
        <w:t xml:space="preserve"> that improvements to cost reflective price signals are being made and introduced. </w:t>
      </w:r>
    </w:p>
    <w:p w:rsidR="00DE5D77" w:rsidRPr="00DE5D77" w:rsidRDefault="00DE5D77" w:rsidP="00DE5D77">
      <w:r w:rsidRPr="00DE5D77">
        <w:t>Some stakeholders were concerned by the proposed increase in fixed charges. Nekon noted this in two submissions.</w:t>
      </w:r>
      <w:r w:rsidRPr="00DE5D77">
        <w:rPr>
          <w:rStyle w:val="AERsuperscript"/>
        </w:rPr>
        <w:footnoteReference w:id="141"/>
      </w:r>
      <w:r w:rsidRPr="00DE5D77">
        <w:rPr>
          <w:rStyle w:val="AERsuperscript"/>
        </w:rPr>
        <w:t xml:space="preserve"> </w:t>
      </w:r>
      <w:r w:rsidRPr="00DE5D77">
        <w:t>Its contention was that a customer might not be able to respond to this charging regime.</w:t>
      </w:r>
    </w:p>
    <w:p w:rsidR="00DE5D77" w:rsidRPr="00DE5D77" w:rsidRDefault="00DE5D77" w:rsidP="00DE5D77">
      <w:r w:rsidRPr="00DE5D77">
        <w:lastRenderedPageBreak/>
        <w:t xml:space="preserve">Networks need to recoup the investment they have made in augmenting and replacing </w:t>
      </w:r>
      <w:r w:rsidR="008C5469">
        <w:t>their assets</w:t>
      </w:r>
      <w:r w:rsidRPr="00DE5D77">
        <w:t>, and in providing ongoing operation and maintenance of the network. Many of the costs are fixed, and remain regardless of how much consumption or demand occurs on the network. These residual costs are usually recovered thr</w:t>
      </w:r>
      <w:r w:rsidR="00A717A2">
        <w:t xml:space="preserve">ough a fixed supply charge and, </w:t>
      </w:r>
      <w:r w:rsidRPr="00DE5D77">
        <w:t>or</w:t>
      </w:r>
      <w:r w:rsidR="00A717A2">
        <w:t>,</w:t>
      </w:r>
      <w:r w:rsidRPr="00DE5D77">
        <w:t xml:space="preserve"> a variable energy consumption charge.</w:t>
      </w:r>
    </w:p>
    <w:p w:rsidR="00DE5D77" w:rsidRPr="00DE5D77" w:rsidRDefault="00DE5D77" w:rsidP="00DE5D77">
      <w:r w:rsidRPr="00DE5D77">
        <w:t>Distributors throughout the national electricity market have been using an increase in the fixed supply charge to recoup some of their residual costs. Energy consumption charges</w:t>
      </w:r>
      <w:r w:rsidR="00A717A2">
        <w:t xml:space="preserve"> (i.e. kWh based charging)</w:t>
      </w:r>
      <w:r w:rsidRPr="00DE5D77">
        <w:t xml:space="preserve"> have also been used in other jurisdictions to allocate residual costs.</w:t>
      </w:r>
    </w:p>
    <w:p w:rsidR="00DE5D77" w:rsidRPr="00DE5D77" w:rsidRDefault="00DE5D77" w:rsidP="00DE5D77">
      <w:r w:rsidRPr="00DE5D77">
        <w:t>In addition, TasNetworks acknowledges that the tariff impacts for individual customers cannot be quantified definitively at present.</w:t>
      </w:r>
      <w:r w:rsidRPr="00A717A2">
        <w:rPr>
          <w:rStyle w:val="AERsuperscript"/>
        </w:rPr>
        <w:footnoteReference w:id="142"/>
      </w:r>
      <w:r w:rsidRPr="00A717A2">
        <w:rPr>
          <w:rStyle w:val="AERsuperscript"/>
        </w:rPr>
        <w:t xml:space="preserve"> </w:t>
      </w:r>
      <w:r w:rsidRPr="00DE5D77">
        <w:t xml:space="preserve">This is because the information from accumulation meters does not provide it with the rich data to compare with a case of a customer on a demand tariff (which requires </w:t>
      </w:r>
      <w:r w:rsidR="00A717A2">
        <w:t xml:space="preserve">a meter delivering </w:t>
      </w:r>
      <w:r w:rsidRPr="00DE5D77">
        <w:t>interval data).</w:t>
      </w:r>
    </w:p>
    <w:p w:rsidR="00DE5D77" w:rsidRPr="00DE5D77" w:rsidRDefault="00DE5D77" w:rsidP="00DE5D77">
      <w:r w:rsidRPr="00DE5D77">
        <w:t>Nevertheless, TasN</w:t>
      </w:r>
      <w:r w:rsidR="00A717A2">
        <w:t>etworks did provide some updated</w:t>
      </w:r>
      <w:r w:rsidRPr="00DE5D77">
        <w:t xml:space="preserve"> estimates, and considered that an average low voltage business customer switching to the demand tariff would see network bill reductions.</w:t>
      </w:r>
      <w:r w:rsidRPr="00A717A2">
        <w:rPr>
          <w:rStyle w:val="AERsuperscript"/>
        </w:rPr>
        <w:footnoteReference w:id="143"/>
      </w:r>
      <w:r w:rsidRPr="00A717A2">
        <w:rPr>
          <w:rStyle w:val="AERsuperscript"/>
        </w:rPr>
        <w:t xml:space="preserve"> </w:t>
      </w:r>
      <w:r w:rsidRPr="00DE5D77">
        <w:t xml:space="preserve">More relevantly, this is despite the large increase in percentage terms for the fixed supply charge, which nonetheless still only </w:t>
      </w:r>
      <w:r w:rsidR="00F6256F">
        <w:t>amounts</w:t>
      </w:r>
      <w:r w:rsidRPr="00DE5D77">
        <w:t xml:space="preserve"> </w:t>
      </w:r>
      <w:r w:rsidR="00D568A3">
        <w:t xml:space="preserve">to </w:t>
      </w:r>
      <w:r w:rsidRPr="00DE5D77">
        <w:t xml:space="preserve">around $300 per annum. That is, the fixed supply charge will still only </w:t>
      </w:r>
      <w:r w:rsidR="00D568A3">
        <w:t xml:space="preserve">be </w:t>
      </w:r>
      <w:r w:rsidRPr="00DE5D77">
        <w:t>a relatively small fraction of a customer's network bill.</w:t>
      </w:r>
    </w:p>
    <w:p w:rsidR="00DE5D77" w:rsidRDefault="00DE5D77" w:rsidP="00DE5D77">
      <w:r w:rsidRPr="00DE5D77">
        <w:t xml:space="preserve">Over time, TasNetworks implies that it will seek to reduce the number of tariffs it has available for customers, to </w:t>
      </w:r>
      <w:r w:rsidR="001859F4">
        <w:t xml:space="preserve">simplify </w:t>
      </w:r>
      <w:r w:rsidRPr="00DE5D77">
        <w:t xml:space="preserve">its suite of tariffs. However, this is anticipated to take </w:t>
      </w:r>
      <w:r w:rsidR="00F6256F">
        <w:t>several</w:t>
      </w:r>
      <w:r w:rsidRPr="00DE5D77">
        <w:t xml:space="preserve"> years and will not be an immediate outcome of its efforts to reform its overall tariff strategy</w:t>
      </w:r>
      <w:r>
        <w:t>.</w:t>
      </w:r>
    </w:p>
    <w:p w:rsidR="00F04041" w:rsidRDefault="00F04041" w:rsidP="00F04041">
      <w:pPr>
        <w:pStyle w:val="Heading4"/>
      </w:pPr>
      <w:r>
        <w:t>Tariff design</w:t>
      </w:r>
    </w:p>
    <w:p w:rsidR="00E155EE" w:rsidRPr="00E155EE" w:rsidRDefault="00E155EE" w:rsidP="00E155EE">
      <w:r w:rsidRPr="00E155EE">
        <w:t>TasNetworks' has two tariff classes for low voltage business customers—small and large. Similar to the residential tariff class, TasNetworks proposed the continuation of currently available tariffs for both of these tariff classes over the 2017–19 regulatory control period. These tariffs will continue in their current tariff design.</w:t>
      </w:r>
    </w:p>
    <w:p w:rsidR="00E155EE" w:rsidRPr="00E155EE" w:rsidRDefault="00E155EE" w:rsidP="00E155EE">
      <w:r w:rsidRPr="00E155EE">
        <w:t xml:space="preserve">TasNetworks noted two continuing small business low voltage tariffs are not currently cost reflective. Consistent with the uncontrolled load tariff, the Business low voltage nursing home tariff and the General network–business curtilage tariff has been historically cross subsidised </w:t>
      </w:r>
      <w:r w:rsidR="001859F4">
        <w:t>by</w:t>
      </w:r>
      <w:r w:rsidR="001859F4" w:rsidRPr="00E155EE">
        <w:t xml:space="preserve"> </w:t>
      </w:r>
      <w:r w:rsidRPr="00E155EE">
        <w:t xml:space="preserve">other customers. For both of these tariffs, TasNetworks </w:t>
      </w:r>
      <w:r w:rsidR="00896B8B">
        <w:t>proposed to address this by</w:t>
      </w:r>
      <w:r w:rsidRPr="00E155EE">
        <w:t xml:space="preserve"> rebalancing these tariffs</w:t>
      </w:r>
      <w:r w:rsidR="00896B8B">
        <w:t>,</w:t>
      </w:r>
      <w:r w:rsidRPr="00E155EE">
        <w:t xml:space="preserve"> rather than a change to their tariff design.</w:t>
      </w:r>
    </w:p>
    <w:p w:rsidR="00E155EE" w:rsidRDefault="00E155EE" w:rsidP="00E155EE">
      <w:r w:rsidRPr="00E155EE">
        <w:lastRenderedPageBreak/>
        <w:t>In add</w:t>
      </w:r>
      <w:r w:rsidR="00896B8B">
        <w:t xml:space="preserve">ition to the continuing tariffs, </w:t>
      </w:r>
      <w:r w:rsidRPr="00E155EE">
        <w:t>TasNetworks proposed to introduce the new time of use demand tariff for both the small and large low voltage business customers. The designs of the demand tariffs are exactly the same as the time of use demand tariff being introduced for residential customers. These demand tariffs will be optional.</w:t>
      </w:r>
    </w:p>
    <w:p w:rsidR="00896B8B" w:rsidRDefault="00896B8B">
      <w:pPr>
        <w:spacing w:line="240" w:lineRule="auto"/>
      </w:pPr>
      <w:r>
        <w:br w:type="page"/>
      </w:r>
    </w:p>
    <w:p w:rsidR="00F75860" w:rsidRDefault="00F75860" w:rsidP="00F75860">
      <w:pPr>
        <w:pStyle w:val="HeadingBoldItalic"/>
      </w:pPr>
      <w:r>
        <w:lastRenderedPageBreak/>
        <w:t>Continuing low voltage business tariffs</w:t>
      </w:r>
    </w:p>
    <w:p w:rsidR="00F75860" w:rsidRDefault="00896B8B" w:rsidP="00B61C42">
      <w:r>
        <w:t>We approve TasNetworks continuing to offer its previous tariffs to business customers as contributing to compliance with the distribution pricing principles.</w:t>
      </w:r>
    </w:p>
    <w:p w:rsidR="00896B8B" w:rsidRDefault="00896B8B" w:rsidP="00B61C42">
      <w:r>
        <w:t xml:space="preserve">The existing suite of tariffs is set out in </w:t>
      </w:r>
      <w:r>
        <w:fldChar w:fldCharType="begin"/>
      </w:r>
      <w:r>
        <w:instrText xml:space="preserve"> REF _Ref479170884 \h </w:instrText>
      </w:r>
      <w:r>
        <w:fldChar w:fldCharType="separate"/>
      </w:r>
      <w:r w:rsidR="00F52FCD">
        <w:t xml:space="preserve">Table </w:t>
      </w:r>
      <w:r w:rsidR="00F52FCD">
        <w:rPr>
          <w:noProof/>
        </w:rPr>
        <w:t>19</w:t>
      </w:r>
      <w:r w:rsidR="00F52FCD">
        <w:t>.</w:t>
      </w:r>
      <w:r w:rsidR="00F52FCD">
        <w:rPr>
          <w:noProof/>
        </w:rPr>
        <w:t>8</w:t>
      </w:r>
      <w:r>
        <w:fldChar w:fldCharType="end"/>
      </w:r>
      <w:r>
        <w:t xml:space="preserve"> and these are long standing tariffs that customers have become accustomed to. Some of these, such as the nursing homes tariff and the business curtilage tariff, will be realigned to make them more cost reflective. They are also </w:t>
      </w:r>
      <w:r w:rsidR="00D568A3">
        <w:t xml:space="preserve">now </w:t>
      </w:r>
      <w:r>
        <w:t>closed to new connection customers.</w:t>
      </w:r>
      <w:r w:rsidR="00621A90">
        <w:t xml:space="preserve"> Customers will be able to choose the business low voltage general tariff as their first option, or alternatively opt-in to the low voltage (or large low voltage) time of use demand tariff.</w:t>
      </w:r>
    </w:p>
    <w:p w:rsidR="0028176D" w:rsidRPr="00540FF5" w:rsidRDefault="0028176D" w:rsidP="0028176D">
      <w:pPr>
        <w:pStyle w:val="Caption"/>
      </w:pPr>
      <w:bookmarkStart w:id="97" w:name="_Ref479170884"/>
      <w:r>
        <w:t xml:space="preserve">Table </w:t>
      </w:r>
      <w:fldSimple w:instr=" STYLEREF 1 \s ">
        <w:r w:rsidR="00F52FCD">
          <w:rPr>
            <w:noProof/>
          </w:rPr>
          <w:t>19</w:t>
        </w:r>
      </w:fldSimple>
      <w:r w:rsidR="00E914FF">
        <w:t>.</w:t>
      </w:r>
      <w:fldSimple w:instr=" SEQ Table \* ARABIC \s 1 ">
        <w:r w:rsidR="00F52FCD">
          <w:rPr>
            <w:noProof/>
          </w:rPr>
          <w:t>8</w:t>
        </w:r>
      </w:fldSimple>
      <w:bookmarkEnd w:id="97"/>
      <w:r>
        <w:tab/>
        <w:t>TasNetworks' continuing low voltage business tariffs</w:t>
      </w:r>
    </w:p>
    <w:tbl>
      <w:tblPr>
        <w:tblStyle w:val="AERtable-text0"/>
        <w:tblW w:w="0" w:type="auto"/>
        <w:tblLook w:val="04A0" w:firstRow="1" w:lastRow="0" w:firstColumn="1" w:lastColumn="0" w:noHBand="0" w:noVBand="1"/>
      </w:tblPr>
      <w:tblGrid>
        <w:gridCol w:w="1448"/>
        <w:gridCol w:w="1449"/>
        <w:gridCol w:w="1449"/>
        <w:gridCol w:w="1449"/>
        <w:gridCol w:w="1449"/>
        <w:gridCol w:w="1449"/>
      </w:tblGrid>
      <w:tr w:rsidR="0028176D" w:rsidTr="00E06923">
        <w:trPr>
          <w:cnfStyle w:val="100000000000" w:firstRow="1" w:lastRow="0" w:firstColumn="0" w:lastColumn="0" w:oddVBand="0" w:evenVBand="0" w:oddHBand="0" w:evenHBand="0" w:firstRowFirstColumn="0" w:firstRowLastColumn="0" w:lastRowFirstColumn="0" w:lastRowLastColumn="0"/>
        </w:trPr>
        <w:tc>
          <w:tcPr>
            <w:tcW w:w="1448" w:type="dxa"/>
          </w:tcPr>
          <w:p w:rsidR="0028176D" w:rsidRDefault="0028176D" w:rsidP="0028176D">
            <w:r>
              <w:t>Tariff</w:t>
            </w:r>
          </w:p>
        </w:tc>
        <w:tc>
          <w:tcPr>
            <w:tcW w:w="1449" w:type="dxa"/>
          </w:tcPr>
          <w:p w:rsidR="0028176D" w:rsidRDefault="0028176D" w:rsidP="0028176D">
            <w:r>
              <w:t>Customer type</w:t>
            </w:r>
          </w:p>
        </w:tc>
        <w:tc>
          <w:tcPr>
            <w:tcW w:w="1449" w:type="dxa"/>
          </w:tcPr>
          <w:p w:rsidR="0028176D" w:rsidRDefault="0028176D" w:rsidP="0028176D">
            <w:r>
              <w:t>Assignment</w:t>
            </w:r>
          </w:p>
        </w:tc>
        <w:tc>
          <w:tcPr>
            <w:tcW w:w="1449" w:type="dxa"/>
          </w:tcPr>
          <w:p w:rsidR="0028176D" w:rsidRDefault="0028176D" w:rsidP="0028176D">
            <w:r>
              <w:t>Meter type</w:t>
            </w:r>
          </w:p>
        </w:tc>
        <w:tc>
          <w:tcPr>
            <w:tcW w:w="1449" w:type="dxa"/>
          </w:tcPr>
          <w:p w:rsidR="0028176D" w:rsidRDefault="0028176D" w:rsidP="0028176D">
            <w:r>
              <w:t>Tariff structure</w:t>
            </w:r>
          </w:p>
        </w:tc>
        <w:tc>
          <w:tcPr>
            <w:tcW w:w="1449" w:type="dxa"/>
          </w:tcPr>
          <w:p w:rsidR="0028176D" w:rsidRDefault="0028176D" w:rsidP="0028176D">
            <w:r>
              <w:t>Notes</w:t>
            </w:r>
          </w:p>
        </w:tc>
      </w:tr>
      <w:tr w:rsidR="0028176D" w:rsidTr="00E06923">
        <w:tc>
          <w:tcPr>
            <w:tcW w:w="1448" w:type="dxa"/>
          </w:tcPr>
          <w:p w:rsidR="0028176D" w:rsidRPr="0028176D" w:rsidRDefault="0028176D" w:rsidP="0028176D">
            <w:r>
              <w:t>Business low voltage general</w:t>
            </w:r>
          </w:p>
        </w:tc>
        <w:tc>
          <w:tcPr>
            <w:tcW w:w="1449" w:type="dxa"/>
          </w:tcPr>
          <w:p w:rsidR="0028176D" w:rsidRPr="0028176D" w:rsidRDefault="0028176D" w:rsidP="0028176D">
            <w:r>
              <w:t>New/Existing</w:t>
            </w:r>
          </w:p>
        </w:tc>
        <w:tc>
          <w:tcPr>
            <w:tcW w:w="1449" w:type="dxa"/>
          </w:tcPr>
          <w:p w:rsidR="0028176D" w:rsidRPr="0028176D" w:rsidRDefault="0028176D" w:rsidP="0028176D">
            <w:r>
              <w:t xml:space="preserve">Default for </w:t>
            </w:r>
            <w:r w:rsidRPr="0028176D">
              <w:t>new/existing customers</w:t>
            </w:r>
          </w:p>
        </w:tc>
        <w:tc>
          <w:tcPr>
            <w:tcW w:w="1449" w:type="dxa"/>
          </w:tcPr>
          <w:p w:rsidR="0028176D" w:rsidRPr="0028176D" w:rsidRDefault="0028176D" w:rsidP="0028176D">
            <w:r>
              <w:t>Type 6 is the minimum requirement</w:t>
            </w:r>
          </w:p>
        </w:tc>
        <w:tc>
          <w:tcPr>
            <w:tcW w:w="1449" w:type="dxa"/>
          </w:tcPr>
          <w:p w:rsidR="0028176D" w:rsidRPr="0028176D" w:rsidRDefault="0028176D" w:rsidP="0028176D">
            <w:r>
              <w:t>Fixed charge + flat usage charge</w:t>
            </w:r>
          </w:p>
        </w:tc>
        <w:tc>
          <w:tcPr>
            <w:tcW w:w="1449" w:type="dxa"/>
          </w:tcPr>
          <w:p w:rsidR="0028176D" w:rsidRDefault="0028176D" w:rsidP="0028176D"/>
        </w:tc>
      </w:tr>
      <w:tr w:rsidR="0028176D" w:rsidTr="00E06923">
        <w:trPr>
          <w:cnfStyle w:val="000000010000" w:firstRow="0" w:lastRow="0" w:firstColumn="0" w:lastColumn="0" w:oddVBand="0" w:evenVBand="0" w:oddHBand="0" w:evenHBand="1" w:firstRowFirstColumn="0" w:firstRowLastColumn="0" w:lastRowFirstColumn="0" w:lastRowLastColumn="0"/>
        </w:trPr>
        <w:tc>
          <w:tcPr>
            <w:tcW w:w="1448" w:type="dxa"/>
          </w:tcPr>
          <w:p w:rsidR="0028176D" w:rsidRPr="0028176D" w:rsidRDefault="0028176D" w:rsidP="0028176D">
            <w:r>
              <w:t>Business low voltage nursing homes</w:t>
            </w:r>
          </w:p>
        </w:tc>
        <w:tc>
          <w:tcPr>
            <w:tcW w:w="1449" w:type="dxa"/>
          </w:tcPr>
          <w:p w:rsidR="0028176D" w:rsidRPr="0028176D" w:rsidRDefault="0028176D" w:rsidP="0028176D">
            <w:r>
              <w:t>Existing (must be registered as a nursing home)</w:t>
            </w:r>
          </w:p>
        </w:tc>
        <w:tc>
          <w:tcPr>
            <w:tcW w:w="1449" w:type="dxa"/>
          </w:tcPr>
          <w:p w:rsidR="0028176D" w:rsidRPr="0028176D" w:rsidRDefault="0028176D" w:rsidP="0028176D">
            <w:r>
              <w:t>Closed to new customers</w:t>
            </w:r>
          </w:p>
        </w:tc>
        <w:tc>
          <w:tcPr>
            <w:tcW w:w="1449" w:type="dxa"/>
          </w:tcPr>
          <w:p w:rsidR="0028176D" w:rsidRPr="0028176D" w:rsidRDefault="0028176D" w:rsidP="0028176D">
            <w:r>
              <w:t>Type 6 is the minimum requirement</w:t>
            </w:r>
          </w:p>
        </w:tc>
        <w:tc>
          <w:tcPr>
            <w:tcW w:w="1449" w:type="dxa"/>
          </w:tcPr>
          <w:p w:rsidR="0028176D" w:rsidRPr="0028176D" w:rsidRDefault="0028176D" w:rsidP="0028176D">
            <w:r w:rsidRPr="00DE78EF">
              <w:t xml:space="preserve">Fixed charge + </w:t>
            </w:r>
            <w:r w:rsidRPr="0028176D">
              <w:t>declining block  usage charges</w:t>
            </w:r>
          </w:p>
        </w:tc>
        <w:tc>
          <w:tcPr>
            <w:tcW w:w="1449" w:type="dxa"/>
          </w:tcPr>
          <w:p w:rsidR="0028176D" w:rsidRPr="0028176D" w:rsidRDefault="0028176D" w:rsidP="0028176D">
            <w:r>
              <w:t>First charging block = first 500kWh per quarter</w:t>
            </w:r>
          </w:p>
          <w:p w:rsidR="0028176D" w:rsidRPr="0028176D" w:rsidRDefault="0028176D" w:rsidP="0028176D">
            <w:r>
              <w:t>Second charging block = remaining consumption</w:t>
            </w:r>
          </w:p>
        </w:tc>
      </w:tr>
      <w:tr w:rsidR="0028176D" w:rsidTr="00E06923">
        <w:tc>
          <w:tcPr>
            <w:tcW w:w="1448" w:type="dxa"/>
          </w:tcPr>
          <w:p w:rsidR="0028176D" w:rsidRPr="0028176D" w:rsidRDefault="0028176D" w:rsidP="0028176D">
            <w:r>
              <w:t>General network–Business curtilage</w:t>
            </w:r>
          </w:p>
        </w:tc>
        <w:tc>
          <w:tcPr>
            <w:tcW w:w="1449" w:type="dxa"/>
          </w:tcPr>
          <w:p w:rsidR="0028176D" w:rsidRPr="0028176D" w:rsidRDefault="0028176D" w:rsidP="0028176D">
            <w:r>
              <w:t>Existing</w:t>
            </w:r>
          </w:p>
        </w:tc>
        <w:tc>
          <w:tcPr>
            <w:tcW w:w="1449" w:type="dxa"/>
          </w:tcPr>
          <w:p w:rsidR="0028176D" w:rsidRPr="0028176D" w:rsidRDefault="0028176D" w:rsidP="0028176D">
            <w:r>
              <w:t>Closed to new customers</w:t>
            </w:r>
          </w:p>
        </w:tc>
        <w:tc>
          <w:tcPr>
            <w:tcW w:w="1449" w:type="dxa"/>
          </w:tcPr>
          <w:p w:rsidR="0028176D" w:rsidRPr="0028176D" w:rsidRDefault="0028176D" w:rsidP="0028176D">
            <w:r w:rsidRPr="00EB1049">
              <w:t>Type 6 is the minimum requirement</w:t>
            </w:r>
          </w:p>
        </w:tc>
        <w:tc>
          <w:tcPr>
            <w:tcW w:w="1449" w:type="dxa"/>
          </w:tcPr>
          <w:p w:rsidR="0028176D" w:rsidRPr="0028176D" w:rsidRDefault="0028176D" w:rsidP="0028176D">
            <w:r>
              <w:t>Fixed charge + flat usage</w:t>
            </w:r>
            <w:r w:rsidRPr="0028176D">
              <w:t xml:space="preserve"> charge</w:t>
            </w:r>
          </w:p>
        </w:tc>
        <w:tc>
          <w:tcPr>
            <w:tcW w:w="1449" w:type="dxa"/>
          </w:tcPr>
          <w:p w:rsidR="0028176D" w:rsidRPr="0028176D" w:rsidRDefault="0028176D" w:rsidP="0028176D">
            <w:r>
              <w:t>Must also be taking supply under the Business low voltage general tariff</w:t>
            </w:r>
          </w:p>
        </w:tc>
      </w:tr>
      <w:tr w:rsidR="0028176D" w:rsidTr="00E06923">
        <w:trPr>
          <w:cnfStyle w:val="000000010000" w:firstRow="0" w:lastRow="0" w:firstColumn="0" w:lastColumn="0" w:oddVBand="0" w:evenVBand="0" w:oddHBand="0" w:evenHBand="1" w:firstRowFirstColumn="0" w:firstRowLastColumn="0" w:lastRowFirstColumn="0" w:lastRowLastColumn="0"/>
        </w:trPr>
        <w:tc>
          <w:tcPr>
            <w:tcW w:w="1448" w:type="dxa"/>
          </w:tcPr>
          <w:p w:rsidR="0028176D" w:rsidRPr="0028176D" w:rsidRDefault="0028176D" w:rsidP="0028176D">
            <w:r>
              <w:t>Business low voltage time of use</w:t>
            </w:r>
          </w:p>
        </w:tc>
        <w:tc>
          <w:tcPr>
            <w:tcW w:w="1449" w:type="dxa"/>
          </w:tcPr>
          <w:p w:rsidR="0028176D" w:rsidRPr="0028176D" w:rsidRDefault="0028176D" w:rsidP="0028176D">
            <w:r>
              <w:t>New/Existing</w:t>
            </w:r>
          </w:p>
        </w:tc>
        <w:tc>
          <w:tcPr>
            <w:tcW w:w="1449" w:type="dxa"/>
          </w:tcPr>
          <w:p w:rsidR="0028176D" w:rsidRPr="0028176D" w:rsidRDefault="0028176D" w:rsidP="0028176D">
            <w:r>
              <w:t>Optional. Default for new nursing home customers</w:t>
            </w:r>
          </w:p>
        </w:tc>
        <w:tc>
          <w:tcPr>
            <w:tcW w:w="1449" w:type="dxa"/>
          </w:tcPr>
          <w:p w:rsidR="0028176D" w:rsidRPr="0028176D" w:rsidRDefault="0028176D" w:rsidP="0028176D">
            <w:r w:rsidRPr="00DE78EF">
              <w:t>Type 6</w:t>
            </w:r>
            <w:r w:rsidRPr="0028176D">
              <w:t xml:space="preserve"> capable of recording time of use data is the minimum requirement</w:t>
            </w:r>
          </w:p>
        </w:tc>
        <w:tc>
          <w:tcPr>
            <w:tcW w:w="1449" w:type="dxa"/>
          </w:tcPr>
          <w:p w:rsidR="0028176D" w:rsidRPr="0028176D" w:rsidRDefault="0028176D" w:rsidP="0028176D">
            <w:r>
              <w:t xml:space="preserve">Fixed </w:t>
            </w:r>
            <w:r w:rsidRPr="0028176D">
              <w:t>charge + time of use charges</w:t>
            </w:r>
          </w:p>
        </w:tc>
        <w:tc>
          <w:tcPr>
            <w:tcW w:w="1449" w:type="dxa"/>
          </w:tcPr>
          <w:p w:rsidR="0028176D" w:rsidRPr="0028176D" w:rsidRDefault="0028176D" w:rsidP="0028176D">
            <w:r w:rsidRPr="00A41B17">
              <w:t>Peak = 7</w:t>
            </w:r>
            <w:r w:rsidRPr="0028176D">
              <w:t>AM–10PM weekdays</w:t>
            </w:r>
          </w:p>
          <w:p w:rsidR="0028176D" w:rsidRPr="0028176D" w:rsidRDefault="0028176D" w:rsidP="0028176D">
            <w:r>
              <w:t xml:space="preserve">Shoulder = </w:t>
            </w:r>
            <w:r w:rsidRPr="0028176D">
              <w:t>7AM–10PM weekends</w:t>
            </w:r>
          </w:p>
          <w:p w:rsidR="0028176D" w:rsidRPr="0028176D" w:rsidRDefault="0028176D" w:rsidP="0028176D">
            <w:r w:rsidRPr="00A41B17">
              <w:t>Off peak = All other times</w:t>
            </w:r>
          </w:p>
        </w:tc>
      </w:tr>
      <w:tr w:rsidR="0028176D" w:rsidTr="00E06923">
        <w:tc>
          <w:tcPr>
            <w:tcW w:w="1448" w:type="dxa"/>
          </w:tcPr>
          <w:p w:rsidR="0028176D" w:rsidRPr="0028176D" w:rsidRDefault="0028176D" w:rsidP="0028176D">
            <w:r>
              <w:t>Business low voltage kVA Demand</w:t>
            </w:r>
          </w:p>
        </w:tc>
        <w:tc>
          <w:tcPr>
            <w:tcW w:w="1449" w:type="dxa"/>
          </w:tcPr>
          <w:p w:rsidR="0028176D" w:rsidRPr="0028176D" w:rsidRDefault="0028176D" w:rsidP="0028176D">
            <w:r w:rsidRPr="00656901">
              <w:t>New/Existing</w:t>
            </w:r>
          </w:p>
        </w:tc>
        <w:tc>
          <w:tcPr>
            <w:tcW w:w="1449" w:type="dxa"/>
          </w:tcPr>
          <w:p w:rsidR="0028176D" w:rsidRPr="0028176D" w:rsidRDefault="0028176D" w:rsidP="0028176D">
            <w:r>
              <w:t>Default for new/existing customers</w:t>
            </w:r>
          </w:p>
        </w:tc>
        <w:tc>
          <w:tcPr>
            <w:tcW w:w="1449" w:type="dxa"/>
          </w:tcPr>
          <w:p w:rsidR="0028176D" w:rsidRPr="0028176D" w:rsidRDefault="0028176D" w:rsidP="0028176D">
            <w:r w:rsidRPr="00656901">
              <w:t>Type 6 is the minimum requirement</w:t>
            </w:r>
          </w:p>
        </w:tc>
        <w:tc>
          <w:tcPr>
            <w:tcW w:w="1449" w:type="dxa"/>
          </w:tcPr>
          <w:p w:rsidR="0028176D" w:rsidRPr="0028176D" w:rsidRDefault="0028176D" w:rsidP="0028176D">
            <w:r w:rsidRPr="00656901">
              <w:t xml:space="preserve">Fixed charge + flat usage </w:t>
            </w:r>
            <w:r w:rsidRPr="0028176D">
              <w:t>charge + all demand charge</w:t>
            </w:r>
          </w:p>
        </w:tc>
        <w:tc>
          <w:tcPr>
            <w:tcW w:w="1449" w:type="dxa"/>
          </w:tcPr>
          <w:p w:rsidR="0028176D" w:rsidRPr="0028176D" w:rsidRDefault="0028176D" w:rsidP="0028176D">
            <w:r>
              <w:t>Maximum demand measured in kilovolt–Amperes (kVA)</w:t>
            </w:r>
          </w:p>
        </w:tc>
      </w:tr>
    </w:tbl>
    <w:p w:rsidR="00F75860" w:rsidRDefault="00F75860" w:rsidP="00F75860">
      <w:pPr>
        <w:pStyle w:val="HeadingBoldItalic"/>
      </w:pPr>
      <w:r w:rsidRPr="00F75860">
        <w:t xml:space="preserve">New time of use demand tariff for </w:t>
      </w:r>
      <w:r>
        <w:t>low voltage</w:t>
      </w:r>
      <w:r w:rsidRPr="00F75860">
        <w:t xml:space="preserve"> customers</w:t>
      </w:r>
    </w:p>
    <w:p w:rsidR="005F7E9D" w:rsidRPr="005F7E9D" w:rsidRDefault="005F7E9D" w:rsidP="005F7E9D">
      <w:r w:rsidRPr="005F7E9D">
        <w:t xml:space="preserve">TasNetworks proposed to introduce two new time of use demand tariffs for low voltage customers—one tariff for small low voltage business customers and one tariff for large low voltage business customers. </w:t>
      </w:r>
    </w:p>
    <w:p w:rsidR="005F7E9D" w:rsidRPr="005F7E9D" w:rsidRDefault="005F7E9D" w:rsidP="005F7E9D">
      <w:r w:rsidRPr="005F7E9D">
        <w:lastRenderedPageBreak/>
        <w:t>We are satisfied the introduction of the demand tariffs contributes to the achievement of compliance with the distribution pricing principles. These demand tariffs will allow the low voltage business customers the ability to manage peak load on the network which will ultimately assist in greater network utilisation and minimise future investment costs. These new demand tariffs show movement towards cost reflectivity and away from consumption tariffs.</w:t>
      </w:r>
    </w:p>
    <w:p w:rsidR="005F7E9D" w:rsidRPr="005F7E9D" w:rsidRDefault="005F7E9D" w:rsidP="005F7E9D">
      <w:r w:rsidRPr="005F7E9D">
        <w:t>The design of the time of use demand tariffs for the low voltage business customers is the same as the residential customers. That is, the demand tariffs will include a fixed service charge, a peak demand charge and an off peak demand charge. The demand charges will be based on a customer's highest 30 minute demand over a billing period for each charging window—peak and off peak. The peak demand charges are set at a higher rate than the off peak demand charges, signalling to customers the value of using the network, particularly at peak times.</w:t>
      </w:r>
      <w:r w:rsidR="00621A90">
        <w:t xml:space="preserve"> </w:t>
      </w:r>
      <w:r w:rsidR="00621A90">
        <w:fldChar w:fldCharType="begin"/>
      </w:r>
      <w:r w:rsidR="00621A90">
        <w:instrText xml:space="preserve"> REF _Ref479171271 \h </w:instrText>
      </w:r>
      <w:r w:rsidR="00621A90">
        <w:fldChar w:fldCharType="separate"/>
      </w:r>
      <w:r w:rsidR="00F52FCD">
        <w:t xml:space="preserve">Table </w:t>
      </w:r>
      <w:r w:rsidR="00F52FCD">
        <w:rPr>
          <w:noProof/>
        </w:rPr>
        <w:t>19</w:t>
      </w:r>
      <w:r w:rsidR="00F52FCD">
        <w:t>.</w:t>
      </w:r>
      <w:r w:rsidR="00F52FCD">
        <w:rPr>
          <w:noProof/>
        </w:rPr>
        <w:t>9</w:t>
      </w:r>
      <w:r w:rsidR="00621A90">
        <w:fldChar w:fldCharType="end"/>
      </w:r>
      <w:r w:rsidR="00621A90">
        <w:t xml:space="preserve"> shows the characteristics of these new demand tariffs.</w:t>
      </w:r>
    </w:p>
    <w:p w:rsidR="00F91D7A" w:rsidRPr="00540FF5" w:rsidRDefault="00F91D7A" w:rsidP="00F91D7A">
      <w:pPr>
        <w:pStyle w:val="Caption"/>
      </w:pPr>
      <w:bookmarkStart w:id="98" w:name="_Ref479171271"/>
      <w:r>
        <w:t xml:space="preserve">Table </w:t>
      </w:r>
      <w:fldSimple w:instr=" STYLEREF 1 \s ">
        <w:r w:rsidR="00F52FCD">
          <w:rPr>
            <w:noProof/>
          </w:rPr>
          <w:t>19</w:t>
        </w:r>
      </w:fldSimple>
      <w:r w:rsidR="00E914FF">
        <w:t>.</w:t>
      </w:r>
      <w:fldSimple w:instr=" SEQ Table \* ARABIC \s 1 ">
        <w:r w:rsidR="00F52FCD">
          <w:rPr>
            <w:noProof/>
          </w:rPr>
          <w:t>9</w:t>
        </w:r>
      </w:fldSimple>
      <w:bookmarkEnd w:id="98"/>
      <w:r>
        <w:tab/>
        <w:t xml:space="preserve">TasNetworks' low voltage business </w:t>
      </w:r>
      <w:r w:rsidRPr="00F91D7A">
        <w:t>time of use demand tariff</w:t>
      </w:r>
      <w:r>
        <w:t>s</w:t>
      </w:r>
    </w:p>
    <w:tbl>
      <w:tblPr>
        <w:tblStyle w:val="AERtable-text0"/>
        <w:tblW w:w="0" w:type="auto"/>
        <w:tblLook w:val="04A0" w:firstRow="1" w:lastRow="0" w:firstColumn="1" w:lastColumn="0" w:noHBand="0" w:noVBand="1"/>
      </w:tblPr>
      <w:tblGrid>
        <w:gridCol w:w="1384"/>
        <w:gridCol w:w="1418"/>
        <w:gridCol w:w="1134"/>
        <w:gridCol w:w="1275"/>
        <w:gridCol w:w="1418"/>
        <w:gridCol w:w="2064"/>
      </w:tblGrid>
      <w:tr w:rsidR="00F75860" w:rsidTr="00F75860">
        <w:trPr>
          <w:cnfStyle w:val="100000000000" w:firstRow="1" w:lastRow="0" w:firstColumn="0" w:lastColumn="0" w:oddVBand="0" w:evenVBand="0" w:oddHBand="0" w:evenHBand="0" w:firstRowFirstColumn="0" w:firstRowLastColumn="0" w:lastRowFirstColumn="0" w:lastRowLastColumn="0"/>
        </w:trPr>
        <w:tc>
          <w:tcPr>
            <w:tcW w:w="1384" w:type="dxa"/>
          </w:tcPr>
          <w:p w:rsidR="00F75860" w:rsidRPr="00F75860" w:rsidRDefault="00F75860" w:rsidP="00F75860">
            <w:r>
              <w:t>Tariff</w:t>
            </w:r>
          </w:p>
        </w:tc>
        <w:tc>
          <w:tcPr>
            <w:tcW w:w="1418" w:type="dxa"/>
          </w:tcPr>
          <w:p w:rsidR="00F75860" w:rsidRPr="00F75860" w:rsidRDefault="00F75860" w:rsidP="00F75860">
            <w:r>
              <w:t>Customer type</w:t>
            </w:r>
          </w:p>
        </w:tc>
        <w:tc>
          <w:tcPr>
            <w:tcW w:w="1134" w:type="dxa"/>
          </w:tcPr>
          <w:p w:rsidR="00F75860" w:rsidRPr="00F75860" w:rsidRDefault="00F75860" w:rsidP="00F75860">
            <w:r>
              <w:t>Assignment</w:t>
            </w:r>
          </w:p>
        </w:tc>
        <w:tc>
          <w:tcPr>
            <w:tcW w:w="1275" w:type="dxa"/>
          </w:tcPr>
          <w:p w:rsidR="00F75860" w:rsidRPr="00F75860" w:rsidRDefault="00F75860" w:rsidP="00F75860">
            <w:r>
              <w:t>Meter type</w:t>
            </w:r>
          </w:p>
        </w:tc>
        <w:tc>
          <w:tcPr>
            <w:tcW w:w="1418" w:type="dxa"/>
          </w:tcPr>
          <w:p w:rsidR="00F75860" w:rsidRPr="00F75860" w:rsidRDefault="00F75860" w:rsidP="00F75860">
            <w:r>
              <w:t>Tariff structure</w:t>
            </w:r>
          </w:p>
        </w:tc>
        <w:tc>
          <w:tcPr>
            <w:tcW w:w="2064" w:type="dxa"/>
          </w:tcPr>
          <w:p w:rsidR="00F75860" w:rsidRPr="00F75860" w:rsidRDefault="00F75860" w:rsidP="00F75860">
            <w:r>
              <w:t>Notes</w:t>
            </w:r>
          </w:p>
        </w:tc>
      </w:tr>
      <w:tr w:rsidR="00F75860" w:rsidTr="00F75860">
        <w:tc>
          <w:tcPr>
            <w:tcW w:w="1384" w:type="dxa"/>
          </w:tcPr>
          <w:p w:rsidR="00F75860" w:rsidRPr="00F75860" w:rsidRDefault="00F75860" w:rsidP="00F75860">
            <w:r>
              <w:t xml:space="preserve">Low voltage time of use </w:t>
            </w:r>
            <w:r w:rsidRPr="00F75860">
              <w:t>demand</w:t>
            </w:r>
          </w:p>
        </w:tc>
        <w:tc>
          <w:tcPr>
            <w:tcW w:w="1418" w:type="dxa"/>
          </w:tcPr>
          <w:p w:rsidR="00F75860" w:rsidRPr="00F75860" w:rsidRDefault="00F75860" w:rsidP="00F75860">
            <w:r>
              <w:t>New/Existing (small low voltage customers)</w:t>
            </w:r>
          </w:p>
        </w:tc>
        <w:tc>
          <w:tcPr>
            <w:tcW w:w="1134" w:type="dxa"/>
          </w:tcPr>
          <w:p w:rsidR="00F75860" w:rsidRPr="00F75860" w:rsidRDefault="00F75860" w:rsidP="00F75860">
            <w:r>
              <w:t>Optional</w:t>
            </w:r>
          </w:p>
        </w:tc>
        <w:tc>
          <w:tcPr>
            <w:tcW w:w="1275" w:type="dxa"/>
          </w:tcPr>
          <w:p w:rsidR="00F75860" w:rsidRPr="00F75860" w:rsidRDefault="00F75860" w:rsidP="00F75860">
            <w:r w:rsidRPr="00CB59D6">
              <w:t>Type 6 capable of recording time of use</w:t>
            </w:r>
            <w:r w:rsidRPr="00F75860">
              <w:t xml:space="preserve"> demand data in half–hourly blocks is the minimum requirement</w:t>
            </w:r>
          </w:p>
        </w:tc>
        <w:tc>
          <w:tcPr>
            <w:tcW w:w="1418" w:type="dxa"/>
          </w:tcPr>
          <w:p w:rsidR="00F75860" w:rsidRPr="00F75860" w:rsidRDefault="00F75860" w:rsidP="00F75860">
            <w:r w:rsidRPr="00A41B17">
              <w:t xml:space="preserve">Fixed charge + </w:t>
            </w:r>
            <w:r w:rsidRPr="00F75860">
              <w:t>peak and off peak demand charges</w:t>
            </w:r>
          </w:p>
        </w:tc>
        <w:tc>
          <w:tcPr>
            <w:tcW w:w="2064" w:type="dxa"/>
          </w:tcPr>
          <w:p w:rsidR="00F75860" w:rsidRPr="00F75860" w:rsidRDefault="00F75860" w:rsidP="00F75860">
            <w:r>
              <w:t>Demand charges based on the highest 30 minute</w:t>
            </w:r>
            <w:r w:rsidRPr="00F75860">
              <w:t xml:space="preserve"> demand incurred for each charging window over a billing period (typically quarterly)</w:t>
            </w:r>
          </w:p>
          <w:p w:rsidR="00F75860" w:rsidRPr="00F75860" w:rsidRDefault="00F75860" w:rsidP="00F75860">
            <w:r w:rsidRPr="00A41B17">
              <w:t>Peak window = 7–10AM, 4–9PM weekdays</w:t>
            </w:r>
            <w:r w:rsidRPr="00F75860">
              <w:t>, Off peak window = All other times</w:t>
            </w:r>
          </w:p>
        </w:tc>
      </w:tr>
      <w:tr w:rsidR="00F75860" w:rsidTr="00F75860">
        <w:trPr>
          <w:cnfStyle w:val="000000010000" w:firstRow="0" w:lastRow="0" w:firstColumn="0" w:lastColumn="0" w:oddVBand="0" w:evenVBand="0" w:oddHBand="0" w:evenHBand="1" w:firstRowFirstColumn="0" w:firstRowLastColumn="0" w:lastRowFirstColumn="0" w:lastRowLastColumn="0"/>
        </w:trPr>
        <w:tc>
          <w:tcPr>
            <w:tcW w:w="1384" w:type="dxa"/>
          </w:tcPr>
          <w:p w:rsidR="00F75860" w:rsidRPr="00F75860" w:rsidRDefault="00F75860" w:rsidP="00F75860">
            <w:r>
              <w:t>Large low voltage</w:t>
            </w:r>
            <w:r w:rsidRPr="00F75860">
              <w:t xml:space="preserve"> time of use demand</w:t>
            </w:r>
          </w:p>
        </w:tc>
        <w:tc>
          <w:tcPr>
            <w:tcW w:w="1418" w:type="dxa"/>
          </w:tcPr>
          <w:p w:rsidR="00F75860" w:rsidRPr="00F75860" w:rsidRDefault="00F75860" w:rsidP="00F75860">
            <w:r>
              <w:t>New/Existing (large</w:t>
            </w:r>
            <w:r w:rsidRPr="00F75860">
              <w:t xml:space="preserve"> low voltage customers)</w:t>
            </w:r>
          </w:p>
        </w:tc>
        <w:tc>
          <w:tcPr>
            <w:tcW w:w="1134" w:type="dxa"/>
          </w:tcPr>
          <w:p w:rsidR="00F75860" w:rsidRPr="00F75860" w:rsidRDefault="00F75860" w:rsidP="00F75860">
            <w:r>
              <w:t>Optional</w:t>
            </w:r>
          </w:p>
        </w:tc>
        <w:tc>
          <w:tcPr>
            <w:tcW w:w="1275" w:type="dxa"/>
          </w:tcPr>
          <w:p w:rsidR="00F75860" w:rsidRPr="00F75860" w:rsidRDefault="00F75860" w:rsidP="00F75860">
            <w:r w:rsidRPr="00CB59D6">
              <w:t xml:space="preserve">Type 6 </w:t>
            </w:r>
            <w:r w:rsidRPr="00F75860">
              <w:t>capable of recording time of use demand data in half–hourly blocks is the minimum requirement</w:t>
            </w:r>
          </w:p>
        </w:tc>
        <w:tc>
          <w:tcPr>
            <w:tcW w:w="1418" w:type="dxa"/>
          </w:tcPr>
          <w:p w:rsidR="00F75860" w:rsidRPr="00F75860" w:rsidRDefault="00F75860" w:rsidP="00F75860">
            <w:r w:rsidRPr="00A41B17">
              <w:t xml:space="preserve">Fixed charge + </w:t>
            </w:r>
            <w:r w:rsidRPr="00F75860">
              <w:t>peak and off peak demand charges</w:t>
            </w:r>
          </w:p>
        </w:tc>
        <w:tc>
          <w:tcPr>
            <w:tcW w:w="2064" w:type="dxa"/>
          </w:tcPr>
          <w:p w:rsidR="00F75860" w:rsidRPr="00F75860" w:rsidRDefault="00F75860" w:rsidP="00F75860">
            <w:r>
              <w:t>Demand charges based on the highest 30 minute</w:t>
            </w:r>
            <w:r w:rsidRPr="00F75860">
              <w:t xml:space="preserve"> demand incurred for each charging window over a billing period (typically quarterly)</w:t>
            </w:r>
          </w:p>
          <w:p w:rsidR="00F75860" w:rsidRPr="00F75860" w:rsidRDefault="00F75860" w:rsidP="00F75860">
            <w:r w:rsidRPr="00A41B17">
              <w:t>Peak window = 7–10AM, 4–9PM weekdays</w:t>
            </w:r>
            <w:r w:rsidRPr="00F75860">
              <w:t>, Off peak window = All other times</w:t>
            </w:r>
          </w:p>
        </w:tc>
      </w:tr>
    </w:tbl>
    <w:p w:rsidR="00A171B9" w:rsidRDefault="00A171B9" w:rsidP="00F04041">
      <w:pPr>
        <w:pStyle w:val="Heading4"/>
      </w:pPr>
      <w:r>
        <w:t>Tariff rebalancing</w:t>
      </w:r>
    </w:p>
    <w:p w:rsidR="00A171B9" w:rsidRDefault="00A171B9" w:rsidP="00A171B9">
      <w:r>
        <w:t xml:space="preserve">Consistent with our draft decision, we approve TasNetworks' proposed </w:t>
      </w:r>
      <w:r w:rsidRPr="00CE4041">
        <w:t>realign</w:t>
      </w:r>
      <w:r>
        <w:t>ment of</w:t>
      </w:r>
      <w:r w:rsidRPr="00CE4041">
        <w:t xml:space="preserve"> </w:t>
      </w:r>
      <w:r>
        <w:t>the following</w:t>
      </w:r>
      <w:r w:rsidRPr="00CE4041">
        <w:t xml:space="preserve"> tariffs</w:t>
      </w:r>
      <w:r>
        <w:t xml:space="preserve"> </w:t>
      </w:r>
      <w:r w:rsidRPr="00CE4041">
        <w:t>to remove long standing cross subsidies between different customer groups</w:t>
      </w:r>
      <w:r>
        <w:t xml:space="preserve"> for our final decision:</w:t>
      </w:r>
      <w:r>
        <w:rPr>
          <w:rStyle w:val="FootnoteReference"/>
        </w:rPr>
        <w:footnoteReference w:id="144"/>
      </w:r>
    </w:p>
    <w:p w:rsidR="00A171B9" w:rsidRDefault="00A171B9" w:rsidP="00A171B9">
      <w:pPr>
        <w:pStyle w:val="AERbulletlistfirststyle"/>
      </w:pPr>
      <w:r>
        <w:t>Business low voltage nursing home tariff</w:t>
      </w:r>
    </w:p>
    <w:p w:rsidR="00A171B9" w:rsidRDefault="00A171B9" w:rsidP="00A171B9">
      <w:pPr>
        <w:pStyle w:val="AERbulletlistfirststyle"/>
      </w:pPr>
      <w:r>
        <w:lastRenderedPageBreak/>
        <w:t>General network – business curtilage tariff</w:t>
      </w:r>
    </w:p>
    <w:p w:rsidR="00A171B9" w:rsidRDefault="00A171B9" w:rsidP="00A171B9">
      <w:pPr>
        <w:pStyle w:val="AERbulletlistfirststyle"/>
      </w:pPr>
      <w:r>
        <w:t>Uncontrolled low voltage tariff.</w:t>
      </w:r>
    </w:p>
    <w:p w:rsidR="00A171B9" w:rsidRDefault="00A171B9" w:rsidP="00A171B9">
      <w:r>
        <w:t xml:space="preserve">We are satisfied that </w:t>
      </w:r>
      <w:r w:rsidRPr="00CE4041">
        <w:t>there is no apparent differentiation in customer type or load</w:t>
      </w:r>
      <w:r>
        <w:t xml:space="preserve"> for these tariffs and removing these cross subsidies is a movement along the cost reflectivity spectrum</w:t>
      </w:r>
      <w:r w:rsidR="00D568A3">
        <w:t>. This</w:t>
      </w:r>
      <w:r>
        <w:t xml:space="preserve"> contributes to the achievement of compliance with the distribution pricing principles.</w:t>
      </w:r>
      <w:r w:rsidRPr="00CE4041">
        <w:t xml:space="preserve"> </w:t>
      </w:r>
      <w:r w:rsidR="00D568A3">
        <w:t xml:space="preserve">By realigning tariff rates that reduce cross subsidies, pricing distortions are reduced for all customers, helping to achieve efficient consumption and demand patterns in the long run. It means that all customers are contributing to the recovery of a distributor's efficient network costs in proportion to their electricity usage. </w:t>
      </w:r>
      <w:r>
        <w:t>We acknowledge these cross subsidised tariffs are a result of historical policy decisions which are no longer relevant to TasNetworks or compliant with the current regulatory requirements.</w:t>
      </w:r>
    </w:p>
    <w:p w:rsidR="00301CE5" w:rsidRDefault="001A5C96" w:rsidP="001A5C96">
      <w:r>
        <w:t>The TSBC and David Headberry submitted support for TasNetworks' removal of cross subsidies from existing tariffs.</w:t>
      </w:r>
      <w:r>
        <w:rPr>
          <w:rStyle w:val="FootnoteReference"/>
        </w:rPr>
        <w:footnoteReference w:id="145"/>
      </w:r>
      <w:r w:rsidRPr="004A172A">
        <w:t xml:space="preserve"> </w:t>
      </w:r>
      <w:r>
        <w:t>However, the TSBC raised concern with the 15 year transition period which it considered should be reduced.</w:t>
      </w:r>
      <w:r>
        <w:rPr>
          <w:rStyle w:val="FootnoteReference"/>
        </w:rPr>
        <w:footnoteReference w:id="146"/>
      </w:r>
    </w:p>
    <w:p w:rsidR="001A5C96" w:rsidRDefault="00621A90" w:rsidP="001A5C96">
      <w:r>
        <w:t>We observe that TasNetworks will make these tariff</w:t>
      </w:r>
      <w:r w:rsidR="00301CE5">
        <w:t>s</w:t>
      </w:r>
      <w:r>
        <w:t xml:space="preserve"> more cost reflective over a shorter time period, depending on its future proposed revenue requirements</w:t>
      </w:r>
      <w:r w:rsidR="00301CE5">
        <w:t>.</w:t>
      </w:r>
      <w:r>
        <w:t xml:space="preserve"> </w:t>
      </w:r>
      <w:r w:rsidR="00301CE5">
        <w:t>C</w:t>
      </w:r>
      <w:r>
        <w:t>ustomer feedback</w:t>
      </w:r>
      <w:r w:rsidR="00D568A3">
        <w:t xml:space="preserve"> during future rounds of tariff structure statement consultation</w:t>
      </w:r>
      <w:r w:rsidR="00301CE5">
        <w:t xml:space="preserve"> will also </w:t>
      </w:r>
      <w:r w:rsidR="00143D35">
        <w:t>inform</w:t>
      </w:r>
      <w:r w:rsidR="00301CE5">
        <w:t xml:space="preserve"> </w:t>
      </w:r>
      <w:r w:rsidR="00143D35">
        <w:t>the speed of tariff reforms</w:t>
      </w:r>
      <w:r>
        <w:t xml:space="preserve">. </w:t>
      </w:r>
    </w:p>
    <w:p w:rsidR="00A171B9" w:rsidRDefault="00A171B9" w:rsidP="00B61C42">
      <w:r>
        <w:t>We approve the proposed realignment to be undertaken over a 15 year period which began in 2014–15</w:t>
      </w:r>
      <w:r w:rsidR="001A5C96">
        <w:t xml:space="preserve"> because t</w:t>
      </w:r>
      <w:r>
        <w:t xml:space="preserve">he gradual progression will allow predictability in </w:t>
      </w:r>
      <w:r w:rsidR="00CD03C9">
        <w:t xml:space="preserve">customer </w:t>
      </w:r>
      <w:r>
        <w:t>pricing.</w:t>
      </w:r>
      <w:r w:rsidR="00301CE5">
        <w:rPr>
          <w:rStyle w:val="FootnoteReference"/>
        </w:rPr>
        <w:footnoteReference w:id="147"/>
      </w:r>
      <w:r>
        <w:t xml:space="preserve"> However,</w:t>
      </w:r>
      <w:r w:rsidR="001A5C96">
        <w:t xml:space="preserve"> like TBSC,</w:t>
      </w:r>
      <w:r>
        <w:t xml:space="preserve"> we encourage TasNetworks to seek realignment under a shorter time period where circumstances allow.</w:t>
      </w:r>
    </w:p>
    <w:p w:rsidR="00F75860" w:rsidRDefault="005F7E9D" w:rsidP="004B6D86">
      <w:pPr>
        <w:pStyle w:val="Heading4"/>
      </w:pPr>
      <w:bookmarkStart w:id="99" w:name="_Ref479094462"/>
      <w:r>
        <w:t>Future direction</w:t>
      </w:r>
      <w:bookmarkEnd w:id="99"/>
    </w:p>
    <w:p w:rsidR="00A32944" w:rsidRDefault="00A32944" w:rsidP="00A32944">
      <w:r>
        <w:t xml:space="preserve">As noted, </w:t>
      </w:r>
      <w:r w:rsidRPr="00A32944">
        <w:t>TasNetworks</w:t>
      </w:r>
      <w:r>
        <w:t xml:space="preserve"> stated it</w:t>
      </w:r>
      <w:r w:rsidRPr="00A32944">
        <w:t xml:space="preserve"> will</w:t>
      </w:r>
      <w:r>
        <w:t xml:space="preserve"> unwind the cross subsidies and rebalance</w:t>
      </w:r>
      <w:r w:rsidRPr="00A32944">
        <w:t xml:space="preserve"> the </w:t>
      </w:r>
      <w:r>
        <w:t xml:space="preserve">applicable low voltage business </w:t>
      </w:r>
      <w:r w:rsidRPr="00A32944">
        <w:t>tariff</w:t>
      </w:r>
      <w:r>
        <w:t>s</w:t>
      </w:r>
      <w:r w:rsidRPr="00A32944">
        <w:t xml:space="preserve"> by the end of the 2024–29 regulatory control period. However, it will seek to rebalance the tariffs more quickly where revenue determinations and price impacts allow. We </w:t>
      </w:r>
      <w:r>
        <w:t xml:space="preserve">consider TasNetworks next tariff structure statement </w:t>
      </w:r>
      <w:r w:rsidR="00F3451C">
        <w:t>should</w:t>
      </w:r>
      <w:r>
        <w:t xml:space="preserve"> provide an update o</w:t>
      </w:r>
      <w:r w:rsidR="00F3451C">
        <w:t>n</w:t>
      </w:r>
      <w:r>
        <w:t xml:space="preserve"> the timeframe for this progression.</w:t>
      </w:r>
    </w:p>
    <w:p w:rsidR="005F7E9D" w:rsidRPr="005F7E9D" w:rsidRDefault="00A32944" w:rsidP="005F7E9D">
      <w:r>
        <w:t>Also, w</w:t>
      </w:r>
      <w:r w:rsidR="005F7E9D" w:rsidRPr="005F7E9D">
        <w:t>hile we approve these low voltage demand tariffs in their proposed design, we encourage TasNetworks to collect data during this initial phase of tariff reform to determine whether an alternative design could provide more detailed cost reflective price signals in future periods. A more targeted approach for low voltage customers may be more reliable than the use of a 'one size' fits all approach to demand tariffs.</w:t>
      </w:r>
    </w:p>
    <w:p w:rsidR="00B61C42" w:rsidRDefault="00B61C42" w:rsidP="00B61C42">
      <w:pPr>
        <w:pStyle w:val="Heading3"/>
      </w:pPr>
      <w:bookmarkStart w:id="100" w:name="_Toc481061355"/>
      <w:r>
        <w:lastRenderedPageBreak/>
        <w:t>Irrigation customers</w:t>
      </w:r>
      <w:bookmarkEnd w:id="100"/>
    </w:p>
    <w:p w:rsidR="008F022A" w:rsidRDefault="008F022A" w:rsidP="008F022A">
      <w:r>
        <w:t>We approve TasNetworks' proposed irrigation customer tariff</w:t>
      </w:r>
      <w:r w:rsidRPr="001D786A">
        <w:t xml:space="preserve"> </w:t>
      </w:r>
      <w:r>
        <w:t>for</w:t>
      </w:r>
      <w:r w:rsidRPr="001B5D22">
        <w:t xml:space="preserve"> the 2017–19 regulatory control period</w:t>
      </w:r>
      <w:r>
        <w:t xml:space="preserve"> because </w:t>
      </w:r>
      <w:r w:rsidRPr="00BA4E37">
        <w:t>we are satisfied they contribute to the achievement of compliance with the distribution pricing principles.</w:t>
      </w:r>
      <w:r>
        <w:t xml:space="preserve"> </w:t>
      </w:r>
      <w:r w:rsidR="00F0373F">
        <w:t>We approved the same tariff</w:t>
      </w:r>
      <w:r w:rsidRPr="00266576">
        <w:t xml:space="preserve"> </w:t>
      </w:r>
      <w:r>
        <w:t>in our draft decision.</w:t>
      </w:r>
      <w:r>
        <w:rPr>
          <w:rStyle w:val="FootnoteReference"/>
        </w:rPr>
        <w:footnoteReference w:id="148"/>
      </w:r>
    </w:p>
    <w:p w:rsidR="008F022A" w:rsidRDefault="00F0373F" w:rsidP="00B61C42">
      <w:r>
        <w:t>TasNetworks proposed the continuation of a time of use tariff for irrigation customers. The design of this tariff consists of a fixed service charge and</w:t>
      </w:r>
      <w:r w:rsidRPr="00E45E00">
        <w:t xml:space="preserve"> a number of variable charges for different periods of the day—peak, off peak and shoulder.</w:t>
      </w:r>
      <w:r>
        <w:t xml:space="preserve"> </w:t>
      </w:r>
      <w:r w:rsidR="00917CB3">
        <w:t xml:space="preserve">The tariff also features varying seasonal time of use charges. </w:t>
      </w:r>
      <w:r>
        <w:t xml:space="preserve">We consider this tariff is relatively cost reflective given </w:t>
      </w:r>
      <w:r w:rsidR="00CD03C9">
        <w:t xml:space="preserve">these design features. </w:t>
      </w:r>
    </w:p>
    <w:p w:rsidR="00C366F4" w:rsidRPr="00C366F4" w:rsidRDefault="00C366F4" w:rsidP="00C366F4">
      <w:r w:rsidRPr="00C366F4">
        <w:t>Recent changes to jurisdictions tariff structures have cause</w:t>
      </w:r>
      <w:r>
        <w:t>d</w:t>
      </w:r>
      <w:r w:rsidRPr="00C366F4">
        <w:t xml:space="preserve"> some concerns for the irrigation and agricultural sector. This was most notable in Queensland, where Canegrowers were not convinced that Ergon Energy seasonal time of use energy and seasonal time of use demand tariffs represented</w:t>
      </w:r>
      <w:r w:rsidR="00CD03C9">
        <w:t xml:space="preserve"> the most effective tariff design.</w:t>
      </w:r>
      <w:r w:rsidR="008F5220">
        <w:rPr>
          <w:rStyle w:val="FootnoteReference"/>
        </w:rPr>
        <w:footnoteReference w:id="149"/>
      </w:r>
    </w:p>
    <w:p w:rsidR="00C366F4" w:rsidRPr="00C366F4" w:rsidRDefault="00C366F4" w:rsidP="00C366F4">
      <w:r w:rsidRPr="00C366F4">
        <w:t xml:space="preserve">The intention of TasNetworks in both its initial </w:t>
      </w:r>
      <w:r>
        <w:t>and</w:t>
      </w:r>
      <w:r w:rsidRPr="00C366F4">
        <w:t xml:space="preserve"> revised statement</w:t>
      </w:r>
      <w:r>
        <w:t>s</w:t>
      </w:r>
      <w:r w:rsidRPr="00C366F4">
        <w:t xml:space="preserve"> is to slowly unwind cross subsidies for the irrigation sector. This will mean in some instances higher tariffs, relative to what they would have been in the past. The Tasmanian Farmers and Graziers Association were concerned about such moves having a negative impact on economic growth and the sector</w:t>
      </w:r>
      <w:r>
        <w:t>'</w:t>
      </w:r>
      <w:r w:rsidRPr="00C366F4">
        <w:t>s ability to develop and enhance the productive capacity of the agricultural industry.</w:t>
      </w:r>
      <w:r>
        <w:rPr>
          <w:rStyle w:val="FootnoteReference"/>
        </w:rPr>
        <w:footnoteReference w:id="150"/>
      </w:r>
      <w:r w:rsidRPr="00C366F4">
        <w:t xml:space="preserve"> </w:t>
      </w:r>
    </w:p>
    <w:p w:rsidR="00C366F4" w:rsidRPr="00C366F4" w:rsidRDefault="00C366F4" w:rsidP="00C366F4">
      <w:r w:rsidRPr="00C366F4">
        <w:t xml:space="preserve">TasNetworks notes that the new time of use demand tariffs available to low voltage and irrigation customers will be opt-in only for the 2017–19 tariff structure statement period. </w:t>
      </w:r>
      <w:r w:rsidR="00AB40AE">
        <w:t>This is a means by which customer impacts are being mitigated, so that those customers potentially affected can consider if a new demand based tariff is suitable for them in future.</w:t>
      </w:r>
    </w:p>
    <w:p w:rsidR="00C366F4" w:rsidRPr="00C366F4" w:rsidRDefault="00C366F4" w:rsidP="00C366F4">
      <w:r w:rsidRPr="00C366F4">
        <w:t xml:space="preserve">Customers </w:t>
      </w:r>
      <w:r>
        <w:t>should</w:t>
      </w:r>
      <w:r w:rsidRPr="00C366F4">
        <w:t xml:space="preserve"> contribute equally to shared network investments. Without more granular localised network price signals, demand tariffs will necessary still be averaged. This is typical of the way all electricity network services have been priced in recent </w:t>
      </w:r>
      <w:r>
        <w:t>years</w:t>
      </w:r>
      <w:r w:rsidRPr="00C366F4">
        <w:t>. Cost reflective prices make this averaging process more equitable.</w:t>
      </w:r>
      <w:r w:rsidR="00AB40AE">
        <w:t xml:space="preserve"> What this means is that irrigation customers </w:t>
      </w:r>
      <w:r w:rsidR="00935C48">
        <w:t>s</w:t>
      </w:r>
      <w:r w:rsidR="00AB40AE">
        <w:t>hare with other low voltage business customers some of the costs to serve and upgrade the electricity network.</w:t>
      </w:r>
    </w:p>
    <w:p w:rsidR="00C366F4" w:rsidRPr="00C366F4" w:rsidRDefault="00C366F4" w:rsidP="00C366F4">
      <w:r>
        <w:t>TasNetwork</w:t>
      </w:r>
      <w:r w:rsidRPr="00C366F4">
        <w:t>s will apply a long</w:t>
      </w:r>
      <w:r>
        <w:t xml:space="preserve"> run marginal cost signal </w:t>
      </w:r>
      <w:r w:rsidRPr="00C366F4">
        <w:t xml:space="preserve">via the demand tariff. It will recoup its remaining costs via the service to property charge (fixed charge) and where </w:t>
      </w:r>
      <w:r w:rsidRPr="00C366F4">
        <w:lastRenderedPageBreak/>
        <w:t xml:space="preserve">applicable, the variable energy consumption charges. This applies to the legacy irrigation tariff (TAS75). </w:t>
      </w:r>
    </w:p>
    <w:p w:rsidR="00C366F4" w:rsidRPr="00C366F4" w:rsidRDefault="00C366F4" w:rsidP="00C366F4">
      <w:r w:rsidRPr="00C366F4">
        <w:t>The Graziers Association states that for the current 2017–19 tariff structure statement period, it still has reservations about new dema</w:t>
      </w:r>
      <w:r w:rsidR="00AB40AE">
        <w:t>nd tariffs on an opt-in basis.</w:t>
      </w:r>
      <w:r w:rsidR="00AB40AE">
        <w:rPr>
          <w:rStyle w:val="FootnoteReference"/>
        </w:rPr>
        <w:footnoteReference w:id="151"/>
      </w:r>
      <w:r w:rsidR="00AB40AE">
        <w:t xml:space="preserve"> </w:t>
      </w:r>
      <w:r w:rsidRPr="00C366F4">
        <w:t>This seems to be on the basis of requiring more information from TasNetworks.</w:t>
      </w:r>
    </w:p>
    <w:p w:rsidR="00C366F4" w:rsidRPr="00C366F4" w:rsidRDefault="00C366F4" w:rsidP="00C366F4">
      <w:r w:rsidRPr="00C366F4">
        <w:t>TasNetworks advised during discussions with us that it intends to obtain further load and behavioural information over the coming years to attempt to further quantify and establish customer</w:t>
      </w:r>
      <w:r w:rsidR="00AB40AE">
        <w:t xml:space="preserve"> impacts from its new tariffs.</w:t>
      </w:r>
      <w:r w:rsidR="00373D90">
        <w:rPr>
          <w:rStyle w:val="FootnoteReference"/>
        </w:rPr>
        <w:footnoteReference w:id="152"/>
      </w:r>
      <w:r w:rsidR="00AB40AE">
        <w:t xml:space="preserve"> </w:t>
      </w:r>
      <w:r w:rsidRPr="00C366F4">
        <w:t>This includes for the new time of use demand tariffs for low voltage business customers.</w:t>
      </w:r>
      <w:r w:rsidR="00AB40AE">
        <w:t xml:space="preserve"> Such information should be used to assist the irrigation sector understand its electricity usage and how it can make effective use of new cost reflective demand tariffs into the future.</w:t>
      </w:r>
    </w:p>
    <w:p w:rsidR="00C366F4" w:rsidRPr="00C366F4" w:rsidRDefault="00373D90" w:rsidP="00C366F4">
      <w:r>
        <w:t>W</w:t>
      </w:r>
      <w:r w:rsidR="00C366F4" w:rsidRPr="00C366F4">
        <w:t xml:space="preserve">e consider that an opt-in cost reflective tariff </w:t>
      </w:r>
      <w:r>
        <w:t>is a conservative move along the cost reflectivity spectrum.</w:t>
      </w:r>
      <w:r w:rsidR="00C366F4" w:rsidRPr="00C366F4">
        <w:t xml:space="preserve"> Experience has been that opt-in approaches generally only see a small </w:t>
      </w:r>
      <w:r>
        <w:t xml:space="preserve">customer </w:t>
      </w:r>
      <w:r w:rsidR="00C366F4" w:rsidRPr="00C366F4">
        <w:t>uptake</w:t>
      </w:r>
      <w:r>
        <w:t xml:space="preserve"> and therefore minimal customer</w:t>
      </w:r>
      <w:r w:rsidR="00C366F4" w:rsidRPr="00C366F4">
        <w:t xml:space="preserve"> behavioural change. Relying on opt-in approaches will </w:t>
      </w:r>
      <w:r>
        <w:t xml:space="preserve">likely </w:t>
      </w:r>
      <w:r w:rsidR="00C366F4" w:rsidRPr="00C366F4">
        <w:t xml:space="preserve">result in minimal </w:t>
      </w:r>
      <w:r>
        <w:t xml:space="preserve">tariff </w:t>
      </w:r>
      <w:r w:rsidR="00C366F4" w:rsidRPr="00C366F4">
        <w:t>refor</w:t>
      </w:r>
      <w:r w:rsidR="00AB40AE">
        <w:t xml:space="preserve">m </w:t>
      </w:r>
      <w:r>
        <w:t>in</w:t>
      </w:r>
      <w:r w:rsidR="00AB40AE">
        <w:t xml:space="preserve"> the medium </w:t>
      </w:r>
      <w:r>
        <w:t>term.</w:t>
      </w:r>
    </w:p>
    <w:p w:rsidR="00C366F4" w:rsidRPr="00C366F4" w:rsidRDefault="00C366F4" w:rsidP="00C366F4">
      <w:r w:rsidRPr="00C366F4">
        <w:t>Nevertheless, irrigation customers will be able to remain on their legacy tariff but will see a change in th</w:t>
      </w:r>
      <w:r w:rsidR="00373D90">
        <w:t xml:space="preserve">e relative price of this tariff. This is because TasNetworks will seek to realign the existing irrigation tariff (shown in </w:t>
      </w:r>
      <w:r w:rsidR="00373D90">
        <w:fldChar w:fldCharType="begin"/>
      </w:r>
      <w:r w:rsidR="00373D90">
        <w:instrText xml:space="preserve"> REF _Ref479172842 \h </w:instrText>
      </w:r>
      <w:r w:rsidR="00373D90">
        <w:fldChar w:fldCharType="separate"/>
      </w:r>
      <w:r w:rsidR="00F52FCD">
        <w:t xml:space="preserve">Table </w:t>
      </w:r>
      <w:r w:rsidR="00F52FCD">
        <w:rPr>
          <w:noProof/>
        </w:rPr>
        <w:t>19</w:t>
      </w:r>
      <w:r w:rsidR="00F52FCD">
        <w:t>.</w:t>
      </w:r>
      <w:r w:rsidR="00F52FCD">
        <w:rPr>
          <w:noProof/>
        </w:rPr>
        <w:t>10</w:t>
      </w:r>
      <w:r w:rsidR="00373D90">
        <w:fldChar w:fldCharType="end"/>
      </w:r>
      <w:r w:rsidR="00373D90">
        <w:t>) closer to a</w:t>
      </w:r>
      <w:r w:rsidRPr="00C366F4">
        <w:t xml:space="preserve"> cost reflective level. </w:t>
      </w:r>
      <w:r w:rsidR="00373D90" w:rsidRPr="00C366F4">
        <w:t>Miti</w:t>
      </w:r>
      <w:r w:rsidR="00373D90">
        <w:t xml:space="preserve">gating some of the tariff impacts is the relatively slow </w:t>
      </w:r>
      <w:r w:rsidR="00373D90" w:rsidRPr="00C366F4">
        <w:t>pr</w:t>
      </w:r>
      <w:r w:rsidR="00373D90">
        <w:t>ocess of aligning tariffs</w:t>
      </w:r>
      <w:r w:rsidR="00373D90" w:rsidRPr="00C366F4">
        <w:t xml:space="preserve">. This is intended to be complete by around 2029. </w:t>
      </w:r>
      <w:r w:rsidRPr="00C366F4">
        <w:t>In the meantime, this will give the distributor time to provide irrigation customers with additional information about the impacts of the demand tariff</w:t>
      </w:r>
      <w:r w:rsidR="00373D90">
        <w:t xml:space="preserve"> and to help those affected businesses to adjust their electricity consumption and demand behaviour</w:t>
      </w:r>
      <w:r w:rsidRPr="00C366F4">
        <w:t>.</w:t>
      </w:r>
    </w:p>
    <w:p w:rsidR="00C366F4" w:rsidRDefault="00C366F4" w:rsidP="00C366F4">
      <w:r w:rsidRPr="00C366F4">
        <w:t xml:space="preserve">We consider this opt-in arrangement does contribute to achievement of compliance with the distribution pricing principles. We have approved it in other jurisdictions. </w:t>
      </w:r>
      <w:r w:rsidR="00373D90">
        <w:rPr>
          <w:rStyle w:val="FootnoteReference"/>
        </w:rPr>
        <w:footnoteReference w:id="153"/>
      </w:r>
    </w:p>
    <w:p w:rsidR="00FA30ED" w:rsidRDefault="00FA30ED">
      <w:pPr>
        <w:spacing w:line="240" w:lineRule="auto"/>
      </w:pPr>
      <w:r>
        <w:br w:type="page"/>
      </w:r>
    </w:p>
    <w:p w:rsidR="0028176D" w:rsidRPr="00540FF5" w:rsidRDefault="0028176D" w:rsidP="0028176D">
      <w:pPr>
        <w:pStyle w:val="Caption"/>
      </w:pPr>
      <w:bookmarkStart w:id="101" w:name="_Ref479172842"/>
      <w:r>
        <w:lastRenderedPageBreak/>
        <w:t xml:space="preserve">Table </w:t>
      </w:r>
      <w:fldSimple w:instr=" STYLEREF 1 \s ">
        <w:r w:rsidR="00F52FCD">
          <w:rPr>
            <w:noProof/>
          </w:rPr>
          <w:t>19</w:t>
        </w:r>
      </w:fldSimple>
      <w:r w:rsidR="00E914FF">
        <w:t>.</w:t>
      </w:r>
      <w:fldSimple w:instr=" SEQ Table \* ARABIC \s 1 ">
        <w:r w:rsidR="00F52FCD">
          <w:rPr>
            <w:noProof/>
          </w:rPr>
          <w:t>10</w:t>
        </w:r>
      </w:fldSimple>
      <w:bookmarkEnd w:id="101"/>
      <w:r>
        <w:tab/>
        <w:t>TasNetworks'</w:t>
      </w:r>
      <w:r w:rsidR="00F91D7A">
        <w:t xml:space="preserve"> irrigation</w:t>
      </w:r>
      <w:r>
        <w:t xml:space="preserve"> low voltage business tariff</w:t>
      </w:r>
    </w:p>
    <w:tbl>
      <w:tblPr>
        <w:tblStyle w:val="AERtable-text0"/>
        <w:tblW w:w="0" w:type="auto"/>
        <w:tblLook w:val="04A0" w:firstRow="1" w:lastRow="0" w:firstColumn="1" w:lastColumn="0" w:noHBand="0" w:noVBand="1"/>
      </w:tblPr>
      <w:tblGrid>
        <w:gridCol w:w="1448"/>
        <w:gridCol w:w="1449"/>
        <w:gridCol w:w="1449"/>
        <w:gridCol w:w="1449"/>
        <w:gridCol w:w="1449"/>
        <w:gridCol w:w="1449"/>
      </w:tblGrid>
      <w:tr w:rsidR="0028176D" w:rsidTr="00E06923">
        <w:trPr>
          <w:cnfStyle w:val="100000000000" w:firstRow="1" w:lastRow="0" w:firstColumn="0" w:lastColumn="0" w:oddVBand="0" w:evenVBand="0" w:oddHBand="0" w:evenHBand="0" w:firstRowFirstColumn="0" w:firstRowLastColumn="0" w:lastRowFirstColumn="0" w:lastRowLastColumn="0"/>
        </w:trPr>
        <w:tc>
          <w:tcPr>
            <w:tcW w:w="1448" w:type="dxa"/>
          </w:tcPr>
          <w:p w:rsidR="0028176D" w:rsidRDefault="0028176D" w:rsidP="0028176D">
            <w:r>
              <w:t>Tariff</w:t>
            </w:r>
          </w:p>
        </w:tc>
        <w:tc>
          <w:tcPr>
            <w:tcW w:w="1449" w:type="dxa"/>
          </w:tcPr>
          <w:p w:rsidR="0028176D" w:rsidRDefault="0028176D" w:rsidP="0028176D">
            <w:r>
              <w:t>Customer type</w:t>
            </w:r>
          </w:p>
        </w:tc>
        <w:tc>
          <w:tcPr>
            <w:tcW w:w="1449" w:type="dxa"/>
          </w:tcPr>
          <w:p w:rsidR="0028176D" w:rsidRDefault="0028176D" w:rsidP="0028176D">
            <w:r>
              <w:t>Assignment</w:t>
            </w:r>
          </w:p>
        </w:tc>
        <w:tc>
          <w:tcPr>
            <w:tcW w:w="1449" w:type="dxa"/>
          </w:tcPr>
          <w:p w:rsidR="0028176D" w:rsidRDefault="0028176D" w:rsidP="0028176D">
            <w:r>
              <w:t>Meter type</w:t>
            </w:r>
          </w:p>
        </w:tc>
        <w:tc>
          <w:tcPr>
            <w:tcW w:w="1449" w:type="dxa"/>
          </w:tcPr>
          <w:p w:rsidR="0028176D" w:rsidRDefault="0028176D" w:rsidP="0028176D">
            <w:r>
              <w:t>Tariff structure</w:t>
            </w:r>
          </w:p>
        </w:tc>
        <w:tc>
          <w:tcPr>
            <w:tcW w:w="1449" w:type="dxa"/>
          </w:tcPr>
          <w:p w:rsidR="0028176D" w:rsidRDefault="0028176D" w:rsidP="0028176D">
            <w:r>
              <w:t>Notes</w:t>
            </w:r>
          </w:p>
        </w:tc>
      </w:tr>
      <w:tr w:rsidR="00F75860" w:rsidTr="00E06923">
        <w:tc>
          <w:tcPr>
            <w:tcW w:w="1448" w:type="dxa"/>
          </w:tcPr>
          <w:p w:rsidR="00F75860" w:rsidRPr="00F75860" w:rsidRDefault="00F75860" w:rsidP="00F75860">
            <w:r>
              <w:t>Irrigation low voltage time of use</w:t>
            </w:r>
          </w:p>
        </w:tc>
        <w:tc>
          <w:tcPr>
            <w:tcW w:w="1449" w:type="dxa"/>
          </w:tcPr>
          <w:p w:rsidR="00F75860" w:rsidRPr="00F75860" w:rsidRDefault="00F75860" w:rsidP="00F75860">
            <w:r>
              <w:t>New/Existing</w:t>
            </w:r>
          </w:p>
        </w:tc>
        <w:tc>
          <w:tcPr>
            <w:tcW w:w="1449" w:type="dxa"/>
          </w:tcPr>
          <w:p w:rsidR="00F75860" w:rsidRPr="00F75860" w:rsidRDefault="00F75860" w:rsidP="00F75860">
            <w:r>
              <w:t>Existing irrigation customers</w:t>
            </w:r>
          </w:p>
        </w:tc>
        <w:tc>
          <w:tcPr>
            <w:tcW w:w="1449" w:type="dxa"/>
          </w:tcPr>
          <w:p w:rsidR="00F75860" w:rsidRPr="00F75860" w:rsidRDefault="00F75860" w:rsidP="00F75860">
            <w:r w:rsidRPr="00656901">
              <w:t>Type 6 capable of recording time of use data is the minimum requirement</w:t>
            </w:r>
          </w:p>
        </w:tc>
        <w:tc>
          <w:tcPr>
            <w:tcW w:w="1449" w:type="dxa"/>
          </w:tcPr>
          <w:p w:rsidR="00F75860" w:rsidRPr="00F75860" w:rsidRDefault="00F75860" w:rsidP="00F75860">
            <w:r w:rsidRPr="00656901">
              <w:t xml:space="preserve">Fixed charge + </w:t>
            </w:r>
            <w:r w:rsidRPr="00F75860">
              <w:t>seasonal time of use charges</w:t>
            </w:r>
          </w:p>
        </w:tc>
        <w:tc>
          <w:tcPr>
            <w:tcW w:w="1449" w:type="dxa"/>
          </w:tcPr>
          <w:p w:rsidR="00F75860" w:rsidRPr="00F75860" w:rsidRDefault="00F75860" w:rsidP="00F75860">
            <w:r>
              <w:t xml:space="preserve">Winter: </w:t>
            </w:r>
            <w:r w:rsidRPr="00F75860">
              <w:t>Peak = 7AM–10PM weekdays, Shoulder = 7AM–10PM weekends, Off peak = All other times</w:t>
            </w:r>
          </w:p>
          <w:p w:rsidR="00F75860" w:rsidRPr="00F75860" w:rsidRDefault="00F75860" w:rsidP="00F75860">
            <w:r>
              <w:t xml:space="preserve">Summer: Shoulder = </w:t>
            </w:r>
            <w:r w:rsidRPr="00F75860">
              <w:t>7AM–10PM weekdays, Off peak = All other times</w:t>
            </w:r>
          </w:p>
        </w:tc>
      </w:tr>
    </w:tbl>
    <w:p w:rsidR="00B61C42" w:rsidRDefault="00B61C42" w:rsidP="00B61C42">
      <w:pPr>
        <w:pStyle w:val="Heading3"/>
      </w:pPr>
      <w:bookmarkStart w:id="102" w:name="_Toc481061356"/>
      <w:r>
        <w:t>High voltage business customers</w:t>
      </w:r>
      <w:bookmarkEnd w:id="102"/>
    </w:p>
    <w:p w:rsidR="00F20934" w:rsidRDefault="00DE590E" w:rsidP="00F20934">
      <w:r>
        <w:t>We approve TasNetworks' proposed high voltage business customer tariffs for the 2017–19 regulatory control period</w:t>
      </w:r>
      <w:r w:rsidR="00F20934" w:rsidRPr="00F20934">
        <w:t xml:space="preserve"> because we are satisfied they contribute to the achievement of compliance with the distribution pricing principles.</w:t>
      </w:r>
      <w:r>
        <w:t xml:space="preserve"> </w:t>
      </w:r>
      <w:r w:rsidR="00F20934">
        <w:t>We approved the same tariffs in our draft decision.</w:t>
      </w:r>
      <w:r w:rsidR="00F20934">
        <w:rPr>
          <w:rStyle w:val="FootnoteReference"/>
        </w:rPr>
        <w:footnoteReference w:id="154"/>
      </w:r>
    </w:p>
    <w:p w:rsidR="00FA30ED" w:rsidRDefault="00FA7148" w:rsidP="00FA7148">
      <w:r>
        <w:t>In our draft decision we accepted the proposed tariffs for high voltage customers as contributing to the achievement of compliance with the distribution pricing principles.</w:t>
      </w:r>
    </w:p>
    <w:p w:rsidR="00FA7148" w:rsidRDefault="00FA7148" w:rsidP="00FA7148">
      <w:r>
        <w:t xml:space="preserve">However, we did seek explanation from TasNetworks as to the impacts of these customers from some of the proposed increases in service charges. </w:t>
      </w:r>
      <w:r w:rsidR="00E3046E">
        <w:t>We considered TasNetworks had not</w:t>
      </w:r>
      <w:r w:rsidR="00E3046E" w:rsidRPr="00AC2CBE">
        <w:t xml:space="preserve"> demonstrated reasonable consideration of the impact of the proposed increases in fixed charges on high voltage business customers.</w:t>
      </w:r>
      <w:r w:rsidR="00E3046E">
        <w:t xml:space="preserve"> We consider TasNetworks has addressed this issue in its revised tariff structure statement. Our discussion on this issue is set out in section </w:t>
      </w:r>
      <w:r w:rsidR="00E3046E">
        <w:fldChar w:fldCharType="begin"/>
      </w:r>
      <w:r w:rsidR="00E3046E">
        <w:instrText xml:space="preserve"> REF _Ref477421176 \r \h </w:instrText>
      </w:r>
      <w:r w:rsidR="00E3046E">
        <w:fldChar w:fldCharType="separate"/>
      </w:r>
      <w:r w:rsidR="00F52FCD">
        <w:t>19.4.7.3</w:t>
      </w:r>
      <w:r w:rsidR="00E3046E">
        <w:fldChar w:fldCharType="end"/>
      </w:r>
      <w:r w:rsidR="00E3046E">
        <w:t>.</w:t>
      </w:r>
    </w:p>
    <w:p w:rsidR="00FA7148" w:rsidRDefault="00FA7148" w:rsidP="00F20934">
      <w:r>
        <w:t>Networks do have a significant fixed cost structure which needs to be recovered from network users. TasNetworks is using the fixed service charges to recoup costs associated with the connection and ongoing management of each customer.</w:t>
      </w:r>
      <w:r>
        <w:rPr>
          <w:rStyle w:val="FootnoteReference"/>
        </w:rPr>
        <w:footnoteReference w:id="155"/>
      </w:r>
    </w:p>
    <w:p w:rsidR="00E3046E" w:rsidRDefault="00E3046E" w:rsidP="00E3046E">
      <w:r>
        <w:t>We note that with a flat or declining revenue requirement over the coming regulatory control period, there is more ability for TasNetworks to adjust its charging parameters to align with more cost reflective pricing principles without causing substantial upward adjustments to tariffs.</w:t>
      </w:r>
    </w:p>
    <w:p w:rsidR="00AC2CBE" w:rsidRDefault="00AC2CBE" w:rsidP="00F20934">
      <w:r>
        <w:t>We did not accept TasNetworks initial tariff structure statement because we considered TasNetworks had not</w:t>
      </w:r>
      <w:r w:rsidRPr="00AC2CBE">
        <w:t xml:space="preserve"> demonstrated reasonable consideration of the impact of the </w:t>
      </w:r>
      <w:r w:rsidRPr="00AC2CBE">
        <w:lastRenderedPageBreak/>
        <w:t>proposed increases in fixed charges on high voltage business customers.</w:t>
      </w:r>
      <w:r>
        <w:t xml:space="preserve"> We consider TasNetworks has addressed this issue in its revised tariff structure statement. Our discussion on this issue is set out in section</w:t>
      </w:r>
      <w:r w:rsidR="00DA38A5">
        <w:t xml:space="preserve"> </w:t>
      </w:r>
      <w:r w:rsidR="00DA38A5">
        <w:fldChar w:fldCharType="begin"/>
      </w:r>
      <w:r w:rsidR="00DA38A5">
        <w:instrText xml:space="preserve"> REF _Ref477421176 \r \h </w:instrText>
      </w:r>
      <w:r w:rsidR="00DA38A5">
        <w:fldChar w:fldCharType="separate"/>
      </w:r>
      <w:r w:rsidR="00F52FCD">
        <w:t>19.4.7.3</w:t>
      </w:r>
      <w:r w:rsidR="00DA38A5">
        <w:fldChar w:fldCharType="end"/>
      </w:r>
      <w:r w:rsidR="00DA38A5">
        <w:t>.</w:t>
      </w:r>
    </w:p>
    <w:p w:rsidR="00F176F0" w:rsidRDefault="00F176F0" w:rsidP="001D5828">
      <w:pPr>
        <w:pStyle w:val="Heading4"/>
      </w:pPr>
      <w:r>
        <w:t>Tariff design</w:t>
      </w:r>
    </w:p>
    <w:p w:rsidR="001D63A9" w:rsidRDefault="001D63A9" w:rsidP="00F20934">
      <w:r w:rsidRPr="001D63A9">
        <w:t>TasNetworks'</w:t>
      </w:r>
      <w:r w:rsidR="00F20934">
        <w:t xml:space="preserve"> proposed the continuation of its high voltage business customer</w:t>
      </w:r>
      <w:r w:rsidRPr="001D63A9">
        <w:t xml:space="preserve"> tariffs </w:t>
      </w:r>
      <w:r w:rsidR="00F176F0">
        <w:t>in their current design.</w:t>
      </w:r>
      <w:r w:rsidR="00F20934">
        <w:t xml:space="preserve"> We consider these tariffs ar</w:t>
      </w:r>
      <w:r w:rsidRPr="001D63A9">
        <w:t>e cost reflective given the tariffs feature elements such as time of use charges, demand based charges and seasonal variations. We also note the individual calculation tariffs have locational price signals.</w:t>
      </w:r>
    </w:p>
    <w:p w:rsidR="0028176D" w:rsidRPr="00540FF5" w:rsidRDefault="0028176D" w:rsidP="0028176D">
      <w:pPr>
        <w:pStyle w:val="Caption"/>
      </w:pPr>
      <w:bookmarkStart w:id="103" w:name="_Ref477769065"/>
      <w:r>
        <w:t xml:space="preserve">Table </w:t>
      </w:r>
      <w:fldSimple w:instr=" STYLEREF 1 \s ">
        <w:r w:rsidR="00F52FCD">
          <w:rPr>
            <w:noProof/>
          </w:rPr>
          <w:t>19</w:t>
        </w:r>
      </w:fldSimple>
      <w:r w:rsidR="00E914FF">
        <w:t>.</w:t>
      </w:r>
      <w:fldSimple w:instr=" SEQ Table \* ARABIC \s 1 ">
        <w:r w:rsidR="00F52FCD">
          <w:rPr>
            <w:noProof/>
          </w:rPr>
          <w:t>11</w:t>
        </w:r>
      </w:fldSimple>
      <w:bookmarkEnd w:id="103"/>
      <w:r>
        <w:tab/>
        <w:t>TasNetworks' high voltage business tariffs</w:t>
      </w:r>
    </w:p>
    <w:tbl>
      <w:tblPr>
        <w:tblStyle w:val="AERtable-text0"/>
        <w:tblW w:w="0" w:type="auto"/>
        <w:tblLook w:val="04A0" w:firstRow="1" w:lastRow="0" w:firstColumn="1" w:lastColumn="0" w:noHBand="0" w:noVBand="1"/>
      </w:tblPr>
      <w:tblGrid>
        <w:gridCol w:w="1448"/>
        <w:gridCol w:w="1449"/>
        <w:gridCol w:w="1449"/>
        <w:gridCol w:w="1449"/>
        <w:gridCol w:w="1449"/>
        <w:gridCol w:w="1449"/>
      </w:tblGrid>
      <w:tr w:rsidR="0028176D" w:rsidTr="00E06923">
        <w:trPr>
          <w:cnfStyle w:val="100000000000" w:firstRow="1" w:lastRow="0" w:firstColumn="0" w:lastColumn="0" w:oddVBand="0" w:evenVBand="0" w:oddHBand="0" w:evenHBand="0" w:firstRowFirstColumn="0" w:firstRowLastColumn="0" w:lastRowFirstColumn="0" w:lastRowLastColumn="0"/>
        </w:trPr>
        <w:tc>
          <w:tcPr>
            <w:tcW w:w="1448" w:type="dxa"/>
          </w:tcPr>
          <w:p w:rsidR="0028176D" w:rsidRDefault="0028176D" w:rsidP="0028176D">
            <w:r>
              <w:t>Tariff</w:t>
            </w:r>
          </w:p>
        </w:tc>
        <w:tc>
          <w:tcPr>
            <w:tcW w:w="1449" w:type="dxa"/>
          </w:tcPr>
          <w:p w:rsidR="0028176D" w:rsidRDefault="0028176D" w:rsidP="0028176D">
            <w:r>
              <w:t>Customer type</w:t>
            </w:r>
          </w:p>
        </w:tc>
        <w:tc>
          <w:tcPr>
            <w:tcW w:w="1449" w:type="dxa"/>
          </w:tcPr>
          <w:p w:rsidR="0028176D" w:rsidRDefault="0028176D" w:rsidP="0028176D">
            <w:r>
              <w:t>Assignment</w:t>
            </w:r>
          </w:p>
        </w:tc>
        <w:tc>
          <w:tcPr>
            <w:tcW w:w="1449" w:type="dxa"/>
          </w:tcPr>
          <w:p w:rsidR="0028176D" w:rsidRDefault="0028176D" w:rsidP="0028176D">
            <w:r>
              <w:t>Meter type</w:t>
            </w:r>
          </w:p>
        </w:tc>
        <w:tc>
          <w:tcPr>
            <w:tcW w:w="1449" w:type="dxa"/>
          </w:tcPr>
          <w:p w:rsidR="0028176D" w:rsidRDefault="0028176D" w:rsidP="0028176D">
            <w:r>
              <w:t>Tariff structure</w:t>
            </w:r>
          </w:p>
        </w:tc>
        <w:tc>
          <w:tcPr>
            <w:tcW w:w="1449" w:type="dxa"/>
          </w:tcPr>
          <w:p w:rsidR="0028176D" w:rsidRDefault="0028176D" w:rsidP="0028176D">
            <w:r>
              <w:t>Notes</w:t>
            </w:r>
          </w:p>
        </w:tc>
      </w:tr>
      <w:tr w:rsidR="0028176D" w:rsidTr="00E06923">
        <w:tc>
          <w:tcPr>
            <w:tcW w:w="1448" w:type="dxa"/>
          </w:tcPr>
          <w:p w:rsidR="0028176D" w:rsidRPr="0028176D" w:rsidRDefault="0028176D" w:rsidP="001D63A9">
            <w:r>
              <w:t xml:space="preserve">Business </w:t>
            </w:r>
            <w:r w:rsidR="001D63A9">
              <w:t>high voltage kVA specified demand</w:t>
            </w:r>
          </w:p>
        </w:tc>
        <w:tc>
          <w:tcPr>
            <w:tcW w:w="1449" w:type="dxa"/>
          </w:tcPr>
          <w:p w:rsidR="0028176D" w:rsidRPr="0028176D" w:rsidRDefault="0028176D" w:rsidP="0028176D">
            <w:r>
              <w:t>New/Existing</w:t>
            </w:r>
          </w:p>
        </w:tc>
        <w:tc>
          <w:tcPr>
            <w:tcW w:w="1449" w:type="dxa"/>
          </w:tcPr>
          <w:p w:rsidR="0028176D" w:rsidRPr="0028176D" w:rsidRDefault="0028176D" w:rsidP="0028176D">
            <w:r>
              <w:t xml:space="preserve">Default for </w:t>
            </w:r>
            <w:r w:rsidRPr="0028176D">
              <w:t>new/existing customers</w:t>
            </w:r>
          </w:p>
        </w:tc>
        <w:tc>
          <w:tcPr>
            <w:tcW w:w="1449" w:type="dxa"/>
          </w:tcPr>
          <w:p w:rsidR="0028176D" w:rsidRPr="0028176D" w:rsidRDefault="004A4704" w:rsidP="004A4704">
            <w:r w:rsidRPr="004A4704">
              <w:t>Metering of consumption (and demand) for an installation occurs at the high voltage connection point and requires a meter capable of recording interval data.</w:t>
            </w:r>
          </w:p>
        </w:tc>
        <w:tc>
          <w:tcPr>
            <w:tcW w:w="1449" w:type="dxa"/>
          </w:tcPr>
          <w:p w:rsidR="0028176D" w:rsidRPr="0028176D" w:rsidRDefault="0028176D" w:rsidP="0028176D">
            <w:r>
              <w:t xml:space="preserve">Fixed charge + </w:t>
            </w:r>
            <w:r w:rsidR="004A4704">
              <w:t xml:space="preserve">seasonal </w:t>
            </w:r>
            <w:r w:rsidR="004A4704" w:rsidRPr="004A4704">
              <w:t>time of use charges</w:t>
            </w:r>
            <w:r w:rsidR="004A4704">
              <w:t xml:space="preserve"> + demand charges</w:t>
            </w:r>
          </w:p>
        </w:tc>
        <w:tc>
          <w:tcPr>
            <w:tcW w:w="1449" w:type="dxa"/>
          </w:tcPr>
          <w:p w:rsidR="004A4704" w:rsidRDefault="004A4704" w:rsidP="0028176D">
            <w:r>
              <w:t>T</w:t>
            </w:r>
            <w:r w:rsidRPr="004A4704">
              <w:t xml:space="preserve">ariff </w:t>
            </w:r>
            <w:r>
              <w:t xml:space="preserve">applies to customers </w:t>
            </w:r>
            <w:r w:rsidRPr="004A4704">
              <w:t>taking supply at high voltage, with an expected any-time maximum demand (ATMD) less than 2 megavolt-Amperes (MVA)</w:t>
            </w:r>
          </w:p>
          <w:p w:rsidR="0028176D" w:rsidRDefault="004A4704" w:rsidP="0028176D">
            <w:r>
              <w:t>Negotiated specified demand</w:t>
            </w:r>
          </w:p>
        </w:tc>
      </w:tr>
      <w:tr w:rsidR="0028176D" w:rsidTr="00E06923">
        <w:trPr>
          <w:cnfStyle w:val="000000010000" w:firstRow="0" w:lastRow="0" w:firstColumn="0" w:lastColumn="0" w:oddVBand="0" w:evenVBand="0" w:oddHBand="0" w:evenHBand="1" w:firstRowFirstColumn="0" w:firstRowLastColumn="0" w:lastRowFirstColumn="0" w:lastRowLastColumn="0"/>
        </w:trPr>
        <w:tc>
          <w:tcPr>
            <w:tcW w:w="1448" w:type="dxa"/>
          </w:tcPr>
          <w:p w:rsidR="0028176D" w:rsidRPr="0028176D" w:rsidRDefault="0028176D" w:rsidP="001D63A9">
            <w:r>
              <w:t>Business</w:t>
            </w:r>
            <w:r w:rsidR="001D63A9">
              <w:t xml:space="preserve"> high voltage kVA specified demand &gt;2MVA</w:t>
            </w:r>
          </w:p>
        </w:tc>
        <w:tc>
          <w:tcPr>
            <w:tcW w:w="1449" w:type="dxa"/>
          </w:tcPr>
          <w:p w:rsidR="0028176D" w:rsidRPr="0028176D" w:rsidRDefault="001D63A9" w:rsidP="0028176D">
            <w:r w:rsidRPr="001D63A9">
              <w:t>New/Existing</w:t>
            </w:r>
          </w:p>
        </w:tc>
        <w:tc>
          <w:tcPr>
            <w:tcW w:w="1449" w:type="dxa"/>
          </w:tcPr>
          <w:p w:rsidR="0028176D" w:rsidRPr="0028176D" w:rsidRDefault="001D63A9" w:rsidP="0028176D">
            <w:r w:rsidRPr="001D63A9">
              <w:t>Default for new/existing customers</w:t>
            </w:r>
          </w:p>
        </w:tc>
        <w:tc>
          <w:tcPr>
            <w:tcW w:w="1449" w:type="dxa"/>
          </w:tcPr>
          <w:p w:rsidR="0028176D" w:rsidRPr="0028176D" w:rsidRDefault="004A4704" w:rsidP="0028176D">
            <w:r w:rsidRPr="004A4704">
              <w:t>Metering of consumption (and demand) for an installation occurs at the high voltage connection point and requires a meter capable of recording interval data.</w:t>
            </w:r>
          </w:p>
        </w:tc>
        <w:tc>
          <w:tcPr>
            <w:tcW w:w="1449" w:type="dxa"/>
          </w:tcPr>
          <w:p w:rsidR="0028176D" w:rsidRPr="0028176D" w:rsidRDefault="004A4704" w:rsidP="0028176D">
            <w:r w:rsidRPr="004A4704">
              <w:t>Fixed charge + seasonal time of use charges + demand charges</w:t>
            </w:r>
          </w:p>
        </w:tc>
        <w:tc>
          <w:tcPr>
            <w:tcW w:w="1449" w:type="dxa"/>
          </w:tcPr>
          <w:p w:rsidR="004A4704" w:rsidRDefault="004A4704" w:rsidP="0028176D">
            <w:r>
              <w:t>T</w:t>
            </w:r>
            <w:r w:rsidRPr="004A4704">
              <w:t>ariff applies to customers with an ATMD in excess of 2.0 MVA</w:t>
            </w:r>
          </w:p>
          <w:p w:rsidR="0028176D" w:rsidRPr="0028176D" w:rsidRDefault="004A4704" w:rsidP="0028176D">
            <w:r w:rsidRPr="004A4704">
              <w:t>Negotiated specified demand</w:t>
            </w:r>
          </w:p>
        </w:tc>
      </w:tr>
    </w:tbl>
    <w:p w:rsidR="00E80C3B" w:rsidRDefault="00E80C3B" w:rsidP="001D5828">
      <w:pPr>
        <w:pStyle w:val="Heading4"/>
      </w:pPr>
      <w:r>
        <w:t>Tariff assignment</w:t>
      </w:r>
    </w:p>
    <w:p w:rsidR="00E80C3B" w:rsidRDefault="00E80C3B" w:rsidP="00E80C3B">
      <w:r>
        <w:t>We approve TasNetworks' proposed tariff assignment for the high voltage business tariffs. The tariffs are available for any customer taking supply at high voltage.</w:t>
      </w:r>
      <w:r>
        <w:rPr>
          <w:rStyle w:val="FootnoteReference"/>
        </w:rPr>
        <w:footnoteReference w:id="156"/>
      </w:r>
      <w:r>
        <w:t xml:space="preserve"> Customers must supply their own transformers and switchgear.</w:t>
      </w:r>
      <w:r w:rsidR="00E40FE6">
        <w:t xml:space="preserve"> We consider this assignment takes into account the nature and extent of a customer's usage and connection to the network.</w:t>
      </w:r>
    </w:p>
    <w:p w:rsidR="00B61C42" w:rsidRDefault="00B61C42" w:rsidP="00B61C42">
      <w:pPr>
        <w:pStyle w:val="Heading3"/>
      </w:pPr>
      <w:bookmarkStart w:id="104" w:name="_Ref478628890"/>
      <w:bookmarkStart w:id="105" w:name="_Toc481061357"/>
      <w:r>
        <w:t>Tariff levels</w:t>
      </w:r>
      <w:bookmarkEnd w:id="104"/>
      <w:bookmarkEnd w:id="105"/>
    </w:p>
    <w:p w:rsidR="00A75C9A" w:rsidRPr="00C8051E" w:rsidRDefault="00A75C9A" w:rsidP="00A75C9A">
      <w:r w:rsidRPr="00C8051E">
        <w:lastRenderedPageBreak/>
        <w:t xml:space="preserve">An important feature of this </w:t>
      </w:r>
      <w:r>
        <w:t>final</w:t>
      </w:r>
      <w:r w:rsidRPr="00C8051E">
        <w:t xml:space="preserve"> decision is the concept of long run marginal cost. Long run marginal cost is equivalent to the forward looking cost of a distributor providing one more unit of service, measured over a period of time sufficient for all factors of production to be varied.</w:t>
      </w:r>
      <w:r w:rsidR="00FA30ED">
        <w:rPr>
          <w:rStyle w:val="FootnoteReference"/>
        </w:rPr>
        <w:footnoteReference w:id="157"/>
      </w:r>
      <w:r w:rsidRPr="00C8051E">
        <w:t xml:space="preserve"> Long run marginal cost could also be described as a distributor's forward looking costs that are responsive to changes in electricity </w:t>
      </w:r>
      <w:r>
        <w:t>demand</w:t>
      </w:r>
      <w:r w:rsidRPr="00C8051E">
        <w:t xml:space="preserve">. </w:t>
      </w:r>
    </w:p>
    <w:p w:rsidR="00A75C9A" w:rsidRPr="00C8051E" w:rsidRDefault="00A75C9A" w:rsidP="00A75C9A">
      <w:r w:rsidRPr="00C8051E">
        <w:t>The NER requires network tariffs to be b</w:t>
      </w:r>
      <w:r>
        <w:t>ased on long run marginal cost.</w:t>
      </w:r>
      <w:r>
        <w:rPr>
          <w:rStyle w:val="FootnoteReference"/>
        </w:rPr>
        <w:footnoteReference w:id="158"/>
      </w:r>
      <w:r w:rsidRPr="00C8051E">
        <w:t xml:space="preserve"> However, not all of a distributor's costs are forward looking and responsive to changes in electricity </w:t>
      </w:r>
      <w:r>
        <w:t>demand</w:t>
      </w:r>
      <w:r w:rsidRPr="00C8051E">
        <w:t xml:space="preserve">. </w:t>
      </w:r>
      <w:r>
        <w:t>I</w:t>
      </w:r>
      <w:r w:rsidRPr="00C8051E">
        <w:t>f network tariffs only reflected long run marginal cost, a distributor would not recover all its costs. Costs not covered by a distributor's long run marginal cost are called 'residual costs'. The NER requires network tariffs to recover residual costs in a way that minimises distortions to the price signals for efficient usage that would result from tariffs reflecting only long run marg</w:t>
      </w:r>
      <w:r>
        <w:t>inal costs.</w:t>
      </w:r>
      <w:r>
        <w:rPr>
          <w:rStyle w:val="FootnoteReference"/>
        </w:rPr>
        <w:footnoteReference w:id="159"/>
      </w:r>
    </w:p>
    <w:p w:rsidR="00A75C9A" w:rsidRDefault="00A75C9A" w:rsidP="00A75C9A">
      <w:r w:rsidRPr="00C8051E">
        <w:t>This section sets out our considerations on TasNetworks' approach to calculating long run marginal cost, passing those costs through to customers and residual costs.</w:t>
      </w:r>
    </w:p>
    <w:p w:rsidR="00A75C9A" w:rsidRDefault="00A75C9A" w:rsidP="00A75C9A">
      <w:pPr>
        <w:pStyle w:val="Heading4"/>
      </w:pPr>
      <w:bookmarkStart w:id="106" w:name="_Ref477355420"/>
      <w:r>
        <w:t>Calculation and recovery of long run marginal cost</w:t>
      </w:r>
      <w:bookmarkEnd w:id="106"/>
    </w:p>
    <w:p w:rsidR="00A75C9A" w:rsidRPr="007C6A31" w:rsidRDefault="00A75C9A" w:rsidP="00A75C9A">
      <w:r w:rsidRPr="007C6A31">
        <w:t>When tariffs accurately reflect the marginal or forward</w:t>
      </w:r>
      <w:r w:rsidR="00DA38A5">
        <w:t xml:space="preserve"> </w:t>
      </w:r>
      <w:r w:rsidRPr="007C6A31">
        <w:t>looking cost of increasing demand, consumers may make informed choices about their electricity usage. Tariff reform seeks to promote additional investment in the network by distributors only when consumers value increased demand more than the cost of delivering the additional network capacity necessary to meet that demand.</w:t>
      </w:r>
    </w:p>
    <w:p w:rsidR="00A75C9A" w:rsidRPr="007C6A31" w:rsidRDefault="00A75C9A" w:rsidP="00A75C9A">
      <w:r w:rsidRPr="007C6A31">
        <w:t>We are satisfied that TasNetworks' approach to estimating long run marginal cost and passing it through to customers contributes to the achievement of compliance with the distribution pricing principles.</w:t>
      </w:r>
      <w:r>
        <w:rPr>
          <w:rStyle w:val="FootnoteReference"/>
        </w:rPr>
        <w:footnoteReference w:id="160"/>
      </w:r>
      <w:r w:rsidRPr="007C6A31">
        <w:t xml:space="preserve"> We note that forward looking price signals will, on average, improve over time as less cost reflective tariffs are progressively phased out. TasNetworks' application of forward looking price signals within its more cost reflective tariffs, </w:t>
      </w:r>
      <w:r>
        <w:t>particularly</w:t>
      </w:r>
      <w:r w:rsidRPr="007C6A31">
        <w:t xml:space="preserve"> demand tariffs, appropriately matches costs to tariff components.</w:t>
      </w:r>
    </w:p>
    <w:p w:rsidR="00A75C9A" w:rsidRPr="007C6A31" w:rsidRDefault="00A75C9A" w:rsidP="00A75C9A">
      <w:r w:rsidRPr="007C6A31">
        <w:t>We received no comments from stakeholders on TasNetworks' long run marginal cost methodology and calculation.</w:t>
      </w:r>
      <w:r>
        <w:tab/>
      </w:r>
    </w:p>
    <w:p w:rsidR="00A75C9A" w:rsidRDefault="00A75C9A" w:rsidP="00A75C9A">
      <w:r w:rsidRPr="007C6A31">
        <w:t xml:space="preserve">TasNetworks used the average incremental </w:t>
      </w:r>
      <w:r>
        <w:t xml:space="preserve">cost </w:t>
      </w:r>
      <w:r w:rsidRPr="007C6A31">
        <w:t>approach to derive its long run marginal cost</w:t>
      </w:r>
      <w:r>
        <w:t xml:space="preserve"> estimates</w:t>
      </w:r>
      <w:r w:rsidRPr="007C6A31">
        <w:t>. In its approach, TasNetworks identified forecast works (projects and programs) required to meet the forecast cumulative growth in maximum demand on the network over the next 10 years.</w:t>
      </w:r>
      <w:r>
        <w:t xml:space="preserve"> TasNetworks </w:t>
      </w:r>
      <w:r w:rsidRPr="00274DDF">
        <w:t xml:space="preserve">calculated its long run </w:t>
      </w:r>
      <w:r w:rsidRPr="00274DDF">
        <w:lastRenderedPageBreak/>
        <w:t xml:space="preserve">marginal cost estimates as the ratio of the present value of augmentation </w:t>
      </w:r>
      <w:r>
        <w:t xml:space="preserve">capex </w:t>
      </w:r>
      <w:r w:rsidRPr="00274DDF">
        <w:t xml:space="preserve">and </w:t>
      </w:r>
      <w:r>
        <w:t xml:space="preserve">associated </w:t>
      </w:r>
      <w:r w:rsidRPr="00274DDF">
        <w:t>operating costs to the present value of growth in demand.</w:t>
      </w:r>
      <w:r>
        <w:rPr>
          <w:rStyle w:val="FootnoteReference"/>
        </w:rPr>
        <w:footnoteReference w:id="161"/>
      </w:r>
    </w:p>
    <w:p w:rsidR="00A75C9A" w:rsidRPr="007C6A31" w:rsidRDefault="00A75C9A" w:rsidP="00A75C9A">
      <w:r>
        <w:t>TasNetworks' reasons for adopting this approach</w:t>
      </w:r>
      <w:r w:rsidRPr="007C6A31">
        <w:t xml:space="preserve"> included:</w:t>
      </w:r>
      <w:r>
        <w:rPr>
          <w:rStyle w:val="FootnoteReference"/>
        </w:rPr>
        <w:footnoteReference w:id="162"/>
      </w:r>
    </w:p>
    <w:p w:rsidR="00A75C9A" w:rsidRPr="007C6A31" w:rsidRDefault="00A75C9A" w:rsidP="00A75C9A">
      <w:pPr>
        <w:pStyle w:val="AERbulletlistfirststyle"/>
      </w:pPr>
      <w:r>
        <w:t>the approach</w:t>
      </w:r>
      <w:r w:rsidRPr="007C6A31">
        <w:t xml:space="preserve"> relied on information already available, and included as part of its overall 2017–19 revenue proposal</w:t>
      </w:r>
    </w:p>
    <w:p w:rsidR="00A75C9A" w:rsidRDefault="00A75C9A" w:rsidP="00A75C9A">
      <w:pPr>
        <w:pStyle w:val="AERbulletlistfirststyle"/>
      </w:pPr>
      <w:r>
        <w:t>distributors</w:t>
      </w:r>
      <w:r w:rsidRPr="007C6A31">
        <w:t xml:space="preserve"> throughout Australia </w:t>
      </w:r>
      <w:r>
        <w:t xml:space="preserve">commonly </w:t>
      </w:r>
      <w:r w:rsidRPr="007C6A31">
        <w:t xml:space="preserve">employed the </w:t>
      </w:r>
      <w:r>
        <w:t xml:space="preserve">approach </w:t>
      </w:r>
      <w:r w:rsidRPr="00E867E3">
        <w:t>as it is generally considered to be well suited to situations where there is a fairly consistent profile of investment over time to service growth in demand</w:t>
      </w:r>
      <w:r w:rsidRPr="007C6A31">
        <w:t xml:space="preserve">. </w:t>
      </w:r>
    </w:p>
    <w:p w:rsidR="00A75C9A" w:rsidRDefault="00E914FF" w:rsidP="00A75C9A">
      <w:r>
        <w:fldChar w:fldCharType="begin"/>
      </w:r>
      <w:r>
        <w:instrText xml:space="preserve"> REF _Ref478650305 \h </w:instrText>
      </w:r>
      <w:r>
        <w:fldChar w:fldCharType="separate"/>
      </w:r>
      <w:r w:rsidR="00F52FCD">
        <w:t xml:space="preserve">Table </w:t>
      </w:r>
      <w:r w:rsidR="00F52FCD">
        <w:rPr>
          <w:noProof/>
        </w:rPr>
        <w:t>19</w:t>
      </w:r>
      <w:r w:rsidR="00F52FCD">
        <w:t>.</w:t>
      </w:r>
      <w:r w:rsidR="00F52FCD">
        <w:rPr>
          <w:noProof/>
        </w:rPr>
        <w:t>12</w:t>
      </w:r>
      <w:r>
        <w:fldChar w:fldCharType="end"/>
      </w:r>
      <w:r>
        <w:t xml:space="preserve"> </w:t>
      </w:r>
      <w:r w:rsidR="00A75C9A">
        <w:t>summarises TasNetworks' estimates of long run marginal cost for its tariffs, by tariff class. TasNetworks proposed to recover revenue from long run marginal costs through the demand</w:t>
      </w:r>
      <w:r w:rsidR="004C4622">
        <w:t> </w:t>
      </w:r>
      <w:r w:rsidR="00A75C9A">
        <w:t>based component of its tariffs. TasNetworks stated it set t</w:t>
      </w:r>
      <w:r w:rsidR="00A75C9A" w:rsidRPr="00DF19EE">
        <w:t>he</w:t>
      </w:r>
      <w:r w:rsidR="00A75C9A">
        <w:t>se</w:t>
      </w:r>
      <w:r w:rsidR="00A75C9A" w:rsidRPr="00DF19EE">
        <w:t xml:space="preserve"> demand</w:t>
      </w:r>
      <w:r w:rsidR="00A75C9A">
        <w:t xml:space="preserve"> charges </w:t>
      </w:r>
      <w:r w:rsidR="00A75C9A" w:rsidRPr="00DF19EE">
        <w:t>equal to (or approaching) TasNetworks</w:t>
      </w:r>
      <w:r w:rsidR="00A75C9A">
        <w:t>' estimates of</w:t>
      </w:r>
      <w:r w:rsidR="00A75C9A" w:rsidRPr="00DF19EE">
        <w:t xml:space="preserve"> long run marginal cost for each tariff. </w:t>
      </w:r>
      <w:r w:rsidR="00A75C9A">
        <w:t>TasNetworks stated such demand-based charges</w:t>
      </w:r>
      <w:r w:rsidR="00A75C9A" w:rsidRPr="00DF19EE">
        <w:t xml:space="preserve"> will send a strong signal to customers about the impact of their usage decisions on future costs of the network.</w:t>
      </w:r>
      <w:r w:rsidR="00A75C9A">
        <w:rPr>
          <w:rStyle w:val="FootnoteReference"/>
        </w:rPr>
        <w:footnoteReference w:id="163"/>
      </w:r>
    </w:p>
    <w:p w:rsidR="00E914FF" w:rsidRPr="00E914FF" w:rsidRDefault="00E914FF" w:rsidP="00E914FF">
      <w:pPr>
        <w:pStyle w:val="Caption"/>
      </w:pPr>
      <w:bookmarkStart w:id="107" w:name="_Ref478650305"/>
      <w:r>
        <w:t xml:space="preserve">Table </w:t>
      </w:r>
      <w:fldSimple w:instr=" STYLEREF 1 \s ">
        <w:r w:rsidR="00F52FCD">
          <w:rPr>
            <w:noProof/>
          </w:rPr>
          <w:t>19</w:t>
        </w:r>
      </w:fldSimple>
      <w:r>
        <w:t>.</w:t>
      </w:r>
      <w:fldSimple w:instr=" SEQ Table \* ARABIC \s 1 ">
        <w:r w:rsidR="00F52FCD">
          <w:rPr>
            <w:noProof/>
          </w:rPr>
          <w:t>12</w:t>
        </w:r>
      </w:fldSimple>
      <w:bookmarkEnd w:id="107"/>
      <w:r>
        <w:tab/>
        <w:t>TasNetworks' long run marginal cost estimates by tariff class</w:t>
      </w:r>
    </w:p>
    <w:tbl>
      <w:tblPr>
        <w:tblStyle w:val="AERtable-text0"/>
        <w:tblW w:w="0" w:type="auto"/>
        <w:tblLook w:val="04A0" w:firstRow="1" w:lastRow="0" w:firstColumn="1" w:lastColumn="0" w:noHBand="0" w:noVBand="1"/>
      </w:tblPr>
      <w:tblGrid>
        <w:gridCol w:w="1809"/>
        <w:gridCol w:w="5103"/>
        <w:gridCol w:w="1276"/>
      </w:tblGrid>
      <w:tr w:rsidR="00A75C9A" w:rsidRPr="00202D4E" w:rsidTr="00BE33DD">
        <w:trPr>
          <w:cnfStyle w:val="100000000000" w:firstRow="1" w:lastRow="0" w:firstColumn="0" w:lastColumn="0" w:oddVBand="0" w:evenVBand="0" w:oddHBand="0" w:evenHBand="0" w:firstRowFirstColumn="0" w:firstRowLastColumn="0" w:lastRowFirstColumn="0" w:lastRowLastColumn="0"/>
        </w:trPr>
        <w:tc>
          <w:tcPr>
            <w:tcW w:w="1809" w:type="dxa"/>
          </w:tcPr>
          <w:p w:rsidR="00A75C9A" w:rsidRPr="00A75C9A" w:rsidRDefault="00A75C9A" w:rsidP="00A75C9A">
            <w:r w:rsidRPr="00202D4E">
              <w:t>Tariff class</w:t>
            </w:r>
          </w:p>
        </w:tc>
        <w:tc>
          <w:tcPr>
            <w:tcW w:w="5103" w:type="dxa"/>
          </w:tcPr>
          <w:p w:rsidR="00A75C9A" w:rsidRPr="00A75C9A" w:rsidRDefault="00A75C9A" w:rsidP="00A75C9A">
            <w:r w:rsidRPr="00202D4E">
              <w:t>Tariff</w:t>
            </w:r>
          </w:p>
        </w:tc>
        <w:tc>
          <w:tcPr>
            <w:tcW w:w="1276" w:type="dxa"/>
          </w:tcPr>
          <w:p w:rsidR="00A75C9A" w:rsidRPr="00A75C9A" w:rsidRDefault="00A75C9A" w:rsidP="00A75C9A">
            <w:r w:rsidRPr="00202D4E">
              <w:t>LRMC ($/kW)</w:t>
            </w:r>
          </w:p>
        </w:tc>
      </w:tr>
      <w:tr w:rsidR="00A75C9A" w:rsidRPr="00202D4E" w:rsidTr="00BE33DD">
        <w:tc>
          <w:tcPr>
            <w:tcW w:w="1809" w:type="dxa"/>
          </w:tcPr>
          <w:p w:rsidR="00A75C9A" w:rsidRPr="00A75C9A" w:rsidRDefault="00A75C9A" w:rsidP="00A75C9A">
            <w:r w:rsidRPr="00202D4E">
              <w:t>High Voltage</w:t>
            </w:r>
          </w:p>
        </w:tc>
        <w:tc>
          <w:tcPr>
            <w:tcW w:w="5103" w:type="dxa"/>
          </w:tcPr>
          <w:p w:rsidR="00A75C9A" w:rsidRPr="00A75C9A" w:rsidRDefault="00A75C9A" w:rsidP="00A75C9A">
            <w:r w:rsidRPr="00202D4E">
              <w:t>Business High Voltage kVA Specified Demand (TASSDM)</w:t>
            </w:r>
          </w:p>
        </w:tc>
        <w:tc>
          <w:tcPr>
            <w:tcW w:w="1276" w:type="dxa"/>
          </w:tcPr>
          <w:p w:rsidR="00A75C9A" w:rsidRPr="00A75C9A" w:rsidRDefault="00A75C9A" w:rsidP="00A75C9A">
            <w:r w:rsidRPr="00202D4E">
              <w:t>70</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202D4E" w:rsidRDefault="00A75C9A" w:rsidP="00A75C9A"/>
        </w:tc>
        <w:tc>
          <w:tcPr>
            <w:tcW w:w="5103" w:type="dxa"/>
          </w:tcPr>
          <w:p w:rsidR="00A75C9A" w:rsidRPr="00A75C9A" w:rsidRDefault="00A75C9A" w:rsidP="00A75C9A">
            <w:r w:rsidRPr="00202D4E">
              <w:t>Business High Voltage kVA Specified Demand &gt;2MVA (TAS15)</w:t>
            </w:r>
          </w:p>
        </w:tc>
        <w:tc>
          <w:tcPr>
            <w:tcW w:w="1276" w:type="dxa"/>
          </w:tcPr>
          <w:p w:rsidR="00A75C9A" w:rsidRPr="00A75C9A" w:rsidRDefault="00A75C9A" w:rsidP="00A75C9A">
            <w:r w:rsidRPr="00202D4E">
              <w:t>110</w:t>
            </w:r>
          </w:p>
        </w:tc>
      </w:tr>
      <w:tr w:rsidR="00A75C9A" w:rsidRPr="00202D4E" w:rsidTr="00BE33DD">
        <w:tc>
          <w:tcPr>
            <w:tcW w:w="1809" w:type="dxa"/>
          </w:tcPr>
          <w:p w:rsidR="00A75C9A" w:rsidRPr="00A75C9A" w:rsidRDefault="00A75C9A" w:rsidP="00A75C9A">
            <w:r w:rsidRPr="00202D4E">
              <w:t>Irrigation</w:t>
            </w:r>
          </w:p>
        </w:tc>
        <w:tc>
          <w:tcPr>
            <w:tcW w:w="5103" w:type="dxa"/>
          </w:tcPr>
          <w:p w:rsidR="00A75C9A" w:rsidRPr="00A75C9A" w:rsidRDefault="00A75C9A" w:rsidP="00A75C9A">
            <w:r w:rsidRPr="00202D4E">
              <w:t>Irrigation Low Voltage Time of Use (TAS75)</w:t>
            </w:r>
          </w:p>
        </w:tc>
        <w:tc>
          <w:tcPr>
            <w:tcW w:w="1276" w:type="dxa"/>
          </w:tcPr>
          <w:p w:rsidR="00A75C9A" w:rsidRPr="00A75C9A" w:rsidRDefault="00A75C9A" w:rsidP="00A75C9A">
            <w:r w:rsidRPr="00202D4E">
              <w:t>138</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A75C9A" w:rsidRDefault="00A75C9A" w:rsidP="00A75C9A">
            <w:r w:rsidRPr="00202D4E">
              <w:t>Large Low Voltage</w:t>
            </w:r>
          </w:p>
        </w:tc>
        <w:tc>
          <w:tcPr>
            <w:tcW w:w="5103" w:type="dxa"/>
          </w:tcPr>
          <w:p w:rsidR="00A75C9A" w:rsidRPr="00A75C9A" w:rsidRDefault="00A75C9A" w:rsidP="00A75C9A">
            <w:r w:rsidRPr="00202D4E">
              <w:t>Business Low Voltage kVA</w:t>
            </w:r>
            <w:r w:rsidRPr="00A75C9A">
              <w:t xml:space="preserve"> Demand (TAS82)</w:t>
            </w:r>
          </w:p>
        </w:tc>
        <w:tc>
          <w:tcPr>
            <w:tcW w:w="1276" w:type="dxa"/>
          </w:tcPr>
          <w:p w:rsidR="00A75C9A" w:rsidRPr="00A75C9A" w:rsidRDefault="00A75C9A" w:rsidP="00A75C9A">
            <w:r w:rsidRPr="00202D4E">
              <w:t>89</w:t>
            </w:r>
          </w:p>
        </w:tc>
      </w:tr>
      <w:tr w:rsidR="00A75C9A" w:rsidRPr="00202D4E" w:rsidTr="00BE33DD">
        <w:tc>
          <w:tcPr>
            <w:tcW w:w="1809" w:type="dxa"/>
          </w:tcPr>
          <w:p w:rsidR="00A75C9A" w:rsidRPr="00202D4E" w:rsidRDefault="00A75C9A" w:rsidP="00A75C9A"/>
        </w:tc>
        <w:tc>
          <w:tcPr>
            <w:tcW w:w="5103" w:type="dxa"/>
          </w:tcPr>
          <w:p w:rsidR="00A75C9A" w:rsidRPr="00A75C9A" w:rsidRDefault="00A75C9A" w:rsidP="00A75C9A">
            <w:r w:rsidRPr="00202D4E">
              <w:t>Large Low Voltage Commercial Time of Use Demand (TAS89)</w:t>
            </w:r>
          </w:p>
        </w:tc>
        <w:tc>
          <w:tcPr>
            <w:tcW w:w="1276" w:type="dxa"/>
          </w:tcPr>
          <w:p w:rsidR="00A75C9A" w:rsidRPr="00A75C9A" w:rsidRDefault="00A75C9A" w:rsidP="00A75C9A">
            <w:r w:rsidRPr="00202D4E">
              <w:t>89</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A75C9A" w:rsidRDefault="00A75C9A" w:rsidP="00A75C9A">
            <w:r w:rsidRPr="00202D4E">
              <w:t>Small Low Voltage</w:t>
            </w:r>
          </w:p>
        </w:tc>
        <w:tc>
          <w:tcPr>
            <w:tcW w:w="5103" w:type="dxa"/>
          </w:tcPr>
          <w:p w:rsidR="00A75C9A" w:rsidRPr="00A75C9A" w:rsidRDefault="00A75C9A" w:rsidP="00A75C9A">
            <w:r w:rsidRPr="00202D4E">
              <w:t>Low Voltage Commercial Time of Use Demand (TAS88)</w:t>
            </w:r>
          </w:p>
        </w:tc>
        <w:tc>
          <w:tcPr>
            <w:tcW w:w="1276" w:type="dxa"/>
          </w:tcPr>
          <w:p w:rsidR="00A75C9A" w:rsidRPr="00A75C9A" w:rsidRDefault="00A75C9A" w:rsidP="00A75C9A">
            <w:r w:rsidRPr="00202D4E">
              <w:t>129</w:t>
            </w:r>
          </w:p>
        </w:tc>
      </w:tr>
      <w:tr w:rsidR="00A75C9A" w:rsidRPr="00202D4E" w:rsidTr="00BE33DD">
        <w:tc>
          <w:tcPr>
            <w:tcW w:w="1809" w:type="dxa"/>
          </w:tcPr>
          <w:p w:rsidR="00A75C9A" w:rsidRPr="00202D4E" w:rsidRDefault="00A75C9A" w:rsidP="00A75C9A"/>
        </w:tc>
        <w:tc>
          <w:tcPr>
            <w:tcW w:w="5103" w:type="dxa"/>
          </w:tcPr>
          <w:p w:rsidR="00A75C9A" w:rsidRPr="00A75C9A" w:rsidRDefault="00A75C9A" w:rsidP="00A75C9A">
            <w:r w:rsidRPr="00202D4E">
              <w:t>Business Low Voltage General (TAS22)</w:t>
            </w:r>
          </w:p>
        </w:tc>
        <w:tc>
          <w:tcPr>
            <w:tcW w:w="1276" w:type="dxa"/>
          </w:tcPr>
          <w:p w:rsidR="00A75C9A" w:rsidRPr="00A75C9A" w:rsidRDefault="00A75C9A" w:rsidP="00A75C9A">
            <w:r w:rsidRPr="00202D4E">
              <w:t>165</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202D4E" w:rsidRDefault="00A75C9A" w:rsidP="00A75C9A"/>
        </w:tc>
        <w:tc>
          <w:tcPr>
            <w:tcW w:w="5103" w:type="dxa"/>
          </w:tcPr>
          <w:p w:rsidR="00A75C9A" w:rsidRPr="00A75C9A" w:rsidRDefault="00A75C9A" w:rsidP="00A75C9A">
            <w:r w:rsidRPr="00202D4E">
              <w:t>Business Low Voltage Nursing Homes (TAS34)</w:t>
            </w:r>
          </w:p>
        </w:tc>
        <w:tc>
          <w:tcPr>
            <w:tcW w:w="1276" w:type="dxa"/>
          </w:tcPr>
          <w:p w:rsidR="00A75C9A" w:rsidRPr="00A75C9A" w:rsidRDefault="00A75C9A" w:rsidP="00A75C9A">
            <w:r w:rsidRPr="00202D4E">
              <w:t>91</w:t>
            </w:r>
          </w:p>
        </w:tc>
      </w:tr>
      <w:tr w:rsidR="00A75C9A" w:rsidRPr="00202D4E" w:rsidTr="00BE33DD">
        <w:tc>
          <w:tcPr>
            <w:tcW w:w="1809" w:type="dxa"/>
          </w:tcPr>
          <w:p w:rsidR="00A75C9A" w:rsidRPr="00202D4E" w:rsidRDefault="00A75C9A" w:rsidP="00A75C9A"/>
        </w:tc>
        <w:tc>
          <w:tcPr>
            <w:tcW w:w="5103" w:type="dxa"/>
          </w:tcPr>
          <w:p w:rsidR="00A75C9A" w:rsidRPr="00A75C9A" w:rsidRDefault="00A75C9A" w:rsidP="00A75C9A">
            <w:r w:rsidRPr="00202D4E">
              <w:t xml:space="preserve">General </w:t>
            </w:r>
            <w:r w:rsidRPr="00A75C9A">
              <w:t>Network – Business, Curtilage (TASCURT)</w:t>
            </w:r>
          </w:p>
        </w:tc>
        <w:tc>
          <w:tcPr>
            <w:tcW w:w="1276" w:type="dxa"/>
          </w:tcPr>
          <w:p w:rsidR="00A75C9A" w:rsidRPr="00A75C9A" w:rsidRDefault="00A75C9A" w:rsidP="00A75C9A">
            <w:r w:rsidRPr="00202D4E">
              <w:t>165</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202D4E" w:rsidRDefault="00A75C9A" w:rsidP="00A75C9A"/>
        </w:tc>
        <w:tc>
          <w:tcPr>
            <w:tcW w:w="5103" w:type="dxa"/>
          </w:tcPr>
          <w:p w:rsidR="00A75C9A" w:rsidRPr="00A75C9A" w:rsidRDefault="00A75C9A" w:rsidP="00A75C9A">
            <w:r w:rsidRPr="00202D4E">
              <w:t>Business Low Voltage Time of Use (TAS94)</w:t>
            </w:r>
          </w:p>
        </w:tc>
        <w:tc>
          <w:tcPr>
            <w:tcW w:w="1276" w:type="dxa"/>
          </w:tcPr>
          <w:p w:rsidR="00A75C9A" w:rsidRPr="00A75C9A" w:rsidRDefault="00A75C9A" w:rsidP="00A75C9A">
            <w:r w:rsidRPr="00202D4E">
              <w:t>129</w:t>
            </w:r>
          </w:p>
        </w:tc>
      </w:tr>
      <w:tr w:rsidR="00A75C9A" w:rsidRPr="00202D4E" w:rsidTr="00BE33DD">
        <w:tc>
          <w:tcPr>
            <w:tcW w:w="1809" w:type="dxa"/>
          </w:tcPr>
          <w:p w:rsidR="00A75C9A" w:rsidRPr="00A75C9A" w:rsidRDefault="00A75C9A" w:rsidP="00A75C9A">
            <w:r w:rsidRPr="00202D4E">
              <w:t>Residential</w:t>
            </w:r>
          </w:p>
        </w:tc>
        <w:tc>
          <w:tcPr>
            <w:tcW w:w="5103" w:type="dxa"/>
          </w:tcPr>
          <w:p w:rsidR="00A75C9A" w:rsidRPr="00A75C9A" w:rsidRDefault="00A75C9A" w:rsidP="00A75C9A">
            <w:r w:rsidRPr="00202D4E">
              <w:t>Residential Time of Use Demand Tariff (TAS87)</w:t>
            </w:r>
          </w:p>
        </w:tc>
        <w:tc>
          <w:tcPr>
            <w:tcW w:w="1276" w:type="dxa"/>
          </w:tcPr>
          <w:p w:rsidR="00A75C9A" w:rsidRPr="00A75C9A" w:rsidRDefault="00A75C9A" w:rsidP="00A75C9A">
            <w:r w:rsidRPr="00202D4E">
              <w:t>182</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202D4E" w:rsidRDefault="00A75C9A" w:rsidP="00A75C9A"/>
        </w:tc>
        <w:tc>
          <w:tcPr>
            <w:tcW w:w="5103" w:type="dxa"/>
          </w:tcPr>
          <w:p w:rsidR="00A75C9A" w:rsidRPr="00A75C9A" w:rsidRDefault="00A75C9A" w:rsidP="00A75C9A">
            <w:r w:rsidRPr="00202D4E">
              <w:t>Residential Low Voltage General (TAS31)</w:t>
            </w:r>
          </w:p>
        </w:tc>
        <w:tc>
          <w:tcPr>
            <w:tcW w:w="1276" w:type="dxa"/>
          </w:tcPr>
          <w:p w:rsidR="00A75C9A" w:rsidRPr="00A75C9A" w:rsidRDefault="00A75C9A" w:rsidP="00A75C9A">
            <w:r w:rsidRPr="00202D4E">
              <w:t>182</w:t>
            </w:r>
          </w:p>
        </w:tc>
      </w:tr>
      <w:tr w:rsidR="00A75C9A" w:rsidRPr="00202D4E" w:rsidTr="00BE33DD">
        <w:tc>
          <w:tcPr>
            <w:tcW w:w="1809" w:type="dxa"/>
          </w:tcPr>
          <w:p w:rsidR="00A75C9A" w:rsidRPr="00202D4E" w:rsidRDefault="00A75C9A" w:rsidP="00A75C9A"/>
        </w:tc>
        <w:tc>
          <w:tcPr>
            <w:tcW w:w="5103" w:type="dxa"/>
          </w:tcPr>
          <w:p w:rsidR="00A75C9A" w:rsidRPr="00A75C9A" w:rsidRDefault="00A75C9A" w:rsidP="00A75C9A">
            <w:r w:rsidRPr="00202D4E">
              <w:t>Residential Low Voltage PAYG (TAS101)</w:t>
            </w:r>
          </w:p>
        </w:tc>
        <w:tc>
          <w:tcPr>
            <w:tcW w:w="1276" w:type="dxa"/>
          </w:tcPr>
          <w:p w:rsidR="00A75C9A" w:rsidRPr="00A75C9A" w:rsidRDefault="00A75C9A" w:rsidP="00A75C9A">
            <w:r w:rsidRPr="00202D4E">
              <w:t>182</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202D4E" w:rsidRDefault="00A75C9A" w:rsidP="00A75C9A"/>
        </w:tc>
        <w:tc>
          <w:tcPr>
            <w:tcW w:w="5103" w:type="dxa"/>
          </w:tcPr>
          <w:p w:rsidR="00A75C9A" w:rsidRPr="00A75C9A" w:rsidRDefault="00A75C9A" w:rsidP="00A75C9A">
            <w:r w:rsidRPr="00202D4E">
              <w:t>Residential Low Voltage PAYG Time of Use (TAS92)</w:t>
            </w:r>
          </w:p>
        </w:tc>
        <w:tc>
          <w:tcPr>
            <w:tcW w:w="1276" w:type="dxa"/>
          </w:tcPr>
          <w:p w:rsidR="00A75C9A" w:rsidRPr="00A75C9A" w:rsidRDefault="00A75C9A" w:rsidP="00A75C9A">
            <w:r w:rsidRPr="00202D4E">
              <w:t>182</w:t>
            </w:r>
          </w:p>
        </w:tc>
      </w:tr>
      <w:tr w:rsidR="00A75C9A" w:rsidRPr="00202D4E" w:rsidTr="00BE33DD">
        <w:tc>
          <w:tcPr>
            <w:tcW w:w="1809" w:type="dxa"/>
          </w:tcPr>
          <w:p w:rsidR="00A75C9A" w:rsidRPr="00202D4E" w:rsidRDefault="00A75C9A" w:rsidP="00A75C9A"/>
        </w:tc>
        <w:tc>
          <w:tcPr>
            <w:tcW w:w="5103" w:type="dxa"/>
          </w:tcPr>
          <w:p w:rsidR="00A75C9A" w:rsidRPr="00A75C9A" w:rsidRDefault="00A75C9A" w:rsidP="00A75C9A">
            <w:r w:rsidRPr="00202D4E">
              <w:t>Residential Low Voltage Time of Use (TAS93)</w:t>
            </w:r>
          </w:p>
        </w:tc>
        <w:tc>
          <w:tcPr>
            <w:tcW w:w="1276" w:type="dxa"/>
          </w:tcPr>
          <w:p w:rsidR="00A75C9A" w:rsidRPr="00A75C9A" w:rsidRDefault="00A75C9A" w:rsidP="00A75C9A">
            <w:r w:rsidRPr="00202D4E">
              <w:t>182</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A75C9A" w:rsidRDefault="00A75C9A" w:rsidP="00A75C9A">
            <w:r w:rsidRPr="00202D4E">
              <w:t>Uncontrolled Energy</w:t>
            </w:r>
          </w:p>
        </w:tc>
        <w:tc>
          <w:tcPr>
            <w:tcW w:w="5103" w:type="dxa"/>
          </w:tcPr>
          <w:p w:rsidR="00A75C9A" w:rsidRPr="00A75C9A" w:rsidRDefault="00A75C9A" w:rsidP="00A75C9A">
            <w:r w:rsidRPr="00202D4E">
              <w:t>Uncontrolled Low Voltage Heating (TAS41)</w:t>
            </w:r>
          </w:p>
        </w:tc>
        <w:tc>
          <w:tcPr>
            <w:tcW w:w="1276" w:type="dxa"/>
          </w:tcPr>
          <w:p w:rsidR="00A75C9A" w:rsidRPr="00A75C9A" w:rsidRDefault="00A75C9A" w:rsidP="00A75C9A">
            <w:r w:rsidRPr="00202D4E">
              <w:t>122</w:t>
            </w:r>
          </w:p>
        </w:tc>
      </w:tr>
      <w:tr w:rsidR="00A75C9A" w:rsidRPr="00202D4E" w:rsidTr="00BE33DD">
        <w:tc>
          <w:tcPr>
            <w:tcW w:w="1809" w:type="dxa"/>
          </w:tcPr>
          <w:p w:rsidR="00A75C9A" w:rsidRPr="00A75C9A" w:rsidRDefault="00A75C9A" w:rsidP="00A75C9A">
            <w:r w:rsidRPr="00202D4E">
              <w:t>Controlled Energy</w:t>
            </w:r>
          </w:p>
        </w:tc>
        <w:tc>
          <w:tcPr>
            <w:tcW w:w="5103" w:type="dxa"/>
          </w:tcPr>
          <w:p w:rsidR="00A75C9A" w:rsidRPr="00A75C9A" w:rsidRDefault="00A75C9A" w:rsidP="00A75C9A">
            <w:r w:rsidRPr="00202D4E">
              <w:t xml:space="preserve">Controlled Low Voltage Energy – Off Peak with afternoon boost </w:t>
            </w:r>
            <w:r w:rsidRPr="00A75C9A">
              <w:t>(TAS61)</w:t>
            </w:r>
          </w:p>
        </w:tc>
        <w:tc>
          <w:tcPr>
            <w:tcW w:w="1276" w:type="dxa"/>
          </w:tcPr>
          <w:p w:rsidR="00A75C9A" w:rsidRPr="00A75C9A" w:rsidRDefault="00A75C9A" w:rsidP="00A75C9A">
            <w:r w:rsidRPr="00202D4E">
              <w:t>146</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202D4E" w:rsidRDefault="00A75C9A" w:rsidP="00A75C9A"/>
        </w:tc>
        <w:tc>
          <w:tcPr>
            <w:tcW w:w="5103" w:type="dxa"/>
          </w:tcPr>
          <w:p w:rsidR="00A75C9A" w:rsidRPr="00A75C9A" w:rsidRDefault="00A75C9A" w:rsidP="00A75C9A">
            <w:r w:rsidRPr="00202D4E">
              <w:t>Controlled Low Voltage Energy – Night period only (TAS63)</w:t>
            </w:r>
          </w:p>
        </w:tc>
        <w:tc>
          <w:tcPr>
            <w:tcW w:w="1276" w:type="dxa"/>
          </w:tcPr>
          <w:p w:rsidR="00A75C9A" w:rsidRPr="00A75C9A" w:rsidRDefault="00A75C9A" w:rsidP="00A75C9A">
            <w:r w:rsidRPr="00202D4E">
              <w:t>146</w:t>
            </w:r>
          </w:p>
        </w:tc>
      </w:tr>
      <w:tr w:rsidR="00A75C9A" w:rsidRPr="00202D4E" w:rsidTr="00BE33DD">
        <w:tc>
          <w:tcPr>
            <w:tcW w:w="1809" w:type="dxa"/>
          </w:tcPr>
          <w:p w:rsidR="00A75C9A" w:rsidRPr="00A75C9A" w:rsidRDefault="00A75C9A" w:rsidP="00A75C9A">
            <w:r w:rsidRPr="00202D4E">
              <w:t>Unmetered</w:t>
            </w:r>
          </w:p>
        </w:tc>
        <w:tc>
          <w:tcPr>
            <w:tcW w:w="5103" w:type="dxa"/>
          </w:tcPr>
          <w:p w:rsidR="00A75C9A" w:rsidRPr="00A75C9A" w:rsidRDefault="00A75C9A" w:rsidP="00A75C9A">
            <w:r w:rsidRPr="00202D4E">
              <w:t>Unmetered Supply Low Voltage General (TASUMS)</w:t>
            </w:r>
          </w:p>
        </w:tc>
        <w:tc>
          <w:tcPr>
            <w:tcW w:w="1276" w:type="dxa"/>
          </w:tcPr>
          <w:p w:rsidR="00A75C9A" w:rsidRPr="00A75C9A" w:rsidRDefault="00A75C9A" w:rsidP="00A75C9A">
            <w:r w:rsidRPr="00202D4E">
              <w:t>167</w:t>
            </w:r>
          </w:p>
        </w:tc>
      </w:tr>
      <w:tr w:rsidR="00A75C9A" w:rsidRPr="00202D4E" w:rsidTr="00BE33DD">
        <w:trPr>
          <w:cnfStyle w:val="000000010000" w:firstRow="0" w:lastRow="0" w:firstColumn="0" w:lastColumn="0" w:oddVBand="0" w:evenVBand="0" w:oddHBand="0" w:evenHBand="1" w:firstRowFirstColumn="0" w:firstRowLastColumn="0" w:lastRowFirstColumn="0" w:lastRowLastColumn="0"/>
        </w:trPr>
        <w:tc>
          <w:tcPr>
            <w:tcW w:w="1809" w:type="dxa"/>
          </w:tcPr>
          <w:p w:rsidR="00A75C9A" w:rsidRPr="00A75C9A" w:rsidRDefault="00A75C9A" w:rsidP="00A75C9A">
            <w:r w:rsidRPr="00202D4E">
              <w:t>Street Lighting</w:t>
            </w:r>
          </w:p>
        </w:tc>
        <w:tc>
          <w:tcPr>
            <w:tcW w:w="5103" w:type="dxa"/>
          </w:tcPr>
          <w:p w:rsidR="00A75C9A" w:rsidRPr="00A75C9A" w:rsidRDefault="00A75C9A" w:rsidP="00A75C9A">
            <w:r w:rsidRPr="00202D4E">
              <w:t>Unmetered Supply Low Voltage Public Lighting (TASUMSSL)</w:t>
            </w:r>
          </w:p>
        </w:tc>
        <w:tc>
          <w:tcPr>
            <w:tcW w:w="1276" w:type="dxa"/>
          </w:tcPr>
          <w:p w:rsidR="00A75C9A" w:rsidRPr="00A75C9A" w:rsidRDefault="00A75C9A" w:rsidP="00A75C9A">
            <w:r w:rsidRPr="00202D4E">
              <w:t>167</w:t>
            </w:r>
          </w:p>
        </w:tc>
      </w:tr>
    </w:tbl>
    <w:p w:rsidR="00A75C9A" w:rsidRDefault="00A75C9A" w:rsidP="00A75C9A">
      <w:pPr>
        <w:pStyle w:val="AERtablesource"/>
      </w:pPr>
      <w:r>
        <w:t>Source:</w:t>
      </w:r>
      <w:r>
        <w:tab/>
        <w:t xml:space="preserve">TasNetworks, </w:t>
      </w:r>
      <w:r w:rsidRPr="00274DDF">
        <w:rPr>
          <w:rStyle w:val="AERtextitalic"/>
        </w:rPr>
        <w:t>Tariff structure statement: Background and explanation</w:t>
      </w:r>
      <w:r>
        <w:t>, December 2016, p</w:t>
      </w:r>
      <w:r w:rsidR="000716DD">
        <w:t>p</w:t>
      </w:r>
      <w:r>
        <w:t>. 99</w:t>
      </w:r>
      <w:r w:rsidRPr="00D734A0">
        <w:t>–</w:t>
      </w:r>
      <w:r>
        <w:t>100</w:t>
      </w:r>
      <w:r w:rsidRPr="00D734A0">
        <w:t>.</w:t>
      </w:r>
    </w:p>
    <w:p w:rsidR="00A75C9A" w:rsidRDefault="00A75C9A" w:rsidP="00A75C9A">
      <w:pPr>
        <w:pStyle w:val="HeadingBoldItalic"/>
      </w:pPr>
      <w:r>
        <w:t>AER assessment</w:t>
      </w:r>
    </w:p>
    <w:p w:rsidR="00A75C9A" w:rsidRPr="00B63441" w:rsidRDefault="00A75C9A" w:rsidP="00A75C9A">
      <w:r w:rsidRPr="009F00C9">
        <w:t xml:space="preserve">Our final decision </w:t>
      </w:r>
      <w:r w:rsidR="00E914FF">
        <w:t xml:space="preserve">maintains our </w:t>
      </w:r>
      <w:r w:rsidRPr="009F00C9">
        <w:t>draft decision</w:t>
      </w:r>
      <w:r w:rsidR="00E914FF">
        <w:t xml:space="preserve"> consideration</w:t>
      </w:r>
      <w:r w:rsidRPr="009F00C9">
        <w:t>.</w:t>
      </w:r>
      <w:r>
        <w:rPr>
          <w:rStyle w:val="FootnoteReference"/>
        </w:rPr>
        <w:footnoteReference w:id="164"/>
      </w:r>
      <w:r>
        <w:t xml:space="preserve"> </w:t>
      </w:r>
      <w:r w:rsidRPr="009F00C9">
        <w:t xml:space="preserve">We consider some elements of </w:t>
      </w:r>
      <w:r>
        <w:t>TasNetworks' method</w:t>
      </w:r>
      <w:r w:rsidRPr="009F00C9">
        <w:t xml:space="preserve"> to estimate long run marginal cost contribute to compliance with the distribution pricing principles better than other elements. That said, taken as a whole, we are satisfied </w:t>
      </w:r>
      <w:r>
        <w:t>TasNetworks'</w:t>
      </w:r>
      <w:r w:rsidRPr="009F00C9">
        <w:t xml:space="preserve"> method contributes to the achievement of compliance with the distribution pricing principles for this </w:t>
      </w:r>
      <w:r>
        <w:t>initial round of tariff reform.</w:t>
      </w:r>
      <w:r>
        <w:rPr>
          <w:rStyle w:val="FootnoteReference"/>
        </w:rPr>
        <w:footnoteReference w:id="165"/>
      </w:r>
      <w:r w:rsidRPr="009F00C9">
        <w:t xml:space="preserve"> We are satisfied the proposal compl</w:t>
      </w:r>
      <w:r w:rsidR="00E914FF">
        <w:t>ies</w:t>
      </w:r>
      <w:r w:rsidRPr="009F00C9">
        <w:t xml:space="preserve"> with the requirements for tariffs to be based on long run marginal costs.</w:t>
      </w:r>
      <w:r>
        <w:rPr>
          <w:rStyle w:val="FootnoteReference"/>
        </w:rPr>
        <w:footnoteReference w:id="166"/>
      </w:r>
    </w:p>
    <w:p w:rsidR="00A75C9A" w:rsidRPr="00E61E8B" w:rsidRDefault="00A75C9A" w:rsidP="00A75C9A">
      <w:r w:rsidRPr="00E61E8B">
        <w:t xml:space="preserve">Accordingly, we have not made any changes to </w:t>
      </w:r>
      <w:r>
        <w:t>TasNetworks' method</w:t>
      </w:r>
      <w:r w:rsidRPr="00E61E8B">
        <w:t xml:space="preserve"> for this first tariff structure statement. Nonetheless, we elaborate here on the elements of </w:t>
      </w:r>
      <w:r>
        <w:t>TasNetworks' method</w:t>
      </w:r>
      <w:r w:rsidRPr="00E61E8B">
        <w:t xml:space="preserve"> we consider are less reflective of the distribution pricing principles. We do so to provide guidance to </w:t>
      </w:r>
      <w:r>
        <w:t>TasNetworks</w:t>
      </w:r>
      <w:r w:rsidRPr="00E61E8B">
        <w:t xml:space="preserve">, and the industry more generally, on our views on the direction the industry should be heading to maintain compliance with the distribution pricing principles in the future. Tariff reform is a long term project, and we expect a trend towards greater cost reflectivity over time. Accordingly, in </w:t>
      </w:r>
      <w:r w:rsidR="00E914FF">
        <w:t>subsequent</w:t>
      </w:r>
      <w:r w:rsidRPr="00E61E8B">
        <w:t xml:space="preserve"> tariff structure statements, we envisage distributors would likely need to propose additional reforms in order to be compliant with the </w:t>
      </w:r>
      <w:r w:rsidR="00436AB8">
        <w:t>NER</w:t>
      </w:r>
      <w:r w:rsidRPr="00E61E8B">
        <w:t xml:space="preserve">. In </w:t>
      </w:r>
      <w:r w:rsidR="00725435">
        <w:t xml:space="preserve">its next </w:t>
      </w:r>
      <w:r w:rsidRPr="00E61E8B">
        <w:t xml:space="preserve">tariff structure statement, we encourage </w:t>
      </w:r>
      <w:r>
        <w:t xml:space="preserve">TasNetworks </w:t>
      </w:r>
      <w:r w:rsidRPr="00E61E8B">
        <w:t xml:space="preserve">to make further improvements to </w:t>
      </w:r>
      <w:r>
        <w:t>its</w:t>
      </w:r>
      <w:r w:rsidRPr="00E61E8B">
        <w:t xml:space="preserve"> long run marginal cost</w:t>
      </w:r>
      <w:r w:rsidR="00FA30ED">
        <w:t xml:space="preserve"> estimation </w:t>
      </w:r>
      <w:r w:rsidRPr="00E61E8B">
        <w:t>methods.</w:t>
      </w:r>
    </w:p>
    <w:p w:rsidR="00A75C9A" w:rsidRDefault="00A75C9A" w:rsidP="00A75C9A">
      <w:r w:rsidRPr="00E61E8B">
        <w:t xml:space="preserve">We consider the choice of overall approach or method </w:t>
      </w:r>
      <w:r>
        <w:t>TasNetworks</w:t>
      </w:r>
      <w:r w:rsidRPr="00E61E8B">
        <w:t xml:space="preserve"> used at this early stage of tariff reform—the average incremental cost approach—is compliant with the </w:t>
      </w:r>
      <w:r w:rsidR="002E7053">
        <w:t xml:space="preserve">relevant </w:t>
      </w:r>
      <w:r w:rsidRPr="00E61E8B">
        <w:t>distribution pricing principles.</w:t>
      </w:r>
      <w:r w:rsidR="00725435">
        <w:t xml:space="preserve"> </w:t>
      </w:r>
      <w:r w:rsidRPr="00B63441">
        <w:t>However,</w:t>
      </w:r>
      <w:r>
        <w:t xml:space="preserve"> </w:t>
      </w:r>
      <w:r w:rsidRPr="00B63441">
        <w:t>we</w:t>
      </w:r>
      <w:r>
        <w:t xml:space="preserve"> encourage TasNetworks to continue to improve its method for estimating long run marginal cost. We also </w:t>
      </w:r>
      <w:r w:rsidRPr="00B63441">
        <w:t xml:space="preserve">encourage TasNetworks to consider if asset replacement costs should also be included in </w:t>
      </w:r>
      <w:r>
        <w:t>future</w:t>
      </w:r>
      <w:r w:rsidRPr="00B63441">
        <w:t xml:space="preserve"> </w:t>
      </w:r>
      <w:r>
        <w:t xml:space="preserve">calculations of </w:t>
      </w:r>
      <w:r w:rsidR="00445402">
        <w:t>long run marginal cost.</w:t>
      </w:r>
    </w:p>
    <w:p w:rsidR="00A75C9A" w:rsidRDefault="00A75C9A" w:rsidP="00A75C9A">
      <w:r>
        <w:lastRenderedPageBreak/>
        <w:t>We discuss these improvements in more detail in the sub-sections that follow.</w:t>
      </w:r>
    </w:p>
    <w:p w:rsidR="00A75C9A" w:rsidRDefault="00A75C9A" w:rsidP="00A75C9A">
      <w:pPr>
        <w:pStyle w:val="HeadingBoldItalic"/>
      </w:pPr>
      <w:r>
        <w:t>Average incremental cost approach</w:t>
      </w:r>
    </w:p>
    <w:p w:rsidR="00A75C9A" w:rsidRPr="00E61E8B" w:rsidRDefault="00A75C9A" w:rsidP="00A75C9A">
      <w:r w:rsidRPr="00E61E8B">
        <w:t xml:space="preserve">All distributors in the National Electricity Market used the average incremental cost approach to estimate long run marginal </w:t>
      </w:r>
      <w:r w:rsidR="00725435" w:rsidRPr="00E61E8B">
        <w:t xml:space="preserve">costs </w:t>
      </w:r>
      <w:r w:rsidR="00725435">
        <w:t xml:space="preserve">for their </w:t>
      </w:r>
      <w:r w:rsidRPr="00E61E8B">
        <w:t xml:space="preserve">first tariff structure statements. We consider this approach contributes to the achievement of compliance with the distribution pricing principles for this first round of tariff structure statements. </w:t>
      </w:r>
    </w:p>
    <w:p w:rsidR="00A75C9A" w:rsidRPr="00E61E8B" w:rsidRDefault="00A75C9A" w:rsidP="00A75C9A">
      <w:r w:rsidRPr="00E61E8B">
        <w:t>On the other hand, we encourage distributors to continue to refine and improve their methods for estimating long run marginal cost so their tariffs better reflect their efficient costs of providing direct control services. This may entail modifying the average incremental cost approach to suit the distributor’s particular stage in the tariff reform process. Alternatively, distributors may choose to adopt more sophisticated approaches, such as the Turvey approach, to estimate long run marginal cost in future tariff structure statements if they consider it appropriate.</w:t>
      </w:r>
    </w:p>
    <w:p w:rsidR="00A75C9A" w:rsidRPr="00E61E8B" w:rsidRDefault="00A75C9A" w:rsidP="00A75C9A">
      <w:r w:rsidRPr="00E61E8B">
        <w:t xml:space="preserve">The </w:t>
      </w:r>
      <w:r w:rsidR="000716DD">
        <w:t>Energy Networks Association (</w:t>
      </w:r>
      <w:r w:rsidRPr="00E61E8B">
        <w:t>ENA</w:t>
      </w:r>
      <w:r w:rsidR="000716DD">
        <w:t>)</w:t>
      </w:r>
      <w:r w:rsidRPr="00E61E8B">
        <w:t xml:space="preserve"> submitted the average incremental cost approach is incapable of estimating how long run marginal cost might change where consumption or demand is falling in parts of the network. The ENA noted this is particularly relevant to the potential inclusion of replacement capex in long run marginal cost estimates (see our discussion in the ‘definition of marginal cost’ section below). The ENA did not consider this would be an issue when generating network-wide estimates of long run marginal costs. However, the ENA considered it can become problematic as distributors generate more localised estimates in future tariff reforms. The ENA suggested we devote resources to improve the estimation of long run marginal cost in all circumstances.</w:t>
      </w:r>
      <w:r>
        <w:rPr>
          <w:rStyle w:val="FootnoteReference"/>
        </w:rPr>
        <w:footnoteReference w:id="167"/>
      </w:r>
      <w:r w:rsidRPr="00E61E8B">
        <w:t xml:space="preserve"> </w:t>
      </w:r>
    </w:p>
    <w:p w:rsidR="00A75C9A" w:rsidRDefault="00A75C9A" w:rsidP="00A75C9A">
      <w:r w:rsidRPr="00E61E8B">
        <w:t xml:space="preserve">We agree with the ENA that the industry should devote resources to improve the estimation of long run marginal cost. We therefore encourage </w:t>
      </w:r>
      <w:r>
        <w:t xml:space="preserve">TasNetworks </w:t>
      </w:r>
      <w:r w:rsidRPr="00E61E8B">
        <w:t xml:space="preserve">to make further improvements and refinements to </w:t>
      </w:r>
      <w:r>
        <w:t>its</w:t>
      </w:r>
      <w:r w:rsidRPr="00E61E8B">
        <w:t xml:space="preserve"> long run marginal cost methods in future tariff structure statements.</w:t>
      </w:r>
    </w:p>
    <w:p w:rsidR="00A75C9A" w:rsidRPr="00E61E8B" w:rsidRDefault="00A75C9A" w:rsidP="00A75C9A">
      <w:r w:rsidRPr="00E61E8B">
        <w:t xml:space="preserve">This process of improving estimates of long run marginal cost was envisioned during the rule change process for distribution pricing. The Australian Energy Market Commission (AEMC) noted the </w:t>
      </w:r>
      <w:r w:rsidR="00436AB8">
        <w:t>NER</w:t>
      </w:r>
      <w:r w:rsidRPr="00E61E8B">
        <w:t xml:space="preserve"> do</w:t>
      </w:r>
      <w:r w:rsidR="00725435">
        <w:t>es</w:t>
      </w:r>
      <w:r w:rsidRPr="00E61E8B">
        <w:t xml:space="preserve"> not prescribe a particular method for estimating long run marginal costs. Rather, the </w:t>
      </w:r>
      <w:r w:rsidR="00436AB8">
        <w:t>NER</w:t>
      </w:r>
      <w:r w:rsidRPr="00E61E8B">
        <w:t xml:space="preserve"> focus</w:t>
      </w:r>
      <w:r w:rsidR="00725435">
        <w:t>es</w:t>
      </w:r>
      <w:r w:rsidRPr="00E61E8B">
        <w:t xml:space="preserve"> on providing guidance in terms of sending efficient pricing signals. This approach allows distributors to decide whether the benefits of using particular methods exceed the costs, depending on the stage of tariff r</w:t>
      </w:r>
      <w:r>
        <w:t>eform.</w:t>
      </w:r>
      <w:r>
        <w:rPr>
          <w:rStyle w:val="FootnoteReference"/>
        </w:rPr>
        <w:footnoteReference w:id="168"/>
      </w:r>
      <w:r w:rsidRPr="00E61E8B">
        <w:t xml:space="preserve"> For example, the AEMC noted the average incremental cost approach has relatively low information requirements, so distributors can implement it </w:t>
      </w:r>
      <w:r w:rsidRPr="00E61E8B">
        <w:lastRenderedPageBreak/>
        <w:t>more readily. On the other hand, it produces highly averaged estimates of long run marginal cost and so may not signal network congestion as well as other approaches. More sophisticated approaches, such as the Turvey approach, can produce long run marginal cost estimates that better signal network congestion. However, such approaches have greater information requirements and are not as easily implemented.</w:t>
      </w:r>
      <w:r>
        <w:rPr>
          <w:rStyle w:val="FootnoteReference"/>
        </w:rPr>
        <w:footnoteReference w:id="169"/>
      </w:r>
      <w:r w:rsidRPr="00E61E8B">
        <w:t xml:space="preserve">  </w:t>
      </w:r>
    </w:p>
    <w:p w:rsidR="00A75C9A" w:rsidRDefault="00A75C9A" w:rsidP="00A75C9A">
      <w:r w:rsidRPr="00E61E8B">
        <w:t>On estimation approaches under falling demand, we note NERA’s report to the AEMC also considered the average incremental cost method cannot estimate long run marginal cost</w:t>
      </w:r>
      <w:r w:rsidR="00FF0DD5">
        <w:t>s</w:t>
      </w:r>
      <w:r w:rsidRPr="00E61E8B">
        <w:t xml:space="preserve"> under such conditions.</w:t>
      </w:r>
      <w:r>
        <w:rPr>
          <w:rStyle w:val="FootnoteReference"/>
        </w:rPr>
        <w:footnoteReference w:id="170"/>
      </w:r>
      <w:r w:rsidRPr="00E61E8B">
        <w:t xml:space="preserve"> This appears to stem from the way NERA specified the calculation of long run marginal cost using this method. It involves taking the ratio of future expenditure required to serve demand (in present value terms) to the additional demand served (also in present value terms).</w:t>
      </w:r>
      <w:r>
        <w:rPr>
          <w:rStyle w:val="FootnoteReference"/>
        </w:rPr>
        <w:footnoteReference w:id="171"/>
      </w:r>
      <w:r w:rsidRPr="00E61E8B">
        <w:t xml:space="preserve"> Under this specification, NERA stated the denominator is undefined if there is decreasing demand.</w:t>
      </w:r>
      <w:r>
        <w:rPr>
          <w:rStyle w:val="FootnoteReference"/>
        </w:rPr>
        <w:footnoteReference w:id="172"/>
      </w:r>
    </w:p>
    <w:p w:rsidR="00A75C9A" w:rsidRPr="00CA0E4C" w:rsidRDefault="00A75C9A" w:rsidP="00A75C9A">
      <w:r w:rsidRPr="00CA0E4C">
        <w:t>By comparison, the Turvey approach compares the optimal expenditure required under the status quo demand condition with the optimal expenditure required under an alternative demand conditio</w:t>
      </w:r>
      <w:r>
        <w:t>n (all in present value terms).</w:t>
      </w:r>
      <w:r>
        <w:rPr>
          <w:rStyle w:val="FootnoteReference"/>
        </w:rPr>
        <w:footnoteReference w:id="173"/>
      </w:r>
      <w:r w:rsidRPr="00CA0E4C">
        <w:t xml:space="preserve"> Accordingly, NERA considered the Turvey approach can be applied where there is falling demand, as well as where there is increasing demand. If there is a demand decrement, we would expect the optimal expenditure to be lower than under the status quo, so the estimate of long</w:t>
      </w:r>
      <w:r>
        <w:t xml:space="preserve"> run marginal cost is positive.</w:t>
      </w:r>
      <w:r>
        <w:rPr>
          <w:rStyle w:val="FootnoteReference"/>
        </w:rPr>
        <w:footnoteReference w:id="174"/>
      </w:r>
    </w:p>
    <w:p w:rsidR="00A75C9A" w:rsidRPr="00CA0E4C" w:rsidRDefault="00A75C9A" w:rsidP="00A75C9A">
      <w:r w:rsidRPr="00CA0E4C">
        <w:t>We note NERA stated the following regarding th</w:t>
      </w:r>
      <w:r>
        <w:t>e estimation of avoidable cost:</w:t>
      </w:r>
      <w:r>
        <w:rPr>
          <w:rStyle w:val="FootnoteReference"/>
        </w:rPr>
        <w:footnoteReference w:id="175"/>
      </w:r>
    </w:p>
    <w:p w:rsidR="00A75C9A" w:rsidRPr="00CA0E4C" w:rsidRDefault="00A75C9A" w:rsidP="00A75C9A">
      <w:pPr>
        <w:pStyle w:val="AERquote"/>
      </w:pPr>
      <w:r w:rsidRPr="00CA0E4C">
        <w:t>To estimate the avoidable cost, a distributor should consider the forward looking costs that could be avoided if demand from the class of customers was to be reduced. Conceptually this is no different to applying the average incremental cost methodology with a decrement to demand.</w:t>
      </w:r>
    </w:p>
    <w:p w:rsidR="00A75C9A" w:rsidRPr="00CA0E4C" w:rsidRDefault="00A75C9A" w:rsidP="00A75C9A">
      <w:r w:rsidRPr="00CA0E4C">
        <w:t xml:space="preserve">This appears to be analogous to the measurement of long run marginal cost under the Turvey approach when there is a decrement in demand. It also suggests distributors may be able to adapt the average incremental cost method for situations where demand is decreasing by using a slightly different concept for the numerator (such as </w:t>
      </w:r>
      <w:r w:rsidRPr="00CA0E4C">
        <w:lastRenderedPageBreak/>
        <w:t>avoidable c</w:t>
      </w:r>
      <w:r>
        <w:t>ost due to a demand decrement).</w:t>
      </w:r>
      <w:r>
        <w:rPr>
          <w:rStyle w:val="FootnoteReference"/>
        </w:rPr>
        <w:footnoteReference w:id="176"/>
      </w:r>
      <w:r w:rsidRPr="00CA0E4C">
        <w:t xml:space="preserve"> This may be useful in cases where there is falling demand but the costs of implementing more sophisticated approaches like Turvey </w:t>
      </w:r>
      <w:r w:rsidR="00685C39">
        <w:t xml:space="preserve">are likely to </w:t>
      </w:r>
      <w:r w:rsidRPr="00CA0E4C">
        <w:t xml:space="preserve">still outweigh the benefits. </w:t>
      </w:r>
    </w:p>
    <w:p w:rsidR="00A75C9A" w:rsidRDefault="00A75C9A" w:rsidP="00A75C9A">
      <w:r w:rsidRPr="00CA0E4C">
        <w:t xml:space="preserve">In any case, the key message here is we expect distributors to refine their methods </w:t>
      </w:r>
      <w:r>
        <w:t>for</w:t>
      </w:r>
      <w:r w:rsidRPr="00CA0E4C">
        <w:t xml:space="preserve"> estimat</w:t>
      </w:r>
      <w:r>
        <w:t>ing</w:t>
      </w:r>
      <w:r w:rsidRPr="00CA0E4C">
        <w:t xml:space="preserve"> long run marginal cost in future tariff structure statements. As we noted above, we consider the way </w:t>
      </w:r>
      <w:r>
        <w:t>TasNetworks</w:t>
      </w:r>
      <w:r w:rsidRPr="00CA0E4C">
        <w:t xml:space="preserve"> used the average incremental cost approach in this first round of tariff structure statements contributes to the achievement of compliance with the distribution pricing principles. However, this may not be the case in future tariff structure statements. We would expect the estimation methods to evolve as tariff reform progresses.</w:t>
      </w:r>
    </w:p>
    <w:p w:rsidR="00A75C9A" w:rsidRDefault="00A75C9A" w:rsidP="00A75C9A">
      <w:pPr>
        <w:pStyle w:val="HeadingBoldItalic"/>
      </w:pPr>
      <w:r>
        <w:t>Definition of marginal costs</w:t>
      </w:r>
    </w:p>
    <w:p w:rsidR="00A75C9A" w:rsidRPr="00A26BE5" w:rsidRDefault="00A75C9A" w:rsidP="00A75C9A">
      <w:r w:rsidRPr="00A26BE5">
        <w:t xml:space="preserve">We encourage </w:t>
      </w:r>
      <w:r>
        <w:t xml:space="preserve">TasNetworks </w:t>
      </w:r>
      <w:r w:rsidRPr="00A26BE5">
        <w:t xml:space="preserve">to further refine </w:t>
      </w:r>
      <w:r>
        <w:t>its</w:t>
      </w:r>
      <w:r w:rsidRPr="00A26BE5">
        <w:t xml:space="preserve"> definition of marginal costs in future tariff structure statements. As we discussed in our draft decision, we consider </w:t>
      </w:r>
      <w:r>
        <w:t>TasNetworks</w:t>
      </w:r>
      <w:r w:rsidRPr="00A26BE5">
        <w:t xml:space="preserve"> should investigate including replacement capex relevant to long run network planning in their estimates of long run marginal cost.</w:t>
      </w:r>
    </w:p>
    <w:p w:rsidR="00A75C9A" w:rsidRPr="00B63441" w:rsidRDefault="00A75C9A" w:rsidP="00A75C9A">
      <w:r w:rsidRPr="00A26BE5">
        <w:t xml:space="preserve">The </w:t>
      </w:r>
      <w:r w:rsidR="00436AB8">
        <w:t>NER</w:t>
      </w:r>
      <w:r w:rsidRPr="00A26BE5">
        <w:t xml:space="preserve"> define</w:t>
      </w:r>
      <w:r w:rsidR="00725435">
        <w:t>s</w:t>
      </w:r>
      <w:r w:rsidRPr="00A26BE5">
        <w:t xml:space="preserve"> long run marginal costs as the cost of an incremental change in demand over a period of time in which all facto</w:t>
      </w:r>
      <w:r>
        <w:t>rs of production can be varied.</w:t>
      </w:r>
      <w:r>
        <w:rPr>
          <w:rStyle w:val="FootnoteReference"/>
        </w:rPr>
        <w:footnoteReference w:id="177"/>
      </w:r>
      <w:r w:rsidRPr="00A26BE5">
        <w:t xml:space="preserve"> </w:t>
      </w:r>
      <w:r w:rsidRPr="00B63441">
        <w:t xml:space="preserve">We note that in the long run, the level of capacity is variable. When assets come to the end of their useful life, distributors have a choice of maintaining their current level of capacity, increasing capacity or decreasing capacity, depending on demand and use of the network. Distributors should not adopt a default position of maintaining existing capacity levels, especially where existing networks have spare capacity and where there are changing patterns of use. </w:t>
      </w:r>
      <w:r w:rsidRPr="00A26BE5">
        <w:t>We consider long run marginal cost estimates should include replacement capital expenditure and associated operating expenditure. This promote</w:t>
      </w:r>
      <w:r w:rsidR="00725435">
        <w:t>s</w:t>
      </w:r>
      <w:r w:rsidRPr="00A26BE5">
        <w:t xml:space="preserve"> network capacity in the long run to be at a level that </w:t>
      </w:r>
      <w:r w:rsidR="00725435" w:rsidRPr="00A26BE5">
        <w:t>consumer's</w:t>
      </w:r>
      <w:r w:rsidRPr="00A26BE5">
        <w:t xml:space="preserve"> value.</w:t>
      </w:r>
      <w:r>
        <w:t xml:space="preserve"> </w:t>
      </w:r>
    </w:p>
    <w:p w:rsidR="00A75C9A" w:rsidRPr="008C154F" w:rsidRDefault="00A75C9A" w:rsidP="00A75C9A">
      <w:r>
        <w:t>In the draft decision, we noted TasNetworks intended to include f</w:t>
      </w:r>
      <w:r w:rsidRPr="007C6A31">
        <w:t xml:space="preserve">orecast replacement expenditure in the calculation </w:t>
      </w:r>
      <w:r>
        <w:t xml:space="preserve">only </w:t>
      </w:r>
      <w:r w:rsidRPr="007C6A31">
        <w:t xml:space="preserve">when </w:t>
      </w:r>
      <w:r>
        <w:t>the expenditure increased</w:t>
      </w:r>
      <w:r w:rsidRPr="007C6A31">
        <w:t xml:space="preserve"> capacity.</w:t>
      </w:r>
      <w:r>
        <w:rPr>
          <w:rStyle w:val="FootnoteReference"/>
        </w:rPr>
        <w:footnoteReference w:id="178"/>
      </w:r>
      <w:r>
        <w:t xml:space="preserve"> From the revised proposal, it does not appear that TasNetworks included replacement expenditure in calculating its long run marginal cost estimates. Rather, it included augmentation capital expenditure (and associated operating expenditure)</w:t>
      </w:r>
      <w:r w:rsidR="00B624BE">
        <w:t xml:space="preserve"> only</w:t>
      </w:r>
      <w:r>
        <w:t>.</w:t>
      </w:r>
      <w:r>
        <w:rPr>
          <w:rStyle w:val="FootnoteReference"/>
        </w:rPr>
        <w:footnoteReference w:id="179"/>
      </w:r>
      <w:r>
        <w:t xml:space="preserve"> </w:t>
      </w:r>
      <w:r w:rsidRPr="008C154F">
        <w:t>However, this reasoning overlooks the point made above that the level of network capacity (whether to increase, maintain or decrease) is not fixed in the long run.</w:t>
      </w:r>
    </w:p>
    <w:p w:rsidR="00A75C9A" w:rsidRPr="008C154F" w:rsidRDefault="00A75C9A" w:rsidP="00A75C9A">
      <w:r w:rsidRPr="008C154F">
        <w:t xml:space="preserve">The ENA agreed distributors should not maintain existing capacity levels as the default position in replacement planning decisions. However, the ENA submitted it is not </w:t>
      </w:r>
      <w:r w:rsidRPr="008C154F">
        <w:lastRenderedPageBreak/>
        <w:t xml:space="preserve">appropriate to treat all replacement capex decisions equally. There are multiple drivers and circumstances within which asset </w:t>
      </w:r>
      <w:r>
        <w:t>replacement decisions are made.</w:t>
      </w:r>
      <w:r>
        <w:rPr>
          <w:rStyle w:val="FootnoteReference"/>
        </w:rPr>
        <w:footnoteReference w:id="180"/>
      </w:r>
      <w:r w:rsidRPr="008C154F">
        <w:t xml:space="preserve"> For example, the ENA considered long run marginal cost estimates should not include replacement capex specifically requ</w:t>
      </w:r>
      <w:r>
        <w:t>ired by regulatory obligations.</w:t>
      </w:r>
      <w:r>
        <w:rPr>
          <w:rStyle w:val="FootnoteReference"/>
        </w:rPr>
        <w:footnoteReference w:id="181"/>
      </w:r>
    </w:p>
    <w:p w:rsidR="00725435" w:rsidRDefault="00A75C9A" w:rsidP="00A75C9A">
      <w:r w:rsidRPr="008C154F">
        <w:t xml:space="preserve">We agree that distributors should not include all types of replacement capex in their estimates of long run marginal cost. Long run marginal costs are forward looking costs required to meet an incremental change in demand. Certain types of regulatory obligations, such as those requiring retro-fitting of specific types of assets for safety purposes, are not forward looking. They are also not required to meet an incremental change in demand. We agree distributors should classify such capex as residual costs. </w:t>
      </w:r>
    </w:p>
    <w:p w:rsidR="00A75C9A" w:rsidRPr="008C154F" w:rsidRDefault="00A75C9A" w:rsidP="00A75C9A">
      <w:r w:rsidRPr="008C154F">
        <w:t>On the other hand, this does not mean all capex required under ‘regulatory obligations’ should automatically be part of residual costs. For example, capex required to meet reliability standards can be forward looking and can be required to meet an incremental change in demand. Such capex should be part of long run marginal costs. We would add that neither should distributors include all types of augmentation capex in these marginal cost estimates. Rather for both augmentation and replacement capex, expenditure required to meet certain regulatory obligations should be treated as residual costs, and other augmentation and replacement capex treated as marginal costs.</w:t>
      </w:r>
    </w:p>
    <w:p w:rsidR="00A75C9A" w:rsidRPr="008C154F" w:rsidRDefault="00A75C9A" w:rsidP="00A75C9A">
      <w:r w:rsidRPr="008C154F">
        <w:t>Distributors have scope to optimise other types of replacement capex with respect to expected levels of demand (and other factors). We note augmentation capex also has different triggers besides demand growth. Hence, distributors should also not include all types of augmentation capex in estimates of long run marginal cost. Where capex—whether augmentation or replacement—contribute to forward looking costs, we consider distributors should include them in estimates of long run marginal cost.</w:t>
      </w:r>
    </w:p>
    <w:p w:rsidR="00A75C9A" w:rsidRPr="00B63441" w:rsidRDefault="00A75C9A" w:rsidP="00A75C9A">
      <w:r w:rsidRPr="008C154F">
        <w:t xml:space="preserve">We encourage </w:t>
      </w:r>
      <w:r>
        <w:t>TasNetworks</w:t>
      </w:r>
      <w:r w:rsidRPr="008C154F">
        <w:t xml:space="preserve"> to review this element of </w:t>
      </w:r>
      <w:r>
        <w:t>its</w:t>
      </w:r>
      <w:r w:rsidRPr="008C154F">
        <w:t xml:space="preserve"> long run marginal cost method in the lead-up to the next round of tariff structure statements.</w:t>
      </w:r>
    </w:p>
    <w:p w:rsidR="00A75C9A" w:rsidRDefault="00A75C9A" w:rsidP="00A75C9A">
      <w:pPr>
        <w:pStyle w:val="Heading4"/>
      </w:pPr>
      <w:bookmarkStart w:id="108" w:name="_Ref477529043"/>
      <w:r>
        <w:t>Recovery of residual costs</w:t>
      </w:r>
      <w:bookmarkEnd w:id="108"/>
    </w:p>
    <w:p w:rsidR="00A75C9A" w:rsidRPr="000B0D2F" w:rsidRDefault="00A75C9A" w:rsidP="00A75C9A">
      <w:r w:rsidRPr="000B0D2F">
        <w:t>We approve TasNetworks' proposed approach to the recovery of residual costs. We are satisfied TasNetworks' approach contributes to the achievement of compliance with the distribution pricing principles</w:t>
      </w:r>
      <w:r>
        <w:t xml:space="preserve"> for this first round of tariff structure statements</w:t>
      </w:r>
      <w:r w:rsidRPr="000B0D2F">
        <w:t>.</w:t>
      </w:r>
      <w:r>
        <w:rPr>
          <w:rStyle w:val="FootnoteReference"/>
        </w:rPr>
        <w:footnoteReference w:id="182"/>
      </w:r>
    </w:p>
    <w:p w:rsidR="00A75C9A" w:rsidRDefault="00A75C9A" w:rsidP="00A75C9A">
      <w:r w:rsidRPr="000B0D2F">
        <w:t xml:space="preserve">Not all of a distributor's costs are forward looking and variable. Costs not captured by long run marginal cost estimates are called residual costs. Together, long run marginal costs and residual costs form a distributor's total costs. The distribution pricing principles require total costs be recovered in a way which minimises distortions to price </w:t>
      </w:r>
      <w:r w:rsidRPr="000B0D2F">
        <w:lastRenderedPageBreak/>
        <w:t>signals for efficient usage resulting from tariffs ref</w:t>
      </w:r>
      <w:r>
        <w:t>lecting long run marginal cost.</w:t>
      </w:r>
      <w:r>
        <w:rPr>
          <w:rStyle w:val="FootnoteReference"/>
        </w:rPr>
        <w:footnoteReference w:id="183"/>
      </w:r>
      <w:r w:rsidRPr="000B0D2F">
        <w:t xml:space="preserve"> In this context, non–distortionary tends to mean unresponsive to customer usage. That is, because customers cannot avoid the residual costs they are asked to pay, they should respond to long run marginal cost price signals about their usage. For demand tariffs, to conform to the distribution pricing principles requirements, distributors generally propose recovery of residual costs through a form of fixed charge.</w:t>
      </w:r>
    </w:p>
    <w:p w:rsidR="00A75C9A" w:rsidRPr="000B0D2F" w:rsidRDefault="00A75C9A" w:rsidP="00A75C9A">
      <w:r w:rsidRPr="000B0D2F">
        <w:t>TasNetworks provided high level information within its tariff structure statement on what its residual costs were and how they intend to recover them.</w:t>
      </w:r>
      <w:r>
        <w:t xml:space="preserve"> We noted in section </w:t>
      </w:r>
      <w:r>
        <w:fldChar w:fldCharType="begin"/>
      </w:r>
      <w:r>
        <w:instrText xml:space="preserve"> REF _Ref477355420 \r \h </w:instrText>
      </w:r>
      <w:r>
        <w:fldChar w:fldCharType="separate"/>
      </w:r>
      <w:r w:rsidR="00F52FCD">
        <w:t>19.4.7.1</w:t>
      </w:r>
      <w:r>
        <w:fldChar w:fldCharType="end"/>
      </w:r>
      <w:r>
        <w:t xml:space="preserve"> that TasNetworks </w:t>
      </w:r>
      <w:r w:rsidRPr="000B0D2F">
        <w:t>r</w:t>
      </w:r>
      <w:r>
        <w:t xml:space="preserve">ecoups revenue associated with long run marginal cost via the demand charge. </w:t>
      </w:r>
      <w:r>
        <w:fldChar w:fldCharType="begin"/>
      </w:r>
      <w:r>
        <w:instrText xml:space="preserve"> REF _Ref477355481 \h </w:instrText>
      </w:r>
      <w:r>
        <w:fldChar w:fldCharType="separate"/>
      </w:r>
      <w:r w:rsidR="00F52FCD">
        <w:t xml:space="preserve">Figure </w:t>
      </w:r>
      <w:r w:rsidR="00F52FCD">
        <w:rPr>
          <w:noProof/>
        </w:rPr>
        <w:t>19</w:t>
      </w:r>
      <w:r w:rsidR="00F52FCD">
        <w:t>.</w:t>
      </w:r>
      <w:r w:rsidR="00F52FCD">
        <w:rPr>
          <w:noProof/>
        </w:rPr>
        <w:t>2</w:t>
      </w:r>
      <w:r>
        <w:fldChar w:fldCharType="end"/>
      </w:r>
      <w:r>
        <w:t xml:space="preserve"> shows TasNetworks'</w:t>
      </w:r>
      <w:r w:rsidRPr="000B0D2F">
        <w:t xml:space="preserve"> residual costs represent the remaining costs not recovered from the forward looking long run marginal cost signal</w:t>
      </w:r>
      <w:r>
        <w:t>. That is, TasNetworks recovers residual costs from the fixed charge and usage components of its tariffs.</w:t>
      </w:r>
      <w:r>
        <w:rPr>
          <w:rStyle w:val="FootnoteReference"/>
        </w:rPr>
        <w:footnoteReference w:id="184"/>
      </w:r>
    </w:p>
    <w:p w:rsidR="00A75C9A" w:rsidRDefault="00A75C9A" w:rsidP="00A75C9A">
      <w:pPr>
        <w:pStyle w:val="Caption"/>
      </w:pPr>
      <w:bookmarkStart w:id="109" w:name="_Ref477529851"/>
      <w:bookmarkStart w:id="110" w:name="_Ref477355481"/>
      <w:r>
        <w:t xml:space="preserve">Figure </w:t>
      </w:r>
      <w:fldSimple w:instr=" STYLEREF 1 \s ">
        <w:r w:rsidR="00F52FCD">
          <w:rPr>
            <w:noProof/>
          </w:rPr>
          <w:t>19</w:t>
        </w:r>
      </w:fldSimple>
      <w:r w:rsidR="00792F99">
        <w:t>.</w:t>
      </w:r>
      <w:fldSimple w:instr=" SEQ Figure \* ARABIC \s 1 ">
        <w:r w:rsidR="00F52FCD">
          <w:rPr>
            <w:noProof/>
          </w:rPr>
          <w:t>2</w:t>
        </w:r>
      </w:fldSimple>
      <w:bookmarkEnd w:id="109"/>
      <w:bookmarkEnd w:id="110"/>
      <w:r>
        <w:tab/>
        <w:t>TasNetworks recovery of total efficient costs</w:t>
      </w:r>
    </w:p>
    <w:p w:rsidR="00A75C9A" w:rsidRPr="007D4C29" w:rsidRDefault="00A75C9A" w:rsidP="00A75C9A">
      <w:r w:rsidRPr="00A75C9A">
        <w:rPr>
          <w:noProof/>
          <w:lang w:eastAsia="en-AU"/>
        </w:rPr>
        <w:drawing>
          <wp:inline distT="0" distB="0" distL="0" distR="0" wp14:anchorId="07035DC2" wp14:editId="27309865">
            <wp:extent cx="2279650" cy="17424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9650" cy="1742440"/>
                    </a:xfrm>
                    <a:prstGeom prst="rect">
                      <a:avLst/>
                    </a:prstGeom>
                    <a:noFill/>
                    <a:ln>
                      <a:noFill/>
                    </a:ln>
                  </pic:spPr>
                </pic:pic>
              </a:graphicData>
            </a:graphic>
          </wp:inline>
        </w:drawing>
      </w:r>
    </w:p>
    <w:p w:rsidR="00A75C9A" w:rsidRDefault="00A75C9A" w:rsidP="00A75C9A">
      <w:pPr>
        <w:pStyle w:val="AERtablesource"/>
      </w:pPr>
      <w:r>
        <w:t>Source:</w:t>
      </w:r>
      <w:r>
        <w:tab/>
      </w:r>
      <w:r w:rsidRPr="009558FC">
        <w:t xml:space="preserve">TasNetworks, </w:t>
      </w:r>
      <w:r w:rsidRPr="009558FC">
        <w:rPr>
          <w:rStyle w:val="AERtextitalic"/>
        </w:rPr>
        <w:t>Tariff structure statement: Background and explanation</w:t>
      </w:r>
      <w:r w:rsidRPr="009558FC">
        <w:t>, December 2016, p. 97.</w:t>
      </w:r>
    </w:p>
    <w:p w:rsidR="00A75C9A" w:rsidRPr="000B0D2F" w:rsidRDefault="00A75C9A" w:rsidP="00A75C9A">
      <w:r w:rsidRPr="000B0D2F">
        <w:t>TasNetworks highlighted its process of determining how forward looking and residual costs are recove</w:t>
      </w:r>
      <w:r>
        <w:t>red from each tariff component.</w:t>
      </w:r>
      <w:r>
        <w:rPr>
          <w:rStyle w:val="FootnoteReference"/>
        </w:rPr>
        <w:footnoteReference w:id="185"/>
      </w:r>
      <w:r w:rsidRPr="000B0D2F">
        <w:t xml:space="preserve"> They:</w:t>
      </w:r>
    </w:p>
    <w:p w:rsidR="00A75C9A" w:rsidRPr="000B0D2F" w:rsidRDefault="00A75C9A" w:rsidP="00A75C9A">
      <w:pPr>
        <w:pStyle w:val="AERbulletlistfirststyle"/>
      </w:pPr>
      <w:r w:rsidRPr="000B0D2F">
        <w:t>determine the total efficient costs at the tariff class/tariff level</w:t>
      </w:r>
    </w:p>
    <w:p w:rsidR="00A75C9A" w:rsidRPr="000B0D2F" w:rsidRDefault="00A75C9A" w:rsidP="00A75C9A">
      <w:pPr>
        <w:pStyle w:val="AERbulletlistfirststyle"/>
      </w:pPr>
      <w:r w:rsidRPr="000B0D2F">
        <w:t>apportion its long run marginal cost to the demand charge (where a tariff has a demand charge)</w:t>
      </w:r>
    </w:p>
    <w:p w:rsidR="00A75C9A" w:rsidRPr="000B0D2F" w:rsidRDefault="00A75C9A" w:rsidP="00A75C9A">
      <w:pPr>
        <w:pStyle w:val="AERbulletlistfirststyle"/>
      </w:pPr>
      <w:r w:rsidRPr="000B0D2F">
        <w:t>determine the residual costs for each tariff</w:t>
      </w:r>
    </w:p>
    <w:p w:rsidR="00A75C9A" w:rsidRPr="000B0D2F" w:rsidRDefault="00A75C9A" w:rsidP="00A75C9A">
      <w:pPr>
        <w:pStyle w:val="AERbulletlistfirststyle"/>
      </w:pPr>
      <w:r w:rsidRPr="000B0D2F">
        <w:t xml:space="preserve">calculate the </w:t>
      </w:r>
      <w:r>
        <w:t>fixed</w:t>
      </w:r>
      <w:r w:rsidRPr="000B0D2F">
        <w:t xml:space="preserve"> charge to recover the residual costs</w:t>
      </w:r>
    </w:p>
    <w:p w:rsidR="00A75C9A" w:rsidRPr="000B0D2F" w:rsidRDefault="00A75C9A" w:rsidP="00A75C9A">
      <w:pPr>
        <w:pStyle w:val="AERbulletlistfirststyle"/>
      </w:pPr>
      <w:r w:rsidRPr="000B0D2F">
        <w:t>recover any remaining residual costs from each tariff</w:t>
      </w:r>
      <w:r w:rsidR="001F57DE">
        <w:t>'</w:t>
      </w:r>
      <w:r w:rsidRPr="000B0D2F">
        <w:t>s usage charge, where the tariff has such a charge applied.</w:t>
      </w:r>
    </w:p>
    <w:p w:rsidR="00A75C9A" w:rsidRDefault="00A75C9A" w:rsidP="00A75C9A">
      <w:r w:rsidRPr="000B0D2F">
        <w:lastRenderedPageBreak/>
        <w:t xml:space="preserve">We consider using a fixed charge to recover residual costs for demand tariffs </w:t>
      </w:r>
      <w:r w:rsidR="001230D7">
        <w:t xml:space="preserve">is </w:t>
      </w:r>
      <w:r w:rsidRPr="000B0D2F">
        <w:t xml:space="preserve">reasonable and </w:t>
      </w:r>
      <w:r w:rsidR="00215211">
        <w:t xml:space="preserve">are satisfied this </w:t>
      </w:r>
      <w:r w:rsidRPr="000B0D2F">
        <w:t>contributes to the achievement of compliance with the distribution pricing principles, in particular, clause 6.18.5(g)(3). It does not distort the price signal being provided to customers through the demand charge, and also signals to customers there is an on-going cost for customers to remain connected to the network.</w:t>
      </w:r>
    </w:p>
    <w:p w:rsidR="00A75C9A" w:rsidRPr="000B0D2F" w:rsidRDefault="00A75C9A" w:rsidP="00A75C9A">
      <w:r w:rsidRPr="00516B04">
        <w:t xml:space="preserve">We note TasNetworks has proposed to increase its </w:t>
      </w:r>
      <w:r>
        <w:t>fixed</w:t>
      </w:r>
      <w:r w:rsidRPr="00516B04">
        <w:t xml:space="preserve"> charge for all of its tariffs. </w:t>
      </w:r>
      <w:r>
        <w:t>We d</w:t>
      </w:r>
      <w:r w:rsidRPr="00516B04">
        <w:t>iscuss t</w:t>
      </w:r>
      <w:r>
        <w:t xml:space="preserve">his issue in section </w:t>
      </w:r>
      <w:r>
        <w:fldChar w:fldCharType="begin"/>
      </w:r>
      <w:r>
        <w:instrText xml:space="preserve"> REF _Ref477421176 \n \h </w:instrText>
      </w:r>
      <w:r>
        <w:fldChar w:fldCharType="separate"/>
      </w:r>
      <w:r w:rsidR="00F52FCD">
        <w:t>19.4.7.3</w:t>
      </w:r>
      <w:r>
        <w:fldChar w:fldCharType="end"/>
      </w:r>
      <w:r w:rsidRPr="00516B04">
        <w:t xml:space="preserve"> below.</w:t>
      </w:r>
    </w:p>
    <w:p w:rsidR="00A75C9A" w:rsidRDefault="00A75C9A" w:rsidP="00A75C9A">
      <w:r>
        <w:t>TasNetworks recovers the</w:t>
      </w:r>
      <w:r w:rsidRPr="000B0D2F">
        <w:t xml:space="preserve"> remaining </w:t>
      </w:r>
      <w:r>
        <w:t xml:space="preserve">residual </w:t>
      </w:r>
      <w:r w:rsidRPr="000B0D2F">
        <w:t>costs via usage charges. We consider this method of recovering fixed costs reasonable for these types of tariffs.</w:t>
      </w:r>
      <w:r>
        <w:t xml:space="preserve"> Other distributors recovered some revenue associated with long run marginal costs from usage charges with a time-of-use component. The NSW distributors, for example, converted their long run marginal cost estimates, which were in $/kW or $/kVA, into $/kW</w:t>
      </w:r>
      <w:r w:rsidR="001F57DE">
        <w:t>h</w:t>
      </w:r>
      <w:r>
        <w:t xml:space="preserve"> format. They then used these estimates as the basis for their time-of-use consumption charges.</w:t>
      </w:r>
      <w:r>
        <w:rPr>
          <w:rStyle w:val="FootnoteReference"/>
        </w:rPr>
        <w:footnoteReference w:id="186"/>
      </w:r>
    </w:p>
    <w:p w:rsidR="00A75C9A" w:rsidRDefault="00A75C9A" w:rsidP="00A75C9A">
      <w:r>
        <w:t xml:space="preserve">TasNetworks, on the other hand, recovers only residual costs from its usage charges. Hence, TasNetworks did not appear to base the usage charges of its time-of-use tariffs on its estimates of long run marginal cost. On the other hand, we consider the relative differences between its peak, shoulder and off-peak prices are sufficiently large to provide customers with the incentive to shift usage outside of times of network congestion. This is consistent with the general purpose of time-of-use pricing. </w:t>
      </w:r>
    </w:p>
    <w:p w:rsidR="00A75C9A" w:rsidRDefault="00A75C9A" w:rsidP="00A75C9A">
      <w:r>
        <w:t>Importantly, TasNetworks stated it is aiming to introduce a demand charge to all of its network tariffs in the medium to long term.</w:t>
      </w:r>
      <w:r>
        <w:rPr>
          <w:rStyle w:val="FootnoteReference"/>
        </w:rPr>
        <w:footnoteReference w:id="187"/>
      </w:r>
      <w:r>
        <w:t xml:space="preserve"> This medium to long term tariff strategy is consistent with the intention to recover long run marginal costs through demand charges, rather than time-of-use usage charges. </w:t>
      </w:r>
    </w:p>
    <w:p w:rsidR="00A75C9A" w:rsidRDefault="00A75C9A" w:rsidP="00A75C9A">
      <w:pPr>
        <w:pStyle w:val="Heading4"/>
      </w:pPr>
      <w:bookmarkStart w:id="111" w:name="_Ref477421176"/>
      <w:r>
        <w:t>Tariff re-balancing</w:t>
      </w:r>
      <w:bookmarkEnd w:id="111"/>
    </w:p>
    <w:p w:rsidR="00A75C9A" w:rsidRDefault="00A75C9A" w:rsidP="00A75C9A">
      <w:r w:rsidRPr="00935212">
        <w:t>TasNetworks proposed to rebalance its tariffs, such that there is more emphasis on the fixed charge component and less on consumption based charging, over the 201</w:t>
      </w:r>
      <w:r>
        <w:t>7–19 regulatory control period.</w:t>
      </w:r>
      <w:r>
        <w:rPr>
          <w:rStyle w:val="FootnoteReference"/>
        </w:rPr>
        <w:footnoteReference w:id="188"/>
      </w:r>
      <w:r w:rsidRPr="00935212">
        <w:t xml:space="preserve"> </w:t>
      </w:r>
      <w:r w:rsidR="008B3DDB">
        <w:t>TasNetworks considers that custom</w:t>
      </w:r>
      <w:r w:rsidR="002F3534">
        <w:t>e</w:t>
      </w:r>
      <w:r w:rsidR="008B3DDB">
        <w:t xml:space="preserve">rs will pay lower charges overall as a result of these changes. </w:t>
      </w:r>
      <w:r>
        <w:t>W</w:t>
      </w:r>
      <w:r w:rsidRPr="00935212">
        <w:t xml:space="preserve">e approve TasNetworks' proposed tariff rebalancing approach. We consider the increase in fixed charges can signal the fixed nature of network costs and therefore </w:t>
      </w:r>
      <w:r w:rsidR="009116B7">
        <w:t xml:space="preserve">we are satisfied it </w:t>
      </w:r>
      <w:r w:rsidRPr="00935212">
        <w:t>contributes to the achievement of compliance with the distribution pricing principles.</w:t>
      </w:r>
      <w:r>
        <w:t xml:space="preserve"> At the same time, we consider TasNetworks' proposed increases in fixed charges takes into account the impact on customers.</w:t>
      </w:r>
      <w:r>
        <w:rPr>
          <w:rStyle w:val="FootnoteReference"/>
        </w:rPr>
        <w:footnoteReference w:id="189"/>
      </w:r>
    </w:p>
    <w:p w:rsidR="00A75C9A" w:rsidRDefault="00A75C9A" w:rsidP="00A75C9A">
      <w:r w:rsidRPr="00D44FC5">
        <w:lastRenderedPageBreak/>
        <w:t>TasNetworks</w:t>
      </w:r>
      <w:r>
        <w:t>'</w:t>
      </w:r>
      <w:r w:rsidRPr="00D44FC5">
        <w:t xml:space="preserve"> tariff structure statement proposed to increase fixed charges for all tariffs it offers to residential, low voltage and high voltage business customers</w:t>
      </w:r>
      <w:r>
        <w:t xml:space="preserve"> (see </w:t>
      </w:r>
      <w:r w:rsidR="00541FFA">
        <w:fldChar w:fldCharType="begin"/>
      </w:r>
      <w:r w:rsidR="00541FFA">
        <w:instrText xml:space="preserve"> REF  _Ref477428490 \* Lower \h </w:instrText>
      </w:r>
      <w:r w:rsidR="00541FFA">
        <w:fldChar w:fldCharType="separate"/>
      </w:r>
      <w:r w:rsidR="00F52FCD">
        <w:t xml:space="preserve">table </w:t>
      </w:r>
      <w:r w:rsidR="00F52FCD">
        <w:rPr>
          <w:noProof/>
        </w:rPr>
        <w:t>19</w:t>
      </w:r>
      <w:r w:rsidR="00F52FCD">
        <w:t>.</w:t>
      </w:r>
      <w:r w:rsidR="00F52FCD">
        <w:rPr>
          <w:noProof/>
        </w:rPr>
        <w:t>13</w:t>
      </w:r>
      <w:r w:rsidR="00541FFA">
        <w:fldChar w:fldCharType="end"/>
      </w:r>
      <w:r>
        <w:t>)</w:t>
      </w:r>
      <w:r w:rsidRPr="00D44FC5">
        <w:t>. The move to increase cost recovery through a fixed charge is a reflection that a large portion of TasNetworks' costs are fixed, having been incurred in the past to supply business and household connections. The increase in fixed charges will be offset by the recovery of fewer costs through consumption charges (where applicable)</w:t>
      </w:r>
      <w:r w:rsidR="008B3DDB">
        <w:t xml:space="preserve"> and so TasNetworks expects that customers will be better off overall</w:t>
      </w:r>
      <w:r w:rsidRPr="00D44FC5">
        <w:t>.</w:t>
      </w:r>
    </w:p>
    <w:p w:rsidR="00A75C9A" w:rsidRPr="0050149B" w:rsidRDefault="00A75C9A" w:rsidP="00A75C9A">
      <w:pPr>
        <w:pStyle w:val="Caption"/>
      </w:pPr>
      <w:bookmarkStart w:id="112" w:name="_Ref477428490"/>
      <w:r>
        <w:t xml:space="preserve">Table </w:t>
      </w:r>
      <w:fldSimple w:instr=" STYLEREF 1 \s ">
        <w:r w:rsidR="00F52FCD">
          <w:rPr>
            <w:noProof/>
          </w:rPr>
          <w:t>19</w:t>
        </w:r>
      </w:fldSimple>
      <w:r w:rsidR="00E914FF">
        <w:t>.</w:t>
      </w:r>
      <w:fldSimple w:instr=" SEQ Table \* ARABIC \s 1 ">
        <w:r w:rsidR="00F52FCD">
          <w:rPr>
            <w:noProof/>
          </w:rPr>
          <w:t>13</w:t>
        </w:r>
      </w:fldSimple>
      <w:bookmarkEnd w:id="112"/>
      <w:r>
        <w:tab/>
        <w:t>TasNetworks' proposed annual increases in fixed charges from 2015–16 to 2018–19 (per cent)</w:t>
      </w:r>
    </w:p>
    <w:tbl>
      <w:tblPr>
        <w:tblStyle w:val="AERtable-text0"/>
        <w:tblW w:w="0" w:type="auto"/>
        <w:tblLook w:val="04A0" w:firstRow="1" w:lastRow="0" w:firstColumn="1" w:lastColumn="0" w:noHBand="0" w:noVBand="1"/>
      </w:tblPr>
      <w:tblGrid>
        <w:gridCol w:w="1526"/>
        <w:gridCol w:w="4394"/>
        <w:gridCol w:w="924"/>
        <w:gridCol w:w="924"/>
        <w:gridCol w:w="925"/>
      </w:tblGrid>
      <w:tr w:rsidR="00A75C9A" w:rsidRPr="000811BD" w:rsidTr="00506DBE">
        <w:trPr>
          <w:cnfStyle w:val="100000000000" w:firstRow="1" w:lastRow="0" w:firstColumn="0" w:lastColumn="0" w:oddVBand="0" w:evenVBand="0" w:oddHBand="0" w:evenHBand="0" w:firstRowFirstColumn="0" w:firstRowLastColumn="0" w:lastRowFirstColumn="0" w:lastRowLastColumn="0"/>
        </w:trPr>
        <w:tc>
          <w:tcPr>
            <w:tcW w:w="1526" w:type="dxa"/>
          </w:tcPr>
          <w:p w:rsidR="00A75C9A" w:rsidRPr="00A75C9A" w:rsidRDefault="00A75C9A" w:rsidP="00A75C9A">
            <w:bookmarkStart w:id="113" w:name="_Ref477356428"/>
            <w:r w:rsidRPr="000811BD">
              <w:t>Tariff class</w:t>
            </w:r>
          </w:p>
        </w:tc>
        <w:tc>
          <w:tcPr>
            <w:tcW w:w="4394" w:type="dxa"/>
          </w:tcPr>
          <w:p w:rsidR="00A75C9A" w:rsidRPr="00A75C9A" w:rsidRDefault="00A75C9A" w:rsidP="00A75C9A">
            <w:r w:rsidRPr="000811BD">
              <w:t>Tariff</w:t>
            </w:r>
          </w:p>
        </w:tc>
        <w:tc>
          <w:tcPr>
            <w:tcW w:w="924" w:type="dxa"/>
          </w:tcPr>
          <w:p w:rsidR="00A75C9A" w:rsidRPr="00A75C9A" w:rsidRDefault="00A75C9A" w:rsidP="00A75C9A">
            <w:r w:rsidRPr="000811BD">
              <w:t>2016-17</w:t>
            </w:r>
          </w:p>
        </w:tc>
        <w:tc>
          <w:tcPr>
            <w:tcW w:w="924" w:type="dxa"/>
          </w:tcPr>
          <w:p w:rsidR="00A75C9A" w:rsidRPr="00A75C9A" w:rsidRDefault="00A75C9A" w:rsidP="00A75C9A">
            <w:r w:rsidRPr="000811BD">
              <w:t>2017-18</w:t>
            </w:r>
          </w:p>
        </w:tc>
        <w:tc>
          <w:tcPr>
            <w:tcW w:w="925" w:type="dxa"/>
          </w:tcPr>
          <w:p w:rsidR="00A75C9A" w:rsidRPr="00A75C9A" w:rsidRDefault="00A75C9A" w:rsidP="00A75C9A">
            <w:r w:rsidRPr="000811BD">
              <w:t>2018-19</w:t>
            </w:r>
          </w:p>
        </w:tc>
      </w:tr>
      <w:tr w:rsidR="00A75C9A" w:rsidRPr="000811BD" w:rsidTr="00506DBE">
        <w:tc>
          <w:tcPr>
            <w:tcW w:w="1526" w:type="dxa"/>
          </w:tcPr>
          <w:p w:rsidR="00A75C9A" w:rsidRPr="00A75C9A" w:rsidRDefault="00A75C9A" w:rsidP="00A75C9A">
            <w:r w:rsidRPr="000811BD">
              <w:t>High Voltage</w:t>
            </w:r>
          </w:p>
        </w:tc>
        <w:tc>
          <w:tcPr>
            <w:tcW w:w="4394" w:type="dxa"/>
          </w:tcPr>
          <w:p w:rsidR="00A75C9A" w:rsidRPr="00A75C9A" w:rsidRDefault="00A75C9A" w:rsidP="00A75C9A">
            <w:r w:rsidRPr="000811BD">
              <w:t>Business High Voltage kVA Specified Demand (TASSDM)</w:t>
            </w:r>
          </w:p>
        </w:tc>
        <w:tc>
          <w:tcPr>
            <w:tcW w:w="924" w:type="dxa"/>
          </w:tcPr>
          <w:p w:rsidR="00A75C9A" w:rsidRPr="00A75C9A" w:rsidRDefault="00A75C9A" w:rsidP="00A75C9A">
            <w:r w:rsidRPr="000811BD">
              <w:t>20</w:t>
            </w:r>
          </w:p>
        </w:tc>
        <w:tc>
          <w:tcPr>
            <w:tcW w:w="924" w:type="dxa"/>
          </w:tcPr>
          <w:p w:rsidR="00A75C9A" w:rsidRPr="00A75C9A" w:rsidRDefault="00A75C9A" w:rsidP="00A75C9A">
            <w:r w:rsidRPr="000811BD">
              <w:t>50</w:t>
            </w:r>
          </w:p>
        </w:tc>
        <w:tc>
          <w:tcPr>
            <w:tcW w:w="925" w:type="dxa"/>
          </w:tcPr>
          <w:p w:rsidR="00A75C9A" w:rsidRPr="00A75C9A" w:rsidRDefault="00A75C9A" w:rsidP="00A75C9A">
            <w:r w:rsidRPr="000811BD">
              <w:t>14</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0811BD" w:rsidRDefault="00A75C9A" w:rsidP="00A75C9A"/>
        </w:tc>
        <w:tc>
          <w:tcPr>
            <w:tcW w:w="4394" w:type="dxa"/>
          </w:tcPr>
          <w:p w:rsidR="00A75C9A" w:rsidRPr="00A75C9A" w:rsidRDefault="00A75C9A" w:rsidP="00A75C9A">
            <w:r w:rsidRPr="000811BD">
              <w:t>Business High Voltage kVA Specified Demand &gt;2MVA (TAS15)</w:t>
            </w:r>
          </w:p>
        </w:tc>
        <w:tc>
          <w:tcPr>
            <w:tcW w:w="924" w:type="dxa"/>
          </w:tcPr>
          <w:p w:rsidR="00A75C9A" w:rsidRPr="00A75C9A" w:rsidRDefault="00A75C9A" w:rsidP="00A75C9A">
            <w:r w:rsidRPr="000811BD">
              <w:t>20</w:t>
            </w:r>
          </w:p>
        </w:tc>
        <w:tc>
          <w:tcPr>
            <w:tcW w:w="924" w:type="dxa"/>
          </w:tcPr>
          <w:p w:rsidR="00A75C9A" w:rsidRPr="00A75C9A" w:rsidRDefault="00A75C9A" w:rsidP="00A75C9A">
            <w:r w:rsidRPr="000811BD">
              <w:t>3</w:t>
            </w:r>
          </w:p>
        </w:tc>
        <w:tc>
          <w:tcPr>
            <w:tcW w:w="925" w:type="dxa"/>
          </w:tcPr>
          <w:p w:rsidR="00A75C9A" w:rsidRPr="00A75C9A" w:rsidRDefault="00A75C9A" w:rsidP="00A75C9A">
            <w:r w:rsidRPr="000811BD">
              <w:t>4</w:t>
            </w:r>
          </w:p>
        </w:tc>
      </w:tr>
      <w:tr w:rsidR="00A75C9A" w:rsidRPr="000811BD" w:rsidTr="00506DBE">
        <w:tc>
          <w:tcPr>
            <w:tcW w:w="1526" w:type="dxa"/>
          </w:tcPr>
          <w:p w:rsidR="00A75C9A" w:rsidRPr="00A75C9A" w:rsidRDefault="00A75C9A" w:rsidP="00A75C9A">
            <w:r w:rsidRPr="000811BD">
              <w:t>Irrigation</w:t>
            </w:r>
          </w:p>
        </w:tc>
        <w:tc>
          <w:tcPr>
            <w:tcW w:w="4394" w:type="dxa"/>
          </w:tcPr>
          <w:p w:rsidR="00A75C9A" w:rsidRPr="00A75C9A" w:rsidRDefault="00A75C9A" w:rsidP="00A75C9A">
            <w:r w:rsidRPr="000811BD">
              <w:t>Irrigation Low Voltage Time of Use (TAS75)</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0</w:t>
            </w:r>
          </w:p>
        </w:tc>
        <w:tc>
          <w:tcPr>
            <w:tcW w:w="925" w:type="dxa"/>
          </w:tcPr>
          <w:p w:rsidR="00A75C9A" w:rsidRPr="00A75C9A" w:rsidRDefault="00A75C9A" w:rsidP="00A75C9A">
            <w:r w:rsidRPr="000811BD">
              <w:t>3</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A75C9A" w:rsidRDefault="00A75C9A" w:rsidP="00A75C9A">
            <w:r w:rsidRPr="000811BD">
              <w:t xml:space="preserve">Large Low </w:t>
            </w:r>
            <w:r w:rsidRPr="00A75C9A">
              <w:t>Voltage</w:t>
            </w:r>
          </w:p>
        </w:tc>
        <w:tc>
          <w:tcPr>
            <w:tcW w:w="4394" w:type="dxa"/>
          </w:tcPr>
          <w:p w:rsidR="00A75C9A" w:rsidRPr="00A75C9A" w:rsidRDefault="00A75C9A" w:rsidP="00A75C9A">
            <w:r w:rsidRPr="000811BD">
              <w:t>Business Low Voltage kVA Demand (TAS82)</w:t>
            </w:r>
          </w:p>
        </w:tc>
        <w:tc>
          <w:tcPr>
            <w:tcW w:w="924" w:type="dxa"/>
          </w:tcPr>
          <w:p w:rsidR="00A75C9A" w:rsidRPr="00A75C9A" w:rsidRDefault="00A75C9A" w:rsidP="00A75C9A">
            <w:r w:rsidRPr="000811BD">
              <w:t>10</w:t>
            </w:r>
          </w:p>
        </w:tc>
        <w:tc>
          <w:tcPr>
            <w:tcW w:w="924" w:type="dxa"/>
          </w:tcPr>
          <w:p w:rsidR="00A75C9A" w:rsidRPr="00A75C9A" w:rsidRDefault="00A75C9A" w:rsidP="00A75C9A">
            <w:r w:rsidRPr="000811BD">
              <w:t>17</w:t>
            </w:r>
          </w:p>
        </w:tc>
        <w:tc>
          <w:tcPr>
            <w:tcW w:w="925" w:type="dxa"/>
          </w:tcPr>
          <w:p w:rsidR="00A75C9A" w:rsidRPr="00A75C9A" w:rsidRDefault="00A75C9A" w:rsidP="00A75C9A">
            <w:r w:rsidRPr="000811BD">
              <w:t>11</w:t>
            </w:r>
          </w:p>
        </w:tc>
      </w:tr>
      <w:tr w:rsidR="00A75C9A" w:rsidRPr="000811BD" w:rsidTr="00506DBE">
        <w:tc>
          <w:tcPr>
            <w:tcW w:w="1526" w:type="dxa"/>
          </w:tcPr>
          <w:p w:rsidR="00A75C9A" w:rsidRPr="000811BD" w:rsidRDefault="00A75C9A" w:rsidP="00A75C9A"/>
        </w:tc>
        <w:tc>
          <w:tcPr>
            <w:tcW w:w="4394" w:type="dxa"/>
          </w:tcPr>
          <w:p w:rsidR="00A75C9A" w:rsidRPr="00A75C9A" w:rsidRDefault="00A75C9A" w:rsidP="00A75C9A">
            <w:r w:rsidRPr="000811BD">
              <w:t>Large Low Voltage Commercial Time of Use Demand (TAS89)</w:t>
            </w:r>
          </w:p>
        </w:tc>
        <w:tc>
          <w:tcPr>
            <w:tcW w:w="924" w:type="dxa"/>
          </w:tcPr>
          <w:p w:rsidR="00A75C9A" w:rsidRPr="00A75C9A" w:rsidRDefault="00A75C9A" w:rsidP="00A75C9A">
            <w:r w:rsidRPr="000811BD">
              <w:t>N/A</w:t>
            </w:r>
          </w:p>
        </w:tc>
        <w:tc>
          <w:tcPr>
            <w:tcW w:w="924" w:type="dxa"/>
          </w:tcPr>
          <w:p w:rsidR="00A75C9A" w:rsidRPr="00A75C9A" w:rsidRDefault="00A75C9A" w:rsidP="00A75C9A">
            <w:r w:rsidRPr="000811BD">
              <w:t>N/A</w:t>
            </w:r>
          </w:p>
        </w:tc>
        <w:tc>
          <w:tcPr>
            <w:tcW w:w="925" w:type="dxa"/>
          </w:tcPr>
          <w:p w:rsidR="00A75C9A" w:rsidRPr="00A75C9A" w:rsidRDefault="00A75C9A" w:rsidP="00A75C9A">
            <w:r w:rsidRPr="000811BD">
              <w:t>5</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A75C9A" w:rsidRDefault="00A75C9A" w:rsidP="00A75C9A">
            <w:r w:rsidRPr="000811BD">
              <w:t>Small Low Voltage</w:t>
            </w:r>
          </w:p>
        </w:tc>
        <w:tc>
          <w:tcPr>
            <w:tcW w:w="4394" w:type="dxa"/>
          </w:tcPr>
          <w:p w:rsidR="00A75C9A" w:rsidRPr="00A75C9A" w:rsidRDefault="00A75C9A" w:rsidP="00A75C9A">
            <w:r w:rsidRPr="000811BD">
              <w:t>Low Voltage Commercial Time of Use Demand (TAS88)</w:t>
            </w:r>
          </w:p>
        </w:tc>
        <w:tc>
          <w:tcPr>
            <w:tcW w:w="924" w:type="dxa"/>
          </w:tcPr>
          <w:p w:rsidR="00A75C9A" w:rsidRPr="00A75C9A" w:rsidRDefault="00A75C9A" w:rsidP="00A75C9A">
            <w:r w:rsidRPr="000811BD">
              <w:t>N/A</w:t>
            </w:r>
          </w:p>
        </w:tc>
        <w:tc>
          <w:tcPr>
            <w:tcW w:w="924" w:type="dxa"/>
          </w:tcPr>
          <w:p w:rsidR="00A75C9A" w:rsidRPr="00A75C9A" w:rsidRDefault="00A75C9A" w:rsidP="00A75C9A">
            <w:r w:rsidRPr="000811BD">
              <w:t>N/A</w:t>
            </w:r>
          </w:p>
        </w:tc>
        <w:tc>
          <w:tcPr>
            <w:tcW w:w="925" w:type="dxa"/>
          </w:tcPr>
          <w:p w:rsidR="00A75C9A" w:rsidRPr="00A75C9A" w:rsidRDefault="00A75C9A" w:rsidP="00A75C9A">
            <w:r w:rsidRPr="000811BD">
              <w:t>11</w:t>
            </w:r>
          </w:p>
        </w:tc>
      </w:tr>
      <w:tr w:rsidR="00A75C9A" w:rsidRPr="000811BD" w:rsidTr="00506DBE">
        <w:tc>
          <w:tcPr>
            <w:tcW w:w="1526" w:type="dxa"/>
          </w:tcPr>
          <w:p w:rsidR="00A75C9A" w:rsidRPr="000811BD" w:rsidRDefault="00A75C9A" w:rsidP="00A75C9A"/>
        </w:tc>
        <w:tc>
          <w:tcPr>
            <w:tcW w:w="4394" w:type="dxa"/>
          </w:tcPr>
          <w:p w:rsidR="00A75C9A" w:rsidRPr="00A75C9A" w:rsidRDefault="00A75C9A" w:rsidP="00A75C9A">
            <w:r w:rsidRPr="000811BD">
              <w:t>Business Low Voltage General (TAS22)</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w:t>
            </w:r>
          </w:p>
        </w:tc>
        <w:tc>
          <w:tcPr>
            <w:tcW w:w="925" w:type="dxa"/>
          </w:tcPr>
          <w:p w:rsidR="00A75C9A" w:rsidRPr="00A75C9A" w:rsidRDefault="00A75C9A" w:rsidP="00A75C9A">
            <w:r w:rsidRPr="000811BD">
              <w:t>2</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0811BD" w:rsidRDefault="00A75C9A" w:rsidP="00A75C9A"/>
        </w:tc>
        <w:tc>
          <w:tcPr>
            <w:tcW w:w="4394" w:type="dxa"/>
          </w:tcPr>
          <w:p w:rsidR="00A75C9A" w:rsidRPr="00A75C9A" w:rsidRDefault="00A75C9A" w:rsidP="00A75C9A">
            <w:r w:rsidRPr="000811BD">
              <w:t>Business Low Voltage Nursing Homes (TAS34)</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w:t>
            </w:r>
          </w:p>
        </w:tc>
        <w:tc>
          <w:tcPr>
            <w:tcW w:w="925" w:type="dxa"/>
          </w:tcPr>
          <w:p w:rsidR="00A75C9A" w:rsidRPr="00A75C9A" w:rsidRDefault="00A75C9A" w:rsidP="00A75C9A">
            <w:r w:rsidRPr="000811BD">
              <w:t>2</w:t>
            </w:r>
          </w:p>
        </w:tc>
      </w:tr>
      <w:tr w:rsidR="00A75C9A" w:rsidRPr="000811BD" w:rsidTr="00506DBE">
        <w:tc>
          <w:tcPr>
            <w:tcW w:w="1526" w:type="dxa"/>
          </w:tcPr>
          <w:p w:rsidR="00A75C9A" w:rsidRPr="000811BD" w:rsidRDefault="00A75C9A" w:rsidP="00A75C9A"/>
        </w:tc>
        <w:tc>
          <w:tcPr>
            <w:tcW w:w="4394" w:type="dxa"/>
          </w:tcPr>
          <w:p w:rsidR="00A75C9A" w:rsidRPr="00A75C9A" w:rsidRDefault="00A75C9A" w:rsidP="00A75C9A">
            <w:r w:rsidRPr="000811BD">
              <w:t>General Network – Business, Curtilage (TASCURT)</w:t>
            </w:r>
          </w:p>
        </w:tc>
        <w:tc>
          <w:tcPr>
            <w:tcW w:w="924" w:type="dxa"/>
          </w:tcPr>
          <w:p w:rsidR="00A75C9A" w:rsidRPr="00A75C9A" w:rsidRDefault="00A75C9A" w:rsidP="00A75C9A">
            <w:r w:rsidRPr="000811BD">
              <w:t>15</w:t>
            </w:r>
          </w:p>
        </w:tc>
        <w:tc>
          <w:tcPr>
            <w:tcW w:w="924" w:type="dxa"/>
          </w:tcPr>
          <w:p w:rsidR="00A75C9A" w:rsidRPr="00A75C9A" w:rsidRDefault="00A75C9A" w:rsidP="00A75C9A">
            <w:r w:rsidRPr="000811BD">
              <w:t>10</w:t>
            </w:r>
          </w:p>
        </w:tc>
        <w:tc>
          <w:tcPr>
            <w:tcW w:w="925" w:type="dxa"/>
          </w:tcPr>
          <w:p w:rsidR="00A75C9A" w:rsidRPr="00A75C9A" w:rsidRDefault="00A75C9A" w:rsidP="00A75C9A">
            <w:r w:rsidRPr="000811BD">
              <w:t>7</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0811BD" w:rsidRDefault="00A75C9A" w:rsidP="00A75C9A"/>
        </w:tc>
        <w:tc>
          <w:tcPr>
            <w:tcW w:w="4394" w:type="dxa"/>
          </w:tcPr>
          <w:p w:rsidR="00A75C9A" w:rsidRPr="00A75C9A" w:rsidRDefault="00A75C9A" w:rsidP="00A75C9A">
            <w:r w:rsidRPr="000811BD">
              <w:t>Business Low Voltage Time of Use (TAS94)</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17</w:t>
            </w:r>
          </w:p>
        </w:tc>
        <w:tc>
          <w:tcPr>
            <w:tcW w:w="925" w:type="dxa"/>
          </w:tcPr>
          <w:p w:rsidR="00A75C9A" w:rsidRPr="00A75C9A" w:rsidRDefault="00A75C9A" w:rsidP="00A75C9A">
            <w:r w:rsidRPr="000811BD">
              <w:t>13</w:t>
            </w:r>
          </w:p>
        </w:tc>
      </w:tr>
      <w:tr w:rsidR="00A75C9A" w:rsidRPr="000811BD" w:rsidTr="00506DBE">
        <w:tc>
          <w:tcPr>
            <w:tcW w:w="1526" w:type="dxa"/>
          </w:tcPr>
          <w:p w:rsidR="00A75C9A" w:rsidRPr="00A75C9A" w:rsidRDefault="00A75C9A" w:rsidP="00A75C9A">
            <w:r w:rsidRPr="000811BD">
              <w:t>Residential</w:t>
            </w:r>
          </w:p>
        </w:tc>
        <w:tc>
          <w:tcPr>
            <w:tcW w:w="4394" w:type="dxa"/>
          </w:tcPr>
          <w:p w:rsidR="00A75C9A" w:rsidRPr="00A75C9A" w:rsidRDefault="00A75C9A" w:rsidP="00A75C9A">
            <w:r w:rsidRPr="000811BD">
              <w:t>Residential Time of Use Demand Tariff (TAS87)</w:t>
            </w:r>
          </w:p>
        </w:tc>
        <w:tc>
          <w:tcPr>
            <w:tcW w:w="924" w:type="dxa"/>
          </w:tcPr>
          <w:p w:rsidR="00A75C9A" w:rsidRPr="00A75C9A" w:rsidRDefault="00A75C9A" w:rsidP="00A75C9A">
            <w:r w:rsidRPr="000811BD">
              <w:t>N/A</w:t>
            </w:r>
          </w:p>
        </w:tc>
        <w:tc>
          <w:tcPr>
            <w:tcW w:w="924" w:type="dxa"/>
          </w:tcPr>
          <w:p w:rsidR="00A75C9A" w:rsidRPr="00A75C9A" w:rsidRDefault="00A75C9A" w:rsidP="00A75C9A">
            <w:r w:rsidRPr="000811BD">
              <w:t>N/A</w:t>
            </w:r>
          </w:p>
        </w:tc>
        <w:tc>
          <w:tcPr>
            <w:tcW w:w="925" w:type="dxa"/>
          </w:tcPr>
          <w:p w:rsidR="00A75C9A" w:rsidRPr="00A75C9A" w:rsidRDefault="00A75C9A" w:rsidP="00A75C9A">
            <w:r w:rsidRPr="000811BD">
              <w:t>7</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0811BD" w:rsidRDefault="00A75C9A" w:rsidP="00A75C9A"/>
        </w:tc>
        <w:tc>
          <w:tcPr>
            <w:tcW w:w="4394" w:type="dxa"/>
          </w:tcPr>
          <w:p w:rsidR="00A75C9A" w:rsidRPr="00A75C9A" w:rsidRDefault="00A75C9A" w:rsidP="00A75C9A">
            <w:r w:rsidRPr="000811BD">
              <w:t xml:space="preserve">Residential Low Voltage </w:t>
            </w:r>
            <w:r w:rsidRPr="00A75C9A">
              <w:t>General (TAS31)</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0</w:t>
            </w:r>
          </w:p>
        </w:tc>
        <w:tc>
          <w:tcPr>
            <w:tcW w:w="925" w:type="dxa"/>
          </w:tcPr>
          <w:p w:rsidR="00A75C9A" w:rsidRPr="00A75C9A" w:rsidRDefault="00A75C9A" w:rsidP="00A75C9A">
            <w:r w:rsidRPr="000811BD">
              <w:t>4</w:t>
            </w:r>
          </w:p>
        </w:tc>
      </w:tr>
      <w:tr w:rsidR="00A75C9A" w:rsidRPr="000811BD" w:rsidTr="00506DBE">
        <w:tc>
          <w:tcPr>
            <w:tcW w:w="1526" w:type="dxa"/>
          </w:tcPr>
          <w:p w:rsidR="00A75C9A" w:rsidRPr="000811BD" w:rsidRDefault="00A75C9A" w:rsidP="00A75C9A"/>
        </w:tc>
        <w:tc>
          <w:tcPr>
            <w:tcW w:w="4394" w:type="dxa"/>
          </w:tcPr>
          <w:p w:rsidR="00A75C9A" w:rsidRPr="00A75C9A" w:rsidRDefault="00A75C9A" w:rsidP="00A75C9A">
            <w:r w:rsidRPr="000811BD">
              <w:t>Residential Low Voltage PAYG (TAS101)</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0</w:t>
            </w:r>
          </w:p>
        </w:tc>
        <w:tc>
          <w:tcPr>
            <w:tcW w:w="925" w:type="dxa"/>
          </w:tcPr>
          <w:p w:rsidR="00A75C9A" w:rsidRPr="00A75C9A" w:rsidRDefault="00A75C9A" w:rsidP="00A75C9A">
            <w:r w:rsidRPr="000811BD">
              <w:t>5</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0811BD" w:rsidRDefault="00A75C9A" w:rsidP="00A75C9A"/>
        </w:tc>
        <w:tc>
          <w:tcPr>
            <w:tcW w:w="4394" w:type="dxa"/>
          </w:tcPr>
          <w:p w:rsidR="00A75C9A" w:rsidRPr="00A75C9A" w:rsidRDefault="00A75C9A" w:rsidP="00A75C9A">
            <w:r w:rsidRPr="000811BD">
              <w:t>Residential Low Voltage PAYG Time of Use (TAS92)</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12</w:t>
            </w:r>
          </w:p>
        </w:tc>
        <w:tc>
          <w:tcPr>
            <w:tcW w:w="925" w:type="dxa"/>
          </w:tcPr>
          <w:p w:rsidR="00A75C9A" w:rsidRPr="00A75C9A" w:rsidRDefault="00A75C9A" w:rsidP="00A75C9A">
            <w:r w:rsidRPr="000811BD">
              <w:t>1</w:t>
            </w:r>
          </w:p>
        </w:tc>
      </w:tr>
      <w:tr w:rsidR="00A75C9A" w:rsidRPr="000811BD" w:rsidTr="00506DBE">
        <w:tc>
          <w:tcPr>
            <w:tcW w:w="1526" w:type="dxa"/>
          </w:tcPr>
          <w:p w:rsidR="00A75C9A" w:rsidRPr="000811BD" w:rsidRDefault="00A75C9A" w:rsidP="00A75C9A"/>
        </w:tc>
        <w:tc>
          <w:tcPr>
            <w:tcW w:w="4394" w:type="dxa"/>
          </w:tcPr>
          <w:p w:rsidR="00A75C9A" w:rsidRPr="00A75C9A" w:rsidRDefault="00A75C9A" w:rsidP="00A75C9A">
            <w:r w:rsidRPr="000811BD">
              <w:t>Residential Low Voltage Time of Use (TAS93)</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12</w:t>
            </w:r>
          </w:p>
        </w:tc>
        <w:tc>
          <w:tcPr>
            <w:tcW w:w="925" w:type="dxa"/>
          </w:tcPr>
          <w:p w:rsidR="00A75C9A" w:rsidRPr="00A75C9A" w:rsidRDefault="00A75C9A" w:rsidP="00A75C9A">
            <w:r w:rsidRPr="000811BD">
              <w:t>1</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A75C9A" w:rsidRDefault="00A75C9A" w:rsidP="00A75C9A">
            <w:r w:rsidRPr="000811BD">
              <w:t>Uncontrolled Energy</w:t>
            </w:r>
          </w:p>
        </w:tc>
        <w:tc>
          <w:tcPr>
            <w:tcW w:w="4394" w:type="dxa"/>
          </w:tcPr>
          <w:p w:rsidR="00A75C9A" w:rsidRPr="00A75C9A" w:rsidRDefault="00A75C9A" w:rsidP="00A75C9A">
            <w:r w:rsidRPr="000811BD">
              <w:t>Uncontrolled Low Voltage Heating (TAS41)</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7</w:t>
            </w:r>
          </w:p>
        </w:tc>
        <w:tc>
          <w:tcPr>
            <w:tcW w:w="925" w:type="dxa"/>
          </w:tcPr>
          <w:p w:rsidR="00A75C9A" w:rsidRPr="00A75C9A" w:rsidRDefault="00A75C9A" w:rsidP="00A75C9A">
            <w:r w:rsidRPr="000811BD">
              <w:t>11</w:t>
            </w:r>
          </w:p>
        </w:tc>
      </w:tr>
      <w:tr w:rsidR="00A75C9A" w:rsidRPr="000811BD" w:rsidTr="00506DBE">
        <w:tc>
          <w:tcPr>
            <w:tcW w:w="1526" w:type="dxa"/>
          </w:tcPr>
          <w:p w:rsidR="00A75C9A" w:rsidRPr="00A75C9A" w:rsidRDefault="00A75C9A" w:rsidP="00A75C9A">
            <w:r w:rsidRPr="000811BD">
              <w:t>Controlled Energy</w:t>
            </w:r>
          </w:p>
        </w:tc>
        <w:tc>
          <w:tcPr>
            <w:tcW w:w="4394" w:type="dxa"/>
          </w:tcPr>
          <w:p w:rsidR="00A75C9A" w:rsidRPr="00A75C9A" w:rsidRDefault="00A75C9A" w:rsidP="00A75C9A">
            <w:r w:rsidRPr="000811BD">
              <w:t>Controlled Low Voltage Energy – Off Peak with afternoon boost (TAS61)</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16</w:t>
            </w:r>
          </w:p>
        </w:tc>
        <w:tc>
          <w:tcPr>
            <w:tcW w:w="925" w:type="dxa"/>
          </w:tcPr>
          <w:p w:rsidR="00A75C9A" w:rsidRPr="00A75C9A" w:rsidRDefault="00A75C9A" w:rsidP="00A75C9A">
            <w:r w:rsidRPr="000811BD">
              <w:t>4</w:t>
            </w:r>
          </w:p>
        </w:tc>
      </w:tr>
      <w:tr w:rsidR="00A75C9A" w:rsidRPr="000811BD" w:rsidTr="00506DBE">
        <w:trPr>
          <w:cnfStyle w:val="000000010000" w:firstRow="0" w:lastRow="0" w:firstColumn="0" w:lastColumn="0" w:oddVBand="0" w:evenVBand="0" w:oddHBand="0" w:evenHBand="1" w:firstRowFirstColumn="0" w:firstRowLastColumn="0" w:lastRowFirstColumn="0" w:lastRowLastColumn="0"/>
        </w:trPr>
        <w:tc>
          <w:tcPr>
            <w:tcW w:w="1526" w:type="dxa"/>
          </w:tcPr>
          <w:p w:rsidR="00A75C9A" w:rsidRPr="000811BD" w:rsidRDefault="00A75C9A" w:rsidP="00A75C9A"/>
        </w:tc>
        <w:tc>
          <w:tcPr>
            <w:tcW w:w="4394" w:type="dxa"/>
          </w:tcPr>
          <w:p w:rsidR="00A75C9A" w:rsidRPr="00A75C9A" w:rsidRDefault="00A75C9A" w:rsidP="00A75C9A">
            <w:r w:rsidRPr="000811BD">
              <w:t>Controlled Low Voltage Energy – Night period only (TAS63)</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16</w:t>
            </w:r>
          </w:p>
        </w:tc>
        <w:tc>
          <w:tcPr>
            <w:tcW w:w="925" w:type="dxa"/>
          </w:tcPr>
          <w:p w:rsidR="00A75C9A" w:rsidRPr="00A75C9A" w:rsidRDefault="00A75C9A" w:rsidP="00A75C9A">
            <w:r w:rsidRPr="000811BD">
              <w:t>4</w:t>
            </w:r>
          </w:p>
        </w:tc>
      </w:tr>
      <w:tr w:rsidR="00A75C9A" w:rsidRPr="000811BD" w:rsidTr="00506DBE">
        <w:tc>
          <w:tcPr>
            <w:tcW w:w="1526" w:type="dxa"/>
          </w:tcPr>
          <w:p w:rsidR="00A75C9A" w:rsidRPr="00A75C9A" w:rsidRDefault="00A75C9A" w:rsidP="00A75C9A">
            <w:r w:rsidRPr="000811BD">
              <w:t>Unmetered</w:t>
            </w:r>
          </w:p>
        </w:tc>
        <w:tc>
          <w:tcPr>
            <w:tcW w:w="4394" w:type="dxa"/>
          </w:tcPr>
          <w:p w:rsidR="00A75C9A" w:rsidRPr="00A75C9A" w:rsidRDefault="00A75C9A" w:rsidP="00A75C9A">
            <w:r w:rsidRPr="000811BD">
              <w:t>Unmetered Supply Low Voltage General (TASUMS)</w:t>
            </w:r>
          </w:p>
        </w:tc>
        <w:tc>
          <w:tcPr>
            <w:tcW w:w="924" w:type="dxa"/>
          </w:tcPr>
          <w:p w:rsidR="00A75C9A" w:rsidRPr="00A75C9A" w:rsidRDefault="00A75C9A" w:rsidP="00A75C9A">
            <w:r w:rsidRPr="000811BD">
              <w:t>5</w:t>
            </w:r>
          </w:p>
        </w:tc>
        <w:tc>
          <w:tcPr>
            <w:tcW w:w="924" w:type="dxa"/>
          </w:tcPr>
          <w:p w:rsidR="00A75C9A" w:rsidRPr="00A75C9A" w:rsidRDefault="00A75C9A" w:rsidP="00A75C9A">
            <w:r w:rsidRPr="000811BD">
              <w:t>1</w:t>
            </w:r>
          </w:p>
        </w:tc>
        <w:tc>
          <w:tcPr>
            <w:tcW w:w="925" w:type="dxa"/>
          </w:tcPr>
          <w:p w:rsidR="00A75C9A" w:rsidRPr="00A75C9A" w:rsidRDefault="00A75C9A" w:rsidP="00A75C9A">
            <w:r w:rsidRPr="000811BD">
              <w:t>2</w:t>
            </w:r>
          </w:p>
        </w:tc>
      </w:tr>
    </w:tbl>
    <w:p w:rsidR="00A75C9A" w:rsidRDefault="00A75C9A" w:rsidP="00A75C9A">
      <w:pPr>
        <w:pStyle w:val="AERtablesource"/>
      </w:pPr>
      <w:r>
        <w:t>Source:</w:t>
      </w:r>
      <w:r>
        <w:tab/>
      </w:r>
      <w:r w:rsidRPr="005664BC">
        <w:t xml:space="preserve">TasNetworks, </w:t>
      </w:r>
      <w:r w:rsidRPr="005664BC">
        <w:rPr>
          <w:rStyle w:val="AERtextitalic"/>
        </w:rPr>
        <w:t>AER information request: TasNetworks response to questions raised by the AER</w:t>
      </w:r>
      <w:r>
        <w:t xml:space="preserve">, May 2016, p. 13; TasNetworks, </w:t>
      </w:r>
      <w:r w:rsidRPr="005D297A">
        <w:rPr>
          <w:rStyle w:val="AERtextitalic"/>
        </w:rPr>
        <w:t>Annual distribution pricing proposal 1 July 2016 – 30 June 2017</w:t>
      </w:r>
      <w:r>
        <w:t>, June 2016, pp. 21–22.</w:t>
      </w:r>
    </w:p>
    <w:p w:rsidR="00A75C9A" w:rsidRPr="005664BC" w:rsidRDefault="00A75C9A" w:rsidP="00A75C9A">
      <w:pPr>
        <w:pStyle w:val="AERtablesource"/>
      </w:pPr>
      <w:r>
        <w:t>Note:</w:t>
      </w:r>
      <w:r>
        <w:tab/>
        <w:t>TasNetworks' proposed fixed charges did not change in its revised tariff structure statement.</w:t>
      </w:r>
    </w:p>
    <w:p w:rsidR="00A75C9A" w:rsidRDefault="00A75C9A" w:rsidP="00A75C9A">
      <w:r>
        <w:lastRenderedPageBreak/>
        <w:t xml:space="preserve">In our draft decision, </w:t>
      </w:r>
      <w:r w:rsidRPr="0050149B">
        <w:t>we observe</w:t>
      </w:r>
      <w:r>
        <w:t>d</w:t>
      </w:r>
      <w:r w:rsidRPr="0050149B">
        <w:t xml:space="preserve"> that TasNetworks</w:t>
      </w:r>
      <w:r>
        <w:t>'</w:t>
      </w:r>
      <w:r w:rsidRPr="0050149B">
        <w:t xml:space="preserve"> high voltage customers will incur substantially </w:t>
      </w:r>
      <w:r w:rsidR="007B4292">
        <w:t>larger</w:t>
      </w:r>
      <w:r w:rsidR="007B4292" w:rsidRPr="0050149B">
        <w:t xml:space="preserve"> </w:t>
      </w:r>
      <w:r w:rsidRPr="0050149B">
        <w:t>increases in fixed charges over the 2017–19 regulatory control period than other customers. We consider</w:t>
      </w:r>
      <w:r>
        <w:t>ed</w:t>
      </w:r>
      <w:r w:rsidRPr="0050149B">
        <w:t xml:space="preserve"> TasNetworks</w:t>
      </w:r>
      <w:r>
        <w:t>'</w:t>
      </w:r>
      <w:r w:rsidRPr="0050149B">
        <w:t xml:space="preserve"> </w:t>
      </w:r>
      <w:r>
        <w:t xml:space="preserve">initial </w:t>
      </w:r>
      <w:r w:rsidRPr="0050149B">
        <w:t xml:space="preserve">tariff structure statement </w:t>
      </w:r>
      <w:r>
        <w:t>did</w:t>
      </w:r>
      <w:r w:rsidRPr="0050149B">
        <w:t xml:space="preserve"> not consider the impact of the proposed </w:t>
      </w:r>
      <w:r>
        <w:t>increases</w:t>
      </w:r>
      <w:r w:rsidRPr="0050149B">
        <w:t xml:space="preserve"> in fixed charges for these high voltage business customers.</w:t>
      </w:r>
      <w:r>
        <w:t xml:space="preserve"> </w:t>
      </w:r>
      <w:r w:rsidRPr="00782AA8">
        <w:t>On this basis, we d</w:t>
      </w:r>
      <w:r>
        <w:t>id</w:t>
      </w:r>
      <w:r w:rsidRPr="00782AA8">
        <w:t xml:space="preserve"> not approve TasNetworks</w:t>
      </w:r>
      <w:r>
        <w:t>'</w:t>
      </w:r>
      <w:r w:rsidRPr="00782AA8">
        <w:t xml:space="preserve"> tariff structure statement.</w:t>
      </w:r>
      <w:r>
        <w:rPr>
          <w:rStyle w:val="FootnoteReference"/>
        </w:rPr>
        <w:footnoteReference w:id="190"/>
      </w:r>
    </w:p>
    <w:p w:rsidR="00A75C9A" w:rsidRDefault="00A75C9A" w:rsidP="00A75C9A">
      <w:r>
        <w:t>W</w:t>
      </w:r>
      <w:r w:rsidRPr="00782AA8">
        <w:t xml:space="preserve">e </w:t>
      </w:r>
      <w:r>
        <w:t xml:space="preserve">now </w:t>
      </w:r>
      <w:r w:rsidRPr="00782AA8">
        <w:t>approve TasNetworks</w:t>
      </w:r>
      <w:r>
        <w:t>'</w:t>
      </w:r>
      <w:r w:rsidRPr="00782AA8">
        <w:t xml:space="preserve"> tariff structure statement, as we consider </w:t>
      </w:r>
      <w:r>
        <w:t>it</w:t>
      </w:r>
      <w:r w:rsidRPr="00782AA8">
        <w:t xml:space="preserve"> </w:t>
      </w:r>
      <w:r>
        <w:t xml:space="preserve">contributes to compliance </w:t>
      </w:r>
      <w:r w:rsidRPr="00782AA8">
        <w:t>with the distribution pricing principles</w:t>
      </w:r>
      <w:r>
        <w:t>.</w:t>
      </w:r>
      <w:r>
        <w:rPr>
          <w:rStyle w:val="FootnoteReference"/>
        </w:rPr>
        <w:footnoteReference w:id="191"/>
      </w:r>
      <w:r>
        <w:t xml:space="preserve"> TasNetworks clarified in its revised tariff structure statement that it re-balanced the components of its high voltage tariffs such that customers pay lower overall charges on average. </w:t>
      </w:r>
    </w:p>
    <w:p w:rsidR="00A75C9A" w:rsidRDefault="00A75C9A" w:rsidP="00A75C9A">
      <w:r>
        <w:t xml:space="preserve">TasNetworks acknowledged it proposed a large increase in the fixed charge </w:t>
      </w:r>
      <w:r w:rsidRPr="00E7581A">
        <w:t>for high voltage customers</w:t>
      </w:r>
      <w:r>
        <w:t>.</w:t>
      </w:r>
      <w:r w:rsidRPr="00E7581A">
        <w:t xml:space="preserve"> </w:t>
      </w:r>
      <w:r>
        <w:t>H</w:t>
      </w:r>
      <w:r w:rsidRPr="00E7581A">
        <w:t>owever</w:t>
      </w:r>
      <w:r>
        <w:t>,</w:t>
      </w:r>
      <w:r w:rsidRPr="00E7581A">
        <w:t xml:space="preserve"> </w:t>
      </w:r>
      <w:r>
        <w:t xml:space="preserve">TasNetworks also proposed </w:t>
      </w:r>
      <w:r w:rsidRPr="00E7581A">
        <w:t>decrease</w:t>
      </w:r>
      <w:r>
        <w:t>s</w:t>
      </w:r>
      <w:r w:rsidRPr="00E7581A">
        <w:t xml:space="preserve"> in th</w:t>
      </w:r>
      <w:r>
        <w:t>e variable charge components which,</w:t>
      </w:r>
      <w:r w:rsidRPr="00E7581A">
        <w:t xml:space="preserve"> on average</w:t>
      </w:r>
      <w:r>
        <w:t>, lead to</w:t>
      </w:r>
      <w:r w:rsidRPr="00E7581A">
        <w:t xml:space="preserve"> an overall decrease in the network charge. </w:t>
      </w:r>
      <w:r>
        <w:t xml:space="preserve">TasNetworks stated the </w:t>
      </w:r>
      <w:r w:rsidRPr="00E7581A">
        <w:t>reduction in the variable charges more than offset</w:t>
      </w:r>
      <w:r>
        <w:t>s</w:t>
      </w:r>
      <w:r w:rsidRPr="00E7581A">
        <w:t xml:space="preserve"> the increase in the </w:t>
      </w:r>
      <w:r>
        <w:t>fixed</w:t>
      </w:r>
      <w:r w:rsidRPr="00E7581A">
        <w:t xml:space="preserve"> charge </w:t>
      </w:r>
      <w:r>
        <w:t>f</w:t>
      </w:r>
      <w:r w:rsidRPr="00E7581A">
        <w:t>or a typical high voltage customer.</w:t>
      </w:r>
      <w:r>
        <w:rPr>
          <w:rStyle w:val="FootnoteReference"/>
        </w:rPr>
        <w:footnoteReference w:id="192"/>
      </w:r>
    </w:p>
    <w:p w:rsidR="00A75C9A" w:rsidRDefault="00A75C9A" w:rsidP="00A75C9A">
      <w:r>
        <w:t xml:space="preserve">For example, the typical customer on the 'TASSDM' high voltage tariff would see their annual fixed charge increase from $681 to $1,025 between 2016–17 and 2017–18. On the other hand, the variable components </w:t>
      </w:r>
      <w:r w:rsidR="00506DBE">
        <w:t xml:space="preserve">charges </w:t>
      </w:r>
      <w:r>
        <w:t xml:space="preserve">decrease from $7,050 in 2016–17 to $5,700 in 2017–18. This </w:t>
      </w:r>
      <w:r w:rsidR="00506DBE">
        <w:t>is</w:t>
      </w:r>
      <w:r>
        <w:t xml:space="preserve"> a </w:t>
      </w:r>
      <w:r w:rsidR="00E3046E">
        <w:t xml:space="preserve">net </w:t>
      </w:r>
      <w:r>
        <w:t>reduction of $1,006 on the overall bill the typical customer on the TASSDM tariff pays.</w:t>
      </w:r>
      <w:r>
        <w:rPr>
          <w:rStyle w:val="FootnoteReference"/>
        </w:rPr>
        <w:footnoteReference w:id="193"/>
      </w:r>
      <w:r>
        <w:t xml:space="preserve"> A typical customer on the 'TAS15' high voltage tariff would </w:t>
      </w:r>
      <w:r w:rsidR="00506DBE">
        <w:t>incur</w:t>
      </w:r>
      <w:r>
        <w:t xml:space="preserve"> larger savings under TasNetworks' indicative price schedule. </w:t>
      </w:r>
      <w:r>
        <w:fldChar w:fldCharType="begin"/>
      </w:r>
      <w:r>
        <w:instrText xml:space="preserve"> REF _Ref477444858 \h </w:instrText>
      </w:r>
      <w:r>
        <w:fldChar w:fldCharType="separate"/>
      </w:r>
      <w:r w:rsidR="00F52FCD">
        <w:t xml:space="preserve">Figure </w:t>
      </w:r>
      <w:r w:rsidR="00F52FCD">
        <w:rPr>
          <w:noProof/>
        </w:rPr>
        <w:t>19</w:t>
      </w:r>
      <w:r w:rsidR="00F52FCD">
        <w:t>.</w:t>
      </w:r>
      <w:r w:rsidR="00F52FCD">
        <w:rPr>
          <w:noProof/>
        </w:rPr>
        <w:t>3</w:t>
      </w:r>
      <w:r>
        <w:fldChar w:fldCharType="end"/>
      </w:r>
      <w:r w:rsidR="00506DBE">
        <w:t xml:space="preserve"> shows</w:t>
      </w:r>
      <w:r>
        <w:t xml:space="preserve"> a customer would save approximately $50,000 between 2016–17 and 2017–18.</w:t>
      </w:r>
    </w:p>
    <w:p w:rsidR="00A75C9A" w:rsidRPr="00A75C9A" w:rsidRDefault="00A75C9A" w:rsidP="005F6B87">
      <w:pPr>
        <w:pStyle w:val="Caption"/>
      </w:pPr>
      <w:bookmarkStart w:id="114" w:name="_Ref477444858"/>
      <w:r>
        <w:lastRenderedPageBreak/>
        <w:t xml:space="preserve">Figure </w:t>
      </w:r>
      <w:fldSimple w:instr=" STYLEREF 1 \s ">
        <w:r w:rsidR="00F52FCD">
          <w:rPr>
            <w:noProof/>
          </w:rPr>
          <w:t>19</w:t>
        </w:r>
      </w:fldSimple>
      <w:r w:rsidR="00792F99">
        <w:t>.</w:t>
      </w:r>
      <w:fldSimple w:instr=" SEQ Figure \* ARABIC \s 1 ">
        <w:r w:rsidR="00F52FCD">
          <w:rPr>
            <w:noProof/>
          </w:rPr>
          <w:t>3</w:t>
        </w:r>
      </w:fldSimple>
      <w:bookmarkEnd w:id="114"/>
      <w:r w:rsidRPr="00A75C9A">
        <w:tab/>
        <w:t>Annual DUOS charge for a typical customer on the TASS15 high voltage tariff</w:t>
      </w:r>
    </w:p>
    <w:p w:rsidR="00A75C9A" w:rsidRDefault="00A75C9A" w:rsidP="00A75C9A">
      <w:r w:rsidRPr="00A75C9A">
        <w:rPr>
          <w:noProof/>
          <w:lang w:eastAsia="en-AU"/>
        </w:rPr>
        <w:drawing>
          <wp:inline distT="0" distB="0" distL="0" distR="0" wp14:anchorId="0E532805" wp14:editId="27330CAD">
            <wp:extent cx="4910666" cy="31335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8929" cy="3132435"/>
                    </a:xfrm>
                    <a:prstGeom prst="rect">
                      <a:avLst/>
                    </a:prstGeom>
                    <a:noFill/>
                    <a:ln>
                      <a:noFill/>
                    </a:ln>
                  </pic:spPr>
                </pic:pic>
              </a:graphicData>
            </a:graphic>
          </wp:inline>
        </w:drawing>
      </w:r>
    </w:p>
    <w:p w:rsidR="00A75C9A" w:rsidRDefault="00A75C9A" w:rsidP="00A75C9A">
      <w:pPr>
        <w:pStyle w:val="AERtablesource"/>
      </w:pPr>
      <w:r>
        <w:t>Source:</w:t>
      </w:r>
      <w:r>
        <w:tab/>
      </w:r>
      <w:r w:rsidRPr="008B13DB">
        <w:t xml:space="preserve">TasNetworks, </w:t>
      </w:r>
      <w:r w:rsidRPr="008B13DB">
        <w:rPr>
          <w:rStyle w:val="AERtextitalic"/>
        </w:rPr>
        <w:t>Tariff structure statement: Background and explanation</w:t>
      </w:r>
      <w:r>
        <w:t>, December 2016, p. 14.</w:t>
      </w:r>
    </w:p>
    <w:p w:rsidR="005201CF" w:rsidRPr="00400146" w:rsidRDefault="00A75C9A" w:rsidP="005201CF">
      <w:r>
        <w:t>TasNetworks stated it consulted further with its high voltage business customers after our draft decision. TasNetworks stated its customers</w:t>
      </w:r>
      <w:r w:rsidRPr="00DF7A09">
        <w:t xml:space="preserve"> </w:t>
      </w:r>
      <w:r>
        <w:t>understand the fixed charge is a small component of the overall network charge and support the tariff re-balancing, noting the overall forecast reduction in network charges.</w:t>
      </w:r>
      <w:r>
        <w:rPr>
          <w:rStyle w:val="FootnoteReference"/>
        </w:rPr>
        <w:footnoteReference w:id="194"/>
      </w:r>
      <w:r w:rsidR="005201CF" w:rsidRPr="005201CF">
        <w:t xml:space="preserve"> </w:t>
      </w:r>
      <w:r w:rsidR="005201CF" w:rsidRPr="00400146">
        <w:t>TasNetworks undertook further consultation with its pricing reform working group, and engaged directly with large business customers after our draft decision was released. This was to explain the proposed increase in fixed charges and their rationale. Discussions were also held with retailers to explain the tariff strategy.</w:t>
      </w:r>
      <w:r w:rsidR="005201CF" w:rsidRPr="00400146">
        <w:rPr>
          <w:rStyle w:val="AERsuperscript"/>
        </w:rPr>
        <w:footnoteReference w:id="195"/>
      </w:r>
    </w:p>
    <w:p w:rsidR="005201CF" w:rsidRPr="00400146" w:rsidRDefault="005201CF" w:rsidP="005201CF">
      <w:r w:rsidRPr="00400146">
        <w:t>Customers apparently have a better understanding of the magnitude of the fixed charges relative to their overall network bill following these updated consultations.</w:t>
      </w:r>
      <w:r w:rsidRPr="00400146">
        <w:rPr>
          <w:rStyle w:val="AERsuperscript"/>
        </w:rPr>
        <w:footnoteReference w:id="196"/>
      </w:r>
      <w:r w:rsidRPr="00400146">
        <w:t xml:space="preserve"> </w:t>
      </w:r>
    </w:p>
    <w:p w:rsidR="00A75C9A" w:rsidRDefault="00A75C9A" w:rsidP="00A75C9A">
      <w:r>
        <w:t xml:space="preserve">Nekon submitted large percentage increases in fixed charges would </w:t>
      </w:r>
      <w:r w:rsidRPr="00DA7430">
        <w:t>reduce the capacity of business to save energy costs</w:t>
      </w:r>
      <w:r>
        <w:t xml:space="preserve">. It also reduces benefits from </w:t>
      </w:r>
      <w:r w:rsidRPr="00DA7430">
        <w:t>investment</w:t>
      </w:r>
      <w:r>
        <w:t>s customers have already made</w:t>
      </w:r>
      <w:r w:rsidRPr="00DA7430">
        <w:t xml:space="preserve"> in energy saving devices.</w:t>
      </w:r>
      <w:r>
        <w:rPr>
          <w:rStyle w:val="FootnoteReference"/>
        </w:rPr>
        <w:footnoteReference w:id="197"/>
      </w:r>
      <w:r>
        <w:t xml:space="preserve"> TREA, TSBC, raised similar concerns in their submissions.</w:t>
      </w:r>
      <w:r>
        <w:rPr>
          <w:rStyle w:val="FootnoteReference"/>
        </w:rPr>
        <w:footnoteReference w:id="198"/>
      </w:r>
      <w:r>
        <w:t xml:space="preserve"> </w:t>
      </w:r>
    </w:p>
    <w:p w:rsidR="00A75C9A" w:rsidRDefault="00A75C9A" w:rsidP="00A75C9A">
      <w:r>
        <w:lastRenderedPageBreak/>
        <w:t>C</w:t>
      </w:r>
      <w:r w:rsidR="008C0C95">
        <w:t xml:space="preserve">onsumer </w:t>
      </w:r>
      <w:r w:rsidR="001C58F9">
        <w:t>C</w:t>
      </w:r>
      <w:r w:rsidR="008C0C95">
        <w:t xml:space="preserve">hallenge </w:t>
      </w:r>
      <w:r w:rsidR="001C58F9">
        <w:t>P</w:t>
      </w:r>
      <w:r w:rsidR="008C0C95">
        <w:t>anel member David Headberry</w:t>
      </w:r>
      <w:r>
        <w:t xml:space="preserve"> also raised concerns about rising fixed charges and noted the pricing principles do not stipulate what share of a tariff should be subject to a fixed charge.</w:t>
      </w:r>
      <w:r w:rsidR="008B3DDB">
        <w:rPr>
          <w:rStyle w:val="FootnoteReference"/>
        </w:rPr>
        <w:footnoteReference w:id="199"/>
      </w:r>
      <w:r>
        <w:t xml:space="preserve"> Rather, the pricing principles stipulate only that the return from a tariff in </w:t>
      </w:r>
      <w:r w:rsidRPr="008736E0">
        <w:t>aggregate must achieve revenue</w:t>
      </w:r>
      <w:r>
        <w:t>s which reflect</w:t>
      </w:r>
      <w:r w:rsidRPr="008736E0">
        <w:t xml:space="preserve"> the costs to provide the service to that class of customers</w:t>
      </w:r>
      <w:r>
        <w:t xml:space="preserve">. </w:t>
      </w:r>
      <w:r w:rsidR="008C0C95">
        <w:t>David Headberry</w:t>
      </w:r>
      <w:r>
        <w:t xml:space="preserve"> pointed out that a tariff </w:t>
      </w:r>
      <w:r w:rsidRPr="00430736">
        <w:t>can comprise varying amounts of fixed and variable elements</w:t>
      </w:r>
      <w:r>
        <w:t>; hence</w:t>
      </w:r>
      <w:r w:rsidRPr="00430736">
        <w:t xml:space="preserve"> </w:t>
      </w:r>
      <w:r>
        <w:t xml:space="preserve">distributors can allocate </w:t>
      </w:r>
      <w:r w:rsidRPr="00430736">
        <w:t>residual cost</w:t>
      </w:r>
      <w:r>
        <w:t>s</w:t>
      </w:r>
      <w:r w:rsidRPr="00430736">
        <w:t xml:space="preserve"> </w:t>
      </w:r>
      <w:r>
        <w:t>to variable elements such as usage charges</w:t>
      </w:r>
      <w:r w:rsidRPr="00430736">
        <w:t>.</w:t>
      </w:r>
      <w:r>
        <w:t xml:space="preserve"> U</w:t>
      </w:r>
      <w:r w:rsidRPr="00430736">
        <w:t>sage charge</w:t>
      </w:r>
      <w:r>
        <w:t>s</w:t>
      </w:r>
      <w:r w:rsidRPr="00430736">
        <w:t xml:space="preserve"> </w:t>
      </w:r>
      <w:r>
        <w:t>can still provide</w:t>
      </w:r>
      <w:r w:rsidRPr="00430736">
        <w:t xml:space="preserve"> appropriate signals and allows the reduction of the fixed element</w:t>
      </w:r>
      <w:r>
        <w:t>,</w:t>
      </w:r>
      <w:r w:rsidRPr="00430736">
        <w:t xml:space="preserve"> which acts to reduce the incentive to modify usage patterns.</w:t>
      </w:r>
      <w:r>
        <w:rPr>
          <w:rStyle w:val="FootnoteReference"/>
        </w:rPr>
        <w:footnoteReference w:id="200"/>
      </w:r>
      <w:r>
        <w:t xml:space="preserve"> John Herbst and Michael Powe raised similar concerns in their submissions.</w:t>
      </w:r>
      <w:r>
        <w:rPr>
          <w:rStyle w:val="FootnoteReference"/>
        </w:rPr>
        <w:footnoteReference w:id="201"/>
      </w:r>
    </w:p>
    <w:p w:rsidR="00A75C9A" w:rsidRDefault="00A75C9A" w:rsidP="00A75C9A">
      <w:r>
        <w:t xml:space="preserve">We </w:t>
      </w:r>
      <w:r w:rsidR="00FF3237">
        <w:t xml:space="preserve">are satisfied </w:t>
      </w:r>
      <w:r>
        <w:t>TasNetworks' rebalancing toward fixed charges reasonably considers the impact on customers.</w:t>
      </w:r>
      <w:r>
        <w:rPr>
          <w:rStyle w:val="FootnoteReference"/>
        </w:rPr>
        <w:footnoteReference w:id="202"/>
      </w:r>
      <w:r>
        <w:t xml:space="preserve"> </w:t>
      </w:r>
      <w:r>
        <w:fldChar w:fldCharType="begin"/>
      </w:r>
      <w:r>
        <w:instrText xml:space="preserve"> REF _Ref477428490 \h </w:instrText>
      </w:r>
      <w:r>
        <w:fldChar w:fldCharType="separate"/>
      </w:r>
      <w:r w:rsidR="00F52FCD">
        <w:t xml:space="preserve">Table </w:t>
      </w:r>
      <w:r w:rsidR="00F52FCD">
        <w:rPr>
          <w:noProof/>
        </w:rPr>
        <w:t>19</w:t>
      </w:r>
      <w:r w:rsidR="00F52FCD">
        <w:t>.</w:t>
      </w:r>
      <w:r w:rsidR="00F52FCD">
        <w:rPr>
          <w:noProof/>
        </w:rPr>
        <w:t>13</w:t>
      </w:r>
      <w:r>
        <w:fldChar w:fldCharType="end"/>
      </w:r>
      <w:r>
        <w:t xml:space="preserve"> shows the proposed annual increases in fixed charges are low for nearly all of TasNetworks' tariffs. As we discussed above, the large increases in fixed charges for high voltage customers are, on average, more than offset by reductions to the variable charges. </w:t>
      </w:r>
    </w:p>
    <w:p w:rsidR="00A75C9A" w:rsidRDefault="00A75C9A" w:rsidP="00A75C9A">
      <w:r>
        <w:t xml:space="preserve">TasNetworks allocated residual costs to both fixed charges and usage charges, including time-of-use charges (see </w:t>
      </w:r>
      <w:r w:rsidR="00792F99">
        <w:fldChar w:fldCharType="begin"/>
      </w:r>
      <w:r w:rsidR="00792F99">
        <w:instrText xml:space="preserve"> REF  _Ref477529851 \* Lower \h </w:instrText>
      </w:r>
      <w:r w:rsidR="00792F99">
        <w:fldChar w:fldCharType="separate"/>
      </w:r>
      <w:r w:rsidR="00F52FCD">
        <w:t xml:space="preserve">figure </w:t>
      </w:r>
      <w:r w:rsidR="00F52FCD">
        <w:rPr>
          <w:noProof/>
        </w:rPr>
        <w:t>19</w:t>
      </w:r>
      <w:r w:rsidR="00F52FCD">
        <w:t>.</w:t>
      </w:r>
      <w:r w:rsidR="00F52FCD">
        <w:rPr>
          <w:noProof/>
        </w:rPr>
        <w:t>2</w:t>
      </w:r>
      <w:r w:rsidR="00792F99">
        <w:fldChar w:fldCharType="end"/>
      </w:r>
      <w:r>
        <w:t xml:space="preserve">). Further, we consider TasNetworks' tariff levels for its peak, shoulder and off-peak windows provide customers with the incentive to shift usage outside of times of network congestion (see section </w:t>
      </w:r>
      <w:r>
        <w:fldChar w:fldCharType="begin"/>
      </w:r>
      <w:r>
        <w:instrText xml:space="preserve"> REF _Ref477529043 \n \h </w:instrText>
      </w:r>
      <w:r>
        <w:fldChar w:fldCharType="separate"/>
      </w:r>
      <w:r w:rsidR="00F52FCD">
        <w:t>19.4.7.2</w:t>
      </w:r>
      <w:r>
        <w:fldChar w:fldCharType="end"/>
      </w:r>
      <w:r>
        <w:t xml:space="preserve">). Consistent with the </w:t>
      </w:r>
      <w:r w:rsidR="008C0C95">
        <w:t>David Headberry</w:t>
      </w:r>
      <w:r>
        <w:t>'s submission</w:t>
      </w:r>
      <w:r w:rsidR="00086E0F">
        <w:rPr>
          <w:rStyle w:val="FootnoteReference"/>
        </w:rPr>
        <w:footnoteReference w:id="203"/>
      </w:r>
      <w:r>
        <w:t>, we consider TasNetworks' allocation of residual costs to time-of-use tariffs provide appropriate signals of network congestion. At the same time, it mitigates the amount of residual costs that TasNetworks must recover through fixed charges.</w:t>
      </w:r>
    </w:p>
    <w:p w:rsidR="00A75C9A" w:rsidRPr="00645940" w:rsidRDefault="00A75C9A" w:rsidP="00A75C9A">
      <w:r>
        <w:t>We will continue to monitor how TasNetworks, and other distributors, allocate residual costs and its impact on customers in future tariff structure statements.</w:t>
      </w:r>
    </w:p>
    <w:p w:rsidR="00A75C9A" w:rsidRPr="00645940" w:rsidRDefault="00A75C9A" w:rsidP="00A75C9A">
      <w:r w:rsidRPr="00645940">
        <w:t>TasNetworks noted the rebalancing of tariff components will be undertaken over time and is anticipated to be complete by June 2029, unless customer feedback in coming years indicates that a faster transition is p</w:t>
      </w:r>
      <w:r>
        <w:t>referable, and can be achieved.</w:t>
      </w:r>
      <w:r>
        <w:rPr>
          <w:rStyle w:val="FootnoteReference"/>
        </w:rPr>
        <w:footnoteReference w:id="204"/>
      </w:r>
      <w:r w:rsidRPr="00645940">
        <w:t xml:space="preserve"> The latter might occur if there are overall reductions in future revenues, providing headroom to rebalance tariff components without significant customer impacts.</w:t>
      </w:r>
    </w:p>
    <w:p w:rsidR="00A75C9A" w:rsidRPr="00645940" w:rsidRDefault="00A75C9A" w:rsidP="00A75C9A">
      <w:r w:rsidRPr="00645940">
        <w:t>We note that recovering a distributor</w:t>
      </w:r>
      <w:r>
        <w:t>'</w:t>
      </w:r>
      <w:r w:rsidRPr="00645940">
        <w:t xml:space="preserve">s fixed (sunk) costs can be done either by a fixed supply charge—usually charged in cents per day, or dollars per day—or by a minimum charge of some description. This charge could include for instance specifying a </w:t>
      </w:r>
      <w:r w:rsidRPr="00645940">
        <w:lastRenderedPageBreak/>
        <w:t>minimum level of demand that will be charged for the billing period, irrespective of actual customer demand over that period.</w:t>
      </w:r>
    </w:p>
    <w:p w:rsidR="00A75C9A" w:rsidRDefault="00A75C9A" w:rsidP="00A75C9A">
      <w:r w:rsidRPr="00645940">
        <w:t>TasNetworks has chosen the fixed supply charge option. This is likely due to the considerable number of customers expected to be on consumption based charges during the 2017–19 regulatory control period.</w:t>
      </w:r>
    </w:p>
    <w:p w:rsidR="00A75C9A" w:rsidRPr="00645940" w:rsidRDefault="00A75C9A" w:rsidP="00A75C9A">
      <w:r w:rsidRPr="00645940">
        <w:t>TasNetworks noted the revenue cap control mechanism applying to it permits it to recover its allowed revenue no matter the actu</w:t>
      </w:r>
      <w:r>
        <w:t>al level of energy consumption.</w:t>
      </w:r>
      <w:r>
        <w:rPr>
          <w:rStyle w:val="FootnoteReference"/>
        </w:rPr>
        <w:footnoteReference w:id="205"/>
      </w:r>
      <w:r w:rsidRPr="00645940">
        <w:t xml:space="preserve"> Differences between actual revenues and allowed revenues due to variation in actual energy delivered compared to forecast are resolved via the unders and overs account. By placing a greater reliance on fixed charges, and less on consumption based charges, bill volatility can be reduced.</w:t>
      </w:r>
    </w:p>
    <w:p w:rsidR="00A75C9A" w:rsidRPr="005664BC" w:rsidRDefault="00A75C9A" w:rsidP="00A75C9A">
      <w:r w:rsidRPr="00645940">
        <w:t>Increases in fixed charges will also remove cross subsidies from existing tariffs</w:t>
      </w:r>
      <w:r>
        <w:t xml:space="preserve">. This is consistent with </w:t>
      </w:r>
      <w:r w:rsidR="00EC4967">
        <w:t>David Headbury's</w:t>
      </w:r>
      <w:r w:rsidR="00685C39">
        <w:t xml:space="preserve"> view</w:t>
      </w:r>
      <w:r>
        <w:t xml:space="preserve"> that c</w:t>
      </w:r>
      <w:r w:rsidRPr="00DB32A3">
        <w:t>ross subsidies need to be eliminated as these distort cost reflectivity</w:t>
      </w:r>
      <w:r>
        <w:t>.</w:t>
      </w:r>
      <w:r>
        <w:rPr>
          <w:rStyle w:val="FootnoteReference"/>
        </w:rPr>
        <w:footnoteReference w:id="206"/>
      </w:r>
      <w:r w:rsidRPr="00645940">
        <w:t xml:space="preserve"> TasNetworks has lower prices embedded into certain tariffs than would occur under full cost reflectivity</w:t>
      </w:r>
      <w:r>
        <w:t>. Hence, TasNetworks</w:t>
      </w:r>
      <w:r w:rsidRPr="00645940">
        <w:t xml:space="preserve"> </w:t>
      </w:r>
      <w:r>
        <w:t xml:space="preserve">would be </w:t>
      </w:r>
      <w:r w:rsidRPr="00645940">
        <w:t>unwinding cross subsidies that apply to specific industries (like irrigators) and nursing homes. TasNetworks has other tariffs available for these customers, and noted in particular that there were relatively few nursing homes customers on the legacy tariff. Most of these customers had already switched to another tariff as they would be better off.</w:t>
      </w:r>
    </w:p>
    <w:p w:rsidR="00A75C9A" w:rsidRDefault="00A75C9A" w:rsidP="00A75C9A">
      <w:pPr>
        <w:pStyle w:val="Heading4"/>
      </w:pPr>
      <w:bookmarkStart w:id="115" w:name="_Ref477770442"/>
      <w:r>
        <w:t>Future directions</w:t>
      </w:r>
      <w:bookmarkEnd w:id="113"/>
      <w:bookmarkEnd w:id="115"/>
    </w:p>
    <w:p w:rsidR="00A75C9A" w:rsidRPr="00B32B76" w:rsidRDefault="00A75C9A" w:rsidP="00A75C9A">
      <w:r w:rsidRPr="00B32B76">
        <w:t xml:space="preserve">We encourage </w:t>
      </w:r>
      <w:r>
        <w:t>TasNetworks</w:t>
      </w:r>
      <w:r w:rsidRPr="00B32B76">
        <w:t xml:space="preserve"> to continue to refine </w:t>
      </w:r>
      <w:r>
        <w:t>its</w:t>
      </w:r>
      <w:r w:rsidRPr="00B32B76">
        <w:t xml:space="preserve"> methods for estimating long run marginal cost. We consider it is possible for </w:t>
      </w:r>
      <w:r>
        <w:t xml:space="preserve">TasNetworks, and </w:t>
      </w:r>
      <w:r w:rsidRPr="00B32B76">
        <w:t>distributors</w:t>
      </w:r>
      <w:r>
        <w:t xml:space="preserve"> in general,</w:t>
      </w:r>
      <w:r w:rsidRPr="00B32B76">
        <w:t xml:space="preserve"> to make further refinements while retaining the average incremental cost method in future tariff structure statements. Alternatively, we would also be open to distributors adopting more sophisticated estimation methods, such as the Turvey method.</w:t>
      </w:r>
    </w:p>
    <w:p w:rsidR="00A75C9A" w:rsidRPr="00B32B76" w:rsidRDefault="00A75C9A" w:rsidP="00A75C9A">
      <w:r w:rsidRPr="00B32B76">
        <w:t>We also consider distributors should have the flexibility to calculate and apply long run marginal cost in the way that best suits the characteristics of</w:t>
      </w:r>
      <w:r>
        <w:t xml:space="preserve"> their networks and customers.</w:t>
      </w:r>
      <w:r>
        <w:rPr>
          <w:rStyle w:val="FootnoteReference"/>
        </w:rPr>
        <w:footnoteReference w:id="207"/>
      </w:r>
    </w:p>
    <w:p w:rsidR="00A75C9A" w:rsidRPr="00B32B76" w:rsidRDefault="00A75C9A" w:rsidP="00A75C9A">
      <w:r w:rsidRPr="00B32B76">
        <w:t>All electricity distributors currently calculate their long run marginal cost using the average incremental cost approach. This approach estimates long run marginal cost as the average change in forward looking capital and operating expenditure resulting from an increase in demand. It is estimated by:</w:t>
      </w:r>
    </w:p>
    <w:p w:rsidR="00A75C9A" w:rsidRPr="00B32B76" w:rsidRDefault="00A75C9A" w:rsidP="00A75C9A">
      <w:pPr>
        <w:pStyle w:val="AERbulletlistfirststyle"/>
      </w:pPr>
      <w:r w:rsidRPr="00B32B76">
        <w:lastRenderedPageBreak/>
        <w:t>Initially, estimating future operating and capital costs to satisfy expected increases in demand</w:t>
      </w:r>
    </w:p>
    <w:p w:rsidR="00A75C9A" w:rsidRPr="00B32B76" w:rsidRDefault="00A75C9A" w:rsidP="00A75C9A">
      <w:pPr>
        <w:pStyle w:val="AERbulletlistfirststyle"/>
      </w:pPr>
      <w:r w:rsidRPr="00B32B76">
        <w:t>Then estimating the anticipated increase in the relevant charging parameter</w:t>
      </w:r>
    </w:p>
    <w:p w:rsidR="00A75C9A" w:rsidRPr="00B32B76" w:rsidRDefault="00A75C9A" w:rsidP="00A75C9A">
      <w:pPr>
        <w:pStyle w:val="AERbulletlistfirststyle"/>
      </w:pPr>
      <w:r w:rsidRPr="00B32B76">
        <w:t>Finally, dividing the present value of future costs by the present value of the charging parameter over the time horizon chosen.</w:t>
      </w:r>
    </w:p>
    <w:p w:rsidR="00A75C9A" w:rsidRPr="00B32B76" w:rsidRDefault="00A75C9A" w:rsidP="00A75C9A">
      <w:r w:rsidRPr="00B32B76">
        <w:t>The Energy Networks Association submitted the average incremental cost approach is incapable of estimating how the long run marginal cost might change where consumption or demand is falling in parts of the network.</w:t>
      </w:r>
      <w:r>
        <w:rPr>
          <w:rStyle w:val="FootnoteReference"/>
        </w:rPr>
        <w:footnoteReference w:id="208"/>
      </w:r>
      <w:r>
        <w:t xml:space="preserve"> As we discussed in the sub-section, 'Average incremental cost approach', t</w:t>
      </w:r>
      <w:r w:rsidRPr="00B32B76">
        <w:t xml:space="preserve">his appears to stem from the standard specification of the average incremental cost function. </w:t>
      </w:r>
    </w:p>
    <w:p w:rsidR="00A75C9A" w:rsidRPr="00B32B76" w:rsidRDefault="00A75C9A" w:rsidP="00A75C9A">
      <w:r w:rsidRPr="00B32B76">
        <w:t>We suggest distributors explore adapting the average incremental cost approach for situations where demand is decreasing</w:t>
      </w:r>
      <w:r>
        <w:t xml:space="preserve"> (see the 'Average incremental cost approach' sub-section)</w:t>
      </w:r>
      <w:r w:rsidRPr="00B32B76">
        <w:t>. Alternatively, distributors may consider adopting more advanced methods, if they consid</w:t>
      </w:r>
      <w:r>
        <w:t>er it is appropriate to do so.</w:t>
      </w:r>
      <w:r>
        <w:rPr>
          <w:rStyle w:val="FootnoteReference"/>
        </w:rPr>
        <w:footnoteReference w:id="209"/>
      </w:r>
    </w:p>
    <w:p w:rsidR="00A75C9A" w:rsidRPr="00B32B76" w:rsidRDefault="00A75C9A" w:rsidP="00A75C9A">
      <w:r w:rsidRPr="00B32B76">
        <w:t>In addition to refining the specification of the method for estimating long run marginal cost, we encourage distributors to continue refining the way they apply these methods. We expect distributors to utilise inputs that better represent long run marginal cost. In particular we consider long run marginal cost estimates should incorporate certain types of replacement capital expenditure, and associated operating expenditure, in addition to augmentation expenditure (and associated operating expenditure).</w:t>
      </w:r>
      <w:r>
        <w:t xml:space="preserve"> We discussed this in detail in the 'Average incremental cost approach' sub-section.</w:t>
      </w:r>
    </w:p>
    <w:p w:rsidR="00B61C42" w:rsidRDefault="000040FB" w:rsidP="00B61C42">
      <w:r>
        <w:t>TasNetworks acknowledged introducing seasonality to its demand tariffs would increase cost reflectivity. TasNetworks suggested it may do so by charging higher rates in winter, which reflects the winter peaking nature of its network (</w:t>
      </w:r>
      <w:r w:rsidR="00164744">
        <w:t xml:space="preserve">see </w:t>
      </w:r>
      <w:r w:rsidR="00164744">
        <w:fldChar w:fldCharType="begin"/>
      </w:r>
      <w:r w:rsidR="00164744">
        <w:instrText xml:space="preserve"> REF _Ref477870729 \h </w:instrText>
      </w:r>
      <w:r w:rsidR="00164744">
        <w:fldChar w:fldCharType="separate"/>
      </w:r>
      <w:r w:rsidR="00F52FCD">
        <w:t xml:space="preserve">Figure </w:t>
      </w:r>
      <w:r w:rsidR="00F52FCD">
        <w:rPr>
          <w:noProof/>
        </w:rPr>
        <w:t>19</w:t>
      </w:r>
      <w:r w:rsidR="00F52FCD">
        <w:t>.</w:t>
      </w:r>
      <w:r w:rsidR="00F52FCD">
        <w:rPr>
          <w:noProof/>
        </w:rPr>
        <w:t>7</w:t>
      </w:r>
      <w:r w:rsidR="00164744">
        <w:fldChar w:fldCharType="end"/>
      </w:r>
      <w:r w:rsidR="00164744">
        <w:t>)</w:t>
      </w:r>
      <w:r>
        <w:t xml:space="preserve"> TasNetworks elected not to introduce such higher rates in this round of tariff structure statements to mitigate the impact on customers.</w:t>
      </w:r>
      <w:r>
        <w:rPr>
          <w:rStyle w:val="FootnoteReference"/>
        </w:rPr>
        <w:footnoteReference w:id="210"/>
      </w:r>
      <w:r>
        <w:t xml:space="preserve"> We encourage TasNetworks to explore options to introduce seasonality to its tariffs in future tariff structure statements.</w:t>
      </w:r>
      <w:r w:rsidR="0017364F">
        <w:t xml:space="preserve"> We also discuss seasonality in the context of charging windows in section </w:t>
      </w:r>
      <w:r w:rsidR="0017364F">
        <w:fldChar w:fldCharType="begin"/>
      </w:r>
      <w:r w:rsidR="0017364F">
        <w:instrText xml:space="preserve"> REF _Ref477279880 \n \h </w:instrText>
      </w:r>
      <w:r w:rsidR="0017364F">
        <w:fldChar w:fldCharType="separate"/>
      </w:r>
      <w:r w:rsidR="00F52FCD">
        <w:t>19.4.8</w:t>
      </w:r>
      <w:r w:rsidR="0017364F">
        <w:fldChar w:fldCharType="end"/>
      </w:r>
      <w:r w:rsidR="0017364F">
        <w:t>.</w:t>
      </w:r>
    </w:p>
    <w:p w:rsidR="00B61C42" w:rsidRDefault="00B61C42" w:rsidP="00B61C42">
      <w:pPr>
        <w:pStyle w:val="Heading3"/>
      </w:pPr>
      <w:bookmarkStart w:id="116" w:name="_Ref477279880"/>
      <w:bookmarkStart w:id="117" w:name="_Toc481061358"/>
      <w:r>
        <w:t>Charging windows</w:t>
      </w:r>
      <w:bookmarkEnd w:id="116"/>
      <w:bookmarkEnd w:id="117"/>
    </w:p>
    <w:p w:rsidR="00316009" w:rsidRPr="007F3368" w:rsidRDefault="00316009" w:rsidP="00316009">
      <w:r w:rsidRPr="007F3368">
        <w:t>In setting out tariffs, a distributor has to determine over what periods it will charge customers. This includes determining if there should be peak period, shoulder period or off peak period charges, or if charges should vary by season (summer</w:t>
      </w:r>
      <w:r>
        <w:t>, winter</w:t>
      </w:r>
      <w:r w:rsidRPr="007F3368">
        <w:t xml:space="preserve"> and</w:t>
      </w:r>
      <w:r>
        <w:t>/or</w:t>
      </w:r>
      <w:r w:rsidRPr="007F3368">
        <w:t xml:space="preserve"> </w:t>
      </w:r>
      <w:r>
        <w:t>other</w:t>
      </w:r>
      <w:r w:rsidRPr="007F3368">
        <w:t>). We refer to these here as 'charging windows'.</w:t>
      </w:r>
    </w:p>
    <w:p w:rsidR="00316009" w:rsidRPr="007F3368" w:rsidRDefault="00316009" w:rsidP="00316009">
      <w:r>
        <w:lastRenderedPageBreak/>
        <w:t>C</w:t>
      </w:r>
      <w:r w:rsidRPr="007F3368">
        <w:t>harging windows will have a bearing on how customers use the network through their response to prices and their network (and final retail) bills.</w:t>
      </w:r>
    </w:p>
    <w:p w:rsidR="00316009" w:rsidRDefault="00316009" w:rsidP="00316009">
      <w:r w:rsidRPr="007F3368">
        <w:t>We are satisfied TasNetworks' proposed charging windows contribute towards the achievement of compliance with the distribution pricing principles</w:t>
      </w:r>
      <w:r>
        <w:t xml:space="preserve"> for this first round of tariff structure statements</w:t>
      </w:r>
      <w:r w:rsidRPr="007F3368">
        <w:t xml:space="preserve">. With regard to the new </w:t>
      </w:r>
      <w:r>
        <w:t xml:space="preserve">time of use </w:t>
      </w:r>
      <w:r w:rsidRPr="007F3368">
        <w:t>demand tariffs, the charging windows reflect times of overall network stress and incorporate times either side of the peak which aid in avoiding issues surrounding customers shifting load and creating new peaks.</w:t>
      </w:r>
      <w:r>
        <w:rPr>
          <w:rStyle w:val="FootnoteReference"/>
        </w:rPr>
        <w:footnoteReference w:id="211"/>
      </w:r>
    </w:p>
    <w:p w:rsidR="00316009" w:rsidRDefault="00316009" w:rsidP="00316009">
      <w:r>
        <w:fldChar w:fldCharType="begin"/>
      </w:r>
      <w:r>
        <w:instrText xml:space="preserve"> REF _Ref478569246 \h </w:instrText>
      </w:r>
      <w:r>
        <w:fldChar w:fldCharType="separate"/>
      </w:r>
      <w:r w:rsidR="00F52FCD">
        <w:t xml:space="preserve">Table </w:t>
      </w:r>
      <w:r w:rsidR="00F52FCD">
        <w:rPr>
          <w:noProof/>
        </w:rPr>
        <w:t>19</w:t>
      </w:r>
      <w:r w:rsidR="00F52FCD">
        <w:t>.</w:t>
      </w:r>
      <w:r w:rsidR="00F52FCD">
        <w:rPr>
          <w:noProof/>
        </w:rPr>
        <w:t>14</w:t>
      </w:r>
      <w:r>
        <w:fldChar w:fldCharType="end"/>
      </w:r>
      <w:r>
        <w:t xml:space="preserve"> summarises TasNetworks' proposed charging windows. </w:t>
      </w:r>
      <w:r w:rsidRPr="002A418B">
        <w:t xml:space="preserve">TasNetworks proposed to introduce three </w:t>
      </w:r>
      <w:r>
        <w:t xml:space="preserve">new </w:t>
      </w:r>
      <w:r w:rsidRPr="002A418B">
        <w:t>time of use demand tariffs: TAS89 (for large low voltage customers), TAS88 (for small low voltage customers) and TAS87 (for residential customers).</w:t>
      </w:r>
    </w:p>
    <w:p w:rsidR="00316009" w:rsidRPr="00316009" w:rsidRDefault="00316009" w:rsidP="00541FFA">
      <w:pPr>
        <w:pStyle w:val="Caption"/>
      </w:pPr>
      <w:bookmarkStart w:id="118" w:name="_Ref478569246"/>
      <w:r>
        <w:t xml:space="preserve">Table </w:t>
      </w:r>
      <w:fldSimple w:instr=" STYLEREF 1 \s ">
        <w:r w:rsidR="00F52FCD">
          <w:rPr>
            <w:noProof/>
          </w:rPr>
          <w:t>19</w:t>
        </w:r>
      </w:fldSimple>
      <w:r w:rsidR="00E914FF">
        <w:t>.</w:t>
      </w:r>
      <w:fldSimple w:instr=" SEQ Table \* ARABIC \s 1 ">
        <w:r w:rsidR="00F52FCD">
          <w:rPr>
            <w:noProof/>
          </w:rPr>
          <w:t>14</w:t>
        </w:r>
      </w:fldSimple>
      <w:bookmarkEnd w:id="118"/>
      <w:r w:rsidRPr="00316009">
        <w:tab/>
        <w:t>TasNetworks charging windows</w:t>
      </w:r>
    </w:p>
    <w:p w:rsidR="00316009" w:rsidRDefault="00316009" w:rsidP="00316009">
      <w:r w:rsidRPr="002334F5">
        <w:rPr>
          <w:noProof/>
          <w:lang w:eastAsia="en-AU"/>
        </w:rPr>
        <w:drawing>
          <wp:inline distT="0" distB="0" distL="0" distR="0" wp14:anchorId="5DCA2E07" wp14:editId="3054B4A9">
            <wp:extent cx="5382895" cy="2793225"/>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895" cy="2793225"/>
                    </a:xfrm>
                    <a:prstGeom prst="rect">
                      <a:avLst/>
                    </a:prstGeom>
                    <a:noFill/>
                    <a:ln>
                      <a:noFill/>
                    </a:ln>
                  </pic:spPr>
                </pic:pic>
              </a:graphicData>
            </a:graphic>
          </wp:inline>
        </w:drawing>
      </w:r>
    </w:p>
    <w:p w:rsidR="00316009" w:rsidRPr="00692DA2" w:rsidRDefault="00316009" w:rsidP="00692DA2">
      <w:pPr>
        <w:pStyle w:val="AERtablesource"/>
        <w:rPr>
          <w:i/>
        </w:rPr>
      </w:pPr>
      <w:r>
        <w:t>Source:</w:t>
      </w:r>
      <w:r>
        <w:tab/>
      </w:r>
      <w:r w:rsidRPr="00316009">
        <w:t>TasNetworks,</w:t>
      </w:r>
      <w:r w:rsidR="00692DA2" w:rsidRPr="00316009">
        <w:t xml:space="preserve"> </w:t>
      </w:r>
      <w:r w:rsidR="00692DA2" w:rsidRPr="00316009">
        <w:rPr>
          <w:rStyle w:val="AERtextitalic"/>
        </w:rPr>
        <w:t xml:space="preserve">Tariff structure statement: </w:t>
      </w:r>
      <w:r w:rsidR="00692DA2">
        <w:rPr>
          <w:rStyle w:val="AERtextitalic"/>
        </w:rPr>
        <w:t>Formal statement:</w:t>
      </w:r>
      <w:r w:rsidR="00692DA2" w:rsidRPr="00692DA2">
        <w:t xml:space="preserve"> </w:t>
      </w:r>
      <w:r w:rsidR="00692DA2">
        <w:rPr>
          <w:rStyle w:val="AERtextitalic"/>
        </w:rPr>
        <w:t xml:space="preserve">Regulatory control period </w:t>
      </w:r>
      <w:r w:rsidR="00692DA2" w:rsidRPr="00692DA2">
        <w:rPr>
          <w:rStyle w:val="AERtextitalic"/>
        </w:rPr>
        <w:t>1 July 2017 to 30 June 2019</w:t>
      </w:r>
      <w:r w:rsidR="00692DA2">
        <w:rPr>
          <w:rStyle w:val="AERtextitalic"/>
        </w:rPr>
        <w:t xml:space="preserve">: AER amended: PUBLIC Appendix C: </w:t>
      </w:r>
      <w:r w:rsidR="00692DA2" w:rsidRPr="00692DA2">
        <w:rPr>
          <w:rStyle w:val="AERtextitalic"/>
        </w:rPr>
        <w:t xml:space="preserve">Network </w:t>
      </w:r>
      <w:r w:rsidR="00692DA2">
        <w:rPr>
          <w:rStyle w:val="AERtextitalic"/>
        </w:rPr>
        <w:t>t</w:t>
      </w:r>
      <w:r w:rsidR="00692DA2" w:rsidRPr="00692DA2">
        <w:rPr>
          <w:rStyle w:val="AERtextitalic"/>
        </w:rPr>
        <w:t>ariff</w:t>
      </w:r>
      <w:r w:rsidR="00692DA2">
        <w:rPr>
          <w:rStyle w:val="AERtextitalic"/>
        </w:rPr>
        <w:t xml:space="preserve"> application and price guide </w:t>
      </w:r>
      <w:r w:rsidR="00692DA2" w:rsidRPr="00692DA2">
        <w:rPr>
          <w:rStyle w:val="AERtextitalic"/>
        </w:rPr>
        <w:t>2017-18 and 2018-19</w:t>
      </w:r>
      <w:r w:rsidR="00692DA2" w:rsidRPr="00316009">
        <w:t>, 2</w:t>
      </w:r>
      <w:r w:rsidR="00692DA2">
        <w:t>1</w:t>
      </w:r>
      <w:r w:rsidR="00692DA2" w:rsidRPr="00316009">
        <w:t xml:space="preserve"> </w:t>
      </w:r>
      <w:r w:rsidR="00692DA2">
        <w:t>April 2017</w:t>
      </w:r>
      <w:r w:rsidR="00692DA2" w:rsidRPr="00316009">
        <w:t xml:space="preserve">, </w:t>
      </w:r>
      <w:r w:rsidR="00692DA2">
        <w:t>pp. 19–50.</w:t>
      </w:r>
    </w:p>
    <w:p w:rsidR="00316009" w:rsidRDefault="00316009" w:rsidP="00541FFA">
      <w:pPr>
        <w:pStyle w:val="AERtablesource"/>
      </w:pPr>
      <w:r>
        <w:t>Note:</w:t>
      </w:r>
      <w:r>
        <w:tab/>
      </w:r>
      <w:r w:rsidRPr="00316009">
        <w:t>The charging windows for the new time of use demand tariffs apply to the demand charge. For all other tariffs, the charging windows apply to the consumption charge (and not the demand charge, if present).</w:t>
      </w:r>
    </w:p>
    <w:p w:rsidR="00316009" w:rsidRDefault="00316009" w:rsidP="00316009">
      <w:pPr>
        <w:pStyle w:val="Heading4"/>
      </w:pPr>
      <w:r>
        <w:t>Residential customers</w:t>
      </w:r>
    </w:p>
    <w:p w:rsidR="00316009" w:rsidRPr="007F3368" w:rsidRDefault="00316009" w:rsidP="00316009">
      <w:r w:rsidRPr="007F3368">
        <w:t xml:space="preserve">TasNetworks' tariff structure statement will align the charging windows for its residential time of use consumption tariffs and the new residential time of use demand </w:t>
      </w:r>
      <w:r>
        <w:lastRenderedPageBreak/>
        <w:t>tariff.</w:t>
      </w:r>
      <w:r>
        <w:rPr>
          <w:rStyle w:val="FootnoteReference"/>
        </w:rPr>
        <w:footnoteReference w:id="212"/>
      </w:r>
      <w:r w:rsidRPr="007F3368">
        <w:t xml:space="preserve"> In terms of design, TasNetworks decided to only distinguish between peak and off peak periods and determine charges accordingly. It noted this simplicity in charging was to ensure customers can readily understand the tariffs. </w:t>
      </w:r>
      <w:r>
        <w:t>TasNetworks introduced t</w:t>
      </w:r>
      <w:r w:rsidRPr="007F3368">
        <w:t xml:space="preserve">his charging structure </w:t>
      </w:r>
      <w:r>
        <w:t>in response to feedback from the</w:t>
      </w:r>
      <w:r w:rsidRPr="007F3368">
        <w:t xml:space="preserve"> TasNetworks Tariff Reform Working Group.</w:t>
      </w:r>
      <w:r>
        <w:rPr>
          <w:rStyle w:val="FootnoteReference"/>
        </w:rPr>
        <w:footnoteReference w:id="213"/>
      </w:r>
      <w:r w:rsidRPr="007F3368">
        <w:t xml:space="preserve">  </w:t>
      </w:r>
    </w:p>
    <w:p w:rsidR="00316009" w:rsidRPr="00C8051E" w:rsidRDefault="00316009" w:rsidP="00316009">
      <w:r w:rsidRPr="007F3368">
        <w:t xml:space="preserve">As </w:t>
      </w:r>
      <w:r w:rsidR="00792F99">
        <w:fldChar w:fldCharType="begin"/>
      </w:r>
      <w:r w:rsidR="00792F99">
        <w:instrText xml:space="preserve"> REF  _Ref479010052 \* Lower \h </w:instrText>
      </w:r>
      <w:r w:rsidR="00792F99">
        <w:fldChar w:fldCharType="separate"/>
      </w:r>
      <w:r w:rsidR="00F52FCD">
        <w:t xml:space="preserve">figure </w:t>
      </w:r>
      <w:r w:rsidR="00F52FCD">
        <w:rPr>
          <w:noProof/>
        </w:rPr>
        <w:t>19</w:t>
      </w:r>
      <w:r w:rsidR="00F52FCD">
        <w:t>.</w:t>
      </w:r>
      <w:r w:rsidR="00F52FCD">
        <w:rPr>
          <w:noProof/>
        </w:rPr>
        <w:t>4</w:t>
      </w:r>
      <w:r w:rsidR="00792F99">
        <w:fldChar w:fldCharType="end"/>
      </w:r>
      <w:r w:rsidR="00792F99">
        <w:t xml:space="preserve"> </w:t>
      </w:r>
      <w:r>
        <w:t>shows</w:t>
      </w:r>
      <w:r w:rsidRPr="007F3368">
        <w:t>, TasNetworks' load profile is a winter peaking network where peaks occur twice during the day—early morning and late after</w:t>
      </w:r>
      <w:r>
        <w:t>noon/early evening on weekdays.</w:t>
      </w:r>
      <w:r>
        <w:rPr>
          <w:rStyle w:val="FootnoteReference"/>
        </w:rPr>
        <w:footnoteReference w:id="214"/>
      </w:r>
      <w:r w:rsidRPr="007F3368">
        <w:t xml:space="preserve"> This load profile is </w:t>
      </w:r>
      <w:r>
        <w:t xml:space="preserve">particularly </w:t>
      </w:r>
      <w:r w:rsidRPr="007F3368">
        <w:t>prominent for residential customers.</w:t>
      </w:r>
      <w:r>
        <w:rPr>
          <w:rStyle w:val="FootnoteReference"/>
        </w:rPr>
        <w:footnoteReference w:id="215"/>
      </w:r>
      <w:r w:rsidRPr="007F3368">
        <w:t xml:space="preserve"> TasNetworks has a winter peaking network and therefore it has proposed morning</w:t>
      </w:r>
      <w:r>
        <w:t xml:space="preserve"> and evening </w:t>
      </w:r>
      <w:r w:rsidRPr="007F3368">
        <w:t>peak</w:t>
      </w:r>
      <w:r>
        <w:t xml:space="preserve"> windows</w:t>
      </w:r>
      <w:r w:rsidRPr="007F3368">
        <w:t>.</w:t>
      </w:r>
    </w:p>
    <w:p w:rsidR="00792F99" w:rsidRPr="00792F99" w:rsidRDefault="00792F99" w:rsidP="00792F99">
      <w:pPr>
        <w:pStyle w:val="Caption"/>
      </w:pPr>
      <w:bookmarkStart w:id="119" w:name="_Ref479010052"/>
      <w:r>
        <w:t xml:space="preserve">Figure </w:t>
      </w:r>
      <w:fldSimple w:instr=" STYLEREF 1 \s ">
        <w:r w:rsidR="00F52FCD">
          <w:rPr>
            <w:noProof/>
          </w:rPr>
          <w:t>19</w:t>
        </w:r>
      </w:fldSimple>
      <w:r>
        <w:t>.</w:t>
      </w:r>
      <w:fldSimple w:instr=" SEQ Figure \* ARABIC \s 1 ">
        <w:r w:rsidR="00F52FCD">
          <w:rPr>
            <w:noProof/>
          </w:rPr>
          <w:t>4</w:t>
        </w:r>
      </w:fldSimple>
      <w:bookmarkEnd w:id="119"/>
      <w:r>
        <w:t xml:space="preserve"> Comparison of winter and summer peak demand</w:t>
      </w:r>
    </w:p>
    <w:p w:rsidR="00316009" w:rsidRDefault="00316009" w:rsidP="00316009">
      <w:r w:rsidRPr="00316009">
        <w:rPr>
          <w:noProof/>
          <w:lang w:eastAsia="en-AU"/>
        </w:rPr>
        <w:drawing>
          <wp:inline distT="0" distB="0" distL="0" distR="0" wp14:anchorId="5FD06FBE" wp14:editId="5A5BAB55">
            <wp:extent cx="5260975" cy="31407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0975" cy="3140710"/>
                    </a:xfrm>
                    <a:prstGeom prst="rect">
                      <a:avLst/>
                    </a:prstGeom>
                    <a:noFill/>
                    <a:ln>
                      <a:noFill/>
                    </a:ln>
                  </pic:spPr>
                </pic:pic>
              </a:graphicData>
            </a:graphic>
          </wp:inline>
        </w:drawing>
      </w:r>
    </w:p>
    <w:p w:rsidR="00316009" w:rsidRDefault="00316009" w:rsidP="00316009">
      <w:pPr>
        <w:pStyle w:val="AERtablesource"/>
      </w:pPr>
      <w:r>
        <w:t>Source:</w:t>
      </w:r>
      <w:r>
        <w:tab/>
      </w:r>
      <w:r w:rsidRPr="001C50A8">
        <w:t xml:space="preserve">TasNetworks, </w:t>
      </w:r>
      <w:r w:rsidRPr="00435BD9">
        <w:rPr>
          <w:rStyle w:val="AERtextitalic"/>
        </w:rPr>
        <w:t xml:space="preserve">Response to AER Issues Paper: Tariff </w:t>
      </w:r>
      <w:r w:rsidR="00BE33DD">
        <w:rPr>
          <w:rStyle w:val="AERtextitalic"/>
        </w:rPr>
        <w:t>s</w:t>
      </w:r>
      <w:r w:rsidRPr="00435BD9">
        <w:rPr>
          <w:rStyle w:val="AERtextitalic"/>
        </w:rPr>
        <w:t xml:space="preserve">tructure </w:t>
      </w:r>
      <w:r w:rsidR="00BE33DD">
        <w:rPr>
          <w:rStyle w:val="AERtextitalic"/>
        </w:rPr>
        <w:t>s</w:t>
      </w:r>
      <w:r w:rsidRPr="00435BD9">
        <w:rPr>
          <w:rStyle w:val="AERtextitalic"/>
        </w:rPr>
        <w:t>tatements proposals – TasNetworks</w:t>
      </w:r>
      <w:r w:rsidRPr="001C50A8">
        <w:t>, April 2016, p</w:t>
      </w:r>
      <w:r>
        <w:t>. 19.</w:t>
      </w:r>
    </w:p>
    <w:p w:rsidR="00316009" w:rsidRPr="006458BD" w:rsidRDefault="00316009" w:rsidP="00316009">
      <w:r w:rsidRPr="006458BD">
        <w:t>TasNetworks noted the peak and off peak charging windows reflect a week day as it is more representative of its system wide peak—as shown in</w:t>
      </w:r>
      <w:r>
        <w:t xml:space="preserve"> </w:t>
      </w:r>
      <w:r w:rsidR="00792F99">
        <w:fldChar w:fldCharType="begin"/>
      </w:r>
      <w:r w:rsidR="00792F99">
        <w:instrText xml:space="preserve"> REF  _Ref477864723 \* Lower \h </w:instrText>
      </w:r>
      <w:r w:rsidR="00792F99">
        <w:fldChar w:fldCharType="separate"/>
      </w:r>
      <w:r w:rsidR="00F52FCD">
        <w:t xml:space="preserve">figure </w:t>
      </w:r>
      <w:r w:rsidR="00F52FCD">
        <w:rPr>
          <w:noProof/>
        </w:rPr>
        <w:t>19</w:t>
      </w:r>
      <w:r w:rsidR="00F52FCD">
        <w:t>.</w:t>
      </w:r>
      <w:r w:rsidR="00F52FCD">
        <w:rPr>
          <w:noProof/>
        </w:rPr>
        <w:t>5</w:t>
      </w:r>
      <w:r w:rsidR="00792F99">
        <w:fldChar w:fldCharType="end"/>
      </w:r>
      <w:r w:rsidRPr="006458BD">
        <w:t>.</w:t>
      </w:r>
    </w:p>
    <w:p w:rsidR="00316009" w:rsidRDefault="00316009" w:rsidP="00316009">
      <w:pPr>
        <w:pStyle w:val="Caption"/>
      </w:pPr>
      <w:bookmarkStart w:id="120" w:name="_Ref477864723"/>
      <w:r>
        <w:lastRenderedPageBreak/>
        <w:t xml:space="preserve">Figure </w:t>
      </w:r>
      <w:fldSimple w:instr=" STYLEREF 1 \s ">
        <w:r w:rsidR="00F52FCD">
          <w:rPr>
            <w:noProof/>
          </w:rPr>
          <w:t>19</w:t>
        </w:r>
      </w:fldSimple>
      <w:r w:rsidR="00792F99">
        <w:t>.</w:t>
      </w:r>
      <w:fldSimple w:instr=" SEQ Figure \* ARABIC \s 1 ">
        <w:r w:rsidR="00F52FCD">
          <w:rPr>
            <w:noProof/>
          </w:rPr>
          <w:t>5</w:t>
        </w:r>
      </w:fldSimple>
      <w:bookmarkEnd w:id="120"/>
      <w:r>
        <w:tab/>
        <w:t>C</w:t>
      </w:r>
      <w:r w:rsidRPr="006458BD">
        <w:t>omparison of peak demand on week days and weekends</w:t>
      </w:r>
    </w:p>
    <w:p w:rsidR="00316009" w:rsidRDefault="00316009" w:rsidP="00316009">
      <w:r w:rsidRPr="00316009">
        <w:rPr>
          <w:noProof/>
          <w:lang w:eastAsia="en-AU"/>
        </w:rPr>
        <w:drawing>
          <wp:inline distT="0" distB="0" distL="0" distR="0" wp14:anchorId="09C8B785" wp14:editId="74352269">
            <wp:extent cx="5088466" cy="32792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084222" cy="3276499"/>
                    </a:xfrm>
                    <a:prstGeom prst="rect">
                      <a:avLst/>
                    </a:prstGeom>
                    <a:noFill/>
                    <a:ln>
                      <a:noFill/>
                    </a:ln>
                    <a:extLst>
                      <a:ext uri="{53640926-AAD7-44D8-BBD7-CCE9431645EC}">
                        <a14:shadowObscured xmlns:a14="http://schemas.microsoft.com/office/drawing/2010/main"/>
                      </a:ext>
                    </a:extLst>
                  </pic:spPr>
                </pic:pic>
              </a:graphicData>
            </a:graphic>
          </wp:inline>
        </w:drawing>
      </w:r>
    </w:p>
    <w:p w:rsidR="00316009" w:rsidRDefault="00316009" w:rsidP="00316009">
      <w:pPr>
        <w:pStyle w:val="AERtablesource"/>
      </w:pPr>
      <w:r>
        <w:t>Source:</w:t>
      </w:r>
      <w:r>
        <w:tab/>
      </w:r>
      <w:r w:rsidRPr="001C50A8">
        <w:t xml:space="preserve">TasNetworks, </w:t>
      </w:r>
      <w:r w:rsidRPr="00435BD9">
        <w:rPr>
          <w:rStyle w:val="AERtextitalic"/>
        </w:rPr>
        <w:t>Response to AER Issues Paper: Tariff Structure Statements proposals – TasNetworks</w:t>
      </w:r>
      <w:r w:rsidRPr="001C50A8">
        <w:t>, April 2016, p</w:t>
      </w:r>
      <w:r>
        <w:t>. 20.</w:t>
      </w:r>
    </w:p>
    <w:p w:rsidR="00316009" w:rsidRPr="00A83D99" w:rsidRDefault="00316009" w:rsidP="00316009">
      <w:r w:rsidRPr="00A83D99">
        <w:t>On this basis, TasNetworks proposed peak charges to apply from 7am to 10am, and then again from 4pm to 9pm, on weekdays only. All other times are off peak, including all day weekends. These charging windows are set out in</w:t>
      </w:r>
      <w:r>
        <w:t xml:space="preserve"> </w:t>
      </w:r>
      <w:r w:rsidR="00792F99">
        <w:fldChar w:fldCharType="begin"/>
      </w:r>
      <w:r w:rsidR="00792F99">
        <w:instrText xml:space="preserve"> REF  _Ref477865422 \* Lower \h </w:instrText>
      </w:r>
      <w:r w:rsidR="00792F99">
        <w:fldChar w:fldCharType="separate"/>
      </w:r>
      <w:r w:rsidR="00F52FCD">
        <w:t xml:space="preserve">figure </w:t>
      </w:r>
      <w:r w:rsidR="00F52FCD">
        <w:rPr>
          <w:noProof/>
        </w:rPr>
        <w:t>19</w:t>
      </w:r>
      <w:r w:rsidR="00F52FCD">
        <w:t>.</w:t>
      </w:r>
      <w:r w:rsidR="00F52FCD">
        <w:rPr>
          <w:noProof/>
        </w:rPr>
        <w:t>6</w:t>
      </w:r>
      <w:r w:rsidR="00792F99">
        <w:fldChar w:fldCharType="end"/>
      </w:r>
      <w:r>
        <w:t xml:space="preserve"> and </w:t>
      </w:r>
      <w:r w:rsidR="00792F99">
        <w:fldChar w:fldCharType="begin"/>
      </w:r>
      <w:r w:rsidR="00792F99">
        <w:instrText xml:space="preserve"> REF  _Ref478569246 \* Lower \h </w:instrText>
      </w:r>
      <w:r w:rsidR="00792F99">
        <w:fldChar w:fldCharType="separate"/>
      </w:r>
      <w:r w:rsidR="00F52FCD">
        <w:t xml:space="preserve">table </w:t>
      </w:r>
      <w:r w:rsidR="00F52FCD">
        <w:rPr>
          <w:noProof/>
        </w:rPr>
        <w:t>19</w:t>
      </w:r>
      <w:r w:rsidR="00F52FCD">
        <w:t>.</w:t>
      </w:r>
      <w:r w:rsidR="00F52FCD">
        <w:rPr>
          <w:noProof/>
        </w:rPr>
        <w:t>14</w:t>
      </w:r>
      <w:r w:rsidR="00792F99">
        <w:fldChar w:fldCharType="end"/>
      </w:r>
      <w:r w:rsidRPr="00A83D99">
        <w:t>.</w:t>
      </w:r>
    </w:p>
    <w:p w:rsidR="00316009" w:rsidRDefault="00316009" w:rsidP="00316009">
      <w:pPr>
        <w:pStyle w:val="Caption"/>
      </w:pPr>
      <w:bookmarkStart w:id="121" w:name="_Ref477865422"/>
      <w:r>
        <w:t xml:space="preserve">Figure </w:t>
      </w:r>
      <w:fldSimple w:instr=" STYLEREF 1 \s ">
        <w:r w:rsidR="00F52FCD">
          <w:rPr>
            <w:noProof/>
          </w:rPr>
          <w:t>19</w:t>
        </w:r>
      </w:fldSimple>
      <w:r w:rsidR="00792F99">
        <w:t>.</w:t>
      </w:r>
      <w:fldSimple w:instr=" SEQ Figure \* ARABIC \s 1 ">
        <w:r w:rsidR="00F52FCD">
          <w:rPr>
            <w:noProof/>
          </w:rPr>
          <w:t>6</w:t>
        </w:r>
      </w:fldSimple>
      <w:bookmarkEnd w:id="121"/>
      <w:r>
        <w:tab/>
      </w:r>
      <w:r w:rsidRPr="00A83D99">
        <w:t>TasNetworks proposed residential time of use consumption and demand tariff charging windows</w:t>
      </w:r>
    </w:p>
    <w:p w:rsidR="00316009" w:rsidRDefault="00316009" w:rsidP="00316009">
      <w:r w:rsidRPr="00316009">
        <w:rPr>
          <w:noProof/>
          <w:lang w:eastAsia="en-AU"/>
        </w:rPr>
        <w:drawing>
          <wp:inline distT="0" distB="0" distL="0" distR="0" wp14:anchorId="3575FFB8" wp14:editId="0AE00D24">
            <wp:extent cx="5382895" cy="2737423"/>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2895" cy="2737423"/>
                    </a:xfrm>
                    <a:prstGeom prst="rect">
                      <a:avLst/>
                    </a:prstGeom>
                    <a:noFill/>
                    <a:ln>
                      <a:noFill/>
                    </a:ln>
                  </pic:spPr>
                </pic:pic>
              </a:graphicData>
            </a:graphic>
          </wp:inline>
        </w:drawing>
      </w:r>
    </w:p>
    <w:p w:rsidR="00316009" w:rsidRDefault="00316009" w:rsidP="00316009">
      <w:pPr>
        <w:pStyle w:val="AERtablesource"/>
      </w:pPr>
      <w:r>
        <w:t>Source:</w:t>
      </w:r>
      <w:r>
        <w:tab/>
      </w:r>
      <w:r w:rsidRPr="008B13DB">
        <w:t xml:space="preserve">TasNetworks, </w:t>
      </w:r>
      <w:r w:rsidRPr="008B13DB">
        <w:rPr>
          <w:rStyle w:val="AERtextitalic"/>
        </w:rPr>
        <w:t>Tariff structure statement: Background and explanation</w:t>
      </w:r>
      <w:r>
        <w:t>, December 2016, p. 50.</w:t>
      </w:r>
    </w:p>
    <w:p w:rsidR="00316009" w:rsidRPr="00E0403F" w:rsidRDefault="00316009" w:rsidP="00316009">
      <w:r w:rsidRPr="00E0403F">
        <w:lastRenderedPageBreak/>
        <w:t>TasNetworks acknowledged that while the load profile in locations may differ slightly due to the diversity of customers, it elected to use the load profile of the system as a whole to identify</w:t>
      </w:r>
      <w:r>
        <w:t xml:space="preserve"> the peak and off peak periods.</w:t>
      </w:r>
      <w:r>
        <w:rPr>
          <w:rStyle w:val="FootnoteReference"/>
        </w:rPr>
        <w:footnoteReference w:id="216"/>
      </w:r>
      <w:r w:rsidRPr="00E0403F">
        <w:t xml:space="preserve"> This approach aligns with the jurisdictional requirement that tariffs must be uniform for all small customers </w:t>
      </w:r>
      <w:r>
        <w:t xml:space="preserve">in Tasmania. As </w:t>
      </w:r>
      <w:r w:rsidR="00792F99">
        <w:fldChar w:fldCharType="begin"/>
      </w:r>
      <w:r w:rsidR="00792F99">
        <w:instrText xml:space="preserve"> REF  _Ref477870729 \* Lower \h </w:instrText>
      </w:r>
      <w:r w:rsidR="00792F99">
        <w:fldChar w:fldCharType="separate"/>
      </w:r>
      <w:r w:rsidR="00F52FCD">
        <w:t xml:space="preserve">figure </w:t>
      </w:r>
      <w:r w:rsidR="00F52FCD">
        <w:rPr>
          <w:noProof/>
        </w:rPr>
        <w:t>19</w:t>
      </w:r>
      <w:r w:rsidR="00F52FCD">
        <w:t>.</w:t>
      </w:r>
      <w:r w:rsidR="00F52FCD">
        <w:rPr>
          <w:noProof/>
        </w:rPr>
        <w:t>7</w:t>
      </w:r>
      <w:r w:rsidR="00792F99">
        <w:fldChar w:fldCharType="end"/>
      </w:r>
      <w:r w:rsidRPr="00E0403F">
        <w:t xml:space="preserve"> shows, the proposed peak and off peak charging parameters reflect the system wide load profile.</w:t>
      </w:r>
    </w:p>
    <w:p w:rsidR="00316009" w:rsidRDefault="00316009" w:rsidP="00316009">
      <w:pPr>
        <w:pStyle w:val="Caption"/>
      </w:pPr>
      <w:bookmarkStart w:id="122" w:name="_Ref477870729"/>
      <w:r>
        <w:t xml:space="preserve">Figure </w:t>
      </w:r>
      <w:fldSimple w:instr=" STYLEREF 1 \s ">
        <w:r w:rsidR="00F52FCD">
          <w:rPr>
            <w:noProof/>
          </w:rPr>
          <w:t>19</w:t>
        </w:r>
      </w:fldSimple>
      <w:r w:rsidR="00792F99">
        <w:t>.</w:t>
      </w:r>
      <w:fldSimple w:instr=" SEQ Figure \* ARABIC \s 1 ">
        <w:r w:rsidR="00F52FCD">
          <w:rPr>
            <w:noProof/>
          </w:rPr>
          <w:t>7</w:t>
        </w:r>
      </w:fldSimple>
      <w:bookmarkEnd w:id="122"/>
      <w:r>
        <w:tab/>
      </w:r>
      <w:r w:rsidRPr="00E0403F">
        <w:t>Time of use periods and peak demand in winter, system wide load</w:t>
      </w:r>
    </w:p>
    <w:p w:rsidR="00316009" w:rsidRDefault="00316009" w:rsidP="00316009">
      <w:r w:rsidRPr="00316009">
        <w:rPr>
          <w:noProof/>
          <w:lang w:eastAsia="en-AU"/>
        </w:rPr>
        <w:drawing>
          <wp:inline distT="0" distB="0" distL="0" distR="0" wp14:anchorId="5064C2A4" wp14:editId="448BFFFE">
            <wp:extent cx="5382895" cy="2308673"/>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2895" cy="2308673"/>
                    </a:xfrm>
                    <a:prstGeom prst="rect">
                      <a:avLst/>
                    </a:prstGeom>
                    <a:noFill/>
                    <a:ln>
                      <a:noFill/>
                    </a:ln>
                  </pic:spPr>
                </pic:pic>
              </a:graphicData>
            </a:graphic>
          </wp:inline>
        </w:drawing>
      </w:r>
    </w:p>
    <w:p w:rsidR="00316009" w:rsidRPr="00E0403F" w:rsidRDefault="00316009" w:rsidP="00316009">
      <w:pPr>
        <w:pStyle w:val="AERtablesource"/>
      </w:pPr>
      <w:r>
        <w:t>Source:</w:t>
      </w:r>
      <w:r>
        <w:tab/>
      </w:r>
      <w:r w:rsidRPr="008B13DB">
        <w:t xml:space="preserve">TasNetworks, </w:t>
      </w:r>
      <w:r w:rsidRPr="008B13DB">
        <w:rPr>
          <w:rStyle w:val="AERtextitalic"/>
        </w:rPr>
        <w:t>Tariff structure statement: Background and explanation</w:t>
      </w:r>
      <w:r>
        <w:t>, December 2016, p. 51.</w:t>
      </w:r>
    </w:p>
    <w:p w:rsidR="00316009" w:rsidRPr="007B73FA" w:rsidRDefault="00316009" w:rsidP="00316009">
      <w:r w:rsidRPr="007B73FA">
        <w:t>We consider the peak period charging windows proposed by TasNetworks are wide enough to capture periods of high demand. But they also allow customers, particularly in the afternoon/evening, enough flexibility within which to shift their demand to outside the peak period. Avoidance of electricity use during the peak period is not necessary. Rather, customers can respond to the price signal by reducing the number of appliances concurrently used during this period. This intensive use—sometimes called appliance stacking—will drive up the level of recorded demand. Appliance use that is spread out during the peak period (turning off one appliance before another is used) will limit household peak demand, and so enable bill savings to be made. Evening out this peak will also reduce the need for, or defer, future network asset upgrades, resulting in savings for all customers.</w:t>
      </w:r>
    </w:p>
    <w:p w:rsidR="00316009" w:rsidRPr="007B73FA" w:rsidRDefault="00316009" w:rsidP="00316009">
      <w:r>
        <w:t>For this first tariff structure statement</w:t>
      </w:r>
      <w:r w:rsidRPr="007B73FA">
        <w:t xml:space="preserve">, we consider the proposed charging windows provides customers with an ability to respond to the signals network use, and further, that they will be able to shift some of their load to the off peak periods. </w:t>
      </w:r>
    </w:p>
    <w:p w:rsidR="00316009" w:rsidRDefault="00316009" w:rsidP="00316009">
      <w:pPr>
        <w:pStyle w:val="Heading4"/>
      </w:pPr>
      <w:r w:rsidRPr="007B73FA">
        <w:t>Low voltage business customers</w:t>
      </w:r>
    </w:p>
    <w:p w:rsidR="00316009" w:rsidRPr="005F5056" w:rsidRDefault="00316009" w:rsidP="00316009">
      <w:r w:rsidRPr="005F5056">
        <w:lastRenderedPageBreak/>
        <w:t>Unlike the residential tariffs, TasNetworks has not sought to align the charging windows of the low voltage business time of use demand tariffs with the time of use consumption tariffs.</w:t>
      </w:r>
    </w:p>
    <w:p w:rsidR="00316009" w:rsidRPr="005F5056" w:rsidRDefault="00316009" w:rsidP="00316009">
      <w:r w:rsidRPr="005F5056">
        <w:t>Instead it has decided to align the charging windows across the three demand tariffs—residential, small low voltage and large low voltage. The demand tariff charging windows for the low voltage business customer demand tariffs are shown above in</w:t>
      </w:r>
      <w:r>
        <w:t xml:space="preserve"> </w:t>
      </w:r>
      <w:r w:rsidR="00792F99">
        <w:fldChar w:fldCharType="begin"/>
      </w:r>
      <w:r w:rsidR="00792F99">
        <w:instrText xml:space="preserve"> REF  _Ref477865422 \* Lower \h </w:instrText>
      </w:r>
      <w:r w:rsidR="00792F99">
        <w:fldChar w:fldCharType="separate"/>
      </w:r>
      <w:r w:rsidR="00F52FCD">
        <w:t xml:space="preserve">figure </w:t>
      </w:r>
      <w:r w:rsidR="00F52FCD">
        <w:rPr>
          <w:noProof/>
        </w:rPr>
        <w:t>19</w:t>
      </w:r>
      <w:r w:rsidR="00F52FCD">
        <w:t>.</w:t>
      </w:r>
      <w:r w:rsidR="00F52FCD">
        <w:rPr>
          <w:noProof/>
        </w:rPr>
        <w:t>6</w:t>
      </w:r>
      <w:r w:rsidR="00792F99">
        <w:fldChar w:fldCharType="end"/>
      </w:r>
      <w:r w:rsidRPr="0042257A">
        <w:t xml:space="preserve"> </w:t>
      </w:r>
      <w:r>
        <w:t xml:space="preserve">and </w:t>
      </w:r>
      <w:r w:rsidR="00792F99">
        <w:fldChar w:fldCharType="begin"/>
      </w:r>
      <w:r w:rsidR="00792F99">
        <w:instrText xml:space="preserve"> REF  _Ref478569246 \* Lower \h </w:instrText>
      </w:r>
      <w:r w:rsidR="00792F99">
        <w:fldChar w:fldCharType="separate"/>
      </w:r>
      <w:r w:rsidR="00F52FCD">
        <w:t xml:space="preserve">table </w:t>
      </w:r>
      <w:r w:rsidR="00F52FCD">
        <w:rPr>
          <w:noProof/>
        </w:rPr>
        <w:t>19</w:t>
      </w:r>
      <w:r w:rsidR="00F52FCD">
        <w:t>.</w:t>
      </w:r>
      <w:r w:rsidR="00F52FCD">
        <w:rPr>
          <w:noProof/>
        </w:rPr>
        <w:t>14</w:t>
      </w:r>
      <w:r w:rsidR="00792F99">
        <w:fldChar w:fldCharType="end"/>
      </w:r>
      <w:r w:rsidRPr="005F5056">
        <w:t>.</w:t>
      </w:r>
    </w:p>
    <w:p w:rsidR="00316009" w:rsidRPr="005F5056" w:rsidRDefault="00316009" w:rsidP="00316009">
      <w:r w:rsidRPr="005F5056">
        <w:t>In terms of the demand tariff charging windows, TasNetworks acknowledged the daily load profiles of residential and low vol</w:t>
      </w:r>
      <w:r>
        <w:t>tage business are not the same.</w:t>
      </w:r>
      <w:r>
        <w:rPr>
          <w:rStyle w:val="FootnoteReference"/>
        </w:rPr>
        <w:footnoteReference w:id="217"/>
      </w:r>
      <w:r w:rsidRPr="005F5056">
        <w:t xml:space="preserve"> However, it decided to keep the same peak and off peak windows across the new demand tariffs to ensure the right pricing signals are sent to customers about system wide demand.</w:t>
      </w:r>
    </w:p>
    <w:p w:rsidR="00316009" w:rsidRPr="005F5056" w:rsidRDefault="00316009" w:rsidP="00316009">
      <w:r w:rsidRPr="005F5056">
        <w:t>We are satisfied the alignment of charging windows for</w:t>
      </w:r>
      <w:r>
        <w:t xml:space="preserve"> the time of use</w:t>
      </w:r>
      <w:r w:rsidRPr="005F5056">
        <w:t xml:space="preserve"> demand tariffs contribute towards the achievement of compliance with the distribution pricing principles. The alignment of charging windows reflects times of overall network stress and incorporates times either side of the peak which aid in avoiding issues surrounding customers shifting load and creating new peaks.</w:t>
      </w:r>
    </w:p>
    <w:p w:rsidR="00316009" w:rsidRDefault="00316009" w:rsidP="00316009">
      <w:r w:rsidRPr="005F5056">
        <w:t xml:space="preserve">In terms of the small low voltage time of use consumption tariff—Business low voltage time of use— we note that unlike the </w:t>
      </w:r>
      <w:r>
        <w:t xml:space="preserve">time of use </w:t>
      </w:r>
      <w:r w:rsidRPr="005F5056">
        <w:t>demand tariff it has three charging windows—peak, off peak and shoulder. As shown in</w:t>
      </w:r>
      <w:r>
        <w:t xml:space="preserve"> </w:t>
      </w:r>
      <w:r w:rsidR="00DA38A5">
        <w:fldChar w:fldCharType="begin"/>
      </w:r>
      <w:r w:rsidR="00DA38A5">
        <w:instrText xml:space="preserve"> REF  _Ref477873004 \* Lower \h </w:instrText>
      </w:r>
      <w:r w:rsidR="00DA38A5">
        <w:fldChar w:fldCharType="separate"/>
      </w:r>
      <w:r w:rsidR="00F52FCD">
        <w:t xml:space="preserve">table </w:t>
      </w:r>
      <w:r w:rsidR="00F52FCD">
        <w:rPr>
          <w:noProof/>
        </w:rPr>
        <w:t>19</w:t>
      </w:r>
      <w:r w:rsidR="00F52FCD">
        <w:t>.</w:t>
      </w:r>
      <w:r w:rsidR="00F52FCD">
        <w:rPr>
          <w:noProof/>
        </w:rPr>
        <w:t>15</w:t>
      </w:r>
      <w:r w:rsidR="00DA38A5">
        <w:fldChar w:fldCharType="end"/>
      </w:r>
      <w:r w:rsidRPr="00761E1B">
        <w:t xml:space="preserve"> </w:t>
      </w:r>
      <w:r>
        <w:t xml:space="preserve">and </w:t>
      </w:r>
      <w:r w:rsidR="00DA38A5">
        <w:fldChar w:fldCharType="begin"/>
      </w:r>
      <w:r w:rsidR="00DA38A5">
        <w:instrText xml:space="preserve"> REF  _Ref478569246 \* Lower \h </w:instrText>
      </w:r>
      <w:r w:rsidR="00DA38A5">
        <w:fldChar w:fldCharType="separate"/>
      </w:r>
      <w:r w:rsidR="00F52FCD">
        <w:t xml:space="preserve">table </w:t>
      </w:r>
      <w:r w:rsidR="00F52FCD">
        <w:rPr>
          <w:noProof/>
        </w:rPr>
        <w:t>19</w:t>
      </w:r>
      <w:r w:rsidR="00F52FCD">
        <w:t>.</w:t>
      </w:r>
      <w:r w:rsidR="00F52FCD">
        <w:rPr>
          <w:noProof/>
        </w:rPr>
        <w:t>14</w:t>
      </w:r>
      <w:r w:rsidR="00DA38A5">
        <w:fldChar w:fldCharType="end"/>
      </w:r>
      <w:r w:rsidRPr="005F5056">
        <w:t xml:space="preserve">, the charging windows of the Business low voltage time of use tariff are different to those of the </w:t>
      </w:r>
      <w:r>
        <w:t xml:space="preserve">time of use </w:t>
      </w:r>
      <w:r w:rsidRPr="005F5056">
        <w:t>demand tariff.</w:t>
      </w:r>
    </w:p>
    <w:p w:rsidR="00316009" w:rsidRDefault="00316009" w:rsidP="00316009">
      <w:pPr>
        <w:pStyle w:val="Caption"/>
      </w:pPr>
      <w:bookmarkStart w:id="123" w:name="_Ref477873004"/>
      <w:r>
        <w:t xml:space="preserve">Table </w:t>
      </w:r>
      <w:fldSimple w:instr=" STYLEREF 1 \s ">
        <w:r w:rsidR="00F52FCD">
          <w:rPr>
            <w:noProof/>
          </w:rPr>
          <w:t>19</w:t>
        </w:r>
      </w:fldSimple>
      <w:r w:rsidR="00E914FF">
        <w:t>.</w:t>
      </w:r>
      <w:fldSimple w:instr=" SEQ Table \* ARABIC \s 1 ">
        <w:r w:rsidR="00F52FCD">
          <w:rPr>
            <w:noProof/>
          </w:rPr>
          <w:t>15</w:t>
        </w:r>
      </w:fldSimple>
      <w:bookmarkEnd w:id="123"/>
      <w:r>
        <w:tab/>
      </w:r>
      <w:r w:rsidRPr="005F5056">
        <w:t>Charging windows for Business low voltage time of use tariff</w:t>
      </w:r>
    </w:p>
    <w:tbl>
      <w:tblPr>
        <w:tblStyle w:val="AERtable-text0"/>
        <w:tblW w:w="0" w:type="auto"/>
        <w:tblLook w:val="04A0" w:firstRow="1" w:lastRow="0" w:firstColumn="1" w:lastColumn="0" w:noHBand="0" w:noVBand="1"/>
      </w:tblPr>
      <w:tblGrid>
        <w:gridCol w:w="4346"/>
        <w:gridCol w:w="4347"/>
      </w:tblGrid>
      <w:tr w:rsidR="00316009" w:rsidRPr="00E276FA" w:rsidTr="00F56506">
        <w:trPr>
          <w:cnfStyle w:val="100000000000" w:firstRow="1" w:lastRow="0" w:firstColumn="0" w:lastColumn="0" w:oddVBand="0" w:evenVBand="0" w:oddHBand="0" w:evenHBand="0" w:firstRowFirstColumn="0" w:firstRowLastColumn="0" w:lastRowFirstColumn="0" w:lastRowLastColumn="0"/>
        </w:trPr>
        <w:tc>
          <w:tcPr>
            <w:tcW w:w="4346" w:type="dxa"/>
          </w:tcPr>
          <w:p w:rsidR="00316009" w:rsidRPr="00316009" w:rsidRDefault="00316009" w:rsidP="00316009">
            <w:r w:rsidRPr="00E276FA">
              <w:t>Charging windows</w:t>
            </w:r>
          </w:p>
        </w:tc>
        <w:tc>
          <w:tcPr>
            <w:tcW w:w="4347" w:type="dxa"/>
          </w:tcPr>
          <w:p w:rsidR="00316009" w:rsidRPr="00316009" w:rsidRDefault="00316009" w:rsidP="00316009">
            <w:r w:rsidRPr="00E276FA">
              <w:t>Tariff rate</w:t>
            </w:r>
          </w:p>
        </w:tc>
      </w:tr>
      <w:tr w:rsidR="00316009" w:rsidRPr="00E276FA" w:rsidTr="00F56506">
        <w:tc>
          <w:tcPr>
            <w:tcW w:w="4346" w:type="dxa"/>
          </w:tcPr>
          <w:p w:rsidR="00316009" w:rsidRPr="00316009" w:rsidRDefault="00316009" w:rsidP="00316009">
            <w:r>
              <w:t>Week day (07:00</w:t>
            </w:r>
            <w:r w:rsidRPr="00316009">
              <w:t xml:space="preserve">–22:00) </w:t>
            </w:r>
          </w:p>
          <w:p w:rsidR="00316009" w:rsidRPr="00316009" w:rsidRDefault="00316009" w:rsidP="00316009">
            <w:r w:rsidRPr="00E276FA">
              <w:t>(Monday - Friday)</w:t>
            </w:r>
          </w:p>
        </w:tc>
        <w:tc>
          <w:tcPr>
            <w:tcW w:w="4347" w:type="dxa"/>
          </w:tcPr>
          <w:p w:rsidR="00316009" w:rsidRPr="00316009" w:rsidRDefault="00316009" w:rsidP="00316009">
            <w:r w:rsidRPr="00E276FA">
              <w:t>Peak</w:t>
            </w:r>
          </w:p>
        </w:tc>
      </w:tr>
      <w:tr w:rsidR="00316009" w:rsidRPr="00E276FA" w:rsidTr="00F56506">
        <w:trPr>
          <w:cnfStyle w:val="000000010000" w:firstRow="0" w:lastRow="0" w:firstColumn="0" w:lastColumn="0" w:oddVBand="0" w:evenVBand="0" w:oddHBand="0" w:evenHBand="1" w:firstRowFirstColumn="0" w:firstRowLastColumn="0" w:lastRowFirstColumn="0" w:lastRowLastColumn="0"/>
        </w:trPr>
        <w:tc>
          <w:tcPr>
            <w:tcW w:w="4346" w:type="dxa"/>
          </w:tcPr>
          <w:p w:rsidR="00316009" w:rsidRPr="00316009" w:rsidRDefault="00316009" w:rsidP="00316009">
            <w:r w:rsidRPr="00E276FA">
              <w:t>Weekend day (07:00</w:t>
            </w:r>
            <w:r w:rsidRPr="00316009">
              <w:t xml:space="preserve">–22:00) </w:t>
            </w:r>
          </w:p>
          <w:p w:rsidR="00316009" w:rsidRPr="00316009" w:rsidRDefault="00316009" w:rsidP="00316009">
            <w:r w:rsidRPr="00E276FA">
              <w:t>(Saturday and Sunday)</w:t>
            </w:r>
          </w:p>
        </w:tc>
        <w:tc>
          <w:tcPr>
            <w:tcW w:w="4347" w:type="dxa"/>
          </w:tcPr>
          <w:p w:rsidR="00316009" w:rsidRPr="00316009" w:rsidRDefault="00316009" w:rsidP="00316009">
            <w:r w:rsidRPr="00E276FA">
              <w:t>Shoulder</w:t>
            </w:r>
          </w:p>
        </w:tc>
      </w:tr>
      <w:tr w:rsidR="00316009" w:rsidRPr="00E276FA" w:rsidTr="00F56506">
        <w:tc>
          <w:tcPr>
            <w:tcW w:w="4346" w:type="dxa"/>
          </w:tcPr>
          <w:p w:rsidR="00316009" w:rsidRPr="00316009" w:rsidRDefault="00316009" w:rsidP="00316009">
            <w:r>
              <w:t>Any day (22:00</w:t>
            </w:r>
            <w:r w:rsidRPr="00316009">
              <w:t xml:space="preserve">–24:00) </w:t>
            </w:r>
          </w:p>
          <w:p w:rsidR="00316009" w:rsidRPr="00316009" w:rsidRDefault="00316009" w:rsidP="00316009">
            <w:r w:rsidRPr="00E276FA">
              <w:t>(Monday-Sunday)</w:t>
            </w:r>
          </w:p>
        </w:tc>
        <w:tc>
          <w:tcPr>
            <w:tcW w:w="4347" w:type="dxa"/>
          </w:tcPr>
          <w:p w:rsidR="00316009" w:rsidRPr="00316009" w:rsidRDefault="00316009" w:rsidP="00316009">
            <w:r w:rsidRPr="00E276FA">
              <w:t>Off peak</w:t>
            </w:r>
          </w:p>
        </w:tc>
      </w:tr>
      <w:tr w:rsidR="00316009" w:rsidRPr="00E276FA" w:rsidTr="00F56506">
        <w:trPr>
          <w:cnfStyle w:val="000000010000" w:firstRow="0" w:lastRow="0" w:firstColumn="0" w:lastColumn="0" w:oddVBand="0" w:evenVBand="0" w:oddHBand="0" w:evenHBand="1" w:firstRowFirstColumn="0" w:firstRowLastColumn="0" w:lastRowFirstColumn="0" w:lastRowLastColumn="0"/>
        </w:trPr>
        <w:tc>
          <w:tcPr>
            <w:tcW w:w="4346" w:type="dxa"/>
          </w:tcPr>
          <w:p w:rsidR="00316009" w:rsidRPr="00316009" w:rsidRDefault="00316009" w:rsidP="00316009">
            <w:r>
              <w:t>Any day (0:00</w:t>
            </w:r>
            <w:r w:rsidRPr="00316009">
              <w:t xml:space="preserve">–07:00) </w:t>
            </w:r>
          </w:p>
          <w:p w:rsidR="00316009" w:rsidRPr="00316009" w:rsidRDefault="00316009" w:rsidP="00316009">
            <w:r w:rsidRPr="00E276FA">
              <w:t>(Monday-Sunday)</w:t>
            </w:r>
          </w:p>
        </w:tc>
        <w:tc>
          <w:tcPr>
            <w:tcW w:w="4347" w:type="dxa"/>
          </w:tcPr>
          <w:p w:rsidR="00316009" w:rsidRPr="00316009" w:rsidRDefault="00316009" w:rsidP="00316009">
            <w:r w:rsidRPr="00E276FA">
              <w:t>Off peak</w:t>
            </w:r>
          </w:p>
        </w:tc>
      </w:tr>
    </w:tbl>
    <w:p w:rsidR="00316009" w:rsidRDefault="00316009" w:rsidP="00316009">
      <w:pPr>
        <w:pStyle w:val="AERtablesource"/>
      </w:pPr>
      <w:r w:rsidRPr="0090364D">
        <w:t>Source:</w:t>
      </w:r>
      <w:r w:rsidRPr="0090364D">
        <w:tab/>
        <w:t xml:space="preserve">TasNetworks, </w:t>
      </w:r>
      <w:r w:rsidR="00692DA2" w:rsidRPr="00316009">
        <w:rPr>
          <w:rStyle w:val="AERtextitalic"/>
        </w:rPr>
        <w:t xml:space="preserve">Tariff structure statement: </w:t>
      </w:r>
      <w:r w:rsidR="00692DA2">
        <w:rPr>
          <w:rStyle w:val="AERtextitalic"/>
        </w:rPr>
        <w:t>Formal statement:</w:t>
      </w:r>
      <w:r w:rsidR="00692DA2" w:rsidRPr="00692DA2">
        <w:t xml:space="preserve"> </w:t>
      </w:r>
      <w:r w:rsidR="00692DA2">
        <w:rPr>
          <w:rStyle w:val="AERtextitalic"/>
        </w:rPr>
        <w:t xml:space="preserve">Regulatory control period </w:t>
      </w:r>
      <w:r w:rsidR="00692DA2" w:rsidRPr="00692DA2">
        <w:rPr>
          <w:rStyle w:val="AERtextitalic"/>
        </w:rPr>
        <w:t>1 July 2017 to 30 June 2019</w:t>
      </w:r>
      <w:r w:rsidR="00692DA2">
        <w:rPr>
          <w:rStyle w:val="AERtextitalic"/>
        </w:rPr>
        <w:t xml:space="preserve">: AER amended: PUBLIC Appendix C: </w:t>
      </w:r>
      <w:r w:rsidR="00692DA2" w:rsidRPr="00692DA2">
        <w:rPr>
          <w:rStyle w:val="AERtextitalic"/>
        </w:rPr>
        <w:t xml:space="preserve">Network </w:t>
      </w:r>
      <w:r w:rsidR="00692DA2">
        <w:rPr>
          <w:rStyle w:val="AERtextitalic"/>
        </w:rPr>
        <w:t>t</w:t>
      </w:r>
      <w:r w:rsidR="00692DA2" w:rsidRPr="00692DA2">
        <w:rPr>
          <w:rStyle w:val="AERtextitalic"/>
        </w:rPr>
        <w:t>ariff</w:t>
      </w:r>
      <w:r w:rsidR="00692DA2">
        <w:rPr>
          <w:rStyle w:val="AERtextitalic"/>
        </w:rPr>
        <w:t xml:space="preserve"> application and price guide </w:t>
      </w:r>
      <w:r w:rsidR="00692DA2" w:rsidRPr="00692DA2">
        <w:rPr>
          <w:rStyle w:val="AERtextitalic"/>
        </w:rPr>
        <w:t>2017-18 and 2018-19</w:t>
      </w:r>
      <w:r w:rsidR="00692DA2" w:rsidRPr="00316009">
        <w:t>, 2</w:t>
      </w:r>
      <w:r w:rsidR="00692DA2">
        <w:t>1</w:t>
      </w:r>
      <w:r w:rsidR="00692DA2" w:rsidRPr="00316009">
        <w:t xml:space="preserve"> </w:t>
      </w:r>
      <w:r w:rsidR="00692DA2">
        <w:t>April 2017</w:t>
      </w:r>
      <w:r w:rsidR="00692DA2" w:rsidRPr="00316009">
        <w:t xml:space="preserve">, </w:t>
      </w:r>
      <w:r w:rsidR="00692DA2">
        <w:t>pp. 28–29.</w:t>
      </w:r>
    </w:p>
    <w:p w:rsidR="00316009" w:rsidRPr="005C160B" w:rsidRDefault="00316009" w:rsidP="00316009">
      <w:r w:rsidRPr="005C160B">
        <w:lastRenderedPageBreak/>
        <w:t>Although the charging windows are different, we approve the continuation of the Business low voltage time of use tariff charging windows over the 2017–19 regulatory control period for a number of reasons.</w:t>
      </w:r>
    </w:p>
    <w:p w:rsidR="00316009" w:rsidRPr="005C160B" w:rsidRDefault="00316009" w:rsidP="00316009">
      <w:r w:rsidRPr="005C160B">
        <w:t>First, we have taken into consideration customer impacts and consider the continuation of these tariffs in their current design will limit any short term price impacts to customers. In forming our decision, we have taken into consideration stakeholders submissions which posited that in this initial stage of tariff reform, the customer impacts and simplicity to minimise customer confusio</w:t>
      </w:r>
      <w:r>
        <w:t>n should be key considerations.</w:t>
      </w:r>
      <w:r>
        <w:rPr>
          <w:rStyle w:val="FootnoteReference"/>
        </w:rPr>
        <w:footnoteReference w:id="218"/>
      </w:r>
    </w:p>
    <w:p w:rsidR="00316009" w:rsidRPr="005C160B" w:rsidRDefault="00316009" w:rsidP="00316009">
      <w:r w:rsidRPr="005C160B">
        <w:t>Second, we consider the point of difference between the charging windows of the consumption and demand tariffs will encourage customers to inquire about how the demand tariff might suit their needs. Given these customers have the ability to choose between tariffs, the time of use demand tariff may be attractive to them. On this basis we approve the continuation of the charging windows as the ability for customers to respond to price signals by moving to a more cost reflective tariff is an appropriate response of the tariff reform. Again we have taken into consideration stakeholder submissions which posited that customers be given an opportunity to learn more about the demand tariff and how it might suit their</w:t>
      </w:r>
      <w:r>
        <w:t xml:space="preserve"> needs before committing to it.</w:t>
      </w:r>
      <w:r>
        <w:rPr>
          <w:rStyle w:val="FootnoteReference"/>
        </w:rPr>
        <w:footnoteReference w:id="219"/>
      </w:r>
    </w:p>
    <w:p w:rsidR="00316009" w:rsidRPr="005C160B" w:rsidRDefault="00316009" w:rsidP="00316009">
      <w:r w:rsidRPr="005C160B">
        <w:t xml:space="preserve">Finally, we consider maintaining the current charging windows </w:t>
      </w:r>
      <w:r>
        <w:t>is reasonable given</w:t>
      </w:r>
      <w:r w:rsidRPr="005C160B">
        <w:t xml:space="preserve"> TasNetworks indicated it will align the charging windows of the time of use </w:t>
      </w:r>
      <w:r>
        <w:t>tariff with the demand tariff.</w:t>
      </w:r>
      <w:r>
        <w:rPr>
          <w:rStyle w:val="FootnoteReference"/>
        </w:rPr>
        <w:footnoteReference w:id="220"/>
      </w:r>
      <w:r w:rsidRPr="005C160B">
        <w:t xml:space="preserve"> On this final consideration, we expect TasNetworks' next tariff structure statement to include a timeframe for when this alignment would take place to allow predictability in pricing to customers.</w:t>
      </w:r>
    </w:p>
    <w:p w:rsidR="00316009" w:rsidRDefault="00316009" w:rsidP="00316009">
      <w:r w:rsidRPr="005C160B">
        <w:t>As for TasNetworks' large low voltage kVA demand tariff, it does not need to have specified charging windows as its demand charge is based on anytime demand (c/kVA/day). We approve of this charging structure as the anytime demand charge reflects that these customers peak demand can occur at any time during the week, and that when that peak occurs it puts stress on the network.</w:t>
      </w:r>
      <w:r>
        <w:t xml:space="preserve"> It is also consistent with current practice, so maintaining this structure assists in mitigating the impact on current customers.</w:t>
      </w:r>
      <w:r>
        <w:rPr>
          <w:rStyle w:val="FootnoteReference"/>
        </w:rPr>
        <w:footnoteReference w:id="221"/>
      </w:r>
      <w:r>
        <w:t xml:space="preserve"> Further, TasNetworks indicated it would unwind all of its anytime demand tariffs in the future (except for the unmetered tariff class).</w:t>
      </w:r>
      <w:r>
        <w:rPr>
          <w:rStyle w:val="FootnoteReference"/>
        </w:rPr>
        <w:footnoteReference w:id="222"/>
      </w:r>
      <w:r>
        <w:t xml:space="preserve"> TasNetworks has </w:t>
      </w:r>
      <w:r>
        <w:lastRenderedPageBreak/>
        <w:t>already begun this process with the introduction of its 'time of use demand' tariffs, which is available on an opt</w:t>
      </w:r>
      <w:r w:rsidR="006B0498">
        <w:noBreakHyphen/>
      </w:r>
      <w:r>
        <w:t>in basis.</w:t>
      </w:r>
    </w:p>
    <w:p w:rsidR="00316009" w:rsidRPr="00C75B08" w:rsidRDefault="00316009" w:rsidP="00316009">
      <w:pPr>
        <w:pStyle w:val="Heading4"/>
      </w:pPr>
      <w:r w:rsidRPr="00C75B08">
        <w:t>Irrigation customers</w:t>
      </w:r>
    </w:p>
    <w:p w:rsidR="00316009" w:rsidRDefault="00316009" w:rsidP="00316009">
      <w:r w:rsidRPr="00C75B08">
        <w:t>TasNetworks</w:t>
      </w:r>
      <w:r>
        <w:t>'</w:t>
      </w:r>
      <w:r w:rsidRPr="00C75B08">
        <w:t xml:space="preserve"> </w:t>
      </w:r>
      <w:r>
        <w:t>I</w:t>
      </w:r>
      <w:r w:rsidRPr="00C75B08">
        <w:t>rrigation low voltage time of use tariff is cost reflective in that the tariff charging windows not only incorporate time of use charges but also seasonal variations as shown in</w:t>
      </w:r>
      <w:r>
        <w:t xml:space="preserve"> </w:t>
      </w:r>
      <w:r w:rsidR="00DA38A5">
        <w:fldChar w:fldCharType="begin"/>
      </w:r>
      <w:r w:rsidR="00DA38A5">
        <w:instrText xml:space="preserve"> REF  _Ref477942502 \* Lower \h </w:instrText>
      </w:r>
      <w:r w:rsidR="00DA38A5">
        <w:fldChar w:fldCharType="separate"/>
      </w:r>
      <w:r w:rsidR="00F52FCD">
        <w:t xml:space="preserve">table </w:t>
      </w:r>
      <w:r w:rsidR="00F52FCD">
        <w:rPr>
          <w:noProof/>
        </w:rPr>
        <w:t>19</w:t>
      </w:r>
      <w:r w:rsidR="00F52FCD">
        <w:t>.</w:t>
      </w:r>
      <w:r w:rsidR="00F52FCD">
        <w:rPr>
          <w:noProof/>
        </w:rPr>
        <w:t>16</w:t>
      </w:r>
      <w:r w:rsidR="00DA38A5">
        <w:fldChar w:fldCharType="end"/>
      </w:r>
      <w:r>
        <w:t xml:space="preserve"> and </w:t>
      </w:r>
      <w:r w:rsidR="00DA38A5">
        <w:fldChar w:fldCharType="begin"/>
      </w:r>
      <w:r w:rsidR="00DA38A5">
        <w:instrText xml:space="preserve"> REF  _Ref478569246 \* Lower \h </w:instrText>
      </w:r>
      <w:r w:rsidR="00DA38A5">
        <w:fldChar w:fldCharType="separate"/>
      </w:r>
      <w:r w:rsidR="00F52FCD">
        <w:t xml:space="preserve">table </w:t>
      </w:r>
      <w:r w:rsidR="00F52FCD">
        <w:rPr>
          <w:noProof/>
        </w:rPr>
        <w:t>19</w:t>
      </w:r>
      <w:r w:rsidR="00F52FCD">
        <w:t>.</w:t>
      </w:r>
      <w:r w:rsidR="00F52FCD">
        <w:rPr>
          <w:noProof/>
        </w:rPr>
        <w:t>14</w:t>
      </w:r>
      <w:r w:rsidR="00DA38A5">
        <w:fldChar w:fldCharType="end"/>
      </w:r>
      <w:r w:rsidRPr="00C75B08">
        <w:t>. We approve of the charging windows for this tariff for the same reasons we are approving the continuation of the Business low voltage time of use tariff charging windows discussed above.</w:t>
      </w:r>
    </w:p>
    <w:p w:rsidR="00316009" w:rsidRDefault="00316009" w:rsidP="00316009">
      <w:pPr>
        <w:pStyle w:val="Caption"/>
      </w:pPr>
      <w:bookmarkStart w:id="124" w:name="_Ref477942502"/>
      <w:r>
        <w:t xml:space="preserve">Table </w:t>
      </w:r>
      <w:fldSimple w:instr=" STYLEREF 1 \s ">
        <w:r w:rsidR="00F52FCD">
          <w:rPr>
            <w:noProof/>
          </w:rPr>
          <w:t>19</w:t>
        </w:r>
      </w:fldSimple>
      <w:r w:rsidR="00E914FF">
        <w:t>.</w:t>
      </w:r>
      <w:fldSimple w:instr=" SEQ Table \* ARABIC \s 1 ">
        <w:r w:rsidR="00F52FCD">
          <w:rPr>
            <w:noProof/>
          </w:rPr>
          <w:t>16</w:t>
        </w:r>
      </w:fldSimple>
      <w:bookmarkEnd w:id="124"/>
      <w:r>
        <w:tab/>
      </w:r>
      <w:r w:rsidRPr="00C75B08">
        <w:t>Charging windows for Irrigation low voltage time of use tariff</w:t>
      </w:r>
    </w:p>
    <w:tbl>
      <w:tblPr>
        <w:tblStyle w:val="AERtable-text0"/>
        <w:tblW w:w="0" w:type="auto"/>
        <w:tblLook w:val="04A0" w:firstRow="1" w:lastRow="0" w:firstColumn="1" w:lastColumn="0" w:noHBand="0" w:noVBand="1"/>
      </w:tblPr>
      <w:tblGrid>
        <w:gridCol w:w="2897"/>
        <w:gridCol w:w="2898"/>
        <w:gridCol w:w="2898"/>
      </w:tblGrid>
      <w:tr w:rsidR="00316009" w:rsidRPr="00844D9D" w:rsidTr="00F56506">
        <w:trPr>
          <w:cnfStyle w:val="100000000000" w:firstRow="1" w:lastRow="0" w:firstColumn="0" w:lastColumn="0" w:oddVBand="0" w:evenVBand="0" w:oddHBand="0" w:evenHBand="0" w:firstRowFirstColumn="0" w:firstRowLastColumn="0" w:lastRowFirstColumn="0" w:lastRowLastColumn="0"/>
        </w:trPr>
        <w:tc>
          <w:tcPr>
            <w:tcW w:w="2897" w:type="dxa"/>
          </w:tcPr>
          <w:p w:rsidR="00316009" w:rsidRPr="00844D9D" w:rsidRDefault="00316009" w:rsidP="00316009">
            <w:r w:rsidRPr="00844D9D">
              <w:t>Time Periods</w:t>
            </w:r>
          </w:p>
        </w:tc>
        <w:tc>
          <w:tcPr>
            <w:tcW w:w="2898" w:type="dxa"/>
          </w:tcPr>
          <w:p w:rsidR="00316009" w:rsidRPr="00844D9D" w:rsidRDefault="00316009" w:rsidP="00316009">
            <w:r w:rsidRPr="00844D9D">
              <w:t>Summer (1 Oct – 31 Mar)</w:t>
            </w:r>
          </w:p>
        </w:tc>
        <w:tc>
          <w:tcPr>
            <w:tcW w:w="2898" w:type="dxa"/>
          </w:tcPr>
          <w:p w:rsidR="00316009" w:rsidRPr="00844D9D" w:rsidRDefault="00316009" w:rsidP="00316009">
            <w:r w:rsidRPr="00844D9D">
              <w:t>Winter (1 Apr – 30 Sep)</w:t>
            </w:r>
          </w:p>
        </w:tc>
      </w:tr>
      <w:tr w:rsidR="00316009" w:rsidRPr="00844D9D" w:rsidTr="00F56506">
        <w:tc>
          <w:tcPr>
            <w:tcW w:w="2897" w:type="dxa"/>
          </w:tcPr>
          <w:p w:rsidR="00316009" w:rsidRPr="00844D9D" w:rsidRDefault="00316009" w:rsidP="00316009">
            <w:r w:rsidRPr="00844D9D">
              <w:t xml:space="preserve">Week Day (07:00 – 22:00) </w:t>
            </w:r>
          </w:p>
          <w:p w:rsidR="00316009" w:rsidRPr="00844D9D" w:rsidRDefault="00316009" w:rsidP="00316009">
            <w:r w:rsidRPr="00844D9D">
              <w:t>(Monday – Friday)</w:t>
            </w:r>
          </w:p>
        </w:tc>
        <w:tc>
          <w:tcPr>
            <w:tcW w:w="2898" w:type="dxa"/>
          </w:tcPr>
          <w:p w:rsidR="00316009" w:rsidRPr="00844D9D" w:rsidRDefault="00316009" w:rsidP="00316009">
            <w:r w:rsidRPr="00844D9D">
              <w:t>Shoulder</w:t>
            </w:r>
          </w:p>
        </w:tc>
        <w:tc>
          <w:tcPr>
            <w:tcW w:w="2898" w:type="dxa"/>
          </w:tcPr>
          <w:p w:rsidR="00316009" w:rsidRPr="00844D9D" w:rsidRDefault="00316009" w:rsidP="00316009">
            <w:r w:rsidRPr="00844D9D">
              <w:t>Peak</w:t>
            </w:r>
          </w:p>
        </w:tc>
      </w:tr>
      <w:tr w:rsidR="00316009" w:rsidRPr="00844D9D" w:rsidTr="00F56506">
        <w:trPr>
          <w:cnfStyle w:val="000000010000" w:firstRow="0" w:lastRow="0" w:firstColumn="0" w:lastColumn="0" w:oddVBand="0" w:evenVBand="0" w:oddHBand="0" w:evenHBand="1" w:firstRowFirstColumn="0" w:firstRowLastColumn="0" w:lastRowFirstColumn="0" w:lastRowLastColumn="0"/>
        </w:trPr>
        <w:tc>
          <w:tcPr>
            <w:tcW w:w="2897" w:type="dxa"/>
          </w:tcPr>
          <w:p w:rsidR="00316009" w:rsidRPr="00844D9D" w:rsidRDefault="00316009" w:rsidP="00316009">
            <w:r w:rsidRPr="00844D9D">
              <w:t>Weekend Day (07:00 – 22:00) (Saturday and Sunday)</w:t>
            </w:r>
          </w:p>
        </w:tc>
        <w:tc>
          <w:tcPr>
            <w:tcW w:w="2898" w:type="dxa"/>
          </w:tcPr>
          <w:p w:rsidR="00316009" w:rsidRPr="00844D9D" w:rsidRDefault="00316009" w:rsidP="00316009">
            <w:r w:rsidRPr="00844D9D">
              <w:t>Off-peak</w:t>
            </w:r>
          </w:p>
        </w:tc>
        <w:tc>
          <w:tcPr>
            <w:tcW w:w="2898" w:type="dxa"/>
          </w:tcPr>
          <w:p w:rsidR="00316009" w:rsidRPr="00844D9D" w:rsidRDefault="00316009" w:rsidP="00316009">
            <w:r w:rsidRPr="00844D9D">
              <w:t>Shoulder</w:t>
            </w:r>
          </w:p>
        </w:tc>
      </w:tr>
      <w:tr w:rsidR="00316009" w:rsidRPr="00844D9D" w:rsidTr="00F56506">
        <w:tc>
          <w:tcPr>
            <w:tcW w:w="2897" w:type="dxa"/>
          </w:tcPr>
          <w:p w:rsidR="00316009" w:rsidRPr="00844D9D" w:rsidRDefault="00316009" w:rsidP="00316009">
            <w:r w:rsidRPr="00844D9D">
              <w:t xml:space="preserve">Any Day (22:00 – 24:00) </w:t>
            </w:r>
          </w:p>
          <w:p w:rsidR="00316009" w:rsidRPr="00844D9D" w:rsidRDefault="00316009" w:rsidP="00316009">
            <w:r w:rsidRPr="00844D9D">
              <w:t>(Monday – Sunday)</w:t>
            </w:r>
          </w:p>
        </w:tc>
        <w:tc>
          <w:tcPr>
            <w:tcW w:w="2898" w:type="dxa"/>
          </w:tcPr>
          <w:p w:rsidR="00316009" w:rsidRPr="00844D9D" w:rsidRDefault="00316009" w:rsidP="00316009">
            <w:r w:rsidRPr="00844D9D">
              <w:t>Off-peak</w:t>
            </w:r>
          </w:p>
        </w:tc>
        <w:tc>
          <w:tcPr>
            <w:tcW w:w="2898" w:type="dxa"/>
          </w:tcPr>
          <w:p w:rsidR="00316009" w:rsidRPr="00844D9D" w:rsidRDefault="00316009" w:rsidP="00316009">
            <w:r w:rsidRPr="00844D9D">
              <w:t>Off-peak</w:t>
            </w:r>
          </w:p>
        </w:tc>
      </w:tr>
      <w:tr w:rsidR="00316009" w:rsidRPr="00844D9D" w:rsidTr="00F56506">
        <w:trPr>
          <w:cnfStyle w:val="000000010000" w:firstRow="0" w:lastRow="0" w:firstColumn="0" w:lastColumn="0" w:oddVBand="0" w:evenVBand="0" w:oddHBand="0" w:evenHBand="1" w:firstRowFirstColumn="0" w:firstRowLastColumn="0" w:lastRowFirstColumn="0" w:lastRowLastColumn="0"/>
        </w:trPr>
        <w:tc>
          <w:tcPr>
            <w:tcW w:w="2897" w:type="dxa"/>
          </w:tcPr>
          <w:p w:rsidR="00316009" w:rsidRPr="00844D9D" w:rsidRDefault="00316009" w:rsidP="00316009">
            <w:r w:rsidRPr="00844D9D">
              <w:t xml:space="preserve">Any Day (0:00 – 07:00) </w:t>
            </w:r>
          </w:p>
          <w:p w:rsidR="00316009" w:rsidRPr="00844D9D" w:rsidRDefault="00316009" w:rsidP="00316009">
            <w:r w:rsidRPr="00844D9D">
              <w:t>(Monday – Sunday)</w:t>
            </w:r>
          </w:p>
        </w:tc>
        <w:tc>
          <w:tcPr>
            <w:tcW w:w="2898" w:type="dxa"/>
          </w:tcPr>
          <w:p w:rsidR="00316009" w:rsidRPr="00844D9D" w:rsidRDefault="00316009" w:rsidP="00316009">
            <w:r w:rsidRPr="00844D9D">
              <w:t>Off-peak</w:t>
            </w:r>
          </w:p>
        </w:tc>
        <w:tc>
          <w:tcPr>
            <w:tcW w:w="2898" w:type="dxa"/>
          </w:tcPr>
          <w:p w:rsidR="00316009" w:rsidRPr="00844D9D" w:rsidRDefault="00316009" w:rsidP="00316009">
            <w:r w:rsidRPr="00844D9D">
              <w:t>Off-peak</w:t>
            </w:r>
          </w:p>
        </w:tc>
      </w:tr>
    </w:tbl>
    <w:p w:rsidR="00D86609" w:rsidRDefault="00316009" w:rsidP="00D86609">
      <w:pPr>
        <w:pStyle w:val="AERtablesource"/>
      </w:pPr>
      <w:r w:rsidRPr="0090364D">
        <w:t>Source:</w:t>
      </w:r>
      <w:r w:rsidRPr="0090364D">
        <w:tab/>
        <w:t>TasNetworks,</w:t>
      </w:r>
      <w:r w:rsidR="00692DA2" w:rsidRPr="00692DA2">
        <w:rPr>
          <w:rStyle w:val="AERtextitalic"/>
        </w:rPr>
        <w:t xml:space="preserve"> </w:t>
      </w:r>
      <w:r w:rsidR="00692DA2" w:rsidRPr="00316009">
        <w:rPr>
          <w:rStyle w:val="AERtextitalic"/>
        </w:rPr>
        <w:t xml:space="preserve">Tariff structure statement: </w:t>
      </w:r>
      <w:r w:rsidR="00692DA2">
        <w:rPr>
          <w:rStyle w:val="AERtextitalic"/>
        </w:rPr>
        <w:t>Formal statement:</w:t>
      </w:r>
      <w:r w:rsidR="00692DA2" w:rsidRPr="00692DA2">
        <w:t xml:space="preserve"> </w:t>
      </w:r>
      <w:r w:rsidR="00692DA2">
        <w:rPr>
          <w:rStyle w:val="AERtextitalic"/>
        </w:rPr>
        <w:t xml:space="preserve">Regulatory control period </w:t>
      </w:r>
      <w:r w:rsidR="00692DA2" w:rsidRPr="00692DA2">
        <w:rPr>
          <w:rStyle w:val="AERtextitalic"/>
        </w:rPr>
        <w:t>1 July 2017 to 30 June 2019</w:t>
      </w:r>
      <w:r w:rsidR="00692DA2">
        <w:rPr>
          <w:rStyle w:val="AERtextitalic"/>
        </w:rPr>
        <w:t xml:space="preserve">: AER amended: PUBLIC Appendix C: </w:t>
      </w:r>
      <w:r w:rsidR="00692DA2" w:rsidRPr="00692DA2">
        <w:rPr>
          <w:rStyle w:val="AERtextitalic"/>
        </w:rPr>
        <w:t xml:space="preserve">Network </w:t>
      </w:r>
      <w:r w:rsidR="00692DA2">
        <w:rPr>
          <w:rStyle w:val="AERtextitalic"/>
        </w:rPr>
        <w:t>t</w:t>
      </w:r>
      <w:r w:rsidR="00692DA2" w:rsidRPr="00692DA2">
        <w:rPr>
          <w:rStyle w:val="AERtextitalic"/>
        </w:rPr>
        <w:t>ariff</w:t>
      </w:r>
      <w:r w:rsidR="00692DA2">
        <w:rPr>
          <w:rStyle w:val="AERtextitalic"/>
        </w:rPr>
        <w:t xml:space="preserve"> application and price guide </w:t>
      </w:r>
      <w:r w:rsidR="00692DA2" w:rsidRPr="00692DA2">
        <w:rPr>
          <w:rStyle w:val="AERtextitalic"/>
        </w:rPr>
        <w:t>2017-18 and 2018-19</w:t>
      </w:r>
      <w:r w:rsidR="00692DA2" w:rsidRPr="00316009">
        <w:t>, 2</w:t>
      </w:r>
      <w:r w:rsidR="00692DA2">
        <w:t>1</w:t>
      </w:r>
      <w:r w:rsidR="00692DA2" w:rsidRPr="00316009">
        <w:t xml:space="preserve"> </w:t>
      </w:r>
      <w:r w:rsidR="00692DA2">
        <w:t>April 2017</w:t>
      </w:r>
      <w:r w:rsidR="00692DA2" w:rsidRPr="00316009">
        <w:t xml:space="preserve">, </w:t>
      </w:r>
      <w:r w:rsidR="00692DA2">
        <w:t>pp. 31–32.</w:t>
      </w:r>
    </w:p>
    <w:p w:rsidR="00316009" w:rsidRPr="00783CB4" w:rsidRDefault="00316009" w:rsidP="00316009">
      <w:pPr>
        <w:pStyle w:val="Heading4"/>
      </w:pPr>
      <w:r w:rsidRPr="00783CB4">
        <w:t>High voltage business customers</w:t>
      </w:r>
    </w:p>
    <w:p w:rsidR="00316009" w:rsidRDefault="00316009" w:rsidP="00316009">
      <w:r w:rsidRPr="00783CB4">
        <w:t xml:space="preserve">We </w:t>
      </w:r>
      <w:r w:rsidR="000C4287">
        <w:t>are satisfied</w:t>
      </w:r>
      <w:r w:rsidR="000C4287" w:rsidRPr="00783CB4">
        <w:t xml:space="preserve"> </w:t>
      </w:r>
      <w:r w:rsidRPr="00783CB4">
        <w:t>TasNetworks' high voltage business customer charging structures contribute towards the achievement of compliance with the distribution pricing principles. These tariffs feature elements such as time of use charges, demand based charges and seasonal variations. The time of use charging windows for the tariffs are the same as those for the Irrigation low voltage time of use tariff set out in</w:t>
      </w:r>
      <w:r>
        <w:t xml:space="preserve"> </w:t>
      </w:r>
      <w:r w:rsidR="00025AA2">
        <w:fldChar w:fldCharType="begin"/>
      </w:r>
      <w:r w:rsidR="00025AA2">
        <w:instrText xml:space="preserve"> REF  _Ref477942502 \* Lower \h </w:instrText>
      </w:r>
      <w:r w:rsidR="00025AA2">
        <w:fldChar w:fldCharType="separate"/>
      </w:r>
      <w:r w:rsidR="00F52FCD">
        <w:t xml:space="preserve">table </w:t>
      </w:r>
      <w:r w:rsidR="00F52FCD">
        <w:rPr>
          <w:noProof/>
        </w:rPr>
        <w:t>19</w:t>
      </w:r>
      <w:r w:rsidR="00F52FCD">
        <w:t>.</w:t>
      </w:r>
      <w:r w:rsidR="00F52FCD">
        <w:rPr>
          <w:noProof/>
        </w:rPr>
        <w:t>16</w:t>
      </w:r>
      <w:r w:rsidR="00025AA2">
        <w:fldChar w:fldCharType="end"/>
      </w:r>
      <w:r w:rsidRPr="00761E1B">
        <w:t xml:space="preserve"> </w:t>
      </w:r>
      <w:r>
        <w:t xml:space="preserve">and </w:t>
      </w:r>
      <w:r w:rsidR="00025AA2">
        <w:fldChar w:fldCharType="begin"/>
      </w:r>
      <w:r w:rsidR="00025AA2">
        <w:instrText xml:space="preserve"> REF  _Ref478569246 \* Lower \h </w:instrText>
      </w:r>
      <w:r w:rsidR="00025AA2">
        <w:fldChar w:fldCharType="separate"/>
      </w:r>
      <w:r w:rsidR="00F52FCD">
        <w:t xml:space="preserve">table </w:t>
      </w:r>
      <w:r w:rsidR="00F52FCD">
        <w:rPr>
          <w:noProof/>
        </w:rPr>
        <w:t>19</w:t>
      </w:r>
      <w:r w:rsidR="00F52FCD">
        <w:t>.</w:t>
      </w:r>
      <w:r w:rsidR="00F52FCD">
        <w:rPr>
          <w:noProof/>
        </w:rPr>
        <w:t>14</w:t>
      </w:r>
      <w:r w:rsidR="00025AA2">
        <w:fldChar w:fldCharType="end"/>
      </w:r>
      <w:r w:rsidRPr="00783CB4">
        <w:t>. The demand charges are negotiated between TasNetworks and the customer on the basis of the level of specified demand for the coming financial year.</w:t>
      </w:r>
    </w:p>
    <w:p w:rsidR="00316009" w:rsidRDefault="00316009" w:rsidP="00316009">
      <w:pPr>
        <w:pStyle w:val="Heading4"/>
      </w:pPr>
      <w:bookmarkStart w:id="125" w:name="_Ref479093936"/>
      <w:r>
        <w:t>Future directions</w:t>
      </w:r>
      <w:bookmarkEnd w:id="125"/>
    </w:p>
    <w:p w:rsidR="00316009" w:rsidRPr="006535A6" w:rsidRDefault="00316009" w:rsidP="00316009">
      <w:r w:rsidRPr="006535A6">
        <w:t xml:space="preserve">We encourage </w:t>
      </w:r>
      <w:r>
        <w:t xml:space="preserve">TasNetworks, and </w:t>
      </w:r>
      <w:r w:rsidRPr="006535A6">
        <w:t>distributors</w:t>
      </w:r>
      <w:r>
        <w:t xml:space="preserve"> more generally,</w:t>
      </w:r>
      <w:r w:rsidRPr="006535A6">
        <w:t xml:space="preserve"> to continue making refinements to their charging windows in future tariff structure statements to more closely reflect the times of congestion on their particular network. Broadly, we enc</w:t>
      </w:r>
      <w:r>
        <w:t>ourage distributors to refine:</w:t>
      </w:r>
      <w:r>
        <w:rPr>
          <w:rStyle w:val="FootnoteReference"/>
        </w:rPr>
        <w:footnoteReference w:id="223"/>
      </w:r>
    </w:p>
    <w:p w:rsidR="00316009" w:rsidRPr="006535A6" w:rsidRDefault="00316009" w:rsidP="00316009">
      <w:pPr>
        <w:pStyle w:val="AERbulletlistfirststyle"/>
      </w:pPr>
      <w:r w:rsidRPr="006535A6">
        <w:lastRenderedPageBreak/>
        <w:t>their methods for setting charging windows, and</w:t>
      </w:r>
    </w:p>
    <w:p w:rsidR="00316009" w:rsidRPr="006535A6" w:rsidRDefault="00316009" w:rsidP="00316009">
      <w:pPr>
        <w:pStyle w:val="AERbulletlistfirststyle"/>
      </w:pPr>
      <w:r w:rsidRPr="006535A6">
        <w:t>the charging windows themselves</w:t>
      </w:r>
    </w:p>
    <w:p w:rsidR="00316009" w:rsidRDefault="00316009" w:rsidP="00316009">
      <w:r w:rsidRPr="006535A6">
        <w:t>We discuss these in turn below.</w:t>
      </w:r>
    </w:p>
    <w:p w:rsidR="00316009" w:rsidRDefault="00316009" w:rsidP="00316009">
      <w:pPr>
        <w:pStyle w:val="Heading5"/>
      </w:pPr>
      <w:r>
        <w:t>Methods for determining charging windows</w:t>
      </w:r>
    </w:p>
    <w:p w:rsidR="00316009" w:rsidRPr="006535A6" w:rsidRDefault="00316009" w:rsidP="00316009">
      <w:r w:rsidRPr="006535A6">
        <w:t xml:space="preserve">Distributors </w:t>
      </w:r>
      <w:r w:rsidR="00622521">
        <w:t xml:space="preserve">have </w:t>
      </w:r>
      <w:r w:rsidRPr="006535A6">
        <w:t xml:space="preserve">used varying methods and information to support their proposed charging windows in this first round of tariff structure statements. We </w:t>
      </w:r>
      <w:r w:rsidR="00622521">
        <w:t xml:space="preserve">have </w:t>
      </w:r>
      <w:r w:rsidRPr="006535A6">
        <w:t>therefore assessed each distributor’s proposed charging windows on the basis of their individual method. We assessed whether their methods and the information they provided in their tariff structure statements were sufficiently robust (given this</w:t>
      </w:r>
      <w:r>
        <w:t xml:space="preserve"> early stage of tariff reform).</w:t>
      </w:r>
      <w:r>
        <w:rPr>
          <w:rStyle w:val="FootnoteReference"/>
        </w:rPr>
        <w:footnoteReference w:id="224"/>
      </w:r>
      <w:r w:rsidRPr="006535A6">
        <w:t xml:space="preserve"> We then assessed whether the resulting charging windows were consistent with the findings of their methods and reasonably signalled the potential timing of congestion on their networks. We regularly consulted with the distributors to better understand the justification for their proposed charging windows. We did this through information requests to the distributors, for example, to get the dataset and models underlying their analysis, or to get their datasets in different formats. We also had discussions and workshops with the individual distributors to clarify issues identified during our assessment.</w:t>
      </w:r>
      <w:r w:rsidR="00622521">
        <w:t xml:space="preserve"> We also applied this approach to the assessment of TasNetworks proposal.</w:t>
      </w:r>
    </w:p>
    <w:p w:rsidR="00316009" w:rsidRPr="006535A6" w:rsidRDefault="00316009" w:rsidP="00316009">
      <w:r w:rsidRPr="006535A6">
        <w:t xml:space="preserve">We consider the methods and information from </w:t>
      </w:r>
      <w:r>
        <w:t>TasNetworks</w:t>
      </w:r>
      <w:r w:rsidRPr="006535A6">
        <w:t xml:space="preserve"> provided sufficient support for their proposed charging windows for this first round of tariff structure statements. However, we consider distributors should continue to explore ways to refine their methods for determining charging windows in future tariff structure statements. </w:t>
      </w:r>
      <w:r w:rsidR="00622521">
        <w:t>In discussing this aspect further, we also compare TasNetwork's proposal with those of other distributors.</w:t>
      </w:r>
    </w:p>
    <w:p w:rsidR="00316009" w:rsidRDefault="00316009" w:rsidP="00316009">
      <w:r w:rsidRPr="006535A6">
        <w:t xml:space="preserve">All of the distributors provided some form of daily load profiles to determine or provide justification for their proposed charging windows in this first round </w:t>
      </w:r>
      <w:r>
        <w:t>of tariff structure statements.</w:t>
      </w:r>
      <w:r>
        <w:rPr>
          <w:rStyle w:val="FootnoteReference"/>
        </w:rPr>
        <w:footnoteReference w:id="225"/>
      </w:r>
      <w:r w:rsidRPr="006535A6">
        <w:t xml:space="preserve"> For example, Essential Energy provided the 'average weekday' and 'average weekend' load profiles for summer and winter. Several distributors provided the actual load profil</w:t>
      </w:r>
      <w:r>
        <w:t>e for the peak day of the year, including TasNetworks.</w:t>
      </w:r>
      <w:r>
        <w:rPr>
          <w:rStyle w:val="FootnoteReference"/>
        </w:rPr>
        <w:footnoteReference w:id="226"/>
      </w:r>
      <w:r w:rsidRPr="006535A6">
        <w:t xml:space="preserve"> ActewAGL provided a load profile that showed the maximum demand measured for each half-</w:t>
      </w:r>
      <w:r>
        <w:t>hour interval for a given year.</w:t>
      </w:r>
      <w:r>
        <w:rPr>
          <w:rStyle w:val="FootnoteReference"/>
        </w:rPr>
        <w:footnoteReference w:id="227"/>
      </w:r>
      <w:r w:rsidRPr="006535A6">
        <w:t xml:space="preserve"> Ausgrid and Endeavour Energy showed the time of the highest demand points for a given year (</w:t>
      </w:r>
      <w:r>
        <w:t>using data from several years).</w:t>
      </w:r>
      <w:r>
        <w:rPr>
          <w:rStyle w:val="FootnoteReference"/>
        </w:rPr>
        <w:footnoteReference w:id="228"/>
      </w:r>
      <w:r w:rsidRPr="006535A6">
        <w:t xml:space="preserve"> Distributors variously provided daily load profiles a</w:t>
      </w:r>
      <w:r>
        <w:t>t system and/or spatial levels.</w:t>
      </w:r>
      <w:r>
        <w:rPr>
          <w:rStyle w:val="FootnoteReference"/>
        </w:rPr>
        <w:footnoteReference w:id="229"/>
      </w:r>
      <w:r w:rsidRPr="006535A6">
        <w:t xml:space="preserve"> </w:t>
      </w:r>
    </w:p>
    <w:p w:rsidR="00316009" w:rsidRPr="00992568" w:rsidRDefault="00316009" w:rsidP="00316009">
      <w:r w:rsidRPr="00992568">
        <w:lastRenderedPageBreak/>
        <w:t xml:space="preserve">Each distributor also provided other types of information to supplement daily load profiles and further support their proposed charging windows, including: </w:t>
      </w:r>
    </w:p>
    <w:p w:rsidR="00316009" w:rsidRPr="00992568" w:rsidRDefault="00316009" w:rsidP="00316009">
      <w:pPr>
        <w:pStyle w:val="AERbulletlistfirststyle"/>
      </w:pPr>
      <w:r w:rsidRPr="00992568">
        <w:t>graphs showing the frequency of peak tim</w:t>
      </w:r>
      <w:r>
        <w:t>es for each half hour interval</w:t>
      </w:r>
      <w:r>
        <w:rPr>
          <w:rStyle w:val="FootnoteReference"/>
        </w:rPr>
        <w:footnoteReference w:id="230"/>
      </w:r>
    </w:p>
    <w:p w:rsidR="00316009" w:rsidRPr="00992568" w:rsidRDefault="00316009" w:rsidP="00316009">
      <w:pPr>
        <w:pStyle w:val="AERbulletlistfirststyle"/>
      </w:pPr>
      <w:r>
        <w:t>‘heat maps’ of demand</w:t>
      </w:r>
      <w:r>
        <w:rPr>
          <w:rStyle w:val="FootnoteReference"/>
        </w:rPr>
        <w:footnoteReference w:id="231"/>
      </w:r>
    </w:p>
    <w:p w:rsidR="00316009" w:rsidRPr="00992568" w:rsidRDefault="00316009" w:rsidP="00316009">
      <w:pPr>
        <w:pStyle w:val="AERbulletlistfirststyle"/>
      </w:pPr>
      <w:r w:rsidRPr="00992568">
        <w:t>timing of peak dem</w:t>
      </w:r>
      <w:r>
        <w:t>and for individual substations</w:t>
      </w:r>
      <w:r>
        <w:rPr>
          <w:rStyle w:val="FootnoteReference"/>
        </w:rPr>
        <w:footnoteReference w:id="232"/>
      </w:r>
    </w:p>
    <w:p w:rsidR="00316009" w:rsidRDefault="00316009" w:rsidP="00316009">
      <w:pPr>
        <w:pStyle w:val="AERbulletlistfirststyle"/>
      </w:pPr>
      <w:r w:rsidRPr="00992568">
        <w:t>load duration curves (see the ‘network utilisation information’ section below for further discussion</w:t>
      </w:r>
      <w:r>
        <w:t>).</w:t>
      </w:r>
      <w:r>
        <w:rPr>
          <w:rStyle w:val="FootnoteReference"/>
        </w:rPr>
        <w:footnoteReference w:id="233"/>
      </w:r>
    </w:p>
    <w:p w:rsidR="00316009" w:rsidRPr="00992568" w:rsidRDefault="00316009" w:rsidP="00316009">
      <w:r w:rsidRPr="00992568">
        <w:t>The distributors provided the information described above in formats showing demand levels only. Such information did not explicitly consider network capacity or utilisation (Endeavour Energy’s</w:t>
      </w:r>
      <w:r>
        <w:t xml:space="preserve"> and TasNetworks'</w:t>
      </w:r>
      <w:r w:rsidRPr="00992568">
        <w:t xml:space="preserve"> approach to using load duration curves indirectly considers network utilisation as we discuss in the next section). </w:t>
      </w:r>
    </w:p>
    <w:p w:rsidR="00316009" w:rsidRPr="00992568" w:rsidRDefault="00316009" w:rsidP="00316009">
      <w:r w:rsidRPr="00992568">
        <w:t>We consider focusing on demand levels only may be reasonable in the first round of tariff structure statements. Tariffs historically applied at the network (rather than regional or local) level and so send averaged signals o</w:t>
      </w:r>
      <w:r>
        <w:t>f the drivers of network costs.</w:t>
      </w:r>
      <w:r>
        <w:rPr>
          <w:rStyle w:val="FootnoteReference"/>
        </w:rPr>
        <w:footnoteReference w:id="234"/>
      </w:r>
      <w:r w:rsidRPr="00992568">
        <w:t xml:space="preserve"> The first round of tariff structure statements largely maintained the use of tariffs that apply network-wide, which we consider is consistent with</w:t>
      </w:r>
      <w:r>
        <w:t xml:space="preserve"> the customer impact principle.</w:t>
      </w:r>
      <w:r>
        <w:rPr>
          <w:rStyle w:val="FootnoteReference"/>
        </w:rPr>
        <w:footnoteReference w:id="235"/>
      </w:r>
      <w:r w:rsidRPr="00992568">
        <w:t xml:space="preserve"> The shape of daily load profiles supplemented by other demand-based information as described above can suggest when the network may be experiencing congestion. We consider such information serves to indicate the potential timing of network congestion under tariffs that apply network-wide. Hence, we consider such evidence contributed to the achievement of compliance with the distribution pricing principles in this first round of tariff str</w:t>
      </w:r>
      <w:r>
        <w:t>ucture statements.</w:t>
      </w:r>
      <w:r>
        <w:rPr>
          <w:rStyle w:val="FootnoteReference"/>
        </w:rPr>
        <w:footnoteReference w:id="236"/>
      </w:r>
    </w:p>
    <w:p w:rsidR="00316009" w:rsidRDefault="00316009" w:rsidP="00316009">
      <w:r w:rsidRPr="00992568">
        <w:t>However, we expect the distributors to transition towards more cost reflective tariff structures in future tariff structure statements, including potentially moving away from network wide tariff approaches. Among other things, this could include charging windows that more accurately reflect times of network congestion than currently. From our assessment of the first round of tariff structure statements, we make several suggestions for distributors to explore to facilitate this transition. We discuss these in turn below.</w:t>
      </w:r>
    </w:p>
    <w:p w:rsidR="00316009" w:rsidRDefault="00316009" w:rsidP="00316009">
      <w:pPr>
        <w:pStyle w:val="HeadingBoldItalic"/>
      </w:pPr>
      <w:r>
        <w:t>Network utilisation information</w:t>
      </w:r>
    </w:p>
    <w:p w:rsidR="00316009" w:rsidRPr="006D07DF" w:rsidRDefault="00316009" w:rsidP="00316009">
      <w:r w:rsidRPr="006D07DF">
        <w:lastRenderedPageBreak/>
        <w:t>The evidence the distributors provided generally showed information regarding demand levels only. As we noted earlier, we consider this is reasonable in this first round of tariff structure statements. However, it is network utilisation—the relationship between demand levels and asset capacity—that is a key driver input into distributors’ decisions to make investments in the long run. Distributors’ long run investment decisions are guided by their expectations of network utilisation. For example, they would invest in additional capacity when they expect demand to</w:t>
      </w:r>
      <w:r>
        <w:t xml:space="preserve"> exceed the capacity of assets.</w:t>
      </w:r>
      <w:r>
        <w:rPr>
          <w:rStyle w:val="FootnoteReference"/>
        </w:rPr>
        <w:footnoteReference w:id="237"/>
      </w:r>
      <w:r w:rsidRPr="006D07DF">
        <w:t xml:space="preserve"> We therefore encourage distributors to explore whether they can incorporate information on network utilisation to develop and evidence their charging windows in future tariff structure statements. </w:t>
      </w:r>
    </w:p>
    <w:p w:rsidR="00316009" w:rsidRPr="006D07DF" w:rsidRDefault="00316009" w:rsidP="00316009">
      <w:r w:rsidRPr="006D07DF">
        <w:t xml:space="preserve">We consider Endeavour Energy’s revised proposal provided a useful starting point for exploring such an approach. Endeavour Energy justified its peak and shoulder hours using the highest demand intervals in recent years. Endeavour Energy stated its peak period contains data points within 10 per cent of the peak demand for each year. The shoulder period contains the data points between 10 per cent and 20 per cent of the peak </w:t>
      </w:r>
      <w:r>
        <w:t>demand interval for that year.</w:t>
      </w:r>
      <w:r>
        <w:rPr>
          <w:rStyle w:val="FootnoteReference"/>
        </w:rPr>
        <w:footnoteReference w:id="238"/>
      </w:r>
    </w:p>
    <w:p w:rsidR="00316009" w:rsidRPr="006D07DF" w:rsidRDefault="00316009" w:rsidP="00316009">
      <w:r w:rsidRPr="006D07DF">
        <w:t>Endeavour Energy explained the 10 per cent and 20 per cent thresholds are related to network planning. Endeavour Energy stated its planners begin investigations into an asset when the proportion of time that asset exceeds its firm rating is greater than 1</w:t>
      </w:r>
      <w:r w:rsidR="00025AA2">
        <w:t> </w:t>
      </w:r>
      <w:r w:rsidRPr="006D07DF">
        <w:t>per cent. This includes considering augmentation capex</w:t>
      </w:r>
      <w:r>
        <w:t xml:space="preserve"> or demand management options.</w:t>
      </w:r>
      <w:r>
        <w:rPr>
          <w:rStyle w:val="FootnoteReference"/>
        </w:rPr>
        <w:footnoteReference w:id="239"/>
      </w:r>
    </w:p>
    <w:p w:rsidR="00316009" w:rsidRDefault="00316009" w:rsidP="00316009">
      <w:r w:rsidRPr="006D07DF">
        <w:t>Because Endeavour Energy's tariffs apply at a network level, it uses the network load duration curve as indicative of likely demand at an asset level. Endeavour Energy’s highest demand points are within 20 per cent of maximum demand for one per cent of the time. Its highest demand points are within 10 per cent of maximum demand for 0.2 per cent of the time.</w:t>
      </w:r>
      <w:r>
        <w:rPr>
          <w:rStyle w:val="FootnoteReference"/>
        </w:rPr>
        <w:footnoteReference w:id="240"/>
      </w:r>
      <w:r w:rsidRPr="006D07DF">
        <w:t xml:space="preserve">  </w:t>
      </w:r>
    </w:p>
    <w:p w:rsidR="00316009" w:rsidRPr="006D07DF" w:rsidRDefault="00316009" w:rsidP="00316009">
      <w:r w:rsidRPr="006D07DF">
        <w:t xml:space="preserve">We consider Endeavour Energy’s approach is a useful starting point as it establishes a link between its charging windows and network utilisation (it does this indirectly via its planning criteria). </w:t>
      </w:r>
    </w:p>
    <w:p w:rsidR="00316009" w:rsidRPr="006D07DF" w:rsidRDefault="00316009" w:rsidP="00316009">
      <w:r w:rsidRPr="006D07DF">
        <w:t xml:space="preserve">In addition, Endeavour Energy’s approach uses an objective method to determine the thresholds between peak, shoulder and off-peak hours. By comparison, evidence based on demand levels alone does not provide as clear a guide on the thresholds between the peak, shoulder and off-peak hours. As a result, it was not always clear </w:t>
      </w:r>
      <w:r w:rsidRPr="006D07DF">
        <w:lastRenderedPageBreak/>
        <w:t>how distributors</w:t>
      </w:r>
      <w:r>
        <w:t>, including TasNetworks,</w:t>
      </w:r>
      <w:r w:rsidRPr="006D07DF">
        <w:t xml:space="preserve"> determined the thresholds between charging windows, which is not as transparent.</w:t>
      </w:r>
      <w:r>
        <w:rPr>
          <w:rStyle w:val="FootnoteReference"/>
        </w:rPr>
        <w:footnoteReference w:id="241"/>
      </w:r>
    </w:p>
    <w:p w:rsidR="00316009" w:rsidRDefault="00316009" w:rsidP="00316009">
      <w:r w:rsidRPr="006D07DF">
        <w:t xml:space="preserve">We emphasise Endeavour Energy’s approach can be a useful starting point when considering approaches for the next round of tariff structure statements. We encourage </w:t>
      </w:r>
      <w:r>
        <w:t>TasNetworks</w:t>
      </w:r>
      <w:r w:rsidRPr="006D07DF">
        <w:t xml:space="preserve"> (and other distributors) to explore ways to improve the use of load duration curves (should distributors adopt or continue to use them) in futu</w:t>
      </w:r>
      <w:r>
        <w:t>re tariff structure statements.</w:t>
      </w:r>
      <w:r>
        <w:rPr>
          <w:rStyle w:val="FootnoteReference"/>
        </w:rPr>
        <w:footnoteReference w:id="242"/>
      </w:r>
      <w:r w:rsidRPr="006D07DF">
        <w:t xml:space="preserve"> Alternatively, distributors may choose to explore other approaches to incorporate information on network utilisation to determine charging windows.</w:t>
      </w:r>
    </w:p>
    <w:p w:rsidR="00316009" w:rsidRDefault="00316009" w:rsidP="00316009">
      <w:r>
        <w:t>We note TasNetworks included load duration curves in its response to our questions on its proposed charging windows.</w:t>
      </w:r>
      <w:r>
        <w:rPr>
          <w:rStyle w:val="FootnoteReference"/>
        </w:rPr>
        <w:footnoteReference w:id="243"/>
      </w:r>
      <w:r>
        <w:t xml:space="preserve"> However, the </w:t>
      </w:r>
      <w:r w:rsidR="008A1D65">
        <w:t xml:space="preserve">explanation of the </w:t>
      </w:r>
      <w:r>
        <w:t xml:space="preserve">link between its load duration curves, network utilisation and its charging windows are less clear compared to Endeavour Energy. For example, it is unclear from TasNetworks' analysis of load duration curves why it requires the proposed morning peak period for the new demand tariffs (in contrast with the analysis in </w:t>
      </w:r>
      <w:r w:rsidR="00792F99">
        <w:fldChar w:fldCharType="begin"/>
      </w:r>
      <w:r w:rsidR="00792F99">
        <w:instrText xml:space="preserve"> REF  _Ref477870729 \* Lower \h </w:instrText>
      </w:r>
      <w:r w:rsidR="00792F99">
        <w:fldChar w:fldCharType="separate"/>
      </w:r>
      <w:r w:rsidR="00F52FCD">
        <w:t xml:space="preserve">figure </w:t>
      </w:r>
      <w:r w:rsidR="00F52FCD">
        <w:rPr>
          <w:noProof/>
        </w:rPr>
        <w:t>19</w:t>
      </w:r>
      <w:r w:rsidR="00F52FCD">
        <w:t>.</w:t>
      </w:r>
      <w:r w:rsidR="00F52FCD">
        <w:rPr>
          <w:noProof/>
        </w:rPr>
        <w:t>7</w:t>
      </w:r>
      <w:r w:rsidR="00792F99">
        <w:fldChar w:fldCharType="end"/>
      </w:r>
      <w:r>
        <w:t>). It is also unclear whether and how TasNetworks utilised the load duration curves to directly set the thresholds between its peak and off-peak hours.</w:t>
      </w:r>
      <w:r>
        <w:rPr>
          <w:rStyle w:val="FootnoteReference"/>
        </w:rPr>
        <w:footnoteReference w:id="244"/>
      </w:r>
      <w:r>
        <w:t xml:space="preserve"> </w:t>
      </w:r>
    </w:p>
    <w:p w:rsidR="00316009" w:rsidRDefault="00316009" w:rsidP="00316009">
      <w:r>
        <w:t>If TasNetworks utilises load duration curves in setting charging windows in the future, we encourage TasNetworks to include a detailed description of its methods in future tariff structure statements.</w:t>
      </w:r>
    </w:p>
    <w:p w:rsidR="00316009" w:rsidRPr="00641FC2" w:rsidRDefault="00316009" w:rsidP="00316009">
      <w:pPr>
        <w:pStyle w:val="HeadingBoldItalic"/>
      </w:pPr>
      <w:r w:rsidRPr="00641FC2">
        <w:t>Developing an industry approach for charging windows</w:t>
      </w:r>
    </w:p>
    <w:p w:rsidR="00316009" w:rsidRPr="00641FC2" w:rsidRDefault="00316009" w:rsidP="00316009">
      <w:r w:rsidRPr="00641FC2">
        <w:t>The Energy Networks Association stated it will discuss with its members options f</w:t>
      </w:r>
      <w:r>
        <w:t>or developing charging windows.</w:t>
      </w:r>
      <w:r>
        <w:rPr>
          <w:rStyle w:val="FootnoteReference"/>
        </w:rPr>
        <w:footnoteReference w:id="245"/>
      </w:r>
      <w:r w:rsidRPr="00641FC2">
        <w:t xml:space="preserve"> </w:t>
      </w:r>
    </w:p>
    <w:p w:rsidR="00316009" w:rsidRPr="00641FC2" w:rsidRDefault="00316009" w:rsidP="00316009">
      <w:r w:rsidRPr="00641FC2">
        <w:t>We support the ENA’s initiative to consult with its members regarding methods for establishing charging windows. We consider it is a good opportunity for the industry to discuss and explore ways to improve methods for determining charging windows—including its place in the broad context of tariff reform. This could potentially lead to more rigorous and objective methods to setting charging windows. Distributors may then utilise findings from these discussions to refine their methods to suit their individual circumstance. This could in turn lead t</w:t>
      </w:r>
      <w:r>
        <w:t>o more cost reflective tariffs.</w:t>
      </w:r>
      <w:r>
        <w:rPr>
          <w:rStyle w:val="FootnoteReference"/>
        </w:rPr>
        <w:footnoteReference w:id="246"/>
      </w:r>
      <w:r w:rsidRPr="00641FC2">
        <w:t xml:space="preserve"> </w:t>
      </w:r>
    </w:p>
    <w:p w:rsidR="00316009" w:rsidRPr="00641FC2" w:rsidRDefault="00316009" w:rsidP="00316009">
      <w:r w:rsidRPr="00641FC2">
        <w:lastRenderedPageBreak/>
        <w:t xml:space="preserve">The ENA also stated to us it will discuss with its members the prospect of developing an ‘industry </w:t>
      </w:r>
      <w:r>
        <w:t>approach’ for charging windows.</w:t>
      </w:r>
      <w:r>
        <w:rPr>
          <w:rStyle w:val="FootnoteReference"/>
        </w:rPr>
        <w:footnoteReference w:id="247"/>
      </w:r>
      <w:r w:rsidRPr="00641FC2">
        <w:t xml:space="preserve"> This does not mean that all distributors would have the same charging windows. Rather, that a consistent analytical or conceptual approach is used to determine the charging windows specific t</w:t>
      </w:r>
      <w:r>
        <w:t>o each particular network.</w:t>
      </w:r>
      <w:r>
        <w:rPr>
          <w:rStyle w:val="FootnoteReference"/>
        </w:rPr>
        <w:footnoteReference w:id="248"/>
      </w:r>
    </w:p>
    <w:p w:rsidR="00316009" w:rsidRPr="00641FC2" w:rsidRDefault="00316009" w:rsidP="00316009">
      <w:r w:rsidRPr="00641FC2">
        <w:t>At this stage, it is unclear to us whether it is necessary, or even desirable, to develop an industry approach for charging windows. We acknowledge an industry approach has benefits. It could aid stakeholders to more easily understand the reasons for a distributor’s proposed charging windows, and the reasons for differences with other d</w:t>
      </w:r>
      <w:r>
        <w:t>istributors’ charging windows.</w:t>
      </w:r>
      <w:r>
        <w:rPr>
          <w:rStyle w:val="FootnoteReference"/>
        </w:rPr>
        <w:footnoteReference w:id="249"/>
      </w:r>
    </w:p>
    <w:p w:rsidR="00316009" w:rsidRPr="00641FC2" w:rsidRDefault="00316009" w:rsidP="00316009">
      <w:r w:rsidRPr="00641FC2">
        <w:t>On the other hand, adopting a common approach poses the risk of ‘settling’ into this approach and slowing innovation in this area. As moving from demand based to utilisation based approaches to determining charging windows would be new for most distributors, it may be useful for different distributors to innovate and adopt different methods. The strengths and weaknesses of these different methods could then be assessed at a later stage, with a common industry approach a potential longer term goal which is informed by these earlier innovations. An industry approach should therefore not dampen the incentive for individual distributors from innovating on methods to determine charging windows.</w:t>
      </w:r>
    </w:p>
    <w:p w:rsidR="00316009" w:rsidRDefault="00316009" w:rsidP="00316009">
      <w:r w:rsidRPr="00641FC2">
        <w:t>If the ENA and its members consider developing an industry approach is appropriate, they should also keep in mind the transitional nature of the tariff reform process. That is, distributors are at various stages of transition. We consider an industry approach, if developed and adopted, should have the flexibility to accommodate individual distributors’ circumstances as well as the dynamic nature of tariff reform.</w:t>
      </w:r>
    </w:p>
    <w:p w:rsidR="00316009" w:rsidRPr="001C3592" w:rsidRDefault="00316009" w:rsidP="00316009">
      <w:pPr>
        <w:pStyle w:val="Heading5"/>
      </w:pPr>
      <w:r w:rsidRPr="001C3592">
        <w:t>Charging windows</w:t>
      </w:r>
    </w:p>
    <w:p w:rsidR="00316009" w:rsidRPr="001C3592" w:rsidRDefault="00316009" w:rsidP="00316009">
      <w:r w:rsidRPr="001C3592">
        <w:t>Our suggestions on refining charging windows are specific to each distributor. This is because the distributors introduced various levels of reform to their charging windows in their revised tariff structure statements. In addition, they all have slightly different patterns of network utilisation. As examples, the improvements that we would expect to see in some of the distributors’ future tarif</w:t>
      </w:r>
      <w:r>
        <w:t>f structure statements include:</w:t>
      </w:r>
      <w:r>
        <w:rPr>
          <w:rStyle w:val="FootnoteReference"/>
        </w:rPr>
        <w:footnoteReference w:id="250"/>
      </w:r>
      <w:r w:rsidRPr="001C3592">
        <w:t xml:space="preserve"> </w:t>
      </w:r>
    </w:p>
    <w:p w:rsidR="00316009" w:rsidRPr="001C3592" w:rsidRDefault="00316009" w:rsidP="00316009">
      <w:pPr>
        <w:pStyle w:val="AERbulletlistfirststyle"/>
      </w:pPr>
      <w:r w:rsidRPr="001C3592">
        <w:t xml:space="preserve">Narrowing peak windows—Some stakeholders consider the peak window is too long, so customers have limited opportunity to access lower prices, and less incentive to respond to the peak price signal. We consider there is scope for distributors to narrow their peak hours to better target times of network congestion. For example, many networks show a narrower peak period in winter compared to </w:t>
      </w:r>
      <w:r w:rsidRPr="001C3592">
        <w:lastRenderedPageBreak/>
        <w:t>summer. These networks can consider introducing different peak hours for their winter and summer months.</w:t>
      </w:r>
    </w:p>
    <w:p w:rsidR="00316009" w:rsidRPr="001C3592" w:rsidRDefault="00316009" w:rsidP="00316009">
      <w:pPr>
        <w:pStyle w:val="AERbulletlistfirststyle"/>
      </w:pPr>
      <w:r w:rsidRPr="001C3592">
        <w:t xml:space="preserve">Introducing or expanding seasonal differences—Many networks exhibit highly seasonal demand patterns. As we noted earlier, many networks have narrower winter peak periods compared to summer. </w:t>
      </w:r>
      <w:r>
        <w:t xml:space="preserve">We note TasNetworks already incorporates seasonality for several tariffs. In particular, the charging windows for its high voltage and irrigation tariffs differ between summer and winter months (see </w:t>
      </w:r>
      <w:r w:rsidR="00DF3B7F">
        <w:fldChar w:fldCharType="begin"/>
      </w:r>
      <w:r w:rsidR="00DF3B7F">
        <w:instrText xml:space="preserve"> REF  _Ref477942502 \* Lower \h </w:instrText>
      </w:r>
      <w:r w:rsidR="00DF3B7F">
        <w:fldChar w:fldCharType="separate"/>
      </w:r>
      <w:r w:rsidR="00F52FCD">
        <w:t xml:space="preserve">table </w:t>
      </w:r>
      <w:r w:rsidR="00F52FCD">
        <w:rPr>
          <w:noProof/>
        </w:rPr>
        <w:t>19</w:t>
      </w:r>
      <w:r w:rsidR="00F52FCD">
        <w:t>.</w:t>
      </w:r>
      <w:r w:rsidR="00F52FCD">
        <w:rPr>
          <w:noProof/>
        </w:rPr>
        <w:t>16</w:t>
      </w:r>
      <w:r w:rsidR="00DF3B7F">
        <w:fldChar w:fldCharType="end"/>
      </w:r>
      <w:r>
        <w:t xml:space="preserve"> and </w:t>
      </w:r>
      <w:r w:rsidR="00DF3B7F">
        <w:fldChar w:fldCharType="begin"/>
      </w:r>
      <w:r w:rsidR="00DF3B7F">
        <w:instrText xml:space="preserve"> REF  _Ref478569246 \* Lower \h </w:instrText>
      </w:r>
      <w:r w:rsidR="00DF3B7F">
        <w:fldChar w:fldCharType="separate"/>
      </w:r>
      <w:r w:rsidR="00F52FCD">
        <w:t xml:space="preserve">table </w:t>
      </w:r>
      <w:r w:rsidR="00F52FCD">
        <w:rPr>
          <w:noProof/>
        </w:rPr>
        <w:t>19</w:t>
      </w:r>
      <w:r w:rsidR="00F52FCD">
        <w:t>.</w:t>
      </w:r>
      <w:r w:rsidR="00F52FCD">
        <w:rPr>
          <w:noProof/>
        </w:rPr>
        <w:t>14</w:t>
      </w:r>
      <w:r w:rsidR="00DF3B7F">
        <w:fldChar w:fldCharType="end"/>
      </w:r>
      <w:r>
        <w:t>). This reflects the winter peaking nature of TasNetworks' network (see</w:t>
      </w:r>
      <w:r w:rsidR="00792F99">
        <w:t xml:space="preserve"> </w:t>
      </w:r>
      <w:r w:rsidR="00792F99">
        <w:fldChar w:fldCharType="begin"/>
      </w:r>
      <w:r w:rsidR="00792F99">
        <w:instrText xml:space="preserve"> REF  _Ref479010052 \* Lower \h </w:instrText>
      </w:r>
      <w:r w:rsidR="00792F99">
        <w:fldChar w:fldCharType="separate"/>
      </w:r>
      <w:r w:rsidR="00F52FCD">
        <w:t xml:space="preserve">figure </w:t>
      </w:r>
      <w:r w:rsidR="00F52FCD">
        <w:rPr>
          <w:noProof/>
        </w:rPr>
        <w:t>19</w:t>
      </w:r>
      <w:r w:rsidR="00F52FCD">
        <w:t>.</w:t>
      </w:r>
      <w:r w:rsidR="00F52FCD">
        <w:rPr>
          <w:noProof/>
        </w:rPr>
        <w:t>4</w:t>
      </w:r>
      <w:r w:rsidR="00792F99">
        <w:fldChar w:fldCharType="end"/>
      </w:r>
      <w:r>
        <w:t>). On the other hand, TasNetworks does not apply seasonality to its small low voltage and residential time of use tariffs. We encourage TasNetworks to investigate whether it can extend seasonality of charging windows to these other tariffs.</w:t>
      </w:r>
      <w:r>
        <w:br/>
      </w:r>
      <w:r>
        <w:br/>
        <w:t>Further</w:t>
      </w:r>
      <w:r w:rsidRPr="001C3592">
        <w:t xml:space="preserve">, </w:t>
      </w:r>
      <w:r>
        <w:t>many</w:t>
      </w:r>
      <w:r w:rsidRPr="001C3592">
        <w:t xml:space="preserve"> distributors are summer-peaking and/or winter-peaking</w:t>
      </w:r>
      <w:r>
        <w:t xml:space="preserve"> and </w:t>
      </w:r>
      <w:r w:rsidRPr="001C3592">
        <w:t xml:space="preserve">show a marked decrease in demand levels in non-summer and non-winter months. These networks can potentially remove peak hours during those non-summer and non-winter months and only include </w:t>
      </w:r>
      <w:r>
        <w:t>shoulder and off-peak periods.</w:t>
      </w:r>
      <w:r>
        <w:rPr>
          <w:rStyle w:val="FootnoteReference"/>
        </w:rPr>
        <w:footnoteReference w:id="251"/>
      </w:r>
      <w:r>
        <w:t xml:space="preserve"> TasNetworks' summer and winter periods encompass the entire year (see </w:t>
      </w:r>
      <w:r w:rsidR="00792F99">
        <w:fldChar w:fldCharType="begin"/>
      </w:r>
      <w:r w:rsidR="00792F99">
        <w:instrText xml:space="preserve"> REF  _Ref477942502 \* Lower \h </w:instrText>
      </w:r>
      <w:r w:rsidR="00792F99">
        <w:fldChar w:fldCharType="separate"/>
      </w:r>
      <w:r w:rsidR="00F52FCD">
        <w:t xml:space="preserve">table </w:t>
      </w:r>
      <w:r w:rsidR="00F52FCD">
        <w:rPr>
          <w:noProof/>
        </w:rPr>
        <w:t>19</w:t>
      </w:r>
      <w:r w:rsidR="00F52FCD">
        <w:t>.</w:t>
      </w:r>
      <w:r w:rsidR="00F52FCD">
        <w:rPr>
          <w:noProof/>
        </w:rPr>
        <w:t>16</w:t>
      </w:r>
      <w:r w:rsidR="00792F99">
        <w:fldChar w:fldCharType="end"/>
      </w:r>
      <w:r>
        <w:t>). We encourage TasNetworks to investigate whether it can refine the way it applies seasonality to its tariffs. For example, TasNetworks can investigate whether demand levels in the 'official' summer months (December to February inclusive) and winter months (June to August inclusive) differ significantly from levels in other months. TasNetworks may then be able to refine the way it applies seasonality in its charging windows.</w:t>
      </w:r>
    </w:p>
    <w:p w:rsidR="00B61C42" w:rsidRPr="00B61C42" w:rsidRDefault="00316009" w:rsidP="00B61C42">
      <w:pPr>
        <w:pStyle w:val="AERbulletlistfirststyle"/>
      </w:pPr>
      <w:r w:rsidRPr="001C3592">
        <w:t>Introducing locational differences within a network—Currently, most charging windows are based on system wide network data. However, this can mask important regional differences within a network. For example, a network might be summer peaking overall, but contain alpine regions which are winter peaking. In these cases, different charging windows could be applied to the alpine and non-alpine regions. Alternatively, regions within a network which are dominated by residential demand might have very different load characteristics to regions which are dominated by large industrial demand. Distributors should consider whether there is a case for regional differences in their charging windows.</w:t>
      </w:r>
      <w:r>
        <w:br/>
      </w:r>
      <w:r>
        <w:br/>
        <w:t>We understand jurisdictional obligations require TasNetworks to offer the same tariffs to small customers regardless of their location.</w:t>
      </w:r>
      <w:r>
        <w:rPr>
          <w:rStyle w:val="FootnoteReference"/>
        </w:rPr>
        <w:footnoteReference w:id="252"/>
      </w:r>
      <w:r>
        <w:t xml:space="preserve"> We encourage TasNetworks to explore the region-based pricing for customers that fall outside of these jurisdictional obligations.</w:t>
      </w:r>
    </w:p>
    <w:p w:rsidR="00132D43" w:rsidRDefault="007863D9" w:rsidP="00132D43">
      <w:pPr>
        <w:pStyle w:val="Heading7"/>
      </w:pPr>
      <w:bookmarkStart w:id="126" w:name="_Ref477280113"/>
      <w:bookmarkStart w:id="127" w:name="_Ref477280126"/>
      <w:bookmarkStart w:id="128" w:name="_Toc481061359"/>
      <w:r>
        <w:lastRenderedPageBreak/>
        <w:t>Background of tariff structure statements</w:t>
      </w:r>
      <w:bookmarkEnd w:id="126"/>
      <w:bookmarkEnd w:id="127"/>
      <w:bookmarkEnd w:id="128"/>
    </w:p>
    <w:p w:rsidR="007863D9" w:rsidRPr="00DF3A1B" w:rsidRDefault="007863D9" w:rsidP="007863D9">
      <w:r w:rsidRPr="00DF3A1B">
        <w:t>The requirement on distributors to prepare a tariff structure statement arises from a long process of reform to the NER governing distribution network pricing. The purpose of the reforms is to empower consumers to make informed choices by:</w:t>
      </w:r>
    </w:p>
    <w:p w:rsidR="007863D9" w:rsidRPr="00DF3A1B" w:rsidRDefault="007863D9" w:rsidP="007863D9">
      <w:pPr>
        <w:pStyle w:val="AERbulletlistfirststyle"/>
      </w:pPr>
      <w:r w:rsidRPr="00DF3A1B">
        <w:t>Providing better price signals—tariffs that reflect what it costs to use electricity at different times so that customers can make informed decisions to better manage their bills.</w:t>
      </w:r>
    </w:p>
    <w:p w:rsidR="007863D9" w:rsidRPr="00DF3A1B" w:rsidRDefault="007863D9" w:rsidP="007863D9">
      <w:pPr>
        <w:pStyle w:val="AERbulletlistfirststyle"/>
      </w:pPr>
      <w:r w:rsidRPr="00DF3A1B">
        <w:t>Transitioning to greater cost reflectivity—requiring distributors to explicitly consider the impacts of tariff changes on customers, and engaging with customers</w:t>
      </w:r>
      <w:r w:rsidR="009B1CB5">
        <w:t xml:space="preserve">, customer </w:t>
      </w:r>
      <w:r w:rsidRPr="00DF3A1B">
        <w:t>representatives and retailers in developing</w:t>
      </w:r>
      <w:r w:rsidR="009B1CB5">
        <w:t xml:space="preserve"> network</w:t>
      </w:r>
      <w:r w:rsidRPr="00DF3A1B">
        <w:t xml:space="preserve"> tariff proposals over time.</w:t>
      </w:r>
    </w:p>
    <w:p w:rsidR="009B1CB5" w:rsidRPr="00232B01" w:rsidRDefault="009B1CB5" w:rsidP="009B1CB5">
      <w:pPr>
        <w:pStyle w:val="AERbulletlistfirststyle"/>
      </w:pPr>
      <w:r w:rsidRPr="00991454">
        <w:t>Managing future expectations—providing guidance for retailers, customers and suppliers of services such as local generation, batteries and demand management by setting out the distributor's tariff approa</w:t>
      </w:r>
      <w:r>
        <w:t>ches for a set period of time</w:t>
      </w:r>
      <w:r w:rsidRPr="00232B01">
        <w:t>.</w:t>
      </w:r>
    </w:p>
    <w:p w:rsidR="007863D9" w:rsidRPr="00DF3A1B" w:rsidRDefault="007863D9" w:rsidP="007863D9">
      <w:pPr>
        <w:pStyle w:val="HeadingBoldBlue"/>
      </w:pPr>
      <w:r w:rsidRPr="00DF3A1B">
        <w:t>Why is network tariff reform important?</w:t>
      </w:r>
    </w:p>
    <w:p w:rsidR="009B1CB5" w:rsidRPr="001B46EF" w:rsidRDefault="009B1CB5" w:rsidP="009B1CB5">
      <w:r w:rsidRPr="001B46EF">
        <w:t xml:space="preserve">Distribution tariffs historically have not varied according to the time when electricity is used. But distribution costs </w:t>
      </w:r>
      <w:r>
        <w:t>are significantly driven by</w:t>
      </w:r>
      <w:r w:rsidRPr="001B46EF">
        <w:t xml:space="preserve"> the </w:t>
      </w:r>
      <w:r>
        <w:t>peak</w:t>
      </w:r>
      <w:r w:rsidRPr="001B46EF">
        <w:t xml:space="preserve"> demand the network must cater for at time</w:t>
      </w:r>
      <w:r>
        <w:t>s of congestion on the network</w:t>
      </w:r>
      <w:r w:rsidRPr="001B46EF">
        <w:t xml:space="preserve">. This means </w:t>
      </w:r>
      <w:r>
        <w:t xml:space="preserve">the structure of </w:t>
      </w:r>
      <w:r w:rsidRPr="001B46EF">
        <w:t xml:space="preserve">existing network tariffs don't reflect network costs. Most existing </w:t>
      </w:r>
      <w:r>
        <w:t xml:space="preserve">retail </w:t>
      </w:r>
      <w:r w:rsidRPr="001B46EF">
        <w:t>tariffs send price signals that don't inform customers about the costs imposed on distribution networks in peak demand periods.</w:t>
      </w:r>
    </w:p>
    <w:p w:rsidR="009B1CB5" w:rsidRPr="001B46EF" w:rsidRDefault="009B1CB5" w:rsidP="009B1CB5">
      <w:r w:rsidRPr="001B46EF">
        <w:t xml:space="preserve">Lifestyle changes, including </w:t>
      </w:r>
      <w:r>
        <w:t xml:space="preserve">the </w:t>
      </w:r>
      <w:r w:rsidRPr="001B46EF">
        <w:t>use of air conditioners</w:t>
      </w:r>
      <w:r>
        <w:t xml:space="preserve"> during hot summer periods</w:t>
      </w:r>
      <w:r w:rsidRPr="001B46EF">
        <w:t xml:space="preserve">, means </w:t>
      </w:r>
      <w:r>
        <w:t>customer</w:t>
      </w:r>
      <w:r w:rsidRPr="001B46EF">
        <w:t xml:space="preserve">s now use relatively more of their electricity at peak times, even if overall energy consumption has declined. Network costs have increased </w:t>
      </w:r>
      <w:r>
        <w:t xml:space="preserve">over the last decade </w:t>
      </w:r>
      <w:r w:rsidRPr="001B46EF">
        <w:t xml:space="preserve">as distributors invest in additional infrastructure upgrades to meet the higher peak demand. This increased investment has been a factor driving electricity price rises in the </w:t>
      </w:r>
      <w:r>
        <w:t>last decade</w:t>
      </w:r>
      <w:r w:rsidRPr="001B46EF">
        <w:t>.</w:t>
      </w:r>
      <w:r>
        <w:rPr>
          <w:rStyle w:val="FootnoteReference"/>
        </w:rPr>
        <w:footnoteReference w:id="253"/>
      </w:r>
    </w:p>
    <w:p w:rsidR="009B1CB5" w:rsidRDefault="009B1CB5" w:rsidP="009B1CB5">
      <w:r>
        <w:t xml:space="preserve">Given that there is far greater diversity today in how customers use electricity, it is important for customers to understand the value of their choices. </w:t>
      </w:r>
      <w:r w:rsidRPr="001B46EF">
        <w:t xml:space="preserve">Moving to </w:t>
      </w:r>
      <w:r>
        <w:t xml:space="preserve">network </w:t>
      </w:r>
      <w:r w:rsidRPr="001B46EF">
        <w:t xml:space="preserve">tariffs that reflect electricity use during peak demand periods will make </w:t>
      </w:r>
      <w:r>
        <w:t xml:space="preserve">electricity </w:t>
      </w:r>
      <w:r w:rsidRPr="001B46EF">
        <w:t>pricing more transparent.</w:t>
      </w:r>
    </w:p>
    <w:p w:rsidR="009B1CB5" w:rsidRDefault="009B1CB5" w:rsidP="009B1CB5">
      <w:r>
        <w:t xml:space="preserve">As such, cost reflective pricing means the network tariffs retailers pay more accurately reflect the way electricity is used by customers. Retailers whose customers </w:t>
      </w:r>
      <w:r w:rsidRPr="001B46EF">
        <w:t xml:space="preserve">use electricity at peak times </w:t>
      </w:r>
      <w:r>
        <w:t xml:space="preserve">should </w:t>
      </w:r>
      <w:r w:rsidRPr="001B46EF">
        <w:t xml:space="preserve">pay rates better reflecting the costs created by their use. </w:t>
      </w:r>
      <w:r>
        <w:t xml:space="preserve">Customers </w:t>
      </w:r>
      <w:r w:rsidRPr="001B46EF">
        <w:t xml:space="preserve">who use less </w:t>
      </w:r>
      <w:r>
        <w:t xml:space="preserve">electricity </w:t>
      </w:r>
      <w:r w:rsidRPr="001B46EF">
        <w:t xml:space="preserve">in peak demand periods and more at other </w:t>
      </w:r>
      <w:r w:rsidRPr="001B46EF">
        <w:lastRenderedPageBreak/>
        <w:t xml:space="preserve">times </w:t>
      </w:r>
      <w:r>
        <w:t xml:space="preserve">should </w:t>
      </w:r>
      <w:r w:rsidRPr="001B46EF">
        <w:t>benefit from lower network prices during non–peak times</w:t>
      </w:r>
      <w:r>
        <w:t xml:space="preserve"> by their retailer offering them lower retail prices during these times</w:t>
      </w:r>
      <w:r w:rsidRPr="001B46EF">
        <w:t>. And</w:t>
      </w:r>
      <w:r>
        <w:t xml:space="preserve"> if customers are given the opportunity to respond to these price signals by their retailer,</w:t>
      </w:r>
      <w:r w:rsidRPr="001B46EF">
        <w:t xml:space="preserve"> network investment requirements will be lower than they otherwise would be</w:t>
      </w:r>
      <w:r>
        <w:t>. This reduces</w:t>
      </w:r>
      <w:r w:rsidRPr="001B46EF">
        <w:t xml:space="preserve"> upwards pressure on electricity prices for everyone</w:t>
      </w:r>
      <w:r>
        <w:t>.</w:t>
      </w:r>
    </w:p>
    <w:p w:rsidR="009B1CB5" w:rsidRDefault="009B1CB5" w:rsidP="009B1CB5">
      <w:pPr>
        <w:pStyle w:val="HeadingBoldBlue"/>
      </w:pPr>
      <w:r>
        <w:t>What are the key concepts to understand?</w:t>
      </w:r>
    </w:p>
    <w:p w:rsidR="009B1CB5" w:rsidRDefault="009B1CB5" w:rsidP="009B1CB5">
      <w:r>
        <w:t>This final decision incorporates concepts which may be unfamiliar to some readers. In this section we provide descriptions of the more commonly used concepts. Readers familiar with electricity network regulation and terminology may choose to skip to the next section.</w:t>
      </w:r>
    </w:p>
    <w:p w:rsidR="009B1CB5" w:rsidRDefault="009B1CB5" w:rsidP="009B1CB5">
      <w:pPr>
        <w:pStyle w:val="HeadingBoldItalic"/>
      </w:pPr>
      <w:r>
        <w:t>Difference between demand and consumption</w:t>
      </w:r>
    </w:p>
    <w:p w:rsidR="009B1CB5" w:rsidRDefault="009B1CB5" w:rsidP="009B1CB5">
      <w:r w:rsidRPr="00B31943">
        <w:t xml:space="preserve">Electricity consumption is the total amount of electricity consumed (used) over a period of time. For example, a typical Australian household might use </w:t>
      </w:r>
      <w:r>
        <w:t>between 5,000kWh to 6</w:t>
      </w:r>
      <w:r w:rsidRPr="00B31943">
        <w:t>,000 kWh of electricity over 12 months.</w:t>
      </w:r>
      <w:r w:rsidRPr="00B31943">
        <w:rPr>
          <w:rStyle w:val="FootnoteReference"/>
        </w:rPr>
        <w:footnoteReference w:id="254"/>
      </w:r>
      <w:r w:rsidRPr="00B31943">
        <w:t xml:space="preserve"> Demand means the amount of electricity used at a single point in time. Peak demand is the maximum amount of electricity used at a single point in time over a defined time period, often a day or a year. A typical Australian household might have its yearly peak demand of </w:t>
      </w:r>
      <w:r>
        <w:t>around 5</w:t>
      </w:r>
      <w:r w:rsidRPr="00B31943">
        <w:t>kW, either on a hot summer afternoon when air conditioning is used, or on a winter evening when electric heating is used.</w:t>
      </w:r>
      <w:r w:rsidRPr="00B31943">
        <w:rPr>
          <w:rStyle w:val="FootnoteReference"/>
        </w:rPr>
        <w:footnoteReference w:id="255"/>
      </w:r>
      <w:r w:rsidRPr="00B31943">
        <w:t xml:space="preserve"> That is, the household's annual peak dema</w:t>
      </w:r>
      <w:r>
        <w:t>nd is 5</w:t>
      </w:r>
      <w:r w:rsidRPr="00B31943">
        <w:t>kW</w:t>
      </w:r>
      <w:r>
        <w:t>.</w:t>
      </w:r>
    </w:p>
    <w:p w:rsidR="009B1CB5" w:rsidRPr="00232B01" w:rsidRDefault="009B1CB5" w:rsidP="009B1CB5">
      <w:pPr>
        <w:rPr>
          <w:rStyle w:val="AERbody"/>
        </w:rPr>
      </w:pPr>
      <w:r w:rsidRPr="00B31943">
        <w:t>A good analogy for electricity consumption compared to electricity demand is a river flowing under a bridge. Annual electricity consumption is equivalent to the total water volume flowing under the bridge during a year. Electricity demand is equivalent to the volume of water under the bridge at a single point in time. Peak electricity demand is equivalent to the time when the largest volume of water is flowing under the bridge.</w:t>
      </w:r>
    </w:p>
    <w:p w:rsidR="009B1CB5" w:rsidRDefault="009B1CB5" w:rsidP="009B1CB5">
      <w:pPr>
        <w:pStyle w:val="HeadingBoldItalic"/>
      </w:pPr>
      <w:r>
        <w:t>Long run marginal cost and residual costs</w:t>
      </w:r>
    </w:p>
    <w:p w:rsidR="009B1CB5" w:rsidRPr="00AA6516" w:rsidRDefault="009B1CB5" w:rsidP="009B1CB5">
      <w:r w:rsidRPr="00AA6516">
        <w:t>An important feature of this draft decision is the concept of long run marginal cost. Long run marginal cost is equivalent to the forward looking cost of a distributor providing one more unit of service, measured over a period of time sufficient for all factors of production to be varied.</w:t>
      </w:r>
      <w:r>
        <w:t xml:space="preserve"> </w:t>
      </w:r>
      <w:r w:rsidRPr="00AA6516">
        <w:t xml:space="preserve"> Long run marginal cost could also be described as a distributor's forward looking costs that are responsive to changes in electricity </w:t>
      </w:r>
      <w:r>
        <w:t>demand</w:t>
      </w:r>
      <w:r w:rsidRPr="00AA6516">
        <w:t xml:space="preserve">. </w:t>
      </w:r>
      <w:r>
        <w:t>This could include replacement of fixed assets at the end of their economic life.</w:t>
      </w:r>
    </w:p>
    <w:p w:rsidR="009B1CB5" w:rsidRDefault="009B1CB5" w:rsidP="009B1CB5">
      <w:pPr>
        <w:rPr>
          <w:rStyle w:val="AERbody"/>
        </w:rPr>
      </w:pPr>
      <w:r w:rsidRPr="00AA6516">
        <w:lastRenderedPageBreak/>
        <w:t xml:space="preserve">The </w:t>
      </w:r>
      <w:r w:rsidR="00436AB8">
        <w:t>NER</w:t>
      </w:r>
      <w:r w:rsidRPr="00AA6516">
        <w:t xml:space="preserve"> require network tariffs to be based on long run marginal cost.</w:t>
      </w:r>
      <w:r>
        <w:rPr>
          <w:rStyle w:val="FootnoteReference"/>
        </w:rPr>
        <w:footnoteReference w:id="256"/>
      </w:r>
      <w:r w:rsidRPr="00AA6516">
        <w:t xml:space="preserve"> However, not all of a distributor's costs are forward looking and responsive to changes in electricity </w:t>
      </w:r>
      <w:r>
        <w:t>demand</w:t>
      </w:r>
      <w:r w:rsidRPr="00AA6516">
        <w:t xml:space="preserve">. Hence, if network tariffs only reflected long run marginal cost, distributors would not recover all their costs. Costs not covered by a distributor's long run marginal cost are called 'residual costs'. The </w:t>
      </w:r>
      <w:r w:rsidR="00436AB8">
        <w:t>NER</w:t>
      </w:r>
      <w:r w:rsidRPr="00AA6516">
        <w:t xml:space="preserve"> require network tariffs to recover residual costs in a way that minimises distortions to the price signals for efficient usage that would result from tariffs reflecting only long run marginal costs.</w:t>
      </w:r>
      <w:r w:rsidRPr="00AA6516">
        <w:rPr>
          <w:rStyle w:val="FootnoteReference"/>
        </w:rPr>
        <w:footnoteReference w:id="257"/>
      </w:r>
    </w:p>
    <w:p w:rsidR="009B1CB5" w:rsidRDefault="009B1CB5" w:rsidP="009B1CB5">
      <w:pPr>
        <w:pStyle w:val="HeadingBoldItalic"/>
      </w:pPr>
      <w:r>
        <w:t>Types of network tariffs</w:t>
      </w:r>
    </w:p>
    <w:p w:rsidR="009B1CB5" w:rsidRPr="00A53EFE" w:rsidRDefault="009B1CB5" w:rsidP="009B1CB5">
      <w:r w:rsidRPr="00A53EFE">
        <w:t xml:space="preserve">A network ’tariff’ is the combination of charges </w:t>
      </w:r>
      <w:r>
        <w:t>that are billed to a c</w:t>
      </w:r>
      <w:r w:rsidRPr="00A53EFE">
        <w:t>ustomer</w:t>
      </w:r>
      <w:r>
        <w:t>’s</w:t>
      </w:r>
      <w:r w:rsidRPr="00A53EFE">
        <w:t xml:space="preserve"> </w:t>
      </w:r>
      <w:r>
        <w:t xml:space="preserve">retailer </w:t>
      </w:r>
      <w:r w:rsidRPr="00A53EFE">
        <w:t xml:space="preserve">in return for </w:t>
      </w:r>
      <w:r>
        <w:t xml:space="preserve">the distributor providing </w:t>
      </w:r>
      <w:r w:rsidRPr="00A53EFE">
        <w:t>network services</w:t>
      </w:r>
      <w:r>
        <w:t xml:space="preserve"> to that customer</w:t>
      </w:r>
      <w:r w:rsidRPr="00A53EFE">
        <w:t xml:space="preserve">. Historically, most </w:t>
      </w:r>
      <w:r>
        <w:t xml:space="preserve">residential and </w:t>
      </w:r>
      <w:r w:rsidRPr="00A53EFE">
        <w:t xml:space="preserve">small </w:t>
      </w:r>
      <w:r>
        <w:t xml:space="preserve">business </w:t>
      </w:r>
      <w:r w:rsidRPr="00A53EFE">
        <w:t xml:space="preserve">customers in Australia have been on either a flat tariff or a block tariff (tiered pricing): </w:t>
      </w:r>
    </w:p>
    <w:p w:rsidR="009B1CB5" w:rsidRPr="00A53EFE" w:rsidRDefault="009B1CB5" w:rsidP="009B1CB5">
      <w:pPr>
        <w:pStyle w:val="AERbulletlistfirststyle"/>
      </w:pPr>
      <w:r w:rsidRPr="00F17E05">
        <w:rPr>
          <w:rStyle w:val="Bold"/>
        </w:rPr>
        <w:t>Flat tariff</w:t>
      </w:r>
      <w:r w:rsidRPr="00A53EFE">
        <w:t xml:space="preserve">—usually consists of a fixed charge and flat usage charge. That is, usage is charged the same price </w:t>
      </w:r>
      <w:r>
        <w:t xml:space="preserve">per unit of electricity consumed </w:t>
      </w:r>
      <w:r w:rsidRPr="00A53EFE">
        <w:t>no matter how much electricity the customer uses.</w:t>
      </w:r>
    </w:p>
    <w:p w:rsidR="009B1CB5" w:rsidRPr="00A53EFE" w:rsidRDefault="009B1CB5" w:rsidP="009B1CB5">
      <w:pPr>
        <w:pStyle w:val="AERbulletlistfirststyle"/>
      </w:pPr>
      <w:r w:rsidRPr="00F17E05">
        <w:rPr>
          <w:rStyle w:val="Bold"/>
        </w:rPr>
        <w:t>Inclining block tariff</w:t>
      </w:r>
      <w:r w:rsidRPr="00A53EFE">
        <w:t xml:space="preserve">—usually consists of a fixed charge and a series of block charges where the price </w:t>
      </w:r>
      <w:r>
        <w:t xml:space="preserve">per unit of electricity consumed </w:t>
      </w:r>
      <w:r w:rsidRPr="00A53EFE">
        <w:t>changes depending on the size of the customer's total consumption. The first consumption block is charged the lowest price, and each successive block of consumption is charged at higher rate</w:t>
      </w:r>
      <w:r>
        <w:t>s</w:t>
      </w:r>
      <w:r w:rsidRPr="00A53EFE">
        <w:t>.</w:t>
      </w:r>
    </w:p>
    <w:p w:rsidR="009B1CB5" w:rsidRPr="00A53EFE" w:rsidRDefault="009B1CB5" w:rsidP="009B1CB5">
      <w:pPr>
        <w:pStyle w:val="AERbulletlistfirststyle"/>
      </w:pPr>
      <w:r w:rsidRPr="00F17E05">
        <w:rPr>
          <w:rStyle w:val="Bold"/>
        </w:rPr>
        <w:t>Declining block tariff</w:t>
      </w:r>
      <w:r w:rsidRPr="00A53EFE">
        <w:t xml:space="preserve">—usually consists of a fixed charge and a series of block charges where the price </w:t>
      </w:r>
      <w:r>
        <w:t xml:space="preserve">per unit of electricity consumed </w:t>
      </w:r>
      <w:r w:rsidRPr="00A53EFE">
        <w:t>changes depending on the size of the customer's total consumption. The first consumption block is charged the highest price, and each successive block of consumption is charged at lower rate</w:t>
      </w:r>
      <w:r>
        <w:t>s</w:t>
      </w:r>
      <w:r w:rsidRPr="00A53EFE">
        <w:t>. A declining block tariff is the reverse of an inclining block tariff.</w:t>
      </w:r>
    </w:p>
    <w:p w:rsidR="009B1CB5" w:rsidRDefault="009B1CB5" w:rsidP="009B1CB5">
      <w:r w:rsidRPr="00A53EFE">
        <w:t xml:space="preserve">Flat tariffs or inclining block tariffs are relatively common. Declining block tariffs are </w:t>
      </w:r>
      <w:r>
        <w:t xml:space="preserve">now </w:t>
      </w:r>
      <w:r w:rsidRPr="00A53EFE">
        <w:t>relatively uncommon</w:t>
      </w:r>
      <w:r>
        <w:t xml:space="preserve"> in most jurisdictions</w:t>
      </w:r>
      <w:r w:rsidRPr="00A53EFE">
        <w:t>.</w:t>
      </w:r>
      <w:r>
        <w:t xml:space="preserve"> Neither flat tariffs nor block tariffs are cost reflective. As explained above, network costs are largely driven by consumption during peak demand periods, with electricity consumption during off-peak periods relatively inexpensive to provide. However, the tariff structures of flat and block tariffs are unrelated to whether the customer is consuming electricity during peak or off-peak periods.</w:t>
      </w:r>
    </w:p>
    <w:p w:rsidR="009B1CB5" w:rsidRPr="00A53EFE" w:rsidRDefault="009B1CB5" w:rsidP="009B1CB5">
      <w:r>
        <w:t>In contrast, time-of-use tariffs, demand tariffs and critical peak pricing are all more cost reflective forms of network tariffs. This is because the tariff structures are related to whether the customer is consuming electricity during peak or off-peak periods. Each of these tariffs is explained further below.</w:t>
      </w:r>
    </w:p>
    <w:p w:rsidR="009B1CB5" w:rsidRPr="00A53EFE" w:rsidRDefault="009B1CB5" w:rsidP="009B1CB5">
      <w:r w:rsidRPr="00A53EFE">
        <w:lastRenderedPageBreak/>
        <w:t xml:space="preserve">A </w:t>
      </w:r>
      <w:r>
        <w:rPr>
          <w:rStyle w:val="Bold"/>
        </w:rPr>
        <w:t>time-of-use</w:t>
      </w:r>
      <w:r w:rsidRPr="001E106D">
        <w:rPr>
          <w:rStyle w:val="Bold"/>
        </w:rPr>
        <w:t xml:space="preserve"> (TOU) tariff</w:t>
      </w:r>
      <w:r>
        <w:rPr>
          <w:rStyle w:val="Bold"/>
        </w:rPr>
        <w:t xml:space="preserve"> </w:t>
      </w:r>
      <w:r w:rsidRPr="00A53EFE">
        <w:t xml:space="preserve">usually also </w:t>
      </w:r>
      <w:r>
        <w:t>has</w:t>
      </w:r>
      <w:r w:rsidRPr="00A53EFE">
        <w:t xml:space="preserve"> a </w:t>
      </w:r>
      <w:r>
        <w:t xml:space="preserve">combination of </w:t>
      </w:r>
      <w:r w:rsidRPr="00A53EFE">
        <w:t xml:space="preserve">fixed </w:t>
      </w:r>
      <w:r>
        <w:t>and usage charges (similar to flat and block tariffs)</w:t>
      </w:r>
      <w:r w:rsidRPr="00A53EFE">
        <w:t xml:space="preserve">. </w:t>
      </w:r>
      <w:r>
        <w:t>The difference is that time-of-use</w:t>
      </w:r>
      <w:r w:rsidRPr="00A53EFE">
        <w:t xml:space="preserve"> tariffs apply a different </w:t>
      </w:r>
      <w:r>
        <w:t xml:space="preserve">usage charge </w:t>
      </w:r>
      <w:r w:rsidRPr="00A53EFE">
        <w:t xml:space="preserve">depending on when the customer consumes electricity. A </w:t>
      </w:r>
      <w:r>
        <w:t>time-of-use</w:t>
      </w:r>
      <w:r w:rsidRPr="00A53EFE">
        <w:t xml:space="preserve"> tariff will have defined charging windows when different rates apply. These charging windows might be labelled the 'peak' window, 'shoulder' window, and 'off-peak' window. The highest usage rate applies to consumption during the peak window, and the lowest usage rate applies to consumption during the off-peak window.</w:t>
      </w:r>
    </w:p>
    <w:p w:rsidR="009B1CB5" w:rsidRPr="00A53EFE" w:rsidRDefault="009B1CB5" w:rsidP="009B1CB5">
      <w:r w:rsidRPr="00A53EFE">
        <w:t xml:space="preserve">A </w:t>
      </w:r>
      <w:r w:rsidRPr="001E106D">
        <w:rPr>
          <w:rStyle w:val="Bold"/>
        </w:rPr>
        <w:t>demand tariff</w:t>
      </w:r>
      <w:r w:rsidRPr="00A53EFE">
        <w:t xml:space="preserve"> includes a charge based on the customer's highest measured demand during </w:t>
      </w:r>
      <w:r>
        <w:t xml:space="preserve">a specified period of time (e.g. over </w:t>
      </w:r>
      <w:r w:rsidRPr="00A53EFE">
        <w:t>the billing period</w:t>
      </w:r>
      <w:r>
        <w:t>)</w:t>
      </w:r>
      <w:r w:rsidRPr="00A53EFE">
        <w:t xml:space="preserve">. Often, demand charges will be limited to the highest demand measured during </w:t>
      </w:r>
      <w:r>
        <w:t xml:space="preserve">peak </w:t>
      </w:r>
      <w:r w:rsidRPr="00A53EFE">
        <w:t xml:space="preserve">charging windows. Typically, charging windows will coincide with the peak demand times for the whole network or for specific customer types (e.g. residential or small business customers). Demand tariffs </w:t>
      </w:r>
      <w:r>
        <w:t>may</w:t>
      </w:r>
      <w:r w:rsidRPr="00A53EFE">
        <w:t xml:space="preserve"> also include fixed charges and usage charges. </w:t>
      </w:r>
    </w:p>
    <w:p w:rsidR="009B1CB5" w:rsidRPr="00A53EFE" w:rsidRDefault="009B1CB5" w:rsidP="009B1CB5">
      <w:r w:rsidRPr="00566731">
        <w:rPr>
          <w:rStyle w:val="Bold"/>
        </w:rPr>
        <w:t>Critical peak pricing</w:t>
      </w:r>
      <w:r w:rsidRPr="00A53EFE">
        <w:t xml:space="preserve"> is another tariff variant</w:t>
      </w:r>
      <w:r>
        <w:t xml:space="preserve"> and an example of more dynamic tariffs</w:t>
      </w:r>
      <w:r w:rsidRPr="00A53EFE">
        <w:t xml:space="preserve">. Under this approach a distributor can specify periods of critical network peak demand, and will set prices particularly high for any demand or consumption that occurs during the specified critical peak event. This approach is generally in use currently only for </w:t>
      </w:r>
      <w:r>
        <w:t xml:space="preserve">certain larger business customers who </w:t>
      </w:r>
      <w:r w:rsidRPr="00A53EFE">
        <w:t>can moderate consumption (e.g. by shutting down part of a production line) or use their own generation assets as a substitute for network electricity.</w:t>
      </w:r>
    </w:p>
    <w:p w:rsidR="009B1CB5" w:rsidRPr="00A53EFE" w:rsidRDefault="009B1CB5" w:rsidP="009B1CB5">
      <w:r w:rsidRPr="00A53EFE">
        <w:t>Distributors sometimes offer combinations of</w:t>
      </w:r>
      <w:r>
        <w:t xml:space="preserve"> a primary tariff, such as those</w:t>
      </w:r>
      <w:r w:rsidRPr="00A53EFE">
        <w:t xml:space="preserve"> listed above, with secondary tariffs, such as control</w:t>
      </w:r>
      <w:r>
        <w:t>led load</w:t>
      </w:r>
      <w:r w:rsidRPr="00A53EFE">
        <w:t xml:space="preserve"> tariffs. These </w:t>
      </w:r>
      <w:r>
        <w:t xml:space="preserve">controlled load </w:t>
      </w:r>
      <w:r w:rsidRPr="00A53EFE">
        <w:t xml:space="preserve">tariffs typically apply a lower rate to electricity used for certain appliances in return for </w:t>
      </w:r>
      <w:r>
        <w:t xml:space="preserve">only being able to use </w:t>
      </w:r>
      <w:r w:rsidRPr="00A53EFE">
        <w:t>those appliances during off peak times. For example, off peak hot water. In other cases</w:t>
      </w:r>
      <w:r>
        <w:t>,</w:t>
      </w:r>
      <w:r w:rsidRPr="00A53EFE">
        <w:t xml:space="preserve"> a lower rate may apply to customers who allow a distributor to remotely cycle appliances on and off during peak demand periods. For example, </w:t>
      </w:r>
      <w:r>
        <w:t xml:space="preserve">CitiPower and Powercor have tested technology to cycle customers’ </w:t>
      </w:r>
      <w:r w:rsidRPr="00A53EFE">
        <w:t>air conditioning</w:t>
      </w:r>
      <w:r>
        <w:t>. They are now considering how to trial this technology with customers.</w:t>
      </w:r>
      <w:r>
        <w:rPr>
          <w:rStyle w:val="FootnoteReference"/>
        </w:rPr>
        <w:footnoteReference w:id="258"/>
      </w:r>
      <w:r>
        <w:t xml:space="preserve"> </w:t>
      </w:r>
      <w:r w:rsidRPr="00A53EFE">
        <w:t xml:space="preserve">Distributors will often limit </w:t>
      </w:r>
      <w:r>
        <w:t xml:space="preserve">access to </w:t>
      </w:r>
      <w:r w:rsidRPr="00A53EFE">
        <w:t>secondary tariffs to customers on specified primary tariffs such as flat tariffs or block tariffs.</w:t>
      </w:r>
    </w:p>
    <w:p w:rsidR="009B1CB5" w:rsidRDefault="009B1CB5" w:rsidP="009B1CB5">
      <w:r w:rsidRPr="00A53EFE">
        <w:t>In addition to tariffs, distributors sometimes seek</w:t>
      </w:r>
      <w:r>
        <w:t xml:space="preserve"> to influence</w:t>
      </w:r>
      <w:r w:rsidRPr="00A53EFE">
        <w:t xml:space="preserve"> demand by offering rebates (partial refunds) to customers in return for demand reductions made by the customer during specific time periods. Rebates may be linked to critical peak demand times or to specific geographic areas or both</w:t>
      </w:r>
      <w:r w:rsidRPr="00232B01">
        <w:t>.</w:t>
      </w:r>
    </w:p>
    <w:p w:rsidR="009B1CB5" w:rsidRPr="007E4476" w:rsidRDefault="009B1CB5" w:rsidP="009B1CB5">
      <w:pPr>
        <w:pStyle w:val="HeadingBoldItalic"/>
        <w:rPr>
          <w:rStyle w:val="Bold"/>
        </w:rPr>
      </w:pPr>
      <w:r w:rsidRPr="009B1CB5">
        <w:rPr>
          <w:rStyle w:val="Bold"/>
        </w:rPr>
        <w:t>Metering and tariffs</w:t>
      </w:r>
    </w:p>
    <w:p w:rsidR="009B1CB5" w:rsidRDefault="009B1CB5" w:rsidP="009B1CB5">
      <w:r w:rsidRPr="00B100D2">
        <w:t>Flat tariffs or block tariffs can be applied to customers with basic accumulation meters (type</w:t>
      </w:r>
      <w:r>
        <w:t> </w:t>
      </w:r>
      <w:r w:rsidRPr="00B100D2">
        <w:t>6 meters). This is because to calculate the tariff, it is only necessary to know the customer's total consumption, not when</w:t>
      </w:r>
      <w:r>
        <w:t xml:space="preserve"> that consumption has occurred.</w:t>
      </w:r>
    </w:p>
    <w:p w:rsidR="009B1CB5" w:rsidRDefault="009B1CB5" w:rsidP="009B1CB5">
      <w:r>
        <w:lastRenderedPageBreak/>
        <w:t xml:space="preserve">In Victoria, all customers with annual consumption of less than 160MWh have advanced metering infrastructure (AMI)—commonly referred to as </w:t>
      </w:r>
      <w:r w:rsidRPr="00B100D2">
        <w:rPr>
          <w:rStyle w:val="Bold"/>
        </w:rPr>
        <w:t>smart meters</w:t>
      </w:r>
      <w:r>
        <w:t>—since 2009. The installation of these meters was undertaken by the five electricity distributors as part of a State Government mandated rollout. Smart meters</w:t>
      </w:r>
      <w:r w:rsidRPr="00B100D2">
        <w:t xml:space="preserve"> can facilitate </w:t>
      </w:r>
      <w:r>
        <w:t>time-of-use</w:t>
      </w:r>
      <w:r w:rsidRPr="00B100D2">
        <w:t xml:space="preserve"> or demand tariffs</w:t>
      </w:r>
      <w:r>
        <w:t xml:space="preserve"> or more dynamic tariffs</w:t>
      </w:r>
      <w:r w:rsidRPr="00B100D2">
        <w:t xml:space="preserve">. This is because </w:t>
      </w:r>
      <w:r>
        <w:t>they</w:t>
      </w:r>
      <w:r w:rsidRPr="00B100D2">
        <w:t xml:space="preserve"> measure both when</w:t>
      </w:r>
      <w:r>
        <w:t>, where</w:t>
      </w:r>
      <w:r w:rsidRPr="00B100D2">
        <w:t xml:space="preserve"> and how much electricity a customer has consumed, which is necessary to calculate a </w:t>
      </w:r>
      <w:r>
        <w:t>time-of-use</w:t>
      </w:r>
      <w:r w:rsidRPr="00B100D2">
        <w:t xml:space="preserve"> tariff or demand tariff.</w:t>
      </w:r>
      <w:r>
        <w:t xml:space="preserve"> These meters are read remotely through </w:t>
      </w:r>
      <w:r w:rsidRPr="00B100D2">
        <w:t>communications functionality</w:t>
      </w:r>
      <w:r>
        <w:t xml:space="preserve"> that is included in this metering infrastructure.</w:t>
      </w:r>
    </w:p>
    <w:p w:rsidR="009B1CB5" w:rsidRPr="00B100D2" w:rsidRDefault="009B1CB5" w:rsidP="009B1CB5">
      <w:r>
        <w:t>Outside Victoria, smart meters will become the standard for residential and small business customers for all new connections and existing premises where the meter must be replaced, from 1 December 2017. This means that in those states and territories outside Victoria that smart meters will gradually become increasingly common over time.</w:t>
      </w:r>
    </w:p>
    <w:p w:rsidR="009B1CB5" w:rsidRDefault="009B1CB5" w:rsidP="009B1CB5">
      <w:pPr>
        <w:pStyle w:val="HeadingBoldBlue"/>
      </w:pPr>
      <w:r>
        <w:t>Degree of choice in network tariff assignment</w:t>
      </w:r>
    </w:p>
    <w:p w:rsidR="009B1CB5" w:rsidRDefault="009B1CB5" w:rsidP="009B1CB5">
      <w:r>
        <w:t>A constituent element of a tariff structure statement are the policies and procedures a distributor will apply for assigning customers to network tariffs or reassigning customers from one network tariff to another.</w:t>
      </w:r>
      <w:r>
        <w:rPr>
          <w:rStyle w:val="FootnoteReference"/>
        </w:rPr>
        <w:footnoteReference w:id="259"/>
      </w:r>
      <w:r>
        <w:t xml:space="preserve"> These policies and procedures should include certainty around whether a tariff is a 'mandatory' tariff, 'opt-out' tariff or 'opt-in' tariff for particular customer types. Among other possibilities, customer types might be based on the connection characteristics and metering arrangements of the customer, as well as whether the customer is a new or existing customer. The differences between these three options are:</w:t>
      </w:r>
    </w:p>
    <w:p w:rsidR="009B1CB5" w:rsidRPr="00232B01" w:rsidRDefault="009B1CB5" w:rsidP="009B1CB5">
      <w:pPr>
        <w:pStyle w:val="AERbulletlistfirststyle"/>
      </w:pPr>
      <w:r w:rsidRPr="00A116ED">
        <w:rPr>
          <w:rStyle w:val="Bold"/>
        </w:rPr>
        <w:t>A mandatory tariff</w:t>
      </w:r>
      <w:r w:rsidRPr="00232B01">
        <w:t xml:space="preserve">—means this is the only </w:t>
      </w:r>
      <w:r>
        <w:t xml:space="preserve">network </w:t>
      </w:r>
      <w:r w:rsidRPr="00232B01">
        <w:t xml:space="preserve">tariff available for customers of a particular type. For example, industrial customers connected to the high voltage network and whose annual consumption falls within a particular range may be required to be assigned </w:t>
      </w:r>
      <w:r>
        <w:t xml:space="preserve">to </w:t>
      </w:r>
      <w:r w:rsidRPr="00232B01">
        <w:t xml:space="preserve">a </w:t>
      </w:r>
      <w:r>
        <w:t xml:space="preserve">particular </w:t>
      </w:r>
      <w:r w:rsidRPr="00232B01">
        <w:t xml:space="preserve">demand tariff, and there may be no other tariff options </w:t>
      </w:r>
      <w:r>
        <w:t xml:space="preserve">available to their retailer for them to </w:t>
      </w:r>
      <w:r w:rsidRPr="00232B01">
        <w:t xml:space="preserve">choose from. </w:t>
      </w:r>
    </w:p>
    <w:p w:rsidR="009B1CB5" w:rsidRPr="00232B01" w:rsidRDefault="009B1CB5" w:rsidP="009B1CB5">
      <w:pPr>
        <w:pStyle w:val="AERbulletlistfirststyle"/>
      </w:pPr>
      <w:r w:rsidRPr="00A116ED">
        <w:rPr>
          <w:rStyle w:val="Bold"/>
        </w:rPr>
        <w:t>An opt-out tariff</w:t>
      </w:r>
      <w:r w:rsidRPr="00232B01">
        <w:t xml:space="preserve">—means the customer is assigned to this </w:t>
      </w:r>
      <w:r>
        <w:t xml:space="preserve">network </w:t>
      </w:r>
      <w:r w:rsidRPr="00232B01">
        <w:t xml:space="preserve">tariff by default, but </w:t>
      </w:r>
      <w:r>
        <w:t xml:space="preserve">the customer (through their retailer) can choose to be re-assigned </w:t>
      </w:r>
      <w:r w:rsidRPr="00232B01">
        <w:t>to a different tariff. For example, a residential customer may by default be assigned to a block tariff, but</w:t>
      </w:r>
      <w:r>
        <w:t xml:space="preserve"> could (through their retailer)</w:t>
      </w:r>
      <w:r w:rsidRPr="00232B01">
        <w:t xml:space="preserve"> choose to switch to a </w:t>
      </w:r>
      <w:r>
        <w:t>time-of-use</w:t>
      </w:r>
      <w:r w:rsidRPr="00232B01">
        <w:t xml:space="preserve"> tariff.</w:t>
      </w:r>
    </w:p>
    <w:p w:rsidR="009B1CB5" w:rsidRPr="00232B01" w:rsidRDefault="009B1CB5" w:rsidP="009B1CB5">
      <w:pPr>
        <w:pStyle w:val="AERbulletlistfirststyle"/>
      </w:pPr>
      <w:r w:rsidRPr="00A116ED">
        <w:rPr>
          <w:rStyle w:val="Bold"/>
        </w:rPr>
        <w:t>An opt-in tariff</w:t>
      </w:r>
      <w:r w:rsidRPr="00232B01">
        <w:t>—means the customer</w:t>
      </w:r>
      <w:r>
        <w:t xml:space="preserve"> (through their retailer) can choose to be re-assigned </w:t>
      </w:r>
      <w:r w:rsidRPr="00232B01">
        <w:t>to this tariff, but</w:t>
      </w:r>
      <w:r>
        <w:t xml:space="preserve"> the customer</w:t>
      </w:r>
      <w:r w:rsidRPr="00232B01">
        <w:t xml:space="preserve"> is by default assigned to some other </w:t>
      </w:r>
      <w:r>
        <w:t xml:space="preserve">network </w:t>
      </w:r>
      <w:r w:rsidRPr="00232B01">
        <w:t xml:space="preserve">tariff. This is the opposite of an opt-out tariff. In the previous example, the </w:t>
      </w:r>
      <w:r>
        <w:t>time-of-use</w:t>
      </w:r>
      <w:r w:rsidRPr="00232B01">
        <w:t xml:space="preserve"> tariff would be described as an opt-in tariff.</w:t>
      </w:r>
    </w:p>
    <w:p w:rsidR="009B1CB5" w:rsidRDefault="009B1CB5" w:rsidP="009B1CB5">
      <w:r>
        <w:t>It is important that distributors are clear in their tariff structure statements which of their proposed tariffs are mandatory, opt-out and opt-in, and for which customer types.</w:t>
      </w:r>
    </w:p>
    <w:p w:rsidR="009B1CB5" w:rsidRDefault="009B1CB5" w:rsidP="009B1CB5">
      <w:r>
        <w:lastRenderedPageBreak/>
        <w:t xml:space="preserve">Typically end customers are not directly involved in the process of selecting which </w:t>
      </w:r>
      <w:r w:rsidRPr="00217FE0">
        <w:rPr>
          <w:rStyle w:val="AERtextitalic"/>
        </w:rPr>
        <w:t xml:space="preserve">network tariff </w:t>
      </w:r>
      <w:r>
        <w:t xml:space="preserve">they are assigned to. It is the retailer who submits the application to a distributor which determines what type of network tariff an end customer is assigned (where the distributor provides a choice over this assignment). End customers are involved in selecting the type of </w:t>
      </w:r>
      <w:r w:rsidRPr="00217FE0">
        <w:rPr>
          <w:rStyle w:val="AERtextitalic"/>
        </w:rPr>
        <w:t>retail tariff</w:t>
      </w:r>
      <w:r>
        <w:t xml:space="preserve"> that best meets their requirements.</w:t>
      </w:r>
    </w:p>
    <w:p w:rsidR="009B1CB5" w:rsidRDefault="009B1CB5" w:rsidP="009B1CB5">
      <w:r>
        <w:t xml:space="preserve">Network tariff structures are not required by the </w:t>
      </w:r>
      <w:r w:rsidR="00436AB8">
        <w:t>NER</w:t>
      </w:r>
      <w:r>
        <w:t xml:space="preserve"> to be reflected in retail tariff structures, so we do not yet know how retailers will respond to the new cost reflective network tariffs. We consider that even under mandatory or opt-out network tariff assignment policies it is likely end customers, especially residential and small business customers, would continue to have a choice from retailers over their retail tariff structure. Rather, cost reflective network tariffs place an incentive on </w:t>
      </w:r>
      <w:r w:rsidRPr="00217FE0">
        <w:rPr>
          <w:rStyle w:val="AERtextitalic"/>
        </w:rPr>
        <w:t>retailers</w:t>
      </w:r>
      <w:r>
        <w:t xml:space="preserve"> to respond to these peak price signals, as they are the ones who must pay the network tariffs.</w:t>
      </w:r>
    </w:p>
    <w:p w:rsidR="009B1CB5" w:rsidRDefault="009B1CB5" w:rsidP="009B1CB5">
      <w:r w:rsidRPr="00237609">
        <w:t>To assign customers to one of the various tariffs offered by a distributor requires also that the distributor group customers into types, or classes. Customer classes might be based on a customer's connection type or metering arrangements, their annual usage, or whether the customer is a new or existing customer</w:t>
      </w:r>
      <w:r>
        <w:t>.</w:t>
      </w:r>
    </w:p>
    <w:p w:rsidR="009B1CB5" w:rsidRPr="00690E6A" w:rsidRDefault="009B1CB5" w:rsidP="009B1CB5">
      <w:pPr>
        <w:pStyle w:val="HeadingBoldBlue"/>
      </w:pPr>
      <w:r w:rsidRPr="00690E6A">
        <w:t>Elements of a tariff structure</w:t>
      </w:r>
    </w:p>
    <w:p w:rsidR="009B1CB5" w:rsidRPr="00E95ECF" w:rsidRDefault="009B1CB5" w:rsidP="009B1CB5">
      <w:r>
        <w:t>A t</w:t>
      </w:r>
      <w:r w:rsidRPr="00E95ECF">
        <w:t xml:space="preserve">ariff structure incorporates the charges that make up a tariff. For example, a demand tariff typically comprises a fixed charge, a usage charge and a demand charge. How those charges are applied to a customer reflect the tariff's charging parameters. </w:t>
      </w:r>
      <w:r>
        <w:t>The design</w:t>
      </w:r>
      <w:r w:rsidRPr="00E95ECF">
        <w:t xml:space="preserve"> of </w:t>
      </w:r>
      <w:r>
        <w:t>a charging parameter might</w:t>
      </w:r>
      <w:r w:rsidRPr="00E95ECF">
        <w:t xml:space="preserve"> include: </w:t>
      </w:r>
    </w:p>
    <w:p w:rsidR="009B1CB5" w:rsidRPr="009B1CB5" w:rsidRDefault="009B1CB5" w:rsidP="009B1CB5">
      <w:pPr>
        <w:pStyle w:val="AERbulletlistfirststyle"/>
      </w:pPr>
      <w:r w:rsidRPr="00E95ECF">
        <w:t xml:space="preserve">how frequently a charge is applied to a customer </w:t>
      </w:r>
    </w:p>
    <w:p w:rsidR="009B1CB5" w:rsidRPr="009B1CB5" w:rsidRDefault="009B1CB5" w:rsidP="009B1CB5">
      <w:pPr>
        <w:pStyle w:val="AERbulletlistfirststyle"/>
      </w:pPr>
      <w:r w:rsidRPr="00E95ECF">
        <w:t>the times during which usage or demand is measured to calculate a charge</w:t>
      </w:r>
    </w:p>
    <w:p w:rsidR="009B1CB5" w:rsidRPr="009B1CB5" w:rsidRDefault="009B1CB5" w:rsidP="009B1CB5">
      <w:pPr>
        <w:pStyle w:val="AERbulletlistfirststyle"/>
      </w:pPr>
      <w:r w:rsidRPr="00E95ECF">
        <w:t>variations in charges and how those variations are triggered.</w:t>
      </w:r>
    </w:p>
    <w:p w:rsidR="009B1CB5" w:rsidRDefault="009B1CB5" w:rsidP="009B1CB5">
      <w:r w:rsidRPr="00E95ECF">
        <w:t xml:space="preserve">Charging parameters may be varied to match the purpose of the distributor when designing the tariff. For example, the demand </w:t>
      </w:r>
      <w:r>
        <w:t>charge</w:t>
      </w:r>
      <w:r w:rsidRPr="00E95ECF">
        <w:t xml:space="preserve"> within a demand tariff may target the time of a distributor's broad network peak, a local regional peak, or a customer class peak (e.g. residential customers).</w:t>
      </w:r>
    </w:p>
    <w:p w:rsidR="009B1CB5" w:rsidRDefault="009B1CB5" w:rsidP="009B1CB5">
      <w:r>
        <w:t>A group of customers with similar connection and usage characteristics will be grouped into the same tariff class. There can be multiple tariffs within a tariff class to which a customer could be assigned.</w:t>
      </w:r>
    </w:p>
    <w:p w:rsidR="009B1CB5" w:rsidRPr="00690E6A" w:rsidRDefault="009B1CB5" w:rsidP="009B1CB5">
      <w:pPr>
        <w:pStyle w:val="HeadingBoldBlue"/>
      </w:pPr>
      <w:r w:rsidRPr="00690E6A">
        <w:t>How does the tariff structure statement fit into the regulatory process?</w:t>
      </w:r>
    </w:p>
    <w:p w:rsidR="009B1CB5" w:rsidRPr="00165231" w:rsidRDefault="009B1CB5" w:rsidP="009B1CB5">
      <w:r>
        <w:t>Tariff structure statement</w:t>
      </w:r>
      <w:r w:rsidRPr="00165231">
        <w:t xml:space="preserve">s are a new element of the </w:t>
      </w:r>
      <w:r w:rsidR="00436AB8">
        <w:t>NER</w:t>
      </w:r>
      <w:r w:rsidRPr="00165231">
        <w:t xml:space="preserve">. Generally, </w:t>
      </w:r>
      <w:r>
        <w:t>tariff structure statement</w:t>
      </w:r>
      <w:r w:rsidRPr="00165231">
        <w:t xml:space="preserve">s will be submitted to us by distributors with their </w:t>
      </w:r>
      <w:r>
        <w:t>regulatory</w:t>
      </w:r>
      <w:r w:rsidRPr="00165231">
        <w:t xml:space="preserve"> proposals</w:t>
      </w:r>
      <w:r>
        <w:t xml:space="preserve"> for us to assess and determine how much revenue they are allowed to earn over the next regulatory control period (which is typically a five year period)</w:t>
      </w:r>
      <w:r w:rsidRPr="00165231">
        <w:t xml:space="preserve">. </w:t>
      </w:r>
      <w:r>
        <w:t>Within</w:t>
      </w:r>
      <w:r w:rsidRPr="00165231">
        <w:t xml:space="preserve"> </w:t>
      </w:r>
      <w:r>
        <w:t>this</w:t>
      </w:r>
      <w:r w:rsidRPr="00165231">
        <w:t xml:space="preserve"> usual distribution determination process we will publish, assess and invite feedback on a </w:t>
      </w:r>
      <w:r>
        <w:lastRenderedPageBreak/>
        <w:t>tariff structure statement</w:t>
      </w:r>
      <w:r w:rsidRPr="00165231">
        <w:t xml:space="preserve"> along with a </w:t>
      </w:r>
      <w:r>
        <w:t>distributor’s regulatory</w:t>
      </w:r>
      <w:r w:rsidRPr="00165231">
        <w:t xml:space="preserve"> proposal. An approved </w:t>
      </w:r>
      <w:r>
        <w:t>tariff structure statement</w:t>
      </w:r>
      <w:r w:rsidRPr="00165231">
        <w:t xml:space="preserve"> will then apply to the distributors' tariffs for the coming five year regulatory control period. </w:t>
      </w:r>
    </w:p>
    <w:p w:rsidR="009B1CB5" w:rsidRPr="00165231" w:rsidRDefault="009B1CB5" w:rsidP="009B1CB5">
      <w:r w:rsidRPr="00165231">
        <w:t xml:space="preserve">In this case, for the first </w:t>
      </w:r>
      <w:r>
        <w:t>round of tariff structure statement</w:t>
      </w:r>
      <w:r w:rsidRPr="00165231">
        <w:t xml:space="preserve">s for each distributor, the </w:t>
      </w:r>
      <w:r w:rsidR="00436AB8">
        <w:t>NER</w:t>
      </w:r>
      <w:r w:rsidRPr="00165231">
        <w:t xml:space="preserve"> require </w:t>
      </w:r>
      <w:r>
        <w:t>tariff structure statement</w:t>
      </w:r>
      <w:r w:rsidRPr="00165231">
        <w:t>s be submitted outside the distribution determination process for all distributors, other than TasNetworks</w:t>
      </w:r>
      <w:r>
        <w:t xml:space="preserve"> </w:t>
      </w:r>
      <w:r w:rsidRPr="00165231">
        <w:t xml:space="preserve">. This is because the timing of the introduction of </w:t>
      </w:r>
      <w:r>
        <w:t>tariff structure statement</w:t>
      </w:r>
      <w:r w:rsidRPr="00165231">
        <w:t xml:space="preserve">s </w:t>
      </w:r>
      <w:r>
        <w:t>is occurring midway through the regulatory control period for all distributors other than TasNetworks</w:t>
      </w:r>
      <w:r w:rsidRPr="00165231">
        <w:t xml:space="preserve">. </w:t>
      </w:r>
    </w:p>
    <w:p w:rsidR="009B1CB5" w:rsidRPr="00165231" w:rsidRDefault="009B1CB5" w:rsidP="009B1CB5">
      <w:r w:rsidRPr="00165231">
        <w:t xml:space="preserve">The timing of TasNetworks' distribution determination enabled the Australian Energy Market Commission to specify in the </w:t>
      </w:r>
      <w:r w:rsidR="00436AB8">
        <w:t>NER</w:t>
      </w:r>
      <w:r w:rsidRPr="00165231">
        <w:t xml:space="preserve"> that TasNetworks' </w:t>
      </w:r>
      <w:r>
        <w:t>tariff structure statement</w:t>
      </w:r>
      <w:r w:rsidRPr="00165231">
        <w:t xml:space="preserve"> be submitted with its distribution determination. </w:t>
      </w:r>
      <w:r>
        <w:t>T</w:t>
      </w:r>
      <w:r w:rsidRPr="00165231">
        <w:t xml:space="preserve">he upcoming distribution regulatory period for TasNetworks is to be only two years long. Hence, TasNetworks' initial </w:t>
      </w:r>
      <w:r>
        <w:t>tariff structure statement</w:t>
      </w:r>
      <w:r w:rsidRPr="00165231">
        <w:t xml:space="preserve"> will apply for only two years.</w:t>
      </w:r>
    </w:p>
    <w:p w:rsidR="009B1CB5" w:rsidRPr="00165231" w:rsidRDefault="009B1CB5" w:rsidP="009B1CB5">
      <w:r w:rsidRPr="00165231">
        <w:t xml:space="preserve">For other distributors the next distribution determination processes are too far into the future for the usual process to be followed. Delaying submission of the initial </w:t>
      </w:r>
      <w:r>
        <w:t>tariff structure statement</w:t>
      </w:r>
      <w:r w:rsidRPr="00165231">
        <w:t xml:space="preserve"> for those distributors would unduly delay the tariff reform process. For distributors in South Australia, Victoria, New South Wales, the Australian Capital Territory and Queensland, the </w:t>
      </w:r>
      <w:r w:rsidR="00436AB8">
        <w:t>NER</w:t>
      </w:r>
      <w:r w:rsidRPr="00165231">
        <w:t xml:space="preserve"> required that </w:t>
      </w:r>
      <w:r>
        <w:t>tariff structure statement</w:t>
      </w:r>
      <w:r w:rsidRPr="00165231">
        <w:t xml:space="preserve">s be submitted in advance of the next distribution determination. The initial </w:t>
      </w:r>
      <w:r>
        <w:t>tariff structure statement</w:t>
      </w:r>
      <w:r w:rsidRPr="00165231">
        <w:t xml:space="preserve">s for these distributors will also apply for abbreviated periods, reflecting the time remaining until their next distribution determination. </w:t>
      </w:r>
      <w:r>
        <w:t>For ACT and NSW distributors, this is two years, covering the period 1 July 2017 to 30 June 2019. For Queensland and South Australian distributors, this is three years, covering the period from 1 July 2017 to 30 June 2020.</w:t>
      </w:r>
      <w:r w:rsidRPr="00165231">
        <w:t xml:space="preserve"> </w:t>
      </w:r>
      <w:r>
        <w:t>For Victorian distributors, this is four years, covering the period from 1 January 2017 to 31 December 2020. For all distributors, their first tariff structure statement comes into effect in 2017.</w:t>
      </w:r>
    </w:p>
    <w:p w:rsidR="009B1CB5" w:rsidRDefault="009B1CB5" w:rsidP="009B1CB5">
      <w:r w:rsidRPr="00165231">
        <w:t xml:space="preserve">Once approved, a </w:t>
      </w:r>
      <w:r>
        <w:t>tariff structure statement</w:t>
      </w:r>
      <w:r w:rsidRPr="00165231">
        <w:t xml:space="preserve"> will guide a distributor in shaping its annual </w:t>
      </w:r>
      <w:r>
        <w:t>pricing</w:t>
      </w:r>
      <w:r w:rsidRPr="00165231">
        <w:t xml:space="preserve"> proposals, submitted to us prior to each regulatory year. The annual </w:t>
      </w:r>
      <w:r>
        <w:t>pricing</w:t>
      </w:r>
      <w:r w:rsidRPr="00165231">
        <w:t xml:space="preserve"> proposal is where a distributor </w:t>
      </w:r>
      <w:r>
        <w:t>translates the total allowed revenue from its</w:t>
      </w:r>
      <w:r w:rsidRPr="00165231">
        <w:t xml:space="preserve"> distribution determination</w:t>
      </w:r>
      <w:r>
        <w:t>, and the allowed tariff structures from its tariff structure statement, into prices for individual tariffs.</w:t>
      </w:r>
    </w:p>
    <w:p w:rsidR="009B1CB5" w:rsidRPr="00165231" w:rsidRDefault="009B1CB5" w:rsidP="009B1CB5">
      <w:r w:rsidRPr="00165231">
        <w:t>We check that total expected revenue to be earned in the coming regulatory year is consistent with the annual revenue we determined may be earned in that year.</w:t>
      </w:r>
      <w:r>
        <w:t xml:space="preserve"> </w:t>
      </w:r>
      <w:r w:rsidRPr="00165231">
        <w:t xml:space="preserve">We will now also check that an annual </w:t>
      </w:r>
      <w:r>
        <w:t>pricing proposal</w:t>
      </w:r>
      <w:r w:rsidRPr="00165231">
        <w:t xml:space="preserve"> is consistent with a distributor's approved </w:t>
      </w:r>
      <w:r>
        <w:t>tariff structure statement</w:t>
      </w:r>
      <w:r w:rsidRPr="00165231">
        <w:t xml:space="preserve">. For example, a distributor may not propose a tariff which was not included in its approved </w:t>
      </w:r>
      <w:r>
        <w:t>tariff structure statement</w:t>
      </w:r>
      <w:r w:rsidRPr="00165231">
        <w:t>.</w:t>
      </w:r>
      <w:r>
        <w:rPr>
          <w:rStyle w:val="FootnoteReference"/>
        </w:rPr>
        <w:footnoteReference w:id="260"/>
      </w:r>
      <w:r w:rsidRPr="00165231">
        <w:t xml:space="preserve"> Nor may a distributor vary the parameters of a tariff from that described in its </w:t>
      </w:r>
      <w:r>
        <w:t>tariff structure statement</w:t>
      </w:r>
      <w:r w:rsidRPr="00165231">
        <w:t>. This provides retailers, customers and other stakeholders with certainty about the structure of tariffs to be charged in each year of the regulatory control period.</w:t>
      </w:r>
    </w:p>
    <w:p w:rsidR="009B1CB5" w:rsidRDefault="009B1CB5" w:rsidP="009B1CB5">
      <w:r>
        <w:lastRenderedPageBreak/>
        <w:t>T</w:t>
      </w:r>
      <w:r w:rsidRPr="00165231">
        <w:t xml:space="preserve">ariff </w:t>
      </w:r>
      <w:r>
        <w:t xml:space="preserve">structure </w:t>
      </w:r>
      <w:r w:rsidRPr="00165231">
        <w:t>statements</w:t>
      </w:r>
      <w:r>
        <w:t>,</w:t>
      </w:r>
      <w:r w:rsidRPr="00165231">
        <w:t xml:space="preserve"> in principle</w:t>
      </w:r>
      <w:r>
        <w:t>,</w:t>
      </w:r>
      <w:r w:rsidRPr="00165231">
        <w:t xml:space="preserve"> address tariffs for both standard control services and alternative control services. However, in practice the tariffs for alternative control services are almost entirely dealt with by our distribution determinations and the annual </w:t>
      </w:r>
      <w:r>
        <w:t>pricing</w:t>
      </w:r>
      <w:r w:rsidRPr="00165231">
        <w:t xml:space="preserve"> approval process. There is relatively little regulatory role left for </w:t>
      </w:r>
      <w:r>
        <w:t>tariff structure statement</w:t>
      </w:r>
      <w:r w:rsidRPr="00165231">
        <w:t xml:space="preserve">s in the context of alternative control services. For this reason distributors deal with alternative control services in their </w:t>
      </w:r>
      <w:r>
        <w:t>tariff structure statement</w:t>
      </w:r>
      <w:r w:rsidRPr="00165231">
        <w:t xml:space="preserve">s relatively briefly. For the same reason our tariff structure </w:t>
      </w:r>
      <w:r>
        <w:t xml:space="preserve">statement </w:t>
      </w:r>
      <w:r w:rsidRPr="00165231">
        <w:t>decisions will focus on standard control services and make relatively little comment on a distributor's alternative control services</w:t>
      </w:r>
      <w:r>
        <w:t xml:space="preserve">. </w:t>
      </w:r>
    </w:p>
    <w:p w:rsidR="009B1CB5" w:rsidRPr="00690E6A" w:rsidRDefault="009B1CB5" w:rsidP="009B1CB5">
      <w:pPr>
        <w:pStyle w:val="HeadingBoldBlue"/>
      </w:pPr>
      <w:r w:rsidRPr="00690E6A">
        <w:t>How does network pricing reform interact with other reforms?</w:t>
      </w:r>
    </w:p>
    <w:p w:rsidR="009B1CB5" w:rsidRPr="00867677" w:rsidRDefault="009B1CB5" w:rsidP="009B1CB5">
      <w:r w:rsidRPr="00867677">
        <w:t xml:space="preserve">Network tariff reform is commencing at the same time as reforms to the provision of metering services and access to customer information. These related reforms have implications for network tariffs, including the pace at which tariffs can evolve to become more cost reflective. </w:t>
      </w:r>
    </w:p>
    <w:p w:rsidR="009B1CB5" w:rsidRDefault="009B1CB5" w:rsidP="009B1CB5">
      <w:r w:rsidRPr="00867677">
        <w:t xml:space="preserve">For metering, changes to the </w:t>
      </w:r>
      <w:r w:rsidR="00436AB8">
        <w:t>NER</w:t>
      </w:r>
      <w:r w:rsidRPr="00867677">
        <w:t xml:space="preserve"> will establish new minimum specifications </w:t>
      </w:r>
      <w:r>
        <w:t>similar to smart meters currently in use</w:t>
      </w:r>
      <w:r w:rsidRPr="00867677">
        <w:t xml:space="preserve">. </w:t>
      </w:r>
      <w:r>
        <w:t xml:space="preserve">Smart metering is already in use across Victoria as a result of the mandated smart meter rollout. </w:t>
      </w:r>
      <w:r w:rsidRPr="00867677">
        <w:t xml:space="preserve">This </w:t>
      </w:r>
      <w:r>
        <w:t>has resulted in</w:t>
      </w:r>
      <w:r w:rsidRPr="00867677">
        <w:t xml:space="preserve"> better meter functionality </w:t>
      </w:r>
      <w:r>
        <w:t xml:space="preserve">and data flows </w:t>
      </w:r>
      <w:r w:rsidRPr="00867677">
        <w:t>and facilitates broader use of more cost reflective pricing over time</w:t>
      </w:r>
      <w:r>
        <w:t>.</w:t>
      </w:r>
    </w:p>
    <w:p w:rsidR="009B1CB5" w:rsidRDefault="009B1CB5" w:rsidP="009B1CB5">
      <w:r w:rsidRPr="00476CC0">
        <w:t xml:space="preserve">Not all consumers might </w:t>
      </w:r>
      <w:r>
        <w:t>want to use</w:t>
      </w:r>
      <w:r w:rsidRPr="00476CC0">
        <w:t xml:space="preserve"> their own detailed consumption data and instead engage an energy services provider </w:t>
      </w:r>
      <w:r>
        <w:t>or</w:t>
      </w:r>
      <w:r w:rsidRPr="00476CC0">
        <w:t xml:space="preserve"> retailer to use this information to recommend bundled energy plans. In recognition of the changing nature of how customer energy usage information might become available and used, reforms were also recently introduced to make it easier to obtain access to this information</w:t>
      </w:r>
      <w:r>
        <w:t>.</w:t>
      </w:r>
      <w:r>
        <w:rPr>
          <w:rStyle w:val="FootnoteReference"/>
        </w:rPr>
        <w:footnoteReference w:id="261"/>
      </w:r>
      <w:r>
        <w:t xml:space="preserve"> </w:t>
      </w:r>
      <w:r w:rsidRPr="00476CC0">
        <w:t xml:space="preserve">Customers will now be able to access their data from their distributor </w:t>
      </w:r>
      <w:r>
        <w:t>or</w:t>
      </w:r>
      <w:r w:rsidRPr="00476CC0">
        <w:t xml:space="preserve"> retailer, and grant access to other parties to do so on their behalf. These reforms will not only help customers but also energy service providers in developing and offering more tailored and innovative </w:t>
      </w:r>
      <w:r>
        <w:t xml:space="preserve">energy </w:t>
      </w:r>
      <w:r w:rsidRPr="00476CC0">
        <w:t>products and services over time.</w:t>
      </w:r>
    </w:p>
    <w:p w:rsidR="009B1CB5" w:rsidRPr="00690E6A" w:rsidRDefault="009B1CB5" w:rsidP="009B1CB5">
      <w:pPr>
        <w:pStyle w:val="HeadingBoldBlue"/>
      </w:pPr>
      <w:r w:rsidRPr="00690E6A">
        <w:t>How does network pricing interact with network planning and demand management?</w:t>
      </w:r>
    </w:p>
    <w:p w:rsidR="009B1CB5" w:rsidRPr="009A501B" w:rsidRDefault="009B1CB5" w:rsidP="009B1CB5">
      <w:r w:rsidRPr="009A501B">
        <w:t xml:space="preserve">Demand pressures can be addressed by sending price signals to encourage customers (and retailers) to reduce demand, consistent with the aims of tariff reform. Alternatively, demand pressures can be addressed by network expenditure, as has been the case in the recent past. Another option, which distributors are required by the </w:t>
      </w:r>
      <w:r w:rsidR="00436AB8">
        <w:t>NER</w:t>
      </w:r>
      <w:r w:rsidRPr="009A501B">
        <w:t xml:space="preserve"> to consider, is the use of demand management initiatives. These can include rebates for customers who reduce their consumption. Or distributors can install or utilise generation assets in areas where the associated cost is less than the cost of </w:t>
      </w:r>
      <w:r w:rsidRPr="009A501B">
        <w:lastRenderedPageBreak/>
        <w:t>network investment to meet local area demand.</w:t>
      </w:r>
      <w:r>
        <w:t xml:space="preserve"> Distributors can adopt some demand management solutions directly themselves, whereas other demand management solutions must be procured through an affiliated entity or other third party in accordance with the requirements of our ring fencing guideline.</w:t>
      </w:r>
    </w:p>
    <w:p w:rsidR="009B1CB5" w:rsidRPr="009A501B" w:rsidRDefault="009B1CB5" w:rsidP="009B1CB5">
      <w:r>
        <w:t>W</w:t>
      </w:r>
      <w:r w:rsidRPr="009A501B">
        <w:t xml:space="preserve">e consider it useful for </w:t>
      </w:r>
      <w:r>
        <w:t>tariff structure statement</w:t>
      </w:r>
      <w:r w:rsidRPr="009A501B">
        <w:t xml:space="preserve">s to describe the distributor's approach to integrating tariff reform, network investment and demand management. Such discussion will position </w:t>
      </w:r>
      <w:r>
        <w:t>tariff structure statement</w:t>
      </w:r>
      <w:r w:rsidRPr="009A501B">
        <w:t xml:space="preserve">s within the broader context of how distributors intend to respond to demand and service challenges. Also, while the </w:t>
      </w:r>
      <w:r w:rsidR="00436AB8">
        <w:t>NER</w:t>
      </w:r>
      <w:r w:rsidRPr="009A501B">
        <w:t xml:space="preserve"> require distributors to consider the time and location varying nature of network cost drivers, difficulties with locational pricing suggest a larger role for demand management initiatives to address local network demand pressures.</w:t>
      </w:r>
    </w:p>
    <w:p w:rsidR="009B1CB5" w:rsidRDefault="009B1CB5" w:rsidP="009B1CB5">
      <w:r w:rsidRPr="009A501B">
        <w:t>An example of this is United Energy</w:t>
      </w:r>
      <w:r>
        <w:t>’s use of</w:t>
      </w:r>
      <w:r w:rsidRPr="009A501B">
        <w:t xml:space="preserve"> rebates for customers in selected locations within its network, to encourage demand reductions that will limit peak demand.</w:t>
      </w:r>
      <w:r w:rsidRPr="00C96D1A">
        <w:rPr>
          <w:rStyle w:val="FootnoteReference"/>
        </w:rPr>
        <w:footnoteReference w:id="262"/>
      </w:r>
      <w:r w:rsidRPr="00C96D1A">
        <w:rPr>
          <w:rStyle w:val="FootnoteReference"/>
        </w:rPr>
        <w:t xml:space="preserve"> </w:t>
      </w:r>
      <w:r w:rsidRPr="009A501B">
        <w:t>This will alleviate, or postpone, the need for more costly network upgrades to those areas where network constraints may be likely in the near term, and still ensure continuing electricity supply and reliability.</w:t>
      </w:r>
      <w:r>
        <w:t xml:space="preserve"> CitiPower and Powercor also flagged an intention to trial critical peak rebates and tariffs for similar reasons to United Energy.</w:t>
      </w:r>
    </w:p>
    <w:p w:rsidR="009B1CB5" w:rsidRDefault="009B1CB5" w:rsidP="00EA24E5">
      <w:r>
        <w:t xml:space="preserve">As new technologies emerge in energy markets, it is anticipated that distributors will also focus on demand management and other non-network solutions to complement pricing as a means to reduce peak demand (where the cost of meeting that peak demand is higher than the value customers place on electricity use during those times) and delivering electricity efficiently. </w:t>
      </w:r>
    </w:p>
    <w:p w:rsidR="00B61C42" w:rsidRDefault="00B61C42" w:rsidP="00B61C42">
      <w:pPr>
        <w:pStyle w:val="Heading7"/>
      </w:pPr>
      <w:bookmarkStart w:id="129" w:name="_Ref478487477"/>
      <w:bookmarkStart w:id="130" w:name="_Ref478564247"/>
      <w:bookmarkStart w:id="131" w:name="_Toc481061360"/>
      <w:r>
        <w:lastRenderedPageBreak/>
        <w:t>TasNetwork</w:t>
      </w:r>
      <w:r w:rsidRPr="00B61C42">
        <w:t>s' customer consultation and customer impact analysis</w:t>
      </w:r>
      <w:bookmarkEnd w:id="129"/>
      <w:bookmarkEnd w:id="130"/>
      <w:bookmarkEnd w:id="131"/>
    </w:p>
    <w:p w:rsidR="00A332BC" w:rsidRDefault="00E9485A" w:rsidP="00B61C42">
      <w:r>
        <w:t>This section sets out the consultation process that TasNetwork</w:t>
      </w:r>
      <w:r w:rsidR="00C02216">
        <w:t>s' undertook when developing its</w:t>
      </w:r>
      <w:r>
        <w:t xml:space="preserve"> 2017–19 tariff structure statement and how </w:t>
      </w:r>
      <w:r w:rsidR="00C02216">
        <w:t>it</w:t>
      </w:r>
      <w:r>
        <w:t xml:space="preserve"> responded to customer and stakeholder feedback. </w:t>
      </w:r>
      <w:r w:rsidR="00A332BC">
        <w:t xml:space="preserve">This section also sets out TasNetworks' customer impact analysis </w:t>
      </w:r>
      <w:r w:rsidR="00662A00">
        <w:t>over the 2017–19 regulatory control period</w:t>
      </w:r>
      <w:r w:rsidR="00A332BC">
        <w:t>.</w:t>
      </w:r>
    </w:p>
    <w:p w:rsidR="00A373C2" w:rsidRDefault="00E9485A" w:rsidP="00E9485A">
      <w:r>
        <w:t xml:space="preserve">The </w:t>
      </w:r>
      <w:r w:rsidR="00436AB8">
        <w:t>NER</w:t>
      </w:r>
      <w:r>
        <w:t xml:space="preserve"> require</w:t>
      </w:r>
      <w:r w:rsidR="00A373C2">
        <w:t>s</w:t>
      </w:r>
      <w:r>
        <w:t xml:space="preserve"> distributors</w:t>
      </w:r>
      <w:r w:rsidR="00A373C2">
        <w:t xml:space="preserve"> to</w:t>
      </w:r>
      <w:r>
        <w:t xml:space="preserve"> consult with their customer</w:t>
      </w:r>
      <w:r w:rsidR="00EF428F">
        <w:t>s</w:t>
      </w:r>
      <w:r>
        <w:t xml:space="preserve"> in order to help them understand the new tariffs and thereby how they might mitigate the tariffs' impact on them.</w:t>
      </w:r>
      <w:r>
        <w:rPr>
          <w:rStyle w:val="FootnoteReference"/>
        </w:rPr>
        <w:footnoteReference w:id="263"/>
      </w:r>
      <w:r w:rsidR="00A373C2">
        <w:t xml:space="preserve"> </w:t>
      </w:r>
      <w:r w:rsidRPr="00E9485A">
        <w:t xml:space="preserve">We are of the view that </w:t>
      </w:r>
      <w:r>
        <w:t>TasNetworks'</w:t>
      </w:r>
      <w:r w:rsidRPr="00E9485A">
        <w:t xml:space="preserve"> stakeholder engagement contributes to the achievement of compliance with the distribution pricing principles and the national pricing objective.</w:t>
      </w:r>
    </w:p>
    <w:p w:rsidR="00A373C2" w:rsidRDefault="00A373C2" w:rsidP="00A373C2">
      <w:r w:rsidRPr="00055389">
        <w:t xml:space="preserve">We consider </w:t>
      </w:r>
      <w:r>
        <w:t xml:space="preserve">TasNetworks </w:t>
      </w:r>
      <w:r w:rsidRPr="00055389">
        <w:t xml:space="preserve">undertook significant stakeholder consultation processes in developing </w:t>
      </w:r>
      <w:r>
        <w:t>its tariff structure statement proposal</w:t>
      </w:r>
      <w:r w:rsidRPr="00055389">
        <w:t xml:space="preserve">. </w:t>
      </w:r>
      <w:r>
        <w:t>TasNetworks' customer consultation included:</w:t>
      </w:r>
      <w:r>
        <w:rPr>
          <w:rStyle w:val="FootnoteReference"/>
        </w:rPr>
        <w:footnoteReference w:id="264"/>
      </w:r>
    </w:p>
    <w:p w:rsidR="00A373C2" w:rsidRDefault="00A373C2" w:rsidP="00A373C2">
      <w:pPr>
        <w:pStyle w:val="AERbulletlistfirststyle"/>
      </w:pPr>
      <w:r>
        <w:t xml:space="preserve">Consultation paper: </w:t>
      </w:r>
      <w:r w:rsidRPr="00A62A1A">
        <w:rPr>
          <w:rStyle w:val="AERtextitalic"/>
        </w:rPr>
        <w:t>Improving the way we price our network services</w:t>
      </w:r>
    </w:p>
    <w:p w:rsidR="00A373C2" w:rsidRDefault="00A373C2" w:rsidP="00A373C2">
      <w:pPr>
        <w:pStyle w:val="AERbulletlistfirststyle"/>
      </w:pPr>
      <w:r>
        <w:t xml:space="preserve">Created TasNetworks Tariff Reform Working Group which was expanded between initial and revised tariff structure statement proposals to </w:t>
      </w:r>
      <w:r w:rsidRPr="00662A00">
        <w:t>include greater business customer representation, in addition to electricity retailers, customer advocacy groups, and independent energy advisors.</w:t>
      </w:r>
    </w:p>
    <w:p w:rsidR="00A373C2" w:rsidRDefault="00A373C2" w:rsidP="00A373C2">
      <w:pPr>
        <w:pStyle w:val="AERbulletlistfirststyle"/>
      </w:pPr>
      <w:r>
        <w:t>Consumer engagement workshops</w:t>
      </w:r>
    </w:p>
    <w:p w:rsidR="00A373C2" w:rsidRDefault="00A373C2" w:rsidP="00A373C2">
      <w:pPr>
        <w:pStyle w:val="AERbulletlistfirststyle"/>
      </w:pPr>
      <w:r>
        <w:t>Surveys</w:t>
      </w:r>
    </w:p>
    <w:p w:rsidR="00A373C2" w:rsidRDefault="00A373C2" w:rsidP="00A373C2">
      <w:pPr>
        <w:pStyle w:val="AERbulletlistfirststyle"/>
      </w:pPr>
      <w:r>
        <w:t>Engaging with retailers</w:t>
      </w:r>
    </w:p>
    <w:p w:rsidR="00A373C2" w:rsidRDefault="00A373C2" w:rsidP="00A373C2">
      <w:pPr>
        <w:pStyle w:val="AERbulletlistfirststyle"/>
      </w:pPr>
      <w:r>
        <w:t>Consulting with high voltage business customers regarding proposed increases in service charges in response to the AER draft decision.</w:t>
      </w:r>
    </w:p>
    <w:p w:rsidR="00A373C2" w:rsidRPr="00702845" w:rsidRDefault="00A373C2" w:rsidP="00702845">
      <w:r w:rsidRPr="00702845">
        <w:t>We find that the consultations undertaken to develop each distributor's tariff structure statements have been wide ranging, generally clear and understandable and that stakeholders comments have been taken up, where possible, in development of the statements.</w:t>
      </w:r>
    </w:p>
    <w:p w:rsidR="00A373C2" w:rsidRDefault="00A373C2" w:rsidP="00702845">
      <w:r w:rsidRPr="00702845">
        <w:t>With many issues to cover, and in some cases complex material to convey, it is not possible for 100 per cent of issues raised by either stakeholders or the networks to be agreed, much less implemented. Inevitably there are trade-offs between the needs of different customer groups and tariff classes, and within tariff classes.</w:t>
      </w:r>
    </w:p>
    <w:p w:rsidR="00492FA3" w:rsidRDefault="00492FA3" w:rsidP="00492FA3">
      <w:r>
        <w:lastRenderedPageBreak/>
        <w:t>As noted by TasNetworks,</w:t>
      </w:r>
      <w:r w:rsidRPr="00890500">
        <w:t xml:space="preserve"> </w:t>
      </w:r>
      <w:r>
        <w:t>a</w:t>
      </w:r>
      <w:r w:rsidRPr="00890500">
        <w:t xml:space="preserve">n important part of </w:t>
      </w:r>
      <w:r>
        <w:t>its</w:t>
      </w:r>
      <w:r w:rsidRPr="00890500">
        <w:t xml:space="preserve"> ongoing review of network tariffs and contin</w:t>
      </w:r>
      <w:r>
        <w:t xml:space="preserve">uing tariff reform journey is </w:t>
      </w:r>
      <w:r w:rsidRPr="00890500">
        <w:t>customer consultation.</w:t>
      </w:r>
      <w:r>
        <w:rPr>
          <w:rStyle w:val="FootnoteReference"/>
        </w:rPr>
        <w:footnoteReference w:id="265"/>
      </w:r>
      <w:r>
        <w:t xml:space="preserve"> We encourage TasNetworks to continue to engage with customers such as Michael Powe and stakeholders such as Nekon for its next tariff structure statement as they consider the broader community is yet to understand and provide input into the proposed tariff changes.</w:t>
      </w:r>
      <w:r>
        <w:rPr>
          <w:rStyle w:val="FootnoteReference"/>
        </w:rPr>
        <w:footnoteReference w:id="266"/>
      </w:r>
      <w:r w:rsidRPr="00492FA3">
        <w:t xml:space="preserve"> </w:t>
      </w:r>
      <w:r>
        <w:t>This position is supported by TREA.</w:t>
      </w:r>
      <w:r>
        <w:rPr>
          <w:rStyle w:val="FootnoteReference"/>
        </w:rPr>
        <w:footnoteReference w:id="267"/>
      </w:r>
    </w:p>
    <w:p w:rsidR="00E9485A" w:rsidRDefault="00492FA3" w:rsidP="00E9485A">
      <w:r>
        <w:fldChar w:fldCharType="begin"/>
      </w:r>
      <w:r>
        <w:instrText xml:space="preserve"> REF  _Ref477884104 \* FirstCap \h </w:instrText>
      </w:r>
      <w:r>
        <w:fldChar w:fldCharType="separate"/>
      </w:r>
      <w:r w:rsidR="00F52FCD">
        <w:t xml:space="preserve">Table </w:t>
      </w:r>
      <w:r w:rsidR="00F52FCD">
        <w:rPr>
          <w:noProof/>
        </w:rPr>
        <w:t>19</w:t>
      </w:r>
      <w:r w:rsidR="00F52FCD">
        <w:t>.</w:t>
      </w:r>
      <w:r w:rsidR="00F52FCD">
        <w:rPr>
          <w:noProof/>
        </w:rPr>
        <w:t>17</w:t>
      </w:r>
      <w:r>
        <w:fldChar w:fldCharType="end"/>
      </w:r>
      <w:r w:rsidR="00194815">
        <w:t xml:space="preserve"> set</w:t>
      </w:r>
      <w:r>
        <w:t>s</w:t>
      </w:r>
      <w:r w:rsidR="00194815">
        <w:t xml:space="preserve"> out how TasNetworks resp</w:t>
      </w:r>
      <w:r w:rsidR="00AF6A8D">
        <w:t>onded to what stakeholders raised during consultation</w:t>
      </w:r>
      <w:r w:rsidR="00194815">
        <w:t>.</w:t>
      </w:r>
    </w:p>
    <w:p w:rsidR="00A332BC" w:rsidRDefault="00A332BC" w:rsidP="00A332BC">
      <w:pPr>
        <w:pStyle w:val="Caption"/>
      </w:pPr>
      <w:bookmarkStart w:id="132" w:name="_Ref477884104"/>
      <w:bookmarkStart w:id="133" w:name="_Ref477884093"/>
      <w:r>
        <w:t xml:space="preserve">Table </w:t>
      </w:r>
      <w:fldSimple w:instr=" STYLEREF 1 \s ">
        <w:r w:rsidR="00F52FCD">
          <w:rPr>
            <w:noProof/>
          </w:rPr>
          <w:t>19</w:t>
        </w:r>
      </w:fldSimple>
      <w:r w:rsidR="00E914FF">
        <w:t>.</w:t>
      </w:r>
      <w:fldSimple w:instr=" SEQ Table \* ARABIC \s 1 ">
        <w:r w:rsidR="00F52FCD">
          <w:rPr>
            <w:noProof/>
          </w:rPr>
          <w:t>17</w:t>
        </w:r>
      </w:fldSimple>
      <w:bookmarkEnd w:id="132"/>
      <w:r>
        <w:tab/>
        <w:t>Stakeholders' messages and TasNetworks' response</w:t>
      </w:r>
      <w:bookmarkEnd w:id="133"/>
    </w:p>
    <w:tbl>
      <w:tblPr>
        <w:tblStyle w:val="AERtable-text0"/>
        <w:tblW w:w="0" w:type="auto"/>
        <w:tblLook w:val="04A0" w:firstRow="1" w:lastRow="0" w:firstColumn="1" w:lastColumn="0" w:noHBand="0" w:noVBand="1"/>
      </w:tblPr>
      <w:tblGrid>
        <w:gridCol w:w="2376"/>
        <w:gridCol w:w="6317"/>
      </w:tblGrid>
      <w:tr w:rsidR="00A332BC" w:rsidTr="00713CE5">
        <w:trPr>
          <w:cnfStyle w:val="100000000000" w:firstRow="1" w:lastRow="0" w:firstColumn="0" w:lastColumn="0" w:oddVBand="0" w:evenVBand="0" w:oddHBand="0" w:evenHBand="0" w:firstRowFirstColumn="0" w:firstRowLastColumn="0" w:lastRowFirstColumn="0" w:lastRowLastColumn="0"/>
        </w:trPr>
        <w:tc>
          <w:tcPr>
            <w:tcW w:w="2376" w:type="dxa"/>
          </w:tcPr>
          <w:p w:rsidR="00A332BC" w:rsidRDefault="00A332BC" w:rsidP="00B61C42">
            <w:r>
              <w:t>What stakeholders said</w:t>
            </w:r>
          </w:p>
        </w:tc>
        <w:tc>
          <w:tcPr>
            <w:tcW w:w="6317" w:type="dxa"/>
          </w:tcPr>
          <w:p w:rsidR="00A332BC" w:rsidRDefault="00A332BC" w:rsidP="00B61C42">
            <w:r>
              <w:t>How TasNetworks responded</w:t>
            </w:r>
          </w:p>
        </w:tc>
      </w:tr>
      <w:tr w:rsidR="00A332BC" w:rsidTr="00713CE5">
        <w:tc>
          <w:tcPr>
            <w:tcW w:w="2376" w:type="dxa"/>
          </w:tcPr>
          <w:p w:rsidR="00A332BC" w:rsidRDefault="00A373C2" w:rsidP="00A373C2">
            <w:r>
              <w:rPr>
                <w:rStyle w:val="Strong"/>
              </w:rPr>
              <w:t>Better c</w:t>
            </w:r>
            <w:r w:rsidR="00284EAF" w:rsidRPr="00284EAF">
              <w:rPr>
                <w:rStyle w:val="Strong"/>
              </w:rPr>
              <w:t>ustomer communication</w:t>
            </w:r>
          </w:p>
        </w:tc>
        <w:tc>
          <w:tcPr>
            <w:tcW w:w="6317" w:type="dxa"/>
          </w:tcPr>
          <w:p w:rsidR="00284EAF" w:rsidRPr="00284EAF" w:rsidRDefault="00737191" w:rsidP="00284EAF">
            <w:r>
              <w:t>D</w:t>
            </w:r>
            <w:r w:rsidR="00284EAF" w:rsidRPr="00284EAF">
              <w:t xml:space="preserve">esigned a consultation plan </w:t>
            </w:r>
            <w:r w:rsidR="00AF0AE2">
              <w:t>focussed</w:t>
            </w:r>
            <w:r w:rsidR="00B11DAF">
              <w:t xml:space="preserve"> on</w:t>
            </w:r>
            <w:r w:rsidR="00284EAF" w:rsidRPr="00284EAF">
              <w:t xml:space="preserve"> </w:t>
            </w:r>
            <w:r w:rsidR="00840C9B">
              <w:t>stakeholder</w:t>
            </w:r>
            <w:r w:rsidR="00840C9B" w:rsidRPr="00284EAF">
              <w:t>s</w:t>
            </w:r>
            <w:r w:rsidR="00840C9B">
              <w:t>'</w:t>
            </w:r>
            <w:r w:rsidR="00284EAF" w:rsidRPr="00284EAF">
              <w:t xml:space="preserve"> aware</w:t>
            </w:r>
            <w:r w:rsidR="0032392C">
              <w:t>ness</w:t>
            </w:r>
            <w:r w:rsidR="00284EAF" w:rsidRPr="00284EAF">
              <w:t xml:space="preserve"> </w:t>
            </w:r>
            <w:r w:rsidR="00840C9B">
              <w:t>for</w:t>
            </w:r>
            <w:r w:rsidR="00284EAF" w:rsidRPr="00284EAF">
              <w:t xml:space="preserve"> network tariff reform process</w:t>
            </w:r>
            <w:r w:rsidR="00840C9B">
              <w:t xml:space="preserve"> and openly canvassed</w:t>
            </w:r>
            <w:r w:rsidR="00284EAF" w:rsidRPr="00284EAF">
              <w:t xml:space="preserve"> the trade-offs involved in balanc</w:t>
            </w:r>
            <w:r w:rsidR="00840C9B">
              <w:t>ing</w:t>
            </w:r>
            <w:r w:rsidR="00284EAF" w:rsidRPr="00284EAF">
              <w:t xml:space="preserve"> competing goals, such as pricing simplicity versus cost reflectivity.</w:t>
            </w:r>
          </w:p>
          <w:p w:rsidR="00A332BC" w:rsidRDefault="00840C9B" w:rsidP="00840C9B">
            <w:r>
              <w:t>It</w:t>
            </w:r>
            <w:r w:rsidR="00284EAF" w:rsidRPr="00284EAF">
              <w:t xml:space="preserve"> will consult with customers in develop</w:t>
            </w:r>
            <w:r w:rsidR="00AF0AE2">
              <w:t>ing</w:t>
            </w:r>
            <w:r w:rsidR="00284EAF" w:rsidRPr="00284EAF">
              <w:t xml:space="preserve"> future </w:t>
            </w:r>
            <w:r>
              <w:t>tariff structure s</w:t>
            </w:r>
            <w:r w:rsidR="00284EAF" w:rsidRPr="00284EAF">
              <w:t>tatement</w:t>
            </w:r>
            <w:r w:rsidR="00AF0AE2">
              <w:t>s and</w:t>
            </w:r>
            <w:r w:rsidR="00284EAF" w:rsidRPr="00284EAF">
              <w:t xml:space="preserve"> continue to seek feedback on how </w:t>
            </w:r>
            <w:r w:rsidR="00AF0AE2">
              <w:t>to</w:t>
            </w:r>
            <w:r w:rsidR="00284EAF" w:rsidRPr="00284EAF">
              <w:t xml:space="preserve"> improve customer communications.</w:t>
            </w:r>
          </w:p>
        </w:tc>
      </w:tr>
      <w:tr w:rsidR="00A332BC"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A332BC" w:rsidRDefault="00284EAF" w:rsidP="005F1769">
            <w:r w:rsidRPr="00284EAF">
              <w:rPr>
                <w:rStyle w:val="Strong"/>
              </w:rPr>
              <w:t>The peak demand problem doesn’t exist in Tasmania, so why change network tariffs?</w:t>
            </w:r>
          </w:p>
        </w:tc>
        <w:tc>
          <w:tcPr>
            <w:tcW w:w="6317" w:type="dxa"/>
          </w:tcPr>
          <w:p w:rsidR="00284EAF" w:rsidRPr="00284EAF" w:rsidRDefault="00840C9B" w:rsidP="00284EAF">
            <w:r>
              <w:t>A</w:t>
            </w:r>
            <w:r w:rsidR="005F1769">
              <w:t xml:space="preserve">cknowledged </w:t>
            </w:r>
            <w:r w:rsidR="00284EAF" w:rsidRPr="00284EAF">
              <w:t xml:space="preserve">Tasmania </w:t>
            </w:r>
            <w:r>
              <w:t xml:space="preserve">has </w:t>
            </w:r>
            <w:r w:rsidR="00284EAF" w:rsidRPr="00284EAF">
              <w:t>les</w:t>
            </w:r>
            <w:r>
              <w:t>s ‘peaky’ demand</w:t>
            </w:r>
            <w:r w:rsidR="00284EAF" w:rsidRPr="00284EAF">
              <w:t xml:space="preserve"> than other states</w:t>
            </w:r>
            <w:r w:rsidR="0032392C">
              <w:t xml:space="preserve"> but </w:t>
            </w:r>
            <w:r w:rsidR="00284EAF" w:rsidRPr="00284EAF">
              <w:t>demand</w:t>
            </w:r>
            <w:r>
              <w:t xml:space="preserve"> remains a concern.</w:t>
            </w:r>
          </w:p>
          <w:p w:rsidR="00840C9B" w:rsidRDefault="00840C9B" w:rsidP="00284EAF">
            <w:r>
              <w:t>Noted i</w:t>
            </w:r>
            <w:r w:rsidR="00284EAF" w:rsidRPr="00284EAF">
              <w:t>t is efficient to</w:t>
            </w:r>
            <w:r>
              <w:t xml:space="preserve"> better</w:t>
            </w:r>
            <w:r w:rsidR="00284EAF" w:rsidRPr="00284EAF">
              <w:t xml:space="preserve"> </w:t>
            </w:r>
            <w:r w:rsidRPr="00284EAF">
              <w:t xml:space="preserve">use </w:t>
            </w:r>
            <w:r>
              <w:t xml:space="preserve">current </w:t>
            </w:r>
            <w:r w:rsidR="00284EAF" w:rsidRPr="00284EAF">
              <w:t xml:space="preserve">assets than upgrade or build more. </w:t>
            </w:r>
            <w:r>
              <w:t>A</w:t>
            </w:r>
            <w:r w:rsidR="00284EAF" w:rsidRPr="00284EAF">
              <w:t xml:space="preserve">lso to build new </w:t>
            </w:r>
            <w:r>
              <w:t xml:space="preserve">or renew </w:t>
            </w:r>
            <w:r w:rsidR="00284EAF" w:rsidRPr="00284EAF">
              <w:t xml:space="preserve">assets with smaller capacities if </w:t>
            </w:r>
            <w:r>
              <w:t>it</w:t>
            </w:r>
            <w:r w:rsidR="00284EAF" w:rsidRPr="00284EAF">
              <w:t xml:space="preserve"> will meet expected demand. </w:t>
            </w:r>
          </w:p>
          <w:p w:rsidR="00284EAF" w:rsidRPr="00284EAF" w:rsidRDefault="00284EAF" w:rsidP="00284EAF">
            <w:r w:rsidRPr="00284EAF">
              <w:t>N</w:t>
            </w:r>
            <w:r w:rsidR="00840C9B">
              <w:t xml:space="preserve">oted </w:t>
            </w:r>
            <w:r w:rsidRPr="00284EAF">
              <w:t>tariff design</w:t>
            </w:r>
            <w:r w:rsidR="00626D2D">
              <w:t xml:space="preserve"> can</w:t>
            </w:r>
            <w:r w:rsidRPr="00284EAF">
              <w:t xml:space="preserve"> send </w:t>
            </w:r>
            <w:r w:rsidR="00626D2D" w:rsidRPr="00284EAF">
              <w:t>pric</w:t>
            </w:r>
            <w:r w:rsidR="00626D2D">
              <w:t>e</w:t>
            </w:r>
            <w:r w:rsidR="00626D2D" w:rsidRPr="00284EAF">
              <w:t xml:space="preserve"> signals that encourage</w:t>
            </w:r>
            <w:r w:rsidR="00626D2D">
              <w:t xml:space="preserve"> customers' </w:t>
            </w:r>
            <w:r w:rsidRPr="00284EAF">
              <w:t>manage</w:t>
            </w:r>
            <w:r w:rsidR="00626D2D">
              <w:t>ment of</w:t>
            </w:r>
            <w:r w:rsidRPr="00284EAF">
              <w:t xml:space="preserve"> peak demand that supports higher network utilisation and minimise future investmen</w:t>
            </w:r>
            <w:r w:rsidR="00626D2D">
              <w:t>t</w:t>
            </w:r>
            <w:r w:rsidRPr="00284EAF">
              <w:t>.</w:t>
            </w:r>
          </w:p>
          <w:p w:rsidR="00A332BC" w:rsidRDefault="00840C9B" w:rsidP="00595EB6">
            <w:r>
              <w:t xml:space="preserve">Noted </w:t>
            </w:r>
            <w:r w:rsidR="00284EAF" w:rsidRPr="00284EAF">
              <w:t>tariff reform also address</w:t>
            </w:r>
            <w:r w:rsidR="00595EB6">
              <w:t>es</w:t>
            </w:r>
            <w:r w:rsidR="00284EAF" w:rsidRPr="00284EAF">
              <w:t xml:space="preserve"> cross subsidy issues.</w:t>
            </w:r>
          </w:p>
        </w:tc>
      </w:tr>
      <w:tr w:rsidR="00A332BC" w:rsidTr="00713CE5">
        <w:tc>
          <w:tcPr>
            <w:tcW w:w="2376" w:type="dxa"/>
          </w:tcPr>
          <w:p w:rsidR="00A332BC" w:rsidRDefault="000068CF" w:rsidP="00737191">
            <w:r w:rsidRPr="000068CF">
              <w:rPr>
                <w:rStyle w:val="Strong"/>
              </w:rPr>
              <w:t>How will time of use demand based network tariffs be calculated?</w:t>
            </w:r>
          </w:p>
        </w:tc>
        <w:tc>
          <w:tcPr>
            <w:tcW w:w="6317" w:type="dxa"/>
          </w:tcPr>
          <w:p w:rsidR="00A332BC" w:rsidRDefault="00626D2D" w:rsidP="00C3502F">
            <w:r>
              <w:t>P</w:t>
            </w:r>
            <w:r w:rsidR="003904E0">
              <w:t>roposed</w:t>
            </w:r>
            <w:r w:rsidR="000068CF" w:rsidRPr="000068CF">
              <w:t xml:space="preserve"> a number of models for calculating demand based tariffs. </w:t>
            </w:r>
            <w:r w:rsidR="00C3502F">
              <w:t>S</w:t>
            </w:r>
            <w:r w:rsidR="000068CF" w:rsidRPr="000068CF">
              <w:t>takeholders broadly agree</w:t>
            </w:r>
            <w:r w:rsidR="00420F69">
              <w:t xml:space="preserve">d </w:t>
            </w:r>
            <w:r w:rsidR="000068CF" w:rsidRPr="000068CF">
              <w:t xml:space="preserve">that a time of use demand based tariff the best option </w:t>
            </w:r>
            <w:r w:rsidR="00C3502F">
              <w:t>to</w:t>
            </w:r>
            <w:r w:rsidR="000068CF" w:rsidRPr="000068CF">
              <w:t xml:space="preserve"> reduc</w:t>
            </w:r>
            <w:r w:rsidR="00C3502F">
              <w:t>e</w:t>
            </w:r>
            <w:r w:rsidR="000068CF" w:rsidRPr="000068CF">
              <w:t xml:space="preserve"> peak demand and investment required to renew and upgrade the network in the future. The two daily peak periods </w:t>
            </w:r>
            <w:r w:rsidR="00420F69" w:rsidRPr="00420F69">
              <w:t>was also considered more appropriate than other options.</w:t>
            </w:r>
          </w:p>
        </w:tc>
      </w:tr>
      <w:tr w:rsidR="00A332BC"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0068CF" w:rsidRPr="000068CF" w:rsidRDefault="000068CF" w:rsidP="000068CF">
            <w:pPr>
              <w:rPr>
                <w:rStyle w:val="Strong"/>
              </w:rPr>
            </w:pPr>
            <w:r w:rsidRPr="000068CF">
              <w:rPr>
                <w:rStyle w:val="Strong"/>
              </w:rPr>
              <w:t>Will the time of use demand based network tariffs be too complicated for people to understand?</w:t>
            </w:r>
          </w:p>
          <w:p w:rsidR="00A332BC" w:rsidRDefault="00A332BC" w:rsidP="000068CF"/>
        </w:tc>
        <w:tc>
          <w:tcPr>
            <w:tcW w:w="6317" w:type="dxa"/>
          </w:tcPr>
          <w:p w:rsidR="000068CF" w:rsidRPr="000068CF" w:rsidRDefault="003904E0" w:rsidP="000068CF">
            <w:r>
              <w:t>TasNetworks</w:t>
            </w:r>
            <w:r w:rsidR="00595EB6">
              <w:t xml:space="preserve"> noted it was</w:t>
            </w:r>
            <w:r w:rsidR="000068CF" w:rsidRPr="000068CF">
              <w:t xml:space="preserve"> mindful to balance </w:t>
            </w:r>
            <w:r w:rsidRPr="000068CF">
              <w:t xml:space="preserve">cost reflective </w:t>
            </w:r>
            <w:r w:rsidR="000068CF" w:rsidRPr="000068CF">
              <w:t xml:space="preserve">tariffs </w:t>
            </w:r>
            <w:r w:rsidR="00595EB6">
              <w:t>with</w:t>
            </w:r>
            <w:r w:rsidR="000068CF" w:rsidRPr="000068CF">
              <w:t xml:space="preserve"> tariffs which are easy to understand. That</w:t>
            </w:r>
            <w:r w:rsidR="00595EB6">
              <w:t xml:space="preserve"> i</w:t>
            </w:r>
            <w:r w:rsidR="000068CF" w:rsidRPr="000068CF">
              <w:t xml:space="preserve">s why </w:t>
            </w:r>
            <w:r w:rsidR="00595EB6">
              <w:t xml:space="preserve">the </w:t>
            </w:r>
            <w:r w:rsidR="000068CF" w:rsidRPr="000068CF">
              <w:t>time of use</w:t>
            </w:r>
            <w:r w:rsidR="00595EB6">
              <w:t xml:space="preserve"> demand tariff, consists</w:t>
            </w:r>
            <w:r w:rsidR="000068CF" w:rsidRPr="000068CF">
              <w:t xml:space="preserve"> of a service charge and </w:t>
            </w:r>
            <w:r w:rsidR="00595EB6">
              <w:t>both a peak and off-peak period.</w:t>
            </w:r>
          </w:p>
          <w:p w:rsidR="00A332BC" w:rsidRDefault="00595EB6" w:rsidP="00595EB6">
            <w:r>
              <w:t>The d</w:t>
            </w:r>
            <w:r w:rsidR="000068CF" w:rsidRPr="000068CF">
              <w:t>emand based tariffs</w:t>
            </w:r>
            <w:r>
              <w:t xml:space="preserve"> are</w:t>
            </w:r>
            <w:r w:rsidR="000068CF" w:rsidRPr="000068CF">
              <w:t xml:space="preserve"> available on an opt-in basis to allow </w:t>
            </w:r>
            <w:r w:rsidRPr="000068CF">
              <w:t>time</w:t>
            </w:r>
            <w:r w:rsidR="000068CF" w:rsidRPr="000068CF">
              <w:t xml:space="preserve"> to understand the tariffs before switching.</w:t>
            </w:r>
          </w:p>
        </w:tc>
      </w:tr>
      <w:tr w:rsidR="00A332BC" w:rsidTr="00713CE5">
        <w:tc>
          <w:tcPr>
            <w:tcW w:w="2376" w:type="dxa"/>
          </w:tcPr>
          <w:p w:rsidR="000068CF" w:rsidRPr="000068CF" w:rsidRDefault="000068CF" w:rsidP="000068CF">
            <w:pPr>
              <w:rPr>
                <w:rStyle w:val="Strong"/>
              </w:rPr>
            </w:pPr>
            <w:r w:rsidRPr="000068CF">
              <w:rPr>
                <w:rStyle w:val="Strong"/>
              </w:rPr>
              <w:t>How will tariff reform affect customers?</w:t>
            </w:r>
          </w:p>
          <w:p w:rsidR="00A332BC" w:rsidRDefault="00A332BC" w:rsidP="000068CF"/>
        </w:tc>
        <w:tc>
          <w:tcPr>
            <w:tcW w:w="6317" w:type="dxa"/>
          </w:tcPr>
          <w:p w:rsidR="000068CF" w:rsidRPr="000068CF" w:rsidRDefault="000068CF" w:rsidP="000068CF">
            <w:r w:rsidRPr="000068CF">
              <w:t>It is not yet possible to say whether a</w:t>
            </w:r>
            <w:r w:rsidR="00296BCF">
              <w:t>n</w:t>
            </w:r>
            <w:r w:rsidRPr="000068CF">
              <w:t xml:space="preserve"> individual customer will pay more or less under a time of use demand based tariff.</w:t>
            </w:r>
            <w:r w:rsidR="00296BCF">
              <w:t xml:space="preserve"> P</w:t>
            </w:r>
            <w:r w:rsidRPr="000068CF">
              <w:t xml:space="preserve">artly because the </w:t>
            </w:r>
            <w:r w:rsidR="00296BCF">
              <w:t xml:space="preserve">metering data </w:t>
            </w:r>
            <w:r w:rsidR="00296BCF" w:rsidRPr="000068CF">
              <w:t>needed to do the necessary calculations</w:t>
            </w:r>
            <w:r w:rsidR="00296BCF">
              <w:t xml:space="preserve"> does not currently exist. Also, be</w:t>
            </w:r>
            <w:r w:rsidRPr="000068CF">
              <w:t>cause people use electricity differently if charged more for energy at peak times of the day than if they pay for how much electricity they consume.</w:t>
            </w:r>
          </w:p>
          <w:p w:rsidR="00A332BC" w:rsidRDefault="000068CF" w:rsidP="00296BCF">
            <w:r w:rsidRPr="000068CF">
              <w:t xml:space="preserve">To help customers better understand the impacts of </w:t>
            </w:r>
            <w:r w:rsidR="00296BCF">
              <w:t>the</w:t>
            </w:r>
            <w:r w:rsidRPr="000068CF">
              <w:t xml:space="preserve"> time of use demand based tariff</w:t>
            </w:r>
            <w:r w:rsidR="00296BCF">
              <w:t xml:space="preserve"> it </w:t>
            </w:r>
            <w:r w:rsidRPr="000068CF">
              <w:t>will conduct</w:t>
            </w:r>
            <w:r w:rsidR="00296BCF">
              <w:t xml:space="preserve"> </w:t>
            </w:r>
            <w:r w:rsidRPr="000068CF">
              <w:t>a trial of the new tariffs.</w:t>
            </w:r>
          </w:p>
        </w:tc>
      </w:tr>
      <w:tr w:rsidR="00A332BC"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A332BC" w:rsidRDefault="000068CF" w:rsidP="00595EB6">
            <w:r w:rsidRPr="000068CF">
              <w:rPr>
                <w:rStyle w:val="Strong"/>
              </w:rPr>
              <w:t xml:space="preserve">Will the network tariffs for home heating and hot water </w:t>
            </w:r>
            <w:r w:rsidRPr="000068CF">
              <w:rPr>
                <w:rStyle w:val="Strong"/>
              </w:rPr>
              <w:lastRenderedPageBreak/>
              <w:t>be abolished?</w:t>
            </w:r>
          </w:p>
        </w:tc>
        <w:tc>
          <w:tcPr>
            <w:tcW w:w="6317" w:type="dxa"/>
          </w:tcPr>
          <w:p w:rsidR="000068CF" w:rsidRPr="000068CF" w:rsidRDefault="00595EB6" w:rsidP="000068CF">
            <w:r>
              <w:lastRenderedPageBreak/>
              <w:t>TasNetworks</w:t>
            </w:r>
            <w:r w:rsidR="000068CF" w:rsidRPr="000068CF">
              <w:t xml:space="preserve"> will not suddenly remov</w:t>
            </w:r>
            <w:r>
              <w:t>e</w:t>
            </w:r>
            <w:r w:rsidR="000068CF" w:rsidRPr="000068CF">
              <w:t xml:space="preserve"> any existing network tariffs as part of the </w:t>
            </w:r>
            <w:r w:rsidR="000068CF" w:rsidRPr="000068CF">
              <w:lastRenderedPageBreak/>
              <w:t>process of tariff reform.</w:t>
            </w:r>
          </w:p>
          <w:p w:rsidR="00A332BC" w:rsidRDefault="00595EB6" w:rsidP="00595EB6">
            <w:r>
              <w:t xml:space="preserve">An </w:t>
            </w:r>
            <w:r w:rsidR="000068CF" w:rsidRPr="000068CF">
              <w:t xml:space="preserve">initial stakeholder engagement </w:t>
            </w:r>
            <w:r>
              <w:t>option was to</w:t>
            </w:r>
            <w:r w:rsidR="000068CF" w:rsidRPr="000068CF">
              <w:t xml:space="preserve"> remov</w:t>
            </w:r>
            <w:r>
              <w:t>e</w:t>
            </w:r>
            <w:r w:rsidR="000068CF" w:rsidRPr="000068CF">
              <w:t xml:space="preserve"> the discounted network tariffs for all new customers. However, most of the feedback received was not supportive o</w:t>
            </w:r>
            <w:r>
              <w:t>f this approach. As a result, it</w:t>
            </w:r>
            <w:r w:rsidR="000068CF" w:rsidRPr="000068CF">
              <w:t xml:space="preserve"> changed strategy to gradually rebalance the</w:t>
            </w:r>
            <w:r>
              <w:t>se tariffs</w:t>
            </w:r>
            <w:r w:rsidR="000068CF" w:rsidRPr="000068CF">
              <w:t xml:space="preserve"> over time.</w:t>
            </w:r>
          </w:p>
        </w:tc>
      </w:tr>
      <w:tr w:rsidR="00A332BC" w:rsidTr="00713CE5">
        <w:tc>
          <w:tcPr>
            <w:tcW w:w="2376" w:type="dxa"/>
          </w:tcPr>
          <w:p w:rsidR="00A332BC" w:rsidRDefault="000068CF" w:rsidP="00595EB6">
            <w:r w:rsidRPr="000068CF">
              <w:rPr>
                <w:rStyle w:val="Strong"/>
              </w:rPr>
              <w:lastRenderedPageBreak/>
              <w:t>What impact will tariff reform have on vulnerable customers?</w:t>
            </w:r>
          </w:p>
        </w:tc>
        <w:tc>
          <w:tcPr>
            <w:tcW w:w="6317" w:type="dxa"/>
          </w:tcPr>
          <w:p w:rsidR="000068CF" w:rsidRPr="000068CF" w:rsidRDefault="00105907" w:rsidP="000068CF">
            <w:r>
              <w:t>TasNetworks</w:t>
            </w:r>
            <w:r w:rsidR="000068CF" w:rsidRPr="000068CF">
              <w:t xml:space="preserve"> </w:t>
            </w:r>
            <w:r w:rsidR="00296BCF">
              <w:t>will</w:t>
            </w:r>
            <w:r w:rsidR="000068CF" w:rsidRPr="000068CF">
              <w:t xml:space="preserve"> transition customers to more cost reflective pricing over a period of time, to avoid significant changes in prices between years. This gives customers, including ‘vulnerable’ customers, an opportunity to understand and respond to changing price signals in order to reduce the potential impacts of tariff reform on their electricity bill.</w:t>
            </w:r>
          </w:p>
          <w:p w:rsidR="000068CF" w:rsidRPr="000068CF" w:rsidRDefault="00296BCF" w:rsidP="000068CF">
            <w:r>
              <w:t>Its t</w:t>
            </w:r>
            <w:r w:rsidR="000068CF" w:rsidRPr="000068CF">
              <w:t xml:space="preserve">ariff </w:t>
            </w:r>
            <w:r>
              <w:t>s</w:t>
            </w:r>
            <w:r w:rsidR="000068CF" w:rsidRPr="000068CF">
              <w:t xml:space="preserve">tructure </w:t>
            </w:r>
            <w:r>
              <w:t>s</w:t>
            </w:r>
            <w:r w:rsidR="000068CF" w:rsidRPr="000068CF">
              <w:t xml:space="preserve">tatement engagement included a roundtable discussion to discuss how </w:t>
            </w:r>
            <w:r>
              <w:t>to</w:t>
            </w:r>
            <w:r w:rsidR="000068CF" w:rsidRPr="000068CF">
              <w:t xml:space="preserve"> support vulnerable customers. </w:t>
            </w:r>
            <w:r>
              <w:t>Its</w:t>
            </w:r>
            <w:r w:rsidR="000068CF" w:rsidRPr="000068CF">
              <w:t xml:space="preserve"> role in supporting vulnerable customers includes:</w:t>
            </w:r>
          </w:p>
          <w:p w:rsidR="000068CF" w:rsidRPr="000068CF" w:rsidRDefault="000068CF" w:rsidP="000068CF">
            <w:r w:rsidRPr="000068CF">
              <w:t>• contributing to the discussion on how the State Government’s concession arrangements can support tariff reform;</w:t>
            </w:r>
          </w:p>
          <w:p w:rsidR="000068CF" w:rsidRPr="000068CF" w:rsidRDefault="000068CF" w:rsidP="000068CF">
            <w:r w:rsidRPr="000068CF">
              <w:t>• working with retailers to provide information to support better customer decision making about their use of electricity, recognising the challenges faced by many vulnerable customers;</w:t>
            </w:r>
          </w:p>
          <w:p w:rsidR="000068CF" w:rsidRPr="000068CF" w:rsidRDefault="000068CF" w:rsidP="000068CF">
            <w:r w:rsidRPr="000068CF">
              <w:t>• pursuing ongoing cost savings in order to put downward pressure on the delivered cost of electricity; and</w:t>
            </w:r>
          </w:p>
          <w:p w:rsidR="00A332BC" w:rsidRDefault="000068CF" w:rsidP="000068CF">
            <w:r w:rsidRPr="000068CF">
              <w:t>• ensuring that we provide predictable and sustainable pricing to our customers.</w:t>
            </w:r>
          </w:p>
        </w:tc>
      </w:tr>
      <w:tr w:rsidR="000068CF"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0068CF" w:rsidRDefault="000068CF" w:rsidP="00643480">
            <w:r w:rsidRPr="000068CF">
              <w:rPr>
                <w:rStyle w:val="Strong"/>
              </w:rPr>
              <w:t>If service charges increase, how will vulnerable customers control their electricity costs?</w:t>
            </w:r>
          </w:p>
        </w:tc>
        <w:tc>
          <w:tcPr>
            <w:tcW w:w="6317" w:type="dxa"/>
          </w:tcPr>
          <w:p w:rsidR="000068CF" w:rsidRPr="000068CF" w:rsidRDefault="00643480" w:rsidP="000068CF">
            <w:r>
              <w:t>P</w:t>
            </w:r>
            <w:r w:rsidR="000068CF" w:rsidRPr="000068CF">
              <w:t xml:space="preserve">roposed transition timelines designed to </w:t>
            </w:r>
            <w:r>
              <w:t>smooth out the transition to</w:t>
            </w:r>
            <w:r w:rsidR="000068CF" w:rsidRPr="000068CF">
              <w:t xml:space="preserve"> new </w:t>
            </w:r>
            <w:r>
              <w:t>and revised network tariffs. T</w:t>
            </w:r>
            <w:r w:rsidR="000068CF" w:rsidRPr="000068CF">
              <w:t>ransitioning customers to more cost reflective pricing over a period of time can avoid significant changes in prices between years.</w:t>
            </w:r>
          </w:p>
          <w:p w:rsidR="000068CF" w:rsidRDefault="000068CF" w:rsidP="000068CF">
            <w:r w:rsidRPr="000068CF">
              <w:t>A gradual transition will give customers, including ‘vulnerable’ customers, an opportunity to understand and respond to changing price signals in order to reduce any potentially adverse impacts of tariff reform on their electricity bill. The steps to support vulnerable customers, outlined above, will also support the transition.</w:t>
            </w:r>
          </w:p>
        </w:tc>
      </w:tr>
      <w:tr w:rsidR="000068CF" w:rsidTr="00713CE5">
        <w:tc>
          <w:tcPr>
            <w:tcW w:w="2376" w:type="dxa"/>
          </w:tcPr>
          <w:p w:rsidR="000068CF" w:rsidRPr="000068CF" w:rsidRDefault="000068CF" w:rsidP="000068CF">
            <w:pPr>
              <w:rPr>
                <w:rStyle w:val="Strong"/>
              </w:rPr>
            </w:pPr>
            <w:r w:rsidRPr="000068CF">
              <w:rPr>
                <w:rStyle w:val="Strong"/>
              </w:rPr>
              <w:t>How long is the transition to the new network tariffs going to take?</w:t>
            </w:r>
          </w:p>
          <w:p w:rsidR="000068CF" w:rsidRDefault="000068CF" w:rsidP="000068CF"/>
        </w:tc>
        <w:tc>
          <w:tcPr>
            <w:tcW w:w="6317" w:type="dxa"/>
          </w:tcPr>
          <w:p w:rsidR="000068CF" w:rsidRPr="000068CF" w:rsidRDefault="00643480" w:rsidP="000068CF">
            <w:r>
              <w:t xml:space="preserve">TasNetworks </w:t>
            </w:r>
            <w:r w:rsidR="000068CF" w:rsidRPr="000068CF">
              <w:t xml:space="preserve">will monitor the impact of the time of use demand based network tariffs on customers’ electricity bills. </w:t>
            </w:r>
            <w:r>
              <w:t xml:space="preserve">This will be done </w:t>
            </w:r>
            <w:r w:rsidR="000068CF" w:rsidRPr="000068CF">
              <w:t>in conjunction with the electricity retailers that offer retail tariffs that reflect the new network charges.</w:t>
            </w:r>
          </w:p>
          <w:p w:rsidR="000068CF" w:rsidRDefault="00643480" w:rsidP="00643480">
            <w:r>
              <w:t xml:space="preserve">Will </w:t>
            </w:r>
            <w:r w:rsidR="000068CF" w:rsidRPr="000068CF">
              <w:t>transition existing tariffs towards full cost reflectivity over a period of up to 15 years. Initially proposed a faster pace of reform, but amended plans in response to customer and stakeholder feedback, which clearly expressed a preference for a longer transitional period.</w:t>
            </w:r>
          </w:p>
        </w:tc>
      </w:tr>
      <w:tr w:rsidR="000068CF"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0068CF" w:rsidRPr="000068CF" w:rsidRDefault="000068CF" w:rsidP="000068CF">
            <w:pPr>
              <w:rPr>
                <w:rStyle w:val="Strong"/>
              </w:rPr>
            </w:pPr>
            <w:r w:rsidRPr="000068CF">
              <w:rPr>
                <w:rStyle w:val="Strong"/>
              </w:rPr>
              <w:t>Does cost reflective pricing mean that customers in different parts of the State will pay different prices?</w:t>
            </w:r>
          </w:p>
          <w:p w:rsidR="000068CF" w:rsidRDefault="000068CF" w:rsidP="000068CF"/>
        </w:tc>
        <w:tc>
          <w:tcPr>
            <w:tcW w:w="6317" w:type="dxa"/>
          </w:tcPr>
          <w:p w:rsidR="000068CF" w:rsidRDefault="000068CF" w:rsidP="009554C2">
            <w:r w:rsidRPr="000068CF">
              <w:t xml:space="preserve">For Tasmanian customers, </w:t>
            </w:r>
            <w:r w:rsidR="009554C2" w:rsidRPr="000068CF">
              <w:t>jurisdictional requirements</w:t>
            </w:r>
            <w:r w:rsidR="009554C2">
              <w:t xml:space="preserve"> </w:t>
            </w:r>
            <w:r w:rsidRPr="000068CF">
              <w:t>requires the distribution network tariffs for small customers of a particular class to be uniform, regardless of where in mainland Tasmania the customer is supplied with electricity. This applies to all customers in a given customer class that use less than 150 Megawatt hours per annum.</w:t>
            </w:r>
          </w:p>
        </w:tc>
      </w:tr>
      <w:tr w:rsidR="000068CF" w:rsidTr="00713CE5">
        <w:tc>
          <w:tcPr>
            <w:tcW w:w="2376" w:type="dxa"/>
          </w:tcPr>
          <w:p w:rsidR="000068CF" w:rsidRPr="000068CF" w:rsidRDefault="000068CF" w:rsidP="000068CF">
            <w:pPr>
              <w:rPr>
                <w:rStyle w:val="Strong"/>
              </w:rPr>
            </w:pPr>
            <w:r w:rsidRPr="000068CF">
              <w:rPr>
                <w:rStyle w:val="Strong"/>
              </w:rPr>
              <w:t>Will customers be forced onto demand tariffs?</w:t>
            </w:r>
          </w:p>
          <w:p w:rsidR="000068CF" w:rsidRDefault="000068CF" w:rsidP="000068CF"/>
        </w:tc>
        <w:tc>
          <w:tcPr>
            <w:tcW w:w="6317" w:type="dxa"/>
          </w:tcPr>
          <w:p w:rsidR="000068CF" w:rsidRPr="000068CF" w:rsidRDefault="000068CF" w:rsidP="000068CF">
            <w:r w:rsidRPr="000068CF">
              <w:t>The time of use demand based network tariffs will initially be available to customers as a choice (opt-in basis) through their electricity retailer. TasNetworks’ Tariff Reform Working Group was particularly supportive of the proposal for time of use demand based network tariffs to be offered on an opt-in basis.</w:t>
            </w:r>
          </w:p>
          <w:p w:rsidR="000068CF" w:rsidRDefault="000068CF" w:rsidP="000068CF">
            <w:r w:rsidRPr="000068CF">
              <w:t>Changes will be made to the existing network tariffs, but they will occur over the medium to long term, in order to facilitate a gradual transition. This will also give customers time to figure out at what point changing to a new time of use demand based network tariff would be to their advantage.</w:t>
            </w:r>
          </w:p>
        </w:tc>
      </w:tr>
      <w:tr w:rsidR="000068CF"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0068CF" w:rsidRPr="000068CF" w:rsidRDefault="000068CF" w:rsidP="000068CF">
            <w:pPr>
              <w:rPr>
                <w:rStyle w:val="Strong"/>
              </w:rPr>
            </w:pPr>
            <w:r w:rsidRPr="000068CF">
              <w:rPr>
                <w:rStyle w:val="Strong"/>
              </w:rPr>
              <w:t>Will advanced meters be needed to implement time of use demand based network tariffs?</w:t>
            </w:r>
          </w:p>
          <w:p w:rsidR="000068CF" w:rsidRDefault="000068CF" w:rsidP="000068CF"/>
        </w:tc>
        <w:tc>
          <w:tcPr>
            <w:tcW w:w="6317" w:type="dxa"/>
          </w:tcPr>
          <w:p w:rsidR="000068CF" w:rsidRPr="000068CF" w:rsidRDefault="000068CF" w:rsidP="000068CF">
            <w:r w:rsidRPr="000068CF">
              <w:lastRenderedPageBreak/>
              <w:t>Following consideration of customer and stakeholder feedback, new time of use demand based tariffs will be underpinned by an advanced meter with communications; this enables the provision of monthly billing. Therefore, customers, switching to a time of use demand based network tariff will require the installation of a more advanced meter.</w:t>
            </w:r>
          </w:p>
          <w:p w:rsidR="000068CF" w:rsidRDefault="000068CF" w:rsidP="000068CF">
            <w:r w:rsidRPr="000068CF">
              <w:lastRenderedPageBreak/>
              <w:t>Utilising advanced metering technology which allows monthly bi</w:t>
            </w:r>
            <w:r w:rsidR="005817C9">
              <w:t xml:space="preserve">lling to retailers will mean TasNetworks can provide </w:t>
            </w:r>
            <w:r w:rsidRPr="000068CF">
              <w:t>customers with timely information to help them better understand electricity usage in their homes.</w:t>
            </w:r>
          </w:p>
        </w:tc>
      </w:tr>
      <w:tr w:rsidR="000068CF" w:rsidTr="00713CE5">
        <w:tc>
          <w:tcPr>
            <w:tcW w:w="2376" w:type="dxa"/>
          </w:tcPr>
          <w:p w:rsidR="000068CF" w:rsidRDefault="000068CF" w:rsidP="005817C9">
            <w:r w:rsidRPr="000068CF">
              <w:rPr>
                <w:rStyle w:val="Strong"/>
              </w:rPr>
              <w:lastRenderedPageBreak/>
              <w:t>What can customers on a time of use demand based network tariff do to reduce demand and control their electricity costs?</w:t>
            </w:r>
          </w:p>
        </w:tc>
        <w:tc>
          <w:tcPr>
            <w:tcW w:w="6317" w:type="dxa"/>
          </w:tcPr>
          <w:p w:rsidR="000068CF" w:rsidRPr="000068CF" w:rsidRDefault="005817C9" w:rsidP="000068CF">
            <w:r>
              <w:t>TasNetworks</w:t>
            </w:r>
            <w:r w:rsidR="000068CF" w:rsidRPr="000068CF">
              <w:t xml:space="preserve"> will work with customers to help them understand how they can reduce demand on the network at peak times. </w:t>
            </w:r>
            <w:r>
              <w:t>TasNetworks</w:t>
            </w:r>
            <w:r w:rsidR="000068CF" w:rsidRPr="000068CF">
              <w:t xml:space="preserve"> are working with retailers to better develop tools to help customers better understand electricity usage in their home</w:t>
            </w:r>
            <w:r>
              <w:t>s. Through a number of trials, TasNetworks' is</w:t>
            </w:r>
            <w:r w:rsidR="000068CF" w:rsidRPr="000068CF">
              <w:t xml:space="preserve"> learning and gathering information </w:t>
            </w:r>
            <w:r>
              <w:t>to</w:t>
            </w:r>
            <w:r w:rsidR="000068CF" w:rsidRPr="000068CF">
              <w:t xml:space="preserve"> develop tools which will be used to support </w:t>
            </w:r>
            <w:r w:rsidRPr="000068CF">
              <w:t>ongoing</w:t>
            </w:r>
            <w:r w:rsidR="000068CF" w:rsidRPr="000068CF">
              <w:t xml:space="preserve"> customer engagement on tariff reform and new tariff offerings. More timely usage and demand information available over time through advanced meters, supporting information tools, and monthly billing will also help customers in better understanding their electricity usage.</w:t>
            </w:r>
          </w:p>
          <w:p w:rsidR="000068CF" w:rsidRPr="000068CF" w:rsidRDefault="000068CF" w:rsidP="000068CF">
            <w:r w:rsidRPr="000068CF">
              <w:t>Minimising demand during higher-priced peak periods (weekday mornings and evenings) can be as simple as switching off any discretionary appliances at those times, particularly appliances that use a lot of energy. Hot water systems may be set up to heat in non-peak periods and heaters may be able to be turned on ahead of the peak to warm homes and then operated at lower levels to maintain heating levels during the peak.</w:t>
            </w:r>
          </w:p>
          <w:p w:rsidR="000068CF" w:rsidRDefault="005817C9" w:rsidP="000068CF">
            <w:r>
              <w:t>TasNetworks'</w:t>
            </w:r>
            <w:r w:rsidR="000068CF" w:rsidRPr="000068CF">
              <w:t xml:space="preserve"> aim is to provide network tariffs that provide a cost reflective signal so customers can understand the network costs associated with their usage at different times of the day.</w:t>
            </w:r>
          </w:p>
        </w:tc>
      </w:tr>
      <w:tr w:rsidR="000068CF" w:rsidTr="00713CE5">
        <w:trPr>
          <w:cnfStyle w:val="000000010000" w:firstRow="0" w:lastRow="0" w:firstColumn="0" w:lastColumn="0" w:oddVBand="0" w:evenVBand="0" w:oddHBand="0" w:evenHBand="1" w:firstRowFirstColumn="0" w:firstRowLastColumn="0" w:lastRowFirstColumn="0" w:lastRowLastColumn="0"/>
        </w:trPr>
        <w:tc>
          <w:tcPr>
            <w:tcW w:w="2376" w:type="dxa"/>
          </w:tcPr>
          <w:p w:rsidR="000068CF" w:rsidRPr="00696547" w:rsidRDefault="000068CF" w:rsidP="00626F49">
            <w:pPr>
              <w:rPr>
                <w:rStyle w:val="Strong"/>
              </w:rPr>
            </w:pPr>
            <w:r w:rsidRPr="00696547">
              <w:rPr>
                <w:rStyle w:val="Strong"/>
              </w:rPr>
              <w:t>Network tariffs need to be reflected in retail bills</w:t>
            </w:r>
          </w:p>
          <w:p w:rsidR="000068CF" w:rsidRDefault="000068CF" w:rsidP="000068CF"/>
        </w:tc>
        <w:tc>
          <w:tcPr>
            <w:tcW w:w="6317" w:type="dxa"/>
          </w:tcPr>
          <w:p w:rsidR="000068CF" w:rsidRDefault="00626F49" w:rsidP="00626F49">
            <w:r>
              <w:t>TasNetworks</w:t>
            </w:r>
            <w:r w:rsidR="000068CF" w:rsidRPr="000068CF">
              <w:t xml:space="preserve"> are working closely with electricity retailers and the local economic regulator to support this outcome.</w:t>
            </w:r>
          </w:p>
        </w:tc>
      </w:tr>
    </w:tbl>
    <w:p w:rsidR="00A332BC" w:rsidRDefault="00626F49" w:rsidP="00626F49">
      <w:pPr>
        <w:pStyle w:val="AERtablesource"/>
      </w:pPr>
      <w:r>
        <w:t>Source:</w:t>
      </w:r>
      <w:r>
        <w:tab/>
      </w:r>
      <w:r w:rsidR="00284EAF" w:rsidRPr="00284EAF">
        <w:t xml:space="preserve">TasNetworks, </w:t>
      </w:r>
      <w:r w:rsidR="00284EAF" w:rsidRPr="00626F49">
        <w:rPr>
          <w:rStyle w:val="AERtextitalic"/>
        </w:rPr>
        <w:t>Tariff structure statement: Background and explanation</w:t>
      </w:r>
      <w:r w:rsidR="00284EAF" w:rsidRPr="00284EAF">
        <w:t xml:space="preserve">, December 2016, pp. </w:t>
      </w:r>
      <w:r w:rsidR="00284EAF">
        <w:t>30</w:t>
      </w:r>
      <w:r w:rsidR="00284EAF" w:rsidRPr="00284EAF">
        <w:t>–37</w:t>
      </w:r>
      <w:r>
        <w:t>.</w:t>
      </w:r>
    </w:p>
    <w:p w:rsidR="00C574A3" w:rsidRDefault="00F46C50" w:rsidP="00B61C42">
      <w:r>
        <w:t>On customer impacts, w</w:t>
      </w:r>
      <w:r w:rsidR="00F00937">
        <w:t>e consider TasNetworks' revised tariff structure statement has</w:t>
      </w:r>
      <w:r w:rsidR="00C02216">
        <w:t xml:space="preserve"> demonstrated reasonable consideration of </w:t>
      </w:r>
      <w:r w:rsidR="00F00937" w:rsidRPr="00F00937">
        <w:t>customer impacts</w:t>
      </w:r>
      <w:r w:rsidR="00C574A3">
        <w:t xml:space="preserve"> due to</w:t>
      </w:r>
      <w:r w:rsidR="00F00937">
        <w:t xml:space="preserve"> the change</w:t>
      </w:r>
      <w:r w:rsidR="00C02216">
        <w:t>s</w:t>
      </w:r>
      <w:r w:rsidR="00F00937">
        <w:t xml:space="preserve"> in</w:t>
      </w:r>
      <w:r w:rsidR="00C574A3">
        <w:t xml:space="preserve"> its</w:t>
      </w:r>
      <w:r w:rsidR="00F00937">
        <w:t xml:space="preserve"> tariffs</w:t>
      </w:r>
      <w:r w:rsidR="00F00937" w:rsidRPr="00F00937">
        <w:t>.</w:t>
      </w:r>
      <w:r w:rsidR="00F00937" w:rsidRPr="00F00937">
        <w:rPr>
          <w:rStyle w:val="FootnoteReference"/>
        </w:rPr>
        <w:footnoteReference w:id="268"/>
      </w:r>
      <w:r w:rsidR="00B62BC1">
        <w:t xml:space="preserve"> </w:t>
      </w:r>
      <w:r w:rsidR="00C02216">
        <w:t xml:space="preserve">As shown in </w:t>
      </w:r>
      <w:r w:rsidR="00C02216">
        <w:fldChar w:fldCharType="begin"/>
      </w:r>
      <w:r w:rsidR="00C02216">
        <w:instrText xml:space="preserve"> REF  _Ref478486008 \* Lower \h </w:instrText>
      </w:r>
      <w:r w:rsidR="00C02216">
        <w:fldChar w:fldCharType="separate"/>
      </w:r>
      <w:r w:rsidR="00F52FCD">
        <w:t xml:space="preserve">table </w:t>
      </w:r>
      <w:r w:rsidR="00F52FCD">
        <w:rPr>
          <w:noProof/>
        </w:rPr>
        <w:t>19</w:t>
      </w:r>
      <w:r w:rsidR="00F52FCD">
        <w:t>.</w:t>
      </w:r>
      <w:r w:rsidR="00F52FCD">
        <w:rPr>
          <w:noProof/>
        </w:rPr>
        <w:t>18</w:t>
      </w:r>
      <w:r w:rsidR="00C02216">
        <w:fldChar w:fldCharType="end"/>
      </w:r>
      <w:r w:rsidR="00C02216">
        <w:t xml:space="preserve"> and </w:t>
      </w:r>
      <w:r w:rsidR="00C02216">
        <w:fldChar w:fldCharType="begin"/>
      </w:r>
      <w:r w:rsidR="00C02216">
        <w:instrText xml:space="preserve"> REF  _Ref478486022 \* Lower \h </w:instrText>
      </w:r>
      <w:r w:rsidR="00C02216">
        <w:fldChar w:fldCharType="separate"/>
      </w:r>
      <w:r w:rsidR="00F52FCD">
        <w:t xml:space="preserve">figure </w:t>
      </w:r>
      <w:r w:rsidR="00F52FCD">
        <w:rPr>
          <w:noProof/>
        </w:rPr>
        <w:t>19</w:t>
      </w:r>
      <w:r w:rsidR="00F52FCD">
        <w:t>.</w:t>
      </w:r>
      <w:r w:rsidR="00F52FCD">
        <w:rPr>
          <w:noProof/>
        </w:rPr>
        <w:t>8</w:t>
      </w:r>
      <w:r w:rsidR="00C02216">
        <w:fldChar w:fldCharType="end"/>
      </w:r>
      <w:r w:rsidR="00C02216">
        <w:t xml:space="preserve"> below, TasNetworks' </w:t>
      </w:r>
      <w:r w:rsidR="00B62BC1">
        <w:t>revised tariff structure statement includes customer impact</w:t>
      </w:r>
      <w:r w:rsidR="00C574A3">
        <w:t xml:space="preserve"> analysi</w:t>
      </w:r>
      <w:r w:rsidR="00B62BC1">
        <w:t xml:space="preserve">s </w:t>
      </w:r>
      <w:r w:rsidR="00C574A3">
        <w:t>for</w:t>
      </w:r>
      <w:r w:rsidR="00C02216">
        <w:t xml:space="preserve"> customers on existing tariffs as well as</w:t>
      </w:r>
      <w:r w:rsidR="00B62BC1">
        <w:t xml:space="preserve"> customers transitioning to the new time of use demand tariffs.</w:t>
      </w:r>
      <w:r w:rsidR="00B62BC1">
        <w:rPr>
          <w:rStyle w:val="FootnoteReference"/>
        </w:rPr>
        <w:footnoteReference w:id="269"/>
      </w:r>
    </w:p>
    <w:p w:rsidR="00C4488C" w:rsidRDefault="00B62BC1" w:rsidP="00B61C42">
      <w:r>
        <w:t xml:space="preserve">In regards to the latter, TasNetworks' included a worked example </w:t>
      </w:r>
      <w:r w:rsidR="00C574A3">
        <w:t>for</w:t>
      </w:r>
      <w:r>
        <w:t xml:space="preserve"> calculating </w:t>
      </w:r>
      <w:r w:rsidR="00F00937">
        <w:t>the</w:t>
      </w:r>
      <w:r>
        <w:t xml:space="preserve"> demand charge for a residential customer</w:t>
      </w:r>
      <w:r w:rsidR="00F00937">
        <w:t xml:space="preserve"> on a time of use demand tariff</w:t>
      </w:r>
      <w:r>
        <w:t>.</w:t>
      </w:r>
      <w:r>
        <w:rPr>
          <w:rStyle w:val="FootnoteReference"/>
        </w:rPr>
        <w:footnoteReference w:id="270"/>
      </w:r>
      <w:r w:rsidR="00C574A3">
        <w:t xml:space="preserve"> We consider the worked example will assist customers and stakeholders understanding of the new time of use demand tariff structure and impacts.</w:t>
      </w:r>
    </w:p>
    <w:p w:rsidR="0032672A" w:rsidRDefault="00C574A3" w:rsidP="00B61C42">
      <w:r>
        <w:t xml:space="preserve">In determining customer impacts for customers transitioning to the new demand based tariffs, </w:t>
      </w:r>
      <w:r w:rsidR="00BE2261">
        <w:t xml:space="preserve">Jo De Silva, </w:t>
      </w:r>
      <w:r w:rsidR="003A598E">
        <w:t xml:space="preserve">the TSBC, </w:t>
      </w:r>
      <w:r w:rsidR="00AB61FB">
        <w:t>the ATA</w:t>
      </w:r>
      <w:r w:rsidR="003A598E">
        <w:t>,</w:t>
      </w:r>
      <w:r w:rsidR="00AB61FB">
        <w:t xml:space="preserve"> </w:t>
      </w:r>
      <w:r w:rsidR="003A598E">
        <w:t xml:space="preserve">the TREA </w:t>
      </w:r>
      <w:r w:rsidR="00AB61FB">
        <w:t xml:space="preserve">and TasNetworks acknowledged </w:t>
      </w:r>
      <w:r w:rsidR="0032672A">
        <w:t>the</w:t>
      </w:r>
      <w:r w:rsidR="00AB61FB">
        <w:t xml:space="preserve"> difficult</w:t>
      </w:r>
      <w:r w:rsidR="0032672A">
        <w:t xml:space="preserve">y in </w:t>
      </w:r>
      <w:r w:rsidR="00AB61FB">
        <w:t>assess</w:t>
      </w:r>
      <w:r w:rsidR="0032672A">
        <w:t>ing</w:t>
      </w:r>
      <w:r w:rsidR="00AB61FB">
        <w:t xml:space="preserve"> </w:t>
      </w:r>
      <w:r>
        <w:t xml:space="preserve">the impact </w:t>
      </w:r>
      <w:r w:rsidR="00AB61FB">
        <w:t>because of the current limited metering data available.</w:t>
      </w:r>
      <w:r w:rsidR="00AB61FB">
        <w:rPr>
          <w:rStyle w:val="FootnoteReference"/>
        </w:rPr>
        <w:footnoteReference w:id="271"/>
      </w:r>
      <w:r w:rsidR="00AB61FB">
        <w:t xml:space="preserve"> </w:t>
      </w:r>
      <w:r w:rsidR="0032672A">
        <w:t xml:space="preserve">Although acknowledging this limitation, </w:t>
      </w:r>
      <w:r w:rsidR="003A598E">
        <w:t>the stakeholders</w:t>
      </w:r>
      <w:r w:rsidR="0032672A">
        <w:t xml:space="preserve"> </w:t>
      </w:r>
      <w:r>
        <w:t>considered that</w:t>
      </w:r>
      <w:r w:rsidR="0032672A">
        <w:t xml:space="preserve"> </w:t>
      </w:r>
      <w:r w:rsidR="0032672A">
        <w:lastRenderedPageBreak/>
        <w:t>TasNetworks' initial tariff structure statement had not given sufficient consideration to customer impacts and that this should be addressed in TasNetworks' revised tariff structure statement.</w:t>
      </w:r>
      <w:r w:rsidR="003A598E" w:rsidRPr="007C720D">
        <w:rPr>
          <w:rStyle w:val="FootnoteReference"/>
        </w:rPr>
        <w:footnoteReference w:id="272"/>
      </w:r>
    </w:p>
    <w:p w:rsidR="0032672A" w:rsidRDefault="00F00937" w:rsidP="00874BA3">
      <w:r>
        <w:t>In our draft decision we</w:t>
      </w:r>
      <w:r w:rsidR="00C574A3">
        <w:t xml:space="preserve"> also</w:t>
      </w:r>
      <w:r>
        <w:t xml:space="preserve"> a</w:t>
      </w:r>
      <w:r w:rsidR="0032672A">
        <w:t>cknowledged</w:t>
      </w:r>
      <w:r w:rsidR="001C302F">
        <w:t xml:space="preserve"> that</w:t>
      </w:r>
      <w:r w:rsidR="0032672A">
        <w:t xml:space="preserve"> </w:t>
      </w:r>
      <w:r w:rsidR="0032672A" w:rsidRPr="0032672A">
        <w:t xml:space="preserve">TasNetworks' </w:t>
      </w:r>
      <w:r w:rsidR="0032672A">
        <w:t>initial</w:t>
      </w:r>
      <w:r w:rsidR="0032672A" w:rsidRPr="0032672A">
        <w:t xml:space="preserve"> tariff structure statement </w:t>
      </w:r>
      <w:r w:rsidR="0032672A">
        <w:t xml:space="preserve">did </w:t>
      </w:r>
      <w:r w:rsidR="0032672A" w:rsidRPr="0032672A">
        <w:t>not contain a large amount of customer impact information</w:t>
      </w:r>
      <w:r w:rsidR="001C302F">
        <w:t xml:space="preserve"> in our draft decision</w:t>
      </w:r>
      <w:r w:rsidR="0032672A" w:rsidRPr="0032672A">
        <w:t>.</w:t>
      </w:r>
      <w:r w:rsidR="0032672A">
        <w:rPr>
          <w:rStyle w:val="FootnoteReference"/>
        </w:rPr>
        <w:footnoteReference w:id="273"/>
      </w:r>
      <w:r w:rsidR="0032672A" w:rsidRPr="0032672A">
        <w:t xml:space="preserve"> However</w:t>
      </w:r>
      <w:r w:rsidR="0032672A">
        <w:t>,</w:t>
      </w:r>
      <w:r w:rsidR="0032672A" w:rsidRPr="0032672A">
        <w:t xml:space="preserve"> we</w:t>
      </w:r>
      <w:r w:rsidR="001C302F">
        <w:t xml:space="preserve"> also</w:t>
      </w:r>
      <w:r w:rsidR="0032672A" w:rsidRPr="0032672A">
        <w:t xml:space="preserve"> note</w:t>
      </w:r>
      <w:r w:rsidR="0032672A">
        <w:t>d</w:t>
      </w:r>
      <w:r w:rsidR="0032672A" w:rsidRPr="0032672A">
        <w:t xml:space="preserve"> </w:t>
      </w:r>
      <w:r w:rsidR="0032672A">
        <w:t xml:space="preserve">TasNetworks had </w:t>
      </w:r>
      <w:r w:rsidR="0032672A" w:rsidRPr="0032672A">
        <w:t xml:space="preserve">developed </w:t>
      </w:r>
      <w:r w:rsidR="00874BA3">
        <w:t xml:space="preserve">more detailed customer impact analysis </w:t>
      </w:r>
      <w:r w:rsidR="001C302F">
        <w:t>during</w:t>
      </w:r>
      <w:r w:rsidR="00874BA3">
        <w:t xml:space="preserve"> its </w:t>
      </w:r>
      <w:r w:rsidR="00874BA3" w:rsidRPr="0032672A">
        <w:t>consultation process</w:t>
      </w:r>
      <w:r>
        <w:t xml:space="preserve"> and that its revised tariff structure statement would benefit from its inclusion</w:t>
      </w:r>
      <w:r w:rsidR="0032672A">
        <w:t>.</w:t>
      </w:r>
    </w:p>
    <w:p w:rsidR="00F167D2" w:rsidRDefault="00874BA3" w:rsidP="00F167D2">
      <w:r>
        <w:t>We consider TasNetworks' revised tariff structure statement has addre</w:t>
      </w:r>
      <w:r w:rsidR="00C76D9B">
        <w:t>ssed</w:t>
      </w:r>
      <w:r>
        <w:t xml:space="preserve"> the</w:t>
      </w:r>
      <w:r w:rsidR="003A598E">
        <w:t xml:space="preserve"> stakeholders </w:t>
      </w:r>
      <w:r>
        <w:t xml:space="preserve">concerns </w:t>
      </w:r>
      <w:r w:rsidR="00C76D9B">
        <w:t>by includ</w:t>
      </w:r>
      <w:r>
        <w:t>ing</w:t>
      </w:r>
      <w:r w:rsidR="00C76D9B">
        <w:t xml:space="preserve"> more</w:t>
      </w:r>
      <w:r>
        <w:t xml:space="preserve"> detailed</w:t>
      </w:r>
      <w:r w:rsidR="00C574A3">
        <w:t xml:space="preserve"> and updated</w:t>
      </w:r>
      <w:r w:rsidR="00C76D9B">
        <w:t xml:space="preserve"> </w:t>
      </w:r>
      <w:r>
        <w:t>customer impact analysis</w:t>
      </w:r>
      <w:r w:rsidR="00F00937">
        <w:t>.</w:t>
      </w:r>
      <w:r w:rsidR="003A598E" w:rsidRPr="007C720D">
        <w:rPr>
          <w:rStyle w:val="FootnoteReference"/>
        </w:rPr>
        <w:footnoteReference w:id="274"/>
      </w:r>
      <w:r w:rsidR="003A598E">
        <w:t xml:space="preserve"> Examples of this are set out in </w:t>
      </w:r>
      <w:r w:rsidR="003A598E">
        <w:fldChar w:fldCharType="begin"/>
      </w:r>
      <w:r w:rsidR="003A598E">
        <w:instrText xml:space="preserve"> REF  _Ref478486008 \* Lower \h </w:instrText>
      </w:r>
      <w:r w:rsidR="003A598E">
        <w:fldChar w:fldCharType="separate"/>
      </w:r>
      <w:r w:rsidR="00F52FCD">
        <w:t xml:space="preserve">table </w:t>
      </w:r>
      <w:r w:rsidR="00F52FCD">
        <w:rPr>
          <w:noProof/>
        </w:rPr>
        <w:t>19</w:t>
      </w:r>
      <w:r w:rsidR="00F52FCD">
        <w:t>.</w:t>
      </w:r>
      <w:r w:rsidR="00F52FCD">
        <w:rPr>
          <w:noProof/>
        </w:rPr>
        <w:t>18</w:t>
      </w:r>
      <w:r w:rsidR="003A598E">
        <w:fldChar w:fldCharType="end"/>
      </w:r>
      <w:r w:rsidR="003A598E">
        <w:t xml:space="preserve"> and </w:t>
      </w:r>
      <w:r w:rsidR="003A598E">
        <w:fldChar w:fldCharType="begin"/>
      </w:r>
      <w:r w:rsidR="003A598E">
        <w:instrText xml:space="preserve"> REF  _Ref478486022 \* Lower \h </w:instrText>
      </w:r>
      <w:r w:rsidR="003A598E">
        <w:fldChar w:fldCharType="separate"/>
      </w:r>
      <w:r w:rsidR="00F52FCD">
        <w:t xml:space="preserve">figure </w:t>
      </w:r>
      <w:r w:rsidR="00F52FCD">
        <w:rPr>
          <w:noProof/>
        </w:rPr>
        <w:t>19</w:t>
      </w:r>
      <w:r w:rsidR="00F52FCD">
        <w:t>.</w:t>
      </w:r>
      <w:r w:rsidR="00F52FCD">
        <w:rPr>
          <w:noProof/>
        </w:rPr>
        <w:t>8</w:t>
      </w:r>
      <w:r w:rsidR="003A598E">
        <w:fldChar w:fldCharType="end"/>
      </w:r>
      <w:r w:rsidR="003A598E">
        <w:t xml:space="preserve"> below.</w:t>
      </w:r>
      <w:r w:rsidR="00D261A1">
        <w:t xml:space="preserve"> </w:t>
      </w:r>
      <w:r w:rsidR="00DE34ED">
        <w:t>We</w:t>
      </w:r>
      <w:r w:rsidR="00D261A1">
        <w:t xml:space="preserve"> also</w:t>
      </w:r>
      <w:r w:rsidR="00DE34ED">
        <w:t xml:space="preserve"> consider TasNetworks tariff trial</w:t>
      </w:r>
      <w:r w:rsidR="00D261A1">
        <w:t xml:space="preserve"> will allow more detailed customer analysis </w:t>
      </w:r>
      <w:r w:rsidR="00DE34ED">
        <w:t>the impacts of demand tariffs and help customers</w:t>
      </w:r>
      <w:r w:rsidR="00D261A1">
        <w:t xml:space="preserve"> understand and</w:t>
      </w:r>
      <w:r w:rsidR="00DE34ED">
        <w:t xml:space="preserve"> respond in terms of electricity use and impacts on total bills. </w:t>
      </w:r>
      <w:r w:rsidR="00F167D2">
        <w:t>We expect TasNetworks to provide findings of</w:t>
      </w:r>
      <w:r w:rsidR="00D261A1">
        <w:t xml:space="preserve"> its</w:t>
      </w:r>
      <w:r w:rsidR="00F167D2">
        <w:t xml:space="preserve"> tariff trial in its next tariff structure statement.</w:t>
      </w:r>
    </w:p>
    <w:p w:rsidR="00284EAF" w:rsidRDefault="00284EAF" w:rsidP="00284EAF">
      <w:pPr>
        <w:pStyle w:val="Caption"/>
      </w:pPr>
      <w:bookmarkStart w:id="134" w:name="_Ref478486008"/>
      <w:r>
        <w:t xml:space="preserve">Table </w:t>
      </w:r>
      <w:fldSimple w:instr=" STYLEREF 1 \s ">
        <w:r w:rsidR="00F52FCD">
          <w:rPr>
            <w:noProof/>
          </w:rPr>
          <w:t>19</w:t>
        </w:r>
      </w:fldSimple>
      <w:r w:rsidR="00E914FF">
        <w:t>.</w:t>
      </w:r>
      <w:fldSimple w:instr=" SEQ Table \* ARABIC \s 1 ">
        <w:r w:rsidR="00F52FCD">
          <w:rPr>
            <w:noProof/>
          </w:rPr>
          <w:t>18</w:t>
        </w:r>
      </w:fldSimple>
      <w:bookmarkEnd w:id="134"/>
      <w:r>
        <w:t xml:space="preserve"> Summary of the impact on average customer network charges</w:t>
      </w:r>
    </w:p>
    <w:tbl>
      <w:tblPr>
        <w:tblStyle w:val="AERtable-numbers"/>
        <w:tblW w:w="0" w:type="auto"/>
        <w:tblLook w:val="04A0" w:firstRow="1" w:lastRow="0" w:firstColumn="1" w:lastColumn="0" w:noHBand="0" w:noVBand="1"/>
      </w:tblPr>
      <w:tblGrid>
        <w:gridCol w:w="3085"/>
        <w:gridCol w:w="1559"/>
        <w:gridCol w:w="1560"/>
        <w:gridCol w:w="1134"/>
        <w:gridCol w:w="1355"/>
      </w:tblGrid>
      <w:tr w:rsidR="00C4488C" w:rsidTr="008E5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4488C" w:rsidRDefault="00C4488C" w:rsidP="00284EAF">
            <w:r>
              <w:t>Tariff</w:t>
            </w:r>
          </w:p>
        </w:tc>
        <w:tc>
          <w:tcPr>
            <w:tcW w:w="1559" w:type="dxa"/>
          </w:tcPr>
          <w:p w:rsidR="00C4488C" w:rsidRDefault="00C4488C" w:rsidP="00284EAF">
            <w:pPr>
              <w:cnfStyle w:val="100000000000" w:firstRow="1" w:lastRow="0" w:firstColumn="0" w:lastColumn="0" w:oddVBand="0" w:evenVBand="0" w:oddHBand="0" w:evenHBand="0" w:firstRowFirstColumn="0" w:firstRowLastColumn="0" w:lastRowFirstColumn="0" w:lastRowLastColumn="0"/>
            </w:pPr>
            <w:r>
              <w:t>Typical network charge 2016</w:t>
            </w:r>
          </w:p>
        </w:tc>
        <w:tc>
          <w:tcPr>
            <w:tcW w:w="1560" w:type="dxa"/>
          </w:tcPr>
          <w:p w:rsidR="00C4488C" w:rsidRDefault="00C4488C" w:rsidP="00284EAF">
            <w:pPr>
              <w:cnfStyle w:val="100000000000" w:firstRow="1" w:lastRow="0" w:firstColumn="0" w:lastColumn="0" w:oddVBand="0" w:evenVBand="0" w:oddHBand="0" w:evenHBand="0" w:firstRowFirstColumn="0" w:firstRowLastColumn="0" w:lastRowFirstColumn="0" w:lastRowLastColumn="0"/>
            </w:pPr>
            <w:r>
              <w:t>Typical network charge 2019</w:t>
            </w:r>
          </w:p>
        </w:tc>
        <w:tc>
          <w:tcPr>
            <w:tcW w:w="1134" w:type="dxa"/>
          </w:tcPr>
          <w:p w:rsidR="00C4488C" w:rsidRDefault="00C4488C" w:rsidP="00284EAF">
            <w:pPr>
              <w:cnfStyle w:val="100000000000" w:firstRow="1" w:lastRow="0" w:firstColumn="0" w:lastColumn="0" w:oddVBand="0" w:evenVBand="0" w:oddHBand="0" w:evenHBand="0" w:firstRowFirstColumn="0" w:firstRowLastColumn="0" w:lastRowFirstColumn="0" w:lastRowLastColumn="0"/>
            </w:pPr>
            <w:r>
              <w:t>$ impact</w:t>
            </w:r>
          </w:p>
        </w:tc>
        <w:tc>
          <w:tcPr>
            <w:tcW w:w="1355" w:type="dxa"/>
          </w:tcPr>
          <w:p w:rsidR="00C4488C" w:rsidRDefault="00C4488C" w:rsidP="00284EAF">
            <w:pPr>
              <w:cnfStyle w:val="100000000000" w:firstRow="1" w:lastRow="0" w:firstColumn="0" w:lastColumn="0" w:oddVBand="0" w:evenVBand="0" w:oddHBand="0" w:evenHBand="0" w:firstRowFirstColumn="0" w:firstRowLastColumn="0" w:lastRowFirstColumn="0" w:lastRowLastColumn="0"/>
            </w:pPr>
            <w:r>
              <w:t>% impact</w:t>
            </w:r>
          </w:p>
        </w:tc>
      </w:tr>
      <w:tr w:rsidR="00C4488C" w:rsidTr="008E5E66">
        <w:tc>
          <w:tcPr>
            <w:cnfStyle w:val="001000000000" w:firstRow="0" w:lastRow="0" w:firstColumn="1" w:lastColumn="0" w:oddVBand="0" w:evenVBand="0" w:oddHBand="0" w:evenHBand="0" w:firstRowFirstColumn="0" w:firstRowLastColumn="0" w:lastRowFirstColumn="0" w:lastRowLastColumn="0"/>
            <w:tcW w:w="3085" w:type="dxa"/>
          </w:tcPr>
          <w:p w:rsidR="00C4488C" w:rsidRDefault="00C4488C" w:rsidP="00284EAF">
            <w:r>
              <w:t>Residential (TAS31 &amp; TAS41)</w:t>
            </w:r>
          </w:p>
        </w:tc>
        <w:tc>
          <w:tcPr>
            <w:tcW w:w="1559" w:type="dxa"/>
          </w:tcPr>
          <w:p w:rsidR="00C4488C" w:rsidRDefault="00C4488C" w:rsidP="00284EAF">
            <w:pPr>
              <w:cnfStyle w:val="000000000000" w:firstRow="0" w:lastRow="0" w:firstColumn="0" w:lastColumn="0" w:oddVBand="0" w:evenVBand="0" w:oddHBand="0" w:evenHBand="0" w:firstRowFirstColumn="0" w:firstRowLastColumn="0" w:lastRowFirstColumn="0" w:lastRowLastColumn="0"/>
            </w:pPr>
            <w:r>
              <w:t>$929</w:t>
            </w:r>
          </w:p>
        </w:tc>
        <w:tc>
          <w:tcPr>
            <w:tcW w:w="1560" w:type="dxa"/>
          </w:tcPr>
          <w:p w:rsidR="00C4488C" w:rsidRDefault="00C4488C" w:rsidP="00284EAF">
            <w:pPr>
              <w:cnfStyle w:val="000000000000" w:firstRow="0" w:lastRow="0" w:firstColumn="0" w:lastColumn="0" w:oddVBand="0" w:evenVBand="0" w:oddHBand="0" w:evenHBand="0" w:firstRowFirstColumn="0" w:firstRowLastColumn="0" w:lastRowFirstColumn="0" w:lastRowLastColumn="0"/>
            </w:pPr>
            <w:r>
              <w:t>$830</w:t>
            </w:r>
          </w:p>
        </w:tc>
        <w:tc>
          <w:tcPr>
            <w:tcW w:w="1134" w:type="dxa"/>
          </w:tcPr>
          <w:p w:rsidR="00C4488C" w:rsidRDefault="00C4488C" w:rsidP="00284EAF">
            <w:pPr>
              <w:cnfStyle w:val="000000000000" w:firstRow="0" w:lastRow="0" w:firstColumn="0" w:lastColumn="0" w:oddVBand="0" w:evenVBand="0" w:oddHBand="0" w:evenHBand="0" w:firstRowFirstColumn="0" w:firstRowLastColumn="0" w:lastRowFirstColumn="0" w:lastRowLastColumn="0"/>
            </w:pPr>
            <w:r>
              <w:t>–$99</w:t>
            </w:r>
          </w:p>
        </w:tc>
        <w:tc>
          <w:tcPr>
            <w:tcW w:w="1355" w:type="dxa"/>
          </w:tcPr>
          <w:p w:rsidR="00C4488C" w:rsidRDefault="00C4488C" w:rsidP="00284EAF">
            <w:pPr>
              <w:cnfStyle w:val="000000000000" w:firstRow="0" w:lastRow="0" w:firstColumn="0" w:lastColumn="0" w:oddVBand="0" w:evenVBand="0" w:oddHBand="0" w:evenHBand="0" w:firstRowFirstColumn="0" w:firstRowLastColumn="0" w:lastRowFirstColumn="0" w:lastRowLastColumn="0"/>
            </w:pPr>
            <w:r>
              <w:t>10.6% lower</w:t>
            </w:r>
          </w:p>
        </w:tc>
      </w:tr>
      <w:tr w:rsidR="00C4488C" w:rsidTr="008E5E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4488C" w:rsidRDefault="00C4488C" w:rsidP="00284EAF">
            <w:r>
              <w:t>Small Business – Low Voltage</w:t>
            </w:r>
            <w:r w:rsidR="00B62BC1">
              <w:t xml:space="preserve"> (TAS22)</w:t>
            </w:r>
          </w:p>
        </w:tc>
        <w:tc>
          <w:tcPr>
            <w:tcW w:w="1559"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$5,745</w:t>
            </w:r>
          </w:p>
        </w:tc>
        <w:tc>
          <w:tcPr>
            <w:tcW w:w="1560"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$3,919</w:t>
            </w:r>
          </w:p>
        </w:tc>
        <w:tc>
          <w:tcPr>
            <w:tcW w:w="1134"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–$1,826</w:t>
            </w:r>
          </w:p>
        </w:tc>
        <w:tc>
          <w:tcPr>
            <w:tcW w:w="1355"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31.7% lower</w:t>
            </w:r>
          </w:p>
        </w:tc>
      </w:tr>
      <w:tr w:rsidR="00C4488C" w:rsidTr="008E5E66">
        <w:tc>
          <w:tcPr>
            <w:cnfStyle w:val="001000000000" w:firstRow="0" w:lastRow="0" w:firstColumn="1" w:lastColumn="0" w:oddVBand="0" w:evenVBand="0" w:oddHBand="0" w:evenHBand="0" w:firstRowFirstColumn="0" w:firstRowLastColumn="0" w:lastRowFirstColumn="0" w:lastRowLastColumn="0"/>
            <w:tcW w:w="3085" w:type="dxa"/>
          </w:tcPr>
          <w:p w:rsidR="00C4488C" w:rsidRDefault="00B62BC1" w:rsidP="00284EAF">
            <w:r>
              <w:t>Small Business – Low Voltage Time of Use (TAS94)</w:t>
            </w:r>
          </w:p>
        </w:tc>
        <w:tc>
          <w:tcPr>
            <w:tcW w:w="1559" w:type="dxa"/>
          </w:tcPr>
          <w:p w:rsidR="00C4488C" w:rsidRDefault="00B62BC1" w:rsidP="00284EAF">
            <w:pPr>
              <w:cnfStyle w:val="000000000000" w:firstRow="0" w:lastRow="0" w:firstColumn="0" w:lastColumn="0" w:oddVBand="0" w:evenVBand="0" w:oddHBand="0" w:evenHBand="0" w:firstRowFirstColumn="0" w:firstRowLastColumn="0" w:lastRowFirstColumn="0" w:lastRowLastColumn="0"/>
            </w:pPr>
            <w:r>
              <w:t>$13,531</w:t>
            </w:r>
          </w:p>
        </w:tc>
        <w:tc>
          <w:tcPr>
            <w:tcW w:w="1560" w:type="dxa"/>
          </w:tcPr>
          <w:p w:rsidR="00C4488C" w:rsidRDefault="00B62BC1" w:rsidP="00284EAF">
            <w:pPr>
              <w:cnfStyle w:val="000000000000" w:firstRow="0" w:lastRow="0" w:firstColumn="0" w:lastColumn="0" w:oddVBand="0" w:evenVBand="0" w:oddHBand="0" w:evenHBand="0" w:firstRowFirstColumn="0" w:firstRowLastColumn="0" w:lastRowFirstColumn="0" w:lastRowLastColumn="0"/>
            </w:pPr>
            <w:r>
              <w:t>$10,254</w:t>
            </w:r>
          </w:p>
        </w:tc>
        <w:tc>
          <w:tcPr>
            <w:tcW w:w="1134" w:type="dxa"/>
          </w:tcPr>
          <w:p w:rsidR="00C4488C" w:rsidRDefault="00B62BC1" w:rsidP="00284EAF">
            <w:pPr>
              <w:cnfStyle w:val="000000000000" w:firstRow="0" w:lastRow="0" w:firstColumn="0" w:lastColumn="0" w:oddVBand="0" w:evenVBand="0" w:oddHBand="0" w:evenHBand="0" w:firstRowFirstColumn="0" w:firstRowLastColumn="0" w:lastRowFirstColumn="0" w:lastRowLastColumn="0"/>
            </w:pPr>
            <w:r>
              <w:t>–$3,277</w:t>
            </w:r>
          </w:p>
        </w:tc>
        <w:tc>
          <w:tcPr>
            <w:tcW w:w="1355" w:type="dxa"/>
          </w:tcPr>
          <w:p w:rsidR="00C4488C" w:rsidRDefault="00B62BC1" w:rsidP="00284EAF">
            <w:pPr>
              <w:cnfStyle w:val="000000000000" w:firstRow="0" w:lastRow="0" w:firstColumn="0" w:lastColumn="0" w:oddVBand="0" w:evenVBand="0" w:oddHBand="0" w:evenHBand="0" w:firstRowFirstColumn="0" w:firstRowLastColumn="0" w:lastRowFirstColumn="0" w:lastRowLastColumn="0"/>
            </w:pPr>
            <w:r>
              <w:t>24.2% lower</w:t>
            </w:r>
          </w:p>
        </w:tc>
      </w:tr>
      <w:tr w:rsidR="00C4488C" w:rsidTr="008E5E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4488C" w:rsidRDefault="00B62BC1" w:rsidP="00284EAF">
            <w:r>
              <w:t>Large Business – Low Voltage (TAS82)</w:t>
            </w:r>
          </w:p>
        </w:tc>
        <w:tc>
          <w:tcPr>
            <w:tcW w:w="1559"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$28,594</w:t>
            </w:r>
          </w:p>
        </w:tc>
        <w:tc>
          <w:tcPr>
            <w:tcW w:w="1560"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$22,305</w:t>
            </w:r>
          </w:p>
        </w:tc>
        <w:tc>
          <w:tcPr>
            <w:tcW w:w="1134"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–$6,289</w:t>
            </w:r>
          </w:p>
        </w:tc>
        <w:tc>
          <w:tcPr>
            <w:tcW w:w="1355"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22.0% lower</w:t>
            </w:r>
          </w:p>
        </w:tc>
      </w:tr>
      <w:tr w:rsidR="00C4488C" w:rsidTr="008E5E66">
        <w:tc>
          <w:tcPr>
            <w:cnfStyle w:val="001000000000" w:firstRow="0" w:lastRow="0" w:firstColumn="1" w:lastColumn="0" w:oddVBand="0" w:evenVBand="0" w:oddHBand="0" w:evenHBand="0" w:firstRowFirstColumn="0" w:firstRowLastColumn="0" w:lastRowFirstColumn="0" w:lastRowLastColumn="0"/>
            <w:tcW w:w="3085" w:type="dxa"/>
          </w:tcPr>
          <w:p w:rsidR="00C4488C" w:rsidRDefault="00B62BC1" w:rsidP="00284EAF">
            <w:r>
              <w:t>Large Business – High Voltage (TASSDM)</w:t>
            </w:r>
          </w:p>
        </w:tc>
        <w:tc>
          <w:tcPr>
            <w:tcW w:w="1559" w:type="dxa"/>
          </w:tcPr>
          <w:p w:rsidR="00C4488C" w:rsidRDefault="00B62BC1" w:rsidP="007A5106">
            <w:pPr>
              <w:cnfStyle w:val="000000000000" w:firstRow="0" w:lastRow="0" w:firstColumn="0" w:lastColumn="0" w:oddVBand="0" w:evenVBand="0" w:oddHBand="0" w:evenHBand="0" w:firstRowFirstColumn="0" w:firstRowLastColumn="0" w:lastRowFirstColumn="0" w:lastRowLastColumn="0"/>
            </w:pPr>
            <w:r>
              <w:t>$97,240</w:t>
            </w:r>
          </w:p>
        </w:tc>
        <w:tc>
          <w:tcPr>
            <w:tcW w:w="1560" w:type="dxa"/>
          </w:tcPr>
          <w:p w:rsidR="00C4488C" w:rsidRDefault="00B62BC1" w:rsidP="00284EAF">
            <w:pPr>
              <w:cnfStyle w:val="000000000000" w:firstRow="0" w:lastRow="0" w:firstColumn="0" w:lastColumn="0" w:oddVBand="0" w:evenVBand="0" w:oddHBand="0" w:evenHBand="0" w:firstRowFirstColumn="0" w:firstRowLastColumn="0" w:lastRowFirstColumn="0" w:lastRowLastColumn="0"/>
            </w:pPr>
            <w:r>
              <w:t>$79,238</w:t>
            </w:r>
          </w:p>
        </w:tc>
        <w:tc>
          <w:tcPr>
            <w:tcW w:w="1134" w:type="dxa"/>
          </w:tcPr>
          <w:p w:rsidR="00C4488C" w:rsidRDefault="00B62BC1" w:rsidP="00284EAF">
            <w:pPr>
              <w:cnfStyle w:val="000000000000" w:firstRow="0" w:lastRow="0" w:firstColumn="0" w:lastColumn="0" w:oddVBand="0" w:evenVBand="0" w:oddHBand="0" w:evenHBand="0" w:firstRowFirstColumn="0" w:firstRowLastColumn="0" w:lastRowFirstColumn="0" w:lastRowLastColumn="0"/>
            </w:pPr>
            <w:r>
              <w:t>–$</w:t>
            </w:r>
            <w:r w:rsidR="00F00937">
              <w:t>18,002</w:t>
            </w:r>
          </w:p>
        </w:tc>
        <w:tc>
          <w:tcPr>
            <w:tcW w:w="1355" w:type="dxa"/>
          </w:tcPr>
          <w:p w:rsidR="00C4488C" w:rsidRDefault="00F00937" w:rsidP="00284EAF">
            <w:pPr>
              <w:cnfStyle w:val="000000000000" w:firstRow="0" w:lastRow="0" w:firstColumn="0" w:lastColumn="0" w:oddVBand="0" w:evenVBand="0" w:oddHBand="0" w:evenHBand="0" w:firstRowFirstColumn="0" w:firstRowLastColumn="0" w:lastRowFirstColumn="0" w:lastRowLastColumn="0"/>
            </w:pPr>
            <w:r>
              <w:t>18.5</w:t>
            </w:r>
            <w:r w:rsidR="00B62BC1">
              <w:t>% lower</w:t>
            </w:r>
          </w:p>
        </w:tc>
      </w:tr>
      <w:tr w:rsidR="00C4488C" w:rsidTr="008E5E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4488C" w:rsidRDefault="00B62BC1" w:rsidP="00284EAF">
            <w:r>
              <w:t>Irrigation TAS75)</w:t>
            </w:r>
          </w:p>
        </w:tc>
        <w:tc>
          <w:tcPr>
            <w:tcW w:w="1559"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$7,315</w:t>
            </w:r>
          </w:p>
        </w:tc>
        <w:tc>
          <w:tcPr>
            <w:tcW w:w="1560" w:type="dxa"/>
          </w:tcPr>
          <w:p w:rsidR="00C4488C" w:rsidRDefault="00B62BC1" w:rsidP="00284EAF">
            <w:pPr>
              <w:cnfStyle w:val="000000010000" w:firstRow="0" w:lastRow="0" w:firstColumn="0" w:lastColumn="0" w:oddVBand="0" w:evenVBand="0" w:oddHBand="0" w:evenHBand="1" w:firstRowFirstColumn="0" w:firstRowLastColumn="0" w:lastRowFirstColumn="0" w:lastRowLastColumn="0"/>
            </w:pPr>
            <w:r>
              <w:t>$5,694</w:t>
            </w:r>
          </w:p>
        </w:tc>
        <w:tc>
          <w:tcPr>
            <w:tcW w:w="1134" w:type="dxa"/>
          </w:tcPr>
          <w:p w:rsidR="00C4488C" w:rsidRDefault="00F00937" w:rsidP="00284EAF">
            <w:pPr>
              <w:cnfStyle w:val="000000010000" w:firstRow="0" w:lastRow="0" w:firstColumn="0" w:lastColumn="0" w:oddVBand="0" w:evenVBand="0" w:oddHBand="0" w:evenHBand="1" w:firstRowFirstColumn="0" w:firstRowLastColumn="0" w:lastRowFirstColumn="0" w:lastRowLastColumn="0"/>
            </w:pPr>
            <w:r>
              <w:t>–$1,621</w:t>
            </w:r>
          </w:p>
        </w:tc>
        <w:tc>
          <w:tcPr>
            <w:tcW w:w="1355" w:type="dxa"/>
          </w:tcPr>
          <w:p w:rsidR="00C4488C" w:rsidRDefault="00F00937" w:rsidP="00284EAF">
            <w:pPr>
              <w:cnfStyle w:val="000000010000" w:firstRow="0" w:lastRow="0" w:firstColumn="0" w:lastColumn="0" w:oddVBand="0" w:evenVBand="0" w:oddHBand="0" w:evenHBand="1" w:firstRowFirstColumn="0" w:firstRowLastColumn="0" w:lastRowFirstColumn="0" w:lastRowLastColumn="0"/>
            </w:pPr>
            <w:r>
              <w:t>22.1% lower</w:t>
            </w:r>
          </w:p>
        </w:tc>
      </w:tr>
      <w:tr w:rsidR="00C4488C" w:rsidTr="008E5E66">
        <w:tc>
          <w:tcPr>
            <w:cnfStyle w:val="001000000000" w:firstRow="0" w:lastRow="0" w:firstColumn="1" w:lastColumn="0" w:oddVBand="0" w:evenVBand="0" w:oddHBand="0" w:evenHBand="0" w:firstRowFirstColumn="0" w:firstRowLastColumn="0" w:lastRowFirstColumn="0" w:lastRowLastColumn="0"/>
            <w:tcW w:w="3085" w:type="dxa"/>
          </w:tcPr>
          <w:p w:rsidR="00C4488C" w:rsidRDefault="00F00937" w:rsidP="00284EAF">
            <w:r>
              <w:t>PAYG (TAS101)</w:t>
            </w:r>
          </w:p>
        </w:tc>
        <w:tc>
          <w:tcPr>
            <w:tcW w:w="1559" w:type="dxa"/>
          </w:tcPr>
          <w:p w:rsidR="00C4488C" w:rsidRDefault="00F00937" w:rsidP="00284EAF">
            <w:pPr>
              <w:cnfStyle w:val="000000000000" w:firstRow="0" w:lastRow="0" w:firstColumn="0" w:lastColumn="0" w:oddVBand="0" w:evenVBand="0" w:oddHBand="0" w:evenHBand="0" w:firstRowFirstColumn="0" w:firstRowLastColumn="0" w:lastRowFirstColumn="0" w:lastRowLastColumn="0"/>
            </w:pPr>
            <w:r>
              <w:t>$706</w:t>
            </w:r>
          </w:p>
        </w:tc>
        <w:tc>
          <w:tcPr>
            <w:tcW w:w="1560" w:type="dxa"/>
          </w:tcPr>
          <w:p w:rsidR="00C4488C" w:rsidRDefault="00F00937" w:rsidP="00284EAF">
            <w:pPr>
              <w:cnfStyle w:val="000000000000" w:firstRow="0" w:lastRow="0" w:firstColumn="0" w:lastColumn="0" w:oddVBand="0" w:evenVBand="0" w:oddHBand="0" w:evenHBand="0" w:firstRowFirstColumn="0" w:firstRowLastColumn="0" w:lastRowFirstColumn="0" w:lastRowLastColumn="0"/>
            </w:pPr>
            <w:r>
              <w:t>$651</w:t>
            </w:r>
          </w:p>
        </w:tc>
        <w:tc>
          <w:tcPr>
            <w:tcW w:w="1134" w:type="dxa"/>
          </w:tcPr>
          <w:p w:rsidR="00C4488C" w:rsidRDefault="00F00937" w:rsidP="00284EAF">
            <w:pPr>
              <w:cnfStyle w:val="000000000000" w:firstRow="0" w:lastRow="0" w:firstColumn="0" w:lastColumn="0" w:oddVBand="0" w:evenVBand="0" w:oddHBand="0" w:evenHBand="0" w:firstRowFirstColumn="0" w:firstRowLastColumn="0" w:lastRowFirstColumn="0" w:lastRowLastColumn="0"/>
            </w:pPr>
            <w:r>
              <w:t>–$55</w:t>
            </w:r>
          </w:p>
        </w:tc>
        <w:tc>
          <w:tcPr>
            <w:tcW w:w="1355" w:type="dxa"/>
          </w:tcPr>
          <w:p w:rsidR="00C4488C" w:rsidRDefault="00F00937" w:rsidP="00284EAF">
            <w:pPr>
              <w:cnfStyle w:val="000000000000" w:firstRow="0" w:lastRow="0" w:firstColumn="0" w:lastColumn="0" w:oddVBand="0" w:evenVBand="0" w:oddHBand="0" w:evenHBand="0" w:firstRowFirstColumn="0" w:firstRowLastColumn="0" w:lastRowFirstColumn="0" w:lastRowLastColumn="0"/>
            </w:pPr>
            <w:r>
              <w:t>7.7% lower</w:t>
            </w:r>
          </w:p>
        </w:tc>
      </w:tr>
    </w:tbl>
    <w:p w:rsidR="00C4488C" w:rsidRDefault="00F00937" w:rsidP="00F00937">
      <w:pPr>
        <w:pStyle w:val="AERtablesource"/>
      </w:pPr>
      <w:r>
        <w:t>Source:</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67</w:t>
      </w:r>
      <w:r w:rsidRPr="004C48BD">
        <w:t>.</w:t>
      </w:r>
    </w:p>
    <w:p w:rsidR="00284EAF" w:rsidRDefault="00C574A3" w:rsidP="00C574A3">
      <w:pPr>
        <w:pStyle w:val="Caption"/>
      </w:pPr>
      <w:bookmarkStart w:id="135" w:name="_Ref478486022"/>
      <w:r>
        <w:lastRenderedPageBreak/>
        <w:t xml:space="preserve">Figure </w:t>
      </w:r>
      <w:fldSimple w:instr=" STYLEREF 1 \s ">
        <w:r w:rsidR="00F52FCD">
          <w:rPr>
            <w:noProof/>
          </w:rPr>
          <w:t>19</w:t>
        </w:r>
      </w:fldSimple>
      <w:r w:rsidR="00792F99">
        <w:t>.</w:t>
      </w:r>
      <w:fldSimple w:instr=" SEQ Figure \* ARABIC \s 1 ">
        <w:r w:rsidR="00F52FCD">
          <w:rPr>
            <w:noProof/>
          </w:rPr>
          <w:t>8</w:t>
        </w:r>
      </w:fldSimple>
      <w:bookmarkEnd w:id="135"/>
      <w:r>
        <w:t xml:space="preserve"> </w:t>
      </w:r>
      <w:r w:rsidR="001F719C">
        <w:t xml:space="preserve">TasNetworks' customer impacts for </w:t>
      </w:r>
      <w:r>
        <w:t>residential</w:t>
      </w:r>
      <w:r w:rsidR="001F719C">
        <w:t xml:space="preserve"> and small business</w:t>
      </w:r>
      <w:r>
        <w:t xml:space="preserve"> customers </w:t>
      </w:r>
      <w:r w:rsidR="001F719C">
        <w:t>moving to the time of use demand</w:t>
      </w:r>
      <w:r>
        <w:t xml:space="preserve"> network tariffs</w:t>
      </w:r>
    </w:p>
    <w:p w:rsidR="001F719C" w:rsidRDefault="001F719C" w:rsidP="001F719C">
      <w:r w:rsidRPr="001F719C">
        <w:rPr>
          <w:noProof/>
          <w:lang w:eastAsia="en-AU"/>
        </w:rPr>
        <w:drawing>
          <wp:inline distT="0" distB="0" distL="0" distR="0" wp14:anchorId="4606DAB0" wp14:editId="10006B41">
            <wp:extent cx="4962525" cy="2047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62525" cy="2047875"/>
                    </a:xfrm>
                    <a:prstGeom prst="rect">
                      <a:avLst/>
                    </a:prstGeom>
                  </pic:spPr>
                </pic:pic>
              </a:graphicData>
            </a:graphic>
          </wp:inline>
        </w:drawing>
      </w:r>
    </w:p>
    <w:p w:rsidR="001F719C" w:rsidRPr="001F719C" w:rsidRDefault="001F719C" w:rsidP="001F719C">
      <w:r w:rsidRPr="001F719C">
        <w:rPr>
          <w:noProof/>
          <w:lang w:eastAsia="en-AU"/>
        </w:rPr>
        <w:drawing>
          <wp:inline distT="0" distB="0" distL="0" distR="0" wp14:anchorId="7B1F63DE" wp14:editId="7E4731E2">
            <wp:extent cx="5038725" cy="2047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038725" cy="2047875"/>
                    </a:xfrm>
                    <a:prstGeom prst="rect">
                      <a:avLst/>
                    </a:prstGeom>
                  </pic:spPr>
                </pic:pic>
              </a:graphicData>
            </a:graphic>
          </wp:inline>
        </w:drawing>
      </w:r>
    </w:p>
    <w:p w:rsidR="00C574A3" w:rsidRDefault="00C574A3" w:rsidP="00C574A3">
      <w:pPr>
        <w:pStyle w:val="AERtablesource"/>
      </w:pPr>
      <w:r>
        <w:t>Source:</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67</w:t>
      </w:r>
      <w:r w:rsidRPr="004C48BD">
        <w:t>.</w:t>
      </w:r>
    </w:p>
    <w:p w:rsidR="007863D9" w:rsidRDefault="00A70A9C" w:rsidP="00F505A6">
      <w:pPr>
        <w:pStyle w:val="Heading7"/>
      </w:pPr>
      <w:bookmarkStart w:id="136" w:name="_Toc481061361"/>
      <w:r>
        <w:lastRenderedPageBreak/>
        <w:t>AER consultation</w:t>
      </w:r>
      <w:bookmarkEnd w:id="136"/>
    </w:p>
    <w:p w:rsidR="00A70A9C" w:rsidRDefault="00A70A9C" w:rsidP="00A70A9C">
      <w:r>
        <w:t xml:space="preserve">On 11 March 2016, we </w:t>
      </w:r>
      <w:r w:rsidRPr="00DA6234">
        <w:t xml:space="preserve">published </w:t>
      </w:r>
      <w:r>
        <w:t xml:space="preserve">our </w:t>
      </w:r>
      <w:r w:rsidRPr="00DA6234">
        <w:t xml:space="preserve">issues paper on </w:t>
      </w:r>
      <w:r w:rsidR="008420F7">
        <w:t>TasNetwork</w:t>
      </w:r>
      <w:r>
        <w:t>s</w:t>
      </w:r>
      <w:r w:rsidR="008420F7">
        <w:t>'</w:t>
      </w:r>
      <w:r w:rsidRPr="00DA6234">
        <w:t xml:space="preserve"> </w:t>
      </w:r>
      <w:r>
        <w:t>t</w:t>
      </w:r>
      <w:r w:rsidRPr="00DA6234">
        <w:t xml:space="preserve">ariff </w:t>
      </w:r>
      <w:r>
        <w:t>structure s</w:t>
      </w:r>
      <w:r w:rsidRPr="00DA6234">
        <w:t>tatement proposal.</w:t>
      </w:r>
      <w:r w:rsidRPr="00C6006F">
        <w:t xml:space="preserve"> </w:t>
      </w:r>
      <w:r>
        <w:t>The paper s</w:t>
      </w:r>
      <w:r w:rsidRPr="00C6006F">
        <w:t xml:space="preserve">ummarised key aspects of </w:t>
      </w:r>
      <w:r w:rsidR="008420F7">
        <w:t>TasNetwork</w:t>
      </w:r>
      <w:r>
        <w:t>s</w:t>
      </w:r>
      <w:r w:rsidR="008420F7">
        <w:t>'</w:t>
      </w:r>
      <w:r>
        <w:t xml:space="preserve"> proposal, highlighting</w:t>
      </w:r>
      <w:r w:rsidRPr="00C6006F">
        <w:t xml:space="preserve"> issues we consider</w:t>
      </w:r>
      <w:r w:rsidR="008420F7">
        <w:t>ed</w:t>
      </w:r>
      <w:r w:rsidRPr="00C6006F">
        <w:t xml:space="preserve"> relevant to our assessment and i</w:t>
      </w:r>
      <w:r>
        <w:t xml:space="preserve">nvited stakeholder submissions. </w:t>
      </w:r>
      <w:r w:rsidRPr="002627EE">
        <w:t xml:space="preserve">Submissions </w:t>
      </w:r>
      <w:r>
        <w:t xml:space="preserve">on the issues paper closed </w:t>
      </w:r>
      <w:r w:rsidRPr="002627EE">
        <w:t>on 28 April 2016.</w:t>
      </w:r>
      <w:r>
        <w:t xml:space="preserve"> We received submissions from the following stakeholders: </w:t>
      </w:r>
    </w:p>
    <w:p w:rsidR="001107FC" w:rsidRPr="001107FC" w:rsidRDefault="001107FC" w:rsidP="001107FC">
      <w:pPr>
        <w:pStyle w:val="ListNumber"/>
      </w:pPr>
      <w:r w:rsidRPr="001107FC">
        <w:t>Energy Networks Association</w:t>
      </w:r>
    </w:p>
    <w:p w:rsidR="001107FC" w:rsidRPr="001107FC" w:rsidRDefault="001107FC" w:rsidP="001107FC">
      <w:pPr>
        <w:pStyle w:val="ListNumber"/>
      </w:pPr>
      <w:r w:rsidRPr="001107FC">
        <w:t>TasNetworks</w:t>
      </w:r>
    </w:p>
    <w:p w:rsidR="001107FC" w:rsidRPr="001107FC" w:rsidRDefault="001107FC" w:rsidP="001107FC">
      <w:pPr>
        <w:pStyle w:val="ListNumber"/>
      </w:pPr>
      <w:r w:rsidRPr="001107FC">
        <w:t>Tasmanian Council of Social Services</w:t>
      </w:r>
    </w:p>
    <w:p w:rsidR="001107FC" w:rsidRPr="001107FC" w:rsidRDefault="001107FC" w:rsidP="001107FC">
      <w:pPr>
        <w:pStyle w:val="ListNumber"/>
      </w:pPr>
      <w:r w:rsidRPr="001107FC">
        <w:t>Tasmanian Renewable Energy Alliance</w:t>
      </w:r>
      <w:r w:rsidR="008420F7">
        <w:t>.</w:t>
      </w:r>
    </w:p>
    <w:p w:rsidR="00A70A9C" w:rsidRPr="00A70A9C" w:rsidRDefault="00A70A9C" w:rsidP="00A70A9C">
      <w:r w:rsidRPr="00A70A9C">
        <w:t xml:space="preserve">On </w:t>
      </w:r>
      <w:r w:rsidR="001107FC">
        <w:t>17 March 2016, we hosted a public forum on TasNetworks'</w:t>
      </w:r>
      <w:r w:rsidRPr="00A70A9C">
        <w:t xml:space="preserve"> tariff structure statement proposal. We highlighted issues we considered relevant to our assessment and invited stakeholder commentary. </w:t>
      </w:r>
    </w:p>
    <w:p w:rsidR="008420F7" w:rsidRDefault="00A70A9C" w:rsidP="00A70A9C">
      <w:pPr>
        <w:rPr>
          <w:rStyle w:val="AERbody"/>
        </w:rPr>
      </w:pPr>
      <w:r>
        <w:rPr>
          <w:rStyle w:val="AERbody"/>
        </w:rPr>
        <w:t xml:space="preserve">On 21 April 2016, we provided </w:t>
      </w:r>
      <w:r w:rsidR="001107FC" w:rsidRPr="001107FC">
        <w:rPr>
          <w:rStyle w:val="AERbody"/>
        </w:rPr>
        <w:t xml:space="preserve">TasNetworks with an information request covering topics such as tariff levels, tariff design, customer impacts and long run marginal cost. On 2 May 2016 TasNetworks provided a response to our request.  </w:t>
      </w:r>
    </w:p>
    <w:p w:rsidR="00A70A9C" w:rsidRDefault="00A70A9C" w:rsidP="00A70A9C">
      <w:r>
        <w:rPr>
          <w:rStyle w:val="AERbody"/>
        </w:rPr>
        <w:t>We</w:t>
      </w:r>
      <w:r w:rsidR="001107FC">
        <w:rPr>
          <w:rStyle w:val="AERbody"/>
        </w:rPr>
        <w:t xml:space="preserve"> published our draft decision on 29 September </w:t>
      </w:r>
      <w:r>
        <w:rPr>
          <w:rStyle w:val="AERbody"/>
        </w:rPr>
        <w:t>2016.</w:t>
      </w:r>
      <w:r w:rsidR="008420F7">
        <w:rPr>
          <w:rStyle w:val="AERbody"/>
        </w:rPr>
        <w:t xml:space="preserve"> </w:t>
      </w:r>
      <w:r w:rsidR="008420F7">
        <w:t>S</w:t>
      </w:r>
      <w:r w:rsidRPr="00553CFB">
        <w:t xml:space="preserve">ubmissions on </w:t>
      </w:r>
      <w:r w:rsidR="001107FC">
        <w:t>our</w:t>
      </w:r>
      <w:r w:rsidRPr="00553CFB">
        <w:t xml:space="preserve"> draft decision</w:t>
      </w:r>
      <w:r>
        <w:t xml:space="preserve"> w</w:t>
      </w:r>
      <w:r w:rsidR="008420F7">
        <w:t>ere invited by</w:t>
      </w:r>
      <w:r>
        <w:t xml:space="preserve"> </w:t>
      </w:r>
      <w:r w:rsidR="001107FC">
        <w:t xml:space="preserve">1 December </w:t>
      </w:r>
      <w:r>
        <w:t>2016. We received submissions from:</w:t>
      </w:r>
    </w:p>
    <w:p w:rsidR="00A70A9C" w:rsidRPr="00A70A9C" w:rsidRDefault="00835610" w:rsidP="001107FC">
      <w:pPr>
        <w:pStyle w:val="ListNumber"/>
        <w:numPr>
          <w:ilvl w:val="0"/>
          <w:numId w:val="38"/>
        </w:numPr>
      </w:pPr>
      <w:r>
        <w:t xml:space="preserve">Consumer Challenge Panel 4 — David Headberry </w:t>
      </w:r>
      <w:r w:rsidR="001107FC">
        <w:t xml:space="preserve"> </w:t>
      </w:r>
    </w:p>
    <w:p w:rsidR="00835610" w:rsidRDefault="00835610" w:rsidP="00A70A9C">
      <w:pPr>
        <w:pStyle w:val="ListNumber"/>
      </w:pPr>
      <w:r>
        <w:t>Consumer Challenge Panel 4 — Jo De Silva</w:t>
      </w:r>
    </w:p>
    <w:p w:rsidR="00A70A9C" w:rsidRDefault="00835610" w:rsidP="00A70A9C">
      <w:pPr>
        <w:pStyle w:val="ListNumber"/>
      </w:pPr>
      <w:r>
        <w:t>Nekon</w:t>
      </w:r>
    </w:p>
    <w:p w:rsidR="00835610" w:rsidRPr="00835610" w:rsidRDefault="00835610" w:rsidP="00835610">
      <w:pPr>
        <w:pStyle w:val="ListNumber"/>
      </w:pPr>
      <w:r w:rsidRPr="00835610">
        <w:t>Tasmanian Renewable Energy Alliance</w:t>
      </w:r>
    </w:p>
    <w:p w:rsidR="00A70A9C" w:rsidRDefault="00835610" w:rsidP="00A70A9C">
      <w:pPr>
        <w:pStyle w:val="ListNumber"/>
      </w:pPr>
      <w:r>
        <w:t>Tasmanian Small Business Council</w:t>
      </w:r>
    </w:p>
    <w:p w:rsidR="008420F7" w:rsidRDefault="008420F7" w:rsidP="00A70A9C">
      <w:pPr>
        <w:pStyle w:val="ListNumber"/>
      </w:pPr>
      <w:r>
        <w:t>The Alternative Technology Association (ATA).</w:t>
      </w:r>
    </w:p>
    <w:p w:rsidR="00A70A9C" w:rsidRDefault="00A70A9C" w:rsidP="00A70A9C">
      <w:r w:rsidRPr="006E7A03">
        <w:t xml:space="preserve">On </w:t>
      </w:r>
      <w:r w:rsidR="001107FC">
        <w:t>2 December</w:t>
      </w:r>
      <w:r w:rsidRPr="006E7A03">
        <w:t xml:space="preserve"> 2016, we received </w:t>
      </w:r>
      <w:r w:rsidR="001107FC">
        <w:t>TasNetworks'</w:t>
      </w:r>
      <w:r w:rsidR="008420F7">
        <w:t xml:space="preserve"> revised t</w:t>
      </w:r>
      <w:r w:rsidRPr="006E7A03">
        <w:t>ar</w:t>
      </w:r>
      <w:r w:rsidR="008420F7">
        <w:t>iff structure statement</w:t>
      </w:r>
      <w:r w:rsidRPr="006E7A03">
        <w:t>.</w:t>
      </w:r>
      <w:r w:rsidR="008420F7">
        <w:t xml:space="preserve"> </w:t>
      </w:r>
      <w:r>
        <w:t xml:space="preserve">We </w:t>
      </w:r>
      <w:r w:rsidRPr="006E7A03">
        <w:t xml:space="preserve">invited submissions on </w:t>
      </w:r>
      <w:r w:rsidR="001107FC">
        <w:t>TasNetworks'</w:t>
      </w:r>
      <w:r w:rsidR="008420F7">
        <w:t xml:space="preserve"> revised t</w:t>
      </w:r>
      <w:r w:rsidRPr="006E7A03">
        <w:t xml:space="preserve">ariff </w:t>
      </w:r>
      <w:r w:rsidR="008420F7">
        <w:t>structure s</w:t>
      </w:r>
      <w:r w:rsidRPr="006E7A03">
        <w:t>tatement. The submissions period closed</w:t>
      </w:r>
      <w:r>
        <w:t xml:space="preserve"> on 2</w:t>
      </w:r>
      <w:r w:rsidR="001107FC">
        <w:t>3</w:t>
      </w:r>
      <w:r>
        <w:t xml:space="preserve"> </w:t>
      </w:r>
      <w:r w:rsidR="001107FC">
        <w:t>December</w:t>
      </w:r>
      <w:r>
        <w:t xml:space="preserve"> 2016</w:t>
      </w:r>
      <w:r w:rsidRPr="006E7A03">
        <w:t>.</w:t>
      </w:r>
      <w:r>
        <w:t xml:space="preserve"> We received submissions from:</w:t>
      </w:r>
    </w:p>
    <w:p w:rsidR="00A60A22" w:rsidRPr="00A60A22" w:rsidRDefault="00A60A22" w:rsidP="00A60A22">
      <w:pPr>
        <w:pStyle w:val="ListParagraph"/>
      </w:pPr>
      <w:r w:rsidRPr="00A60A22">
        <w:t xml:space="preserve">Consumer Challenge Panel 4 — David Headberry  </w:t>
      </w:r>
    </w:p>
    <w:p w:rsidR="00A60A22" w:rsidRPr="00A60A22" w:rsidRDefault="00A60A22" w:rsidP="00A60A22">
      <w:pPr>
        <w:pStyle w:val="ListParagraph"/>
      </w:pPr>
      <w:r w:rsidRPr="00A60A22">
        <w:t>Nekon</w:t>
      </w:r>
    </w:p>
    <w:p w:rsidR="00A70A9C" w:rsidRDefault="00A60A22" w:rsidP="00A70A9C">
      <w:pPr>
        <w:pStyle w:val="ListParagraph"/>
      </w:pPr>
      <w:r>
        <w:t>John Herbst</w:t>
      </w:r>
    </w:p>
    <w:p w:rsidR="00A70A9C" w:rsidRDefault="00A60A22" w:rsidP="00A70A9C">
      <w:pPr>
        <w:pStyle w:val="ListParagraph"/>
      </w:pPr>
      <w:r>
        <w:t>Don Maisch</w:t>
      </w:r>
    </w:p>
    <w:p w:rsidR="00A60A22" w:rsidRDefault="00A60A22" w:rsidP="00A70A9C">
      <w:pPr>
        <w:pStyle w:val="ListParagraph"/>
      </w:pPr>
      <w:r>
        <w:t>Michael Powe</w:t>
      </w:r>
    </w:p>
    <w:p w:rsidR="00A60A22" w:rsidRDefault="00A60A22" w:rsidP="00A70A9C">
      <w:pPr>
        <w:pStyle w:val="ListParagraph"/>
      </w:pPr>
      <w:r>
        <w:t>Tasmanian Farmers &amp; Graziers Association.</w:t>
      </w:r>
    </w:p>
    <w:p w:rsidR="00F505A6" w:rsidRDefault="00A70A9C" w:rsidP="00F505A6">
      <w:r>
        <w:t xml:space="preserve">On 28 </w:t>
      </w:r>
      <w:r w:rsidR="00A60A22">
        <w:t>April</w:t>
      </w:r>
      <w:r>
        <w:t xml:space="preserve"> 2017, we made a final decision to approve </w:t>
      </w:r>
      <w:r w:rsidR="00A60A22">
        <w:t>TasNetworks</w:t>
      </w:r>
      <w:r>
        <w:t xml:space="preserve"> revised tariff structure statement.</w:t>
      </w:r>
    </w:p>
    <w:sectPr w:rsidR="00F505A6" w:rsidSect="00CF42AA">
      <w:headerReference w:type="default" r:id="rId25"/>
      <w:footerReference w:type="even" r:id="rId26"/>
      <w:footerReference w:type="default" r:id="rId27"/>
      <w:footerReference w:type="first" r:id="rId2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31" w:rsidRPr="00290C63" w:rsidRDefault="00DA1631" w:rsidP="00290C63">
      <w:r>
        <w:separator/>
      </w:r>
    </w:p>
    <w:p w:rsidR="00DA1631" w:rsidRDefault="00DA1631"/>
  </w:endnote>
  <w:endnote w:type="continuationSeparator" w:id="0">
    <w:p w:rsidR="00DA1631" w:rsidRPr="00290C63" w:rsidRDefault="00DA1631" w:rsidP="00290C63">
      <w:r>
        <w:continuationSeparator/>
      </w:r>
    </w:p>
    <w:p w:rsidR="00DA1631" w:rsidRDefault="00DA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31" w:rsidRPr="00290C63" w:rsidRDefault="00DA163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A1631" w:rsidRDefault="00DA1631"/>
  <w:p w:rsidR="00DA1631" w:rsidRDefault="00DA1631"/>
  <w:p w:rsidR="00DA1631" w:rsidRDefault="00DA1631"/>
  <w:p w:rsidR="00DA1631" w:rsidRDefault="00DA1631"/>
  <w:p w:rsidR="00DA1631" w:rsidRDefault="00DA1631"/>
  <w:p w:rsidR="00DA1631" w:rsidRDefault="00DA1631"/>
  <w:p w:rsidR="00DA1631" w:rsidRDefault="00DA16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A1631" w:rsidRPr="009B6F84" w:rsidRDefault="00DA1631">
        <w:pPr>
          <w:pStyle w:val="Footer"/>
          <w:rPr>
            <w:sz w:val="20"/>
          </w:rPr>
        </w:pPr>
        <w:r>
          <w:fldChar w:fldCharType="begin"/>
        </w:r>
        <w:r>
          <w:instrText xml:space="preserve"> PAGE   \* MERGEFORMAT </w:instrText>
        </w:r>
        <w:r>
          <w:fldChar w:fldCharType="separate"/>
        </w:r>
        <w:r w:rsidR="00FF3C4B">
          <w:rPr>
            <w:noProof/>
          </w:rPr>
          <w:t>19-1</w:t>
        </w:r>
        <w:r>
          <w:rPr>
            <w:noProof/>
          </w:rPr>
          <w:fldChar w:fldCharType="end"/>
        </w:r>
        <w:r>
          <w:rPr>
            <w:noProof/>
          </w:rPr>
          <w:t xml:space="preserve">          </w:t>
        </w:r>
        <w:r>
          <w:t xml:space="preserve">Attachment 19 </w:t>
        </w:r>
        <w:r w:rsidRPr="000474DF">
          <w:t>−</w:t>
        </w:r>
        <w:r>
          <w:t xml:space="preserve"> Tariff structure statement</w:t>
        </w:r>
        <w:r w:rsidRPr="009B6F84">
          <w:rPr>
            <w:rFonts w:cs="Gautami"/>
            <w:noProof/>
            <w:szCs w:val="16"/>
          </w:rPr>
          <w:t xml:space="preserve"> | </w:t>
        </w:r>
        <w:r>
          <w:t>TasNetworks distribution final determination</w:t>
        </w:r>
        <w:r w:rsidRPr="009B6F84">
          <w:rPr>
            <w:sz w:val="20"/>
          </w:rPr>
          <w:t xml:space="preserve"> </w:t>
        </w:r>
        <w:r w:rsidRPr="009B6F84">
          <w:rPr>
            <w:rFonts w:cs="Gautami"/>
            <w:noProof/>
            <w:szCs w:val="16"/>
          </w:rPr>
          <w:t>201</w:t>
        </w:r>
        <w:r>
          <w:t>7</w:t>
        </w:r>
        <w:r>
          <w:rPr>
            <w:rFonts w:cs="Gautami"/>
            <w:noProof/>
            <w:szCs w:val="16"/>
          </w:rPr>
          <w:t>–</w:t>
        </w:r>
        <w:r>
          <w:t>19</w:t>
        </w:r>
      </w:p>
    </w:sdtContent>
  </w:sdt>
  <w:p w:rsidR="00DA1631" w:rsidRDefault="00DA1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31" w:rsidRPr="00290C63" w:rsidRDefault="00DA163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A1631" w:rsidRDefault="00DA1631">
    <w:pPr>
      <w:pStyle w:val="Footer"/>
    </w:pPr>
  </w:p>
  <w:p w:rsidR="00DA1631" w:rsidRDefault="00DA1631"/>
  <w:p w:rsidR="00DA1631" w:rsidRDefault="00DA1631"/>
  <w:p w:rsidR="00DA1631" w:rsidRDefault="00DA1631"/>
  <w:p w:rsidR="00DA1631" w:rsidRDefault="00DA1631"/>
  <w:p w:rsidR="00DA1631" w:rsidRDefault="00DA1631"/>
  <w:p w:rsidR="00DA1631" w:rsidRDefault="00DA1631"/>
  <w:p w:rsidR="00DA1631" w:rsidRDefault="00DA16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31" w:rsidRPr="00290C63" w:rsidRDefault="00DA163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A1631" w:rsidRDefault="00DA1631"/>
  <w:p w:rsidR="00DA1631" w:rsidRDefault="00DA1631"/>
  <w:p w:rsidR="00DA1631" w:rsidRDefault="00DA1631"/>
  <w:p w:rsidR="00DA1631" w:rsidRDefault="00DA1631"/>
  <w:p w:rsidR="00DA1631" w:rsidRDefault="00DA1631"/>
  <w:p w:rsidR="00DA1631" w:rsidRDefault="00DA1631"/>
  <w:p w:rsidR="00DA1631" w:rsidRDefault="00DA16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A1631" w:rsidRPr="009B6F84" w:rsidRDefault="00DA1631">
        <w:pPr>
          <w:pStyle w:val="Footer"/>
          <w:rPr>
            <w:sz w:val="20"/>
          </w:rPr>
        </w:pPr>
        <w:r>
          <w:fldChar w:fldCharType="begin"/>
        </w:r>
        <w:r>
          <w:instrText xml:space="preserve"> PAGE   \* MERGEFORMAT </w:instrText>
        </w:r>
        <w:r>
          <w:fldChar w:fldCharType="separate"/>
        </w:r>
        <w:r w:rsidR="00FF3C4B">
          <w:rPr>
            <w:noProof/>
          </w:rPr>
          <w:t>19-95</w:t>
        </w:r>
        <w:r>
          <w:rPr>
            <w:noProof/>
          </w:rPr>
          <w:fldChar w:fldCharType="end"/>
        </w:r>
        <w:r>
          <w:rPr>
            <w:noProof/>
          </w:rPr>
          <w:t xml:space="preserve">          </w:t>
        </w:r>
        <w:r>
          <w:t>Attachment 19 – Tariff structure statement</w:t>
        </w:r>
        <w:r w:rsidRPr="004523B2">
          <w:t xml:space="preserve"> | </w:t>
        </w:r>
        <w:r>
          <w:t>TasNetworks distribution final determination</w:t>
        </w:r>
        <w:r w:rsidRPr="004523B2">
          <w:t xml:space="preserve"> 201</w:t>
        </w:r>
        <w:r>
          <w:t>7</w:t>
        </w:r>
        <w:r w:rsidRPr="004523B2">
          <w:t>–</w:t>
        </w:r>
        <w:r>
          <w:t>2019</w:t>
        </w:r>
      </w:p>
    </w:sdtContent>
  </w:sdt>
  <w:p w:rsidR="00DA1631" w:rsidRDefault="00DA16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31" w:rsidRPr="00290C63" w:rsidRDefault="00DA163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A1631" w:rsidRDefault="00DA1631">
    <w:pPr>
      <w:pStyle w:val="Footer"/>
    </w:pPr>
  </w:p>
  <w:p w:rsidR="00DA1631" w:rsidRDefault="00DA1631"/>
  <w:p w:rsidR="00DA1631" w:rsidRDefault="00DA1631"/>
  <w:p w:rsidR="00DA1631" w:rsidRDefault="00DA1631"/>
  <w:p w:rsidR="00DA1631" w:rsidRDefault="00DA1631"/>
  <w:p w:rsidR="00DA1631" w:rsidRDefault="00DA1631"/>
  <w:p w:rsidR="00DA1631" w:rsidRDefault="00DA1631"/>
  <w:p w:rsidR="00DA1631" w:rsidRDefault="00DA16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31" w:rsidRPr="00290C63" w:rsidRDefault="00DA1631" w:rsidP="00290C63">
      <w:r>
        <w:separator/>
      </w:r>
    </w:p>
    <w:p w:rsidR="00DA1631" w:rsidRDefault="00DA1631"/>
  </w:footnote>
  <w:footnote w:type="continuationSeparator" w:id="0">
    <w:p w:rsidR="00DA1631" w:rsidRPr="00290C63" w:rsidRDefault="00DA1631" w:rsidP="00290C63">
      <w:r>
        <w:continuationSeparator/>
      </w:r>
    </w:p>
    <w:p w:rsidR="00DA1631" w:rsidRDefault="00DA1631"/>
  </w:footnote>
  <w:footnote w:id="1">
    <w:p w:rsidR="00DA1631" w:rsidRDefault="00DA1631" w:rsidP="00E56255">
      <w:pPr>
        <w:pStyle w:val="FootnoteText"/>
      </w:pPr>
      <w:r>
        <w:rPr>
          <w:rStyle w:val="FootnoteReference"/>
        </w:rPr>
        <w:footnoteRef/>
      </w:r>
      <w:r>
        <w:t xml:space="preserve"> </w:t>
      </w:r>
      <w:r>
        <w:tab/>
        <w:t>NER, 6.18.1A(a).</w:t>
      </w:r>
    </w:p>
  </w:footnote>
  <w:footnote w:id="2">
    <w:p w:rsidR="00DA1631" w:rsidRDefault="00DA1631" w:rsidP="00E56255">
      <w:pPr>
        <w:pStyle w:val="FootnoteText"/>
      </w:pPr>
      <w:r>
        <w:rPr>
          <w:rStyle w:val="FootnoteReference"/>
        </w:rPr>
        <w:footnoteRef/>
      </w:r>
      <w:r>
        <w:t xml:space="preserve"> </w:t>
      </w:r>
      <w:r>
        <w:tab/>
        <w:t xml:space="preserve">NER, </w:t>
      </w:r>
      <w:r w:rsidRPr="00DD4515">
        <w:t>cl. 6.18.5</w:t>
      </w:r>
      <w:r>
        <w:t>.</w:t>
      </w:r>
    </w:p>
  </w:footnote>
  <w:footnote w:id="3">
    <w:p w:rsidR="00DA1631" w:rsidRDefault="00DA1631" w:rsidP="00327E99">
      <w:pPr>
        <w:pStyle w:val="FootnoteText"/>
      </w:pPr>
      <w:r>
        <w:rPr>
          <w:rStyle w:val="FootnoteReference"/>
        </w:rPr>
        <w:footnoteRef/>
      </w:r>
      <w:r>
        <w:t xml:space="preserve"> </w:t>
      </w:r>
      <w:r>
        <w:tab/>
        <w:t>NER, cll. 6.12.3(k); 6.18.1A(a) and (b); 6.18.5.</w:t>
      </w:r>
    </w:p>
  </w:footnote>
  <w:footnote w:id="4">
    <w:p w:rsidR="00DA1631" w:rsidRDefault="00DA1631">
      <w:pPr>
        <w:pStyle w:val="FootnoteText"/>
      </w:pPr>
      <w:r>
        <w:rPr>
          <w:rStyle w:val="FootnoteReference"/>
        </w:rPr>
        <w:footnoteRef/>
      </w:r>
      <w:r>
        <w:t xml:space="preserve"> </w:t>
      </w:r>
      <w:r>
        <w:tab/>
        <w:t>NER, cl. 6.8.2(d1).</w:t>
      </w:r>
    </w:p>
  </w:footnote>
  <w:footnote w:id="5">
    <w:p w:rsidR="00DA1631" w:rsidRDefault="00DA1631" w:rsidP="002C4BF3">
      <w:pPr>
        <w:pStyle w:val="FootnoteText"/>
      </w:pPr>
      <w:r>
        <w:rPr>
          <w:rStyle w:val="FootnoteReference"/>
        </w:rPr>
        <w:footnoteRef/>
      </w:r>
      <w:r>
        <w:t xml:space="preserve"> </w:t>
      </w:r>
      <w:r>
        <w:tab/>
      </w:r>
      <w:r w:rsidRPr="0014442D">
        <w:t xml:space="preserve">AER, </w:t>
      </w:r>
      <w:r w:rsidRPr="002C4BF3">
        <w:rPr>
          <w:rStyle w:val="AERtextitalic"/>
        </w:rPr>
        <w:t>Draft decision, TasNetworks distribution determination 2017–18 to 2018–19: Attachment 19–Tariff structure statement</w:t>
      </w:r>
      <w:r w:rsidRPr="0014442D">
        <w:t>, September 2016, p.</w:t>
      </w:r>
      <w:r>
        <w:t> 9</w:t>
      </w:r>
      <w:r w:rsidRPr="0014442D">
        <w:t>.</w:t>
      </w:r>
    </w:p>
  </w:footnote>
  <w:footnote w:id="6">
    <w:p w:rsidR="00DA1631" w:rsidRDefault="00DA1631" w:rsidP="00F56506">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rsidRPr="00030AAA">
        <w:rPr>
          <w:rStyle w:val="AERtextitalic"/>
        </w:rPr>
        <w:t xml:space="preserve"> – Regulatory control period 1 July 2017 to 30 June 2019</w:t>
      </w:r>
      <w:r>
        <w:t>, December</w:t>
      </w:r>
      <w:r w:rsidRPr="004C48BD">
        <w:t> 2016, p</w:t>
      </w:r>
      <w:r>
        <w:t>p</w:t>
      </w:r>
      <w:r w:rsidRPr="004C48BD">
        <w:t>.</w:t>
      </w:r>
      <w:r>
        <w:t> 14–16</w:t>
      </w:r>
      <w:r w:rsidRPr="004C48BD">
        <w:t>.</w:t>
      </w:r>
      <w:r>
        <w:t xml:space="preserve"> (TasNetworks, </w:t>
      </w:r>
      <w:r w:rsidRPr="0065783D">
        <w:rPr>
          <w:rStyle w:val="AERtextitalic"/>
        </w:rPr>
        <w:t>Tariff structure statement: Background and explanation</w:t>
      </w:r>
      <w:r>
        <w:t>, December 2016)</w:t>
      </w:r>
    </w:p>
  </w:footnote>
  <w:footnote w:id="7">
    <w:p w:rsidR="00DA1631" w:rsidRDefault="00DA1631">
      <w:pPr>
        <w:pStyle w:val="FootnoteText"/>
      </w:pPr>
      <w:r>
        <w:rPr>
          <w:rStyle w:val="FootnoteReference"/>
        </w:rPr>
        <w:footnoteRef/>
      </w:r>
      <w:r>
        <w:t xml:space="preserve"> </w:t>
      </w:r>
      <w:r>
        <w:tab/>
        <w:t>Note too that this tariff structure statement applies to a relatively short regulatory control period, commencing 1 July 2017 and concluding on 30 June 2019.</w:t>
      </w:r>
    </w:p>
  </w:footnote>
  <w:footnote w:id="8">
    <w:p w:rsidR="00DA1631" w:rsidRDefault="00DA1631" w:rsidP="00836BE0">
      <w:pPr>
        <w:pStyle w:val="FootnoteText"/>
      </w:pPr>
      <w:r>
        <w:rPr>
          <w:rStyle w:val="FootnoteReference"/>
        </w:rPr>
        <w:footnoteRef/>
      </w:r>
      <w:r>
        <w:t xml:space="preserve"> </w:t>
      </w:r>
      <w:r>
        <w:tab/>
        <w:t xml:space="preserve">TasNetworks, </w:t>
      </w:r>
      <w:r w:rsidRPr="001C18CA">
        <w:rPr>
          <w:rStyle w:val="AERtextitalic"/>
        </w:rPr>
        <w:t>Improving the way we price our services: Revised tariff structure statement for regulatory control period 1 July 2017–30 June 2019—Overview</w:t>
      </w:r>
      <w:r>
        <w:t xml:space="preserve">, December 2016, p. 12. (TasNetworks, </w:t>
      </w:r>
      <w:r>
        <w:rPr>
          <w:rStyle w:val="AERtextitalic"/>
        </w:rPr>
        <w:t>Revised tariff structure statement</w:t>
      </w:r>
      <w:r w:rsidRPr="001C18CA">
        <w:rPr>
          <w:rStyle w:val="AERtextitalic"/>
        </w:rPr>
        <w:t>—Overview</w:t>
      </w:r>
      <w:r>
        <w:t>, December 2016);</w:t>
      </w:r>
      <w:r w:rsidRPr="006C4144">
        <w:t xml:space="preserve"> </w:t>
      </w:r>
      <w:r w:rsidRPr="004C48BD">
        <w:t xml:space="preserve">TasNetworks, </w:t>
      </w:r>
      <w:r w:rsidRPr="00030AAA">
        <w:rPr>
          <w:rStyle w:val="AERtextitalic"/>
        </w:rPr>
        <w:t>Tariff structure statement: Formal statement – Regulatory control period 1 July 2017 to 30 June 2019</w:t>
      </w:r>
      <w:r>
        <w:t>, December</w:t>
      </w:r>
      <w:r w:rsidRPr="004C48BD">
        <w:t> 2016, p. </w:t>
      </w:r>
      <w:r>
        <w:t>10</w:t>
      </w:r>
      <w:r w:rsidRPr="004C48BD">
        <w:t>.</w:t>
      </w:r>
      <w:r>
        <w:t xml:space="preserve"> (TasNetworks, </w:t>
      </w:r>
      <w:r w:rsidRPr="001F1625">
        <w:rPr>
          <w:rStyle w:val="AERtextitalic"/>
        </w:rPr>
        <w:t>Tariff structure statement: Formal statement</w:t>
      </w:r>
      <w:r>
        <w:t>, December 2016)</w:t>
      </w:r>
    </w:p>
  </w:footnote>
  <w:footnote w:id="9">
    <w:p w:rsidR="00DA1631" w:rsidRDefault="00DA1631" w:rsidP="009D15EC">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6</w:t>
      </w:r>
      <w:r w:rsidRPr="004C48BD">
        <w:t>.</w:t>
      </w:r>
    </w:p>
  </w:footnote>
  <w:footnote w:id="10">
    <w:p w:rsidR="00DA1631" w:rsidRDefault="00DA1631" w:rsidP="00FE31C2">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7</w:t>
      </w:r>
      <w:r w:rsidRPr="004C48BD">
        <w:t>.</w:t>
      </w:r>
    </w:p>
  </w:footnote>
  <w:footnote w:id="11">
    <w:p w:rsidR="00DA1631" w:rsidRDefault="00DA1631" w:rsidP="00F720FE">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8</w:t>
      </w:r>
      <w:r w:rsidRPr="004C48BD">
        <w:t>.</w:t>
      </w:r>
    </w:p>
  </w:footnote>
  <w:footnote w:id="12">
    <w:p w:rsidR="00DA1631" w:rsidRDefault="00DA1631" w:rsidP="00F720FE">
      <w:pPr>
        <w:pStyle w:val="FootnoteText"/>
      </w:pPr>
      <w:r>
        <w:rPr>
          <w:rStyle w:val="FootnoteReference"/>
        </w:rPr>
        <w:footnoteRef/>
      </w:r>
      <w:r>
        <w:t xml:space="preserve"> </w:t>
      </w:r>
      <w:r>
        <w:tab/>
      </w:r>
      <w:r w:rsidRPr="0014442D">
        <w:t xml:space="preserve">AER, </w:t>
      </w:r>
      <w:r w:rsidRPr="002C4BF3">
        <w:rPr>
          <w:rStyle w:val="AERtextitalic"/>
        </w:rPr>
        <w:t>Draft decision, TasNetworks distribution determination 2017–18 to 2018–19: Attachment 19–Tariff structure statement</w:t>
      </w:r>
      <w:r w:rsidRPr="0014442D">
        <w:t>, September 2016, p.</w:t>
      </w:r>
      <w:r>
        <w:t> 9</w:t>
      </w:r>
      <w:r w:rsidRPr="0014442D">
        <w:t>.</w:t>
      </w:r>
    </w:p>
  </w:footnote>
  <w:footnote w:id="13">
    <w:p w:rsidR="00DA1631" w:rsidRDefault="00DA1631">
      <w:pPr>
        <w:pStyle w:val="FootnoteText"/>
      </w:pPr>
      <w:r>
        <w:rPr>
          <w:rStyle w:val="FootnoteReference"/>
        </w:rPr>
        <w:footnoteRef/>
      </w:r>
      <w:r>
        <w:t xml:space="preserve"> </w:t>
      </w:r>
      <w:r>
        <w:tab/>
        <w:t xml:space="preserve">TasNetworks, </w:t>
      </w:r>
      <w:r w:rsidRPr="003A7DE1">
        <w:rPr>
          <w:rStyle w:val="AERtextitalic"/>
        </w:rPr>
        <w:t>Improving the way we price our services: Tariff structure statement—Regulatory control period 1</w:t>
      </w:r>
      <w:r>
        <w:rPr>
          <w:rStyle w:val="AERtextitalic"/>
        </w:rPr>
        <w:t> </w:t>
      </w:r>
      <w:r w:rsidRPr="003A7DE1">
        <w:rPr>
          <w:rStyle w:val="AERtextitalic"/>
        </w:rPr>
        <w:t>July 2017 to 30 June 2019</w:t>
      </w:r>
      <w:r>
        <w:t>, January 2016, p. 40.</w:t>
      </w:r>
    </w:p>
  </w:footnote>
  <w:footnote w:id="14">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11</w:t>
      </w:r>
      <w:r w:rsidRPr="004C48BD">
        <w:t>.</w:t>
      </w:r>
    </w:p>
  </w:footnote>
  <w:footnote w:id="15">
    <w:p w:rsidR="00DA1631" w:rsidRDefault="00DA1631">
      <w:pPr>
        <w:pStyle w:val="FootnoteText"/>
      </w:pPr>
      <w:r>
        <w:rPr>
          <w:rStyle w:val="FootnoteReference"/>
        </w:rPr>
        <w:footnoteRef/>
      </w:r>
      <w:r>
        <w:t xml:space="preserve"> </w:t>
      </w:r>
      <w:r>
        <w:tab/>
        <w:t>Also sometimes referred to as an interval or smart meter.</w:t>
      </w:r>
    </w:p>
  </w:footnote>
  <w:footnote w:id="16">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w:t>
      </w:r>
      <w:r>
        <w:t>p</w:t>
      </w:r>
      <w:r w:rsidRPr="004C48BD">
        <w:t>. </w:t>
      </w:r>
      <w:r>
        <w:t xml:space="preserve">10, 13–15; </w:t>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 </w:t>
      </w:r>
      <w:r>
        <w:t>21, 54–57</w:t>
      </w:r>
      <w:r w:rsidRPr="004C48BD">
        <w:t>.</w:t>
      </w:r>
    </w:p>
  </w:footnote>
  <w:footnote w:id="17">
    <w:p w:rsidR="00DA1631" w:rsidRDefault="00DA1631" w:rsidP="00B127BF">
      <w:pPr>
        <w:pStyle w:val="FootnoteText"/>
      </w:pPr>
      <w:r>
        <w:rPr>
          <w:rStyle w:val="FootnoteReference"/>
        </w:rPr>
        <w:footnoteRef/>
      </w:r>
      <w:r>
        <w:t xml:space="preserve"> </w:t>
      </w:r>
      <w:r>
        <w:tab/>
        <w:t xml:space="preserve">TasNetworks, </w:t>
      </w:r>
      <w:r w:rsidRPr="001C18CA">
        <w:rPr>
          <w:rStyle w:val="AERtextitalic"/>
        </w:rPr>
        <w:t>Revised tariff structure statement</w:t>
      </w:r>
      <w:r>
        <w:rPr>
          <w:rStyle w:val="AERtextitalic"/>
        </w:rPr>
        <w:t xml:space="preserve">: </w:t>
      </w:r>
      <w:r w:rsidRPr="001C18CA">
        <w:rPr>
          <w:rStyle w:val="AERtextitalic"/>
        </w:rPr>
        <w:t>Overview</w:t>
      </w:r>
      <w:r>
        <w:t>, December 2016, p. 12;</w:t>
      </w:r>
      <w:r w:rsidRPr="006C4144">
        <w:t xml:space="preserve"> </w:t>
      </w:r>
      <w:r w:rsidRPr="004C48BD">
        <w:t xml:space="preserve">TasNetworks, </w:t>
      </w:r>
      <w:r w:rsidRPr="00030AAA">
        <w:rPr>
          <w:rStyle w:val="AERtextitalic"/>
        </w:rPr>
        <w:t>Tariff structure statement: Formal statement</w:t>
      </w:r>
      <w:r>
        <w:t>, December</w:t>
      </w:r>
      <w:r w:rsidRPr="004C48BD">
        <w:t> 2016, p. </w:t>
      </w:r>
      <w:r>
        <w:t>10</w:t>
      </w:r>
      <w:r w:rsidRPr="004C48BD">
        <w:t>.</w:t>
      </w:r>
    </w:p>
  </w:footnote>
  <w:footnote w:id="18">
    <w:p w:rsidR="00DA1631" w:rsidRDefault="00DA1631">
      <w:pPr>
        <w:pStyle w:val="FootnoteText"/>
      </w:pPr>
      <w:r>
        <w:rPr>
          <w:rStyle w:val="FootnoteReference"/>
        </w:rPr>
        <w:footnoteRef/>
      </w:r>
      <w:r>
        <w:t xml:space="preserve"> </w:t>
      </w:r>
      <w:r>
        <w:tab/>
        <w:t>This type of tariff structure is common among Australian electricity distributors but is being replaced to varying degrees as part of distributors' tariff structure statements.</w:t>
      </w:r>
    </w:p>
  </w:footnote>
  <w:footnote w:id="19">
    <w:p w:rsidR="00DA1631" w:rsidRDefault="00DA1631" w:rsidP="00B127BF">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w:t>
      </w:r>
      <w:r>
        <w:t xml:space="preserve"> Appendix B, </w:t>
      </w:r>
      <w:r w:rsidRPr="004C48BD">
        <w:t xml:space="preserve"> p</w:t>
      </w:r>
      <w:r>
        <w:t>p</w:t>
      </w:r>
      <w:r w:rsidRPr="004C48BD">
        <w:t>. </w:t>
      </w:r>
      <w:r>
        <w:t>40–57, and NER, cl 6.18.1A(e).</w:t>
      </w:r>
    </w:p>
  </w:footnote>
  <w:footnote w:id="20">
    <w:p w:rsidR="00DA1631" w:rsidRDefault="00DA1631">
      <w:pPr>
        <w:pStyle w:val="FootnoteText"/>
      </w:pPr>
      <w:r>
        <w:rPr>
          <w:rStyle w:val="FootnoteReference"/>
        </w:rPr>
        <w:footnoteRef/>
      </w:r>
      <w:r>
        <w:t xml:space="preserve"> </w:t>
      </w:r>
      <w:r>
        <w:tab/>
        <w:t xml:space="preserve">Australian Energy Market Commission, </w:t>
      </w:r>
      <w:r w:rsidRPr="00D4785F">
        <w:rPr>
          <w:rStyle w:val="AERtextitalic"/>
        </w:rPr>
        <w:t>National Electricity Amendment (Distribution Network Pricing Arrangements) Rule 2014</w:t>
      </w:r>
      <w:r>
        <w:t>, 27 November 2014.</w:t>
      </w:r>
    </w:p>
  </w:footnote>
  <w:footnote w:id="21">
    <w:p w:rsidR="00DA1631" w:rsidRDefault="00DA1631" w:rsidP="008B5605">
      <w:pPr>
        <w:pStyle w:val="FootnoteText"/>
      </w:pPr>
      <w:r>
        <w:rPr>
          <w:rStyle w:val="FootnoteReference"/>
        </w:rPr>
        <w:footnoteRef/>
      </w:r>
      <w:r>
        <w:t xml:space="preserve"> </w:t>
      </w:r>
      <w:r>
        <w:tab/>
        <w:t>NER, cl. 6.18.5(a).</w:t>
      </w:r>
    </w:p>
  </w:footnote>
  <w:footnote w:id="22">
    <w:p w:rsidR="00DA1631" w:rsidRDefault="00DA1631" w:rsidP="008B5605">
      <w:pPr>
        <w:pStyle w:val="FootnoteText"/>
      </w:pPr>
      <w:r>
        <w:rPr>
          <w:rStyle w:val="FootnoteReference"/>
        </w:rPr>
        <w:footnoteRef/>
      </w:r>
      <w:r>
        <w:t xml:space="preserve"> </w:t>
      </w:r>
      <w:r>
        <w:tab/>
        <w:t>This is a reference to the NER'</w:t>
      </w:r>
      <w:r w:rsidRPr="00290116">
        <w:rPr>
          <w:rStyle w:val="Emphasis"/>
        </w:rPr>
        <w:t xml:space="preserve"> pricing</w:t>
      </w:r>
      <w:r>
        <w:t xml:space="preserve"> </w:t>
      </w:r>
      <w:r w:rsidRPr="00290116">
        <w:rPr>
          <w:rStyle w:val="Emphasis"/>
        </w:rPr>
        <w:t>principles for direct control services</w:t>
      </w:r>
      <w:r>
        <w:t>, alternatively described in this decision as the "distribution pricing principles"; NER, cl. 6.18.5(e)–(j).</w:t>
      </w:r>
    </w:p>
  </w:footnote>
  <w:footnote w:id="23">
    <w:p w:rsidR="00DA1631" w:rsidRDefault="00DA1631" w:rsidP="00F76761">
      <w:pPr>
        <w:pStyle w:val="FootnoteText"/>
      </w:pPr>
      <w:r>
        <w:rPr>
          <w:rStyle w:val="FootnoteReference"/>
        </w:rPr>
        <w:footnoteRef/>
      </w:r>
      <w:r>
        <w:t xml:space="preserve"> </w:t>
      </w:r>
      <w:r>
        <w:tab/>
        <w:t>NER, cl. 6.8.2(a).</w:t>
      </w:r>
    </w:p>
  </w:footnote>
  <w:footnote w:id="24">
    <w:p w:rsidR="00DA1631" w:rsidRDefault="00DA1631" w:rsidP="00F76761">
      <w:pPr>
        <w:pStyle w:val="FootnoteText"/>
      </w:pPr>
      <w:r>
        <w:rPr>
          <w:rStyle w:val="FootnoteReference"/>
        </w:rPr>
        <w:footnoteRef/>
      </w:r>
      <w:r>
        <w:t xml:space="preserve"> </w:t>
      </w:r>
      <w:r>
        <w:tab/>
        <w:t>NER, cl. 11.76.2(a).</w:t>
      </w:r>
    </w:p>
  </w:footnote>
  <w:footnote w:id="25">
    <w:p w:rsidR="00DA1631" w:rsidRDefault="00DA1631" w:rsidP="008B5605">
      <w:pPr>
        <w:pStyle w:val="FootnoteText"/>
      </w:pPr>
      <w:r>
        <w:rPr>
          <w:rStyle w:val="FootnoteReference"/>
        </w:rPr>
        <w:footnoteRef/>
      </w:r>
      <w:r>
        <w:t xml:space="preserve"> </w:t>
      </w:r>
      <w:r>
        <w:tab/>
        <w:t>NER, cl 6.18.1A(a) and (e).</w:t>
      </w:r>
    </w:p>
  </w:footnote>
  <w:footnote w:id="26">
    <w:p w:rsidR="00DA1631" w:rsidRDefault="00DA1631" w:rsidP="008B5605">
      <w:pPr>
        <w:pStyle w:val="FootnoteText"/>
      </w:pPr>
      <w:r>
        <w:rPr>
          <w:rStyle w:val="FootnoteReference"/>
        </w:rPr>
        <w:footnoteRef/>
      </w:r>
      <w:r>
        <w:t xml:space="preserve"> </w:t>
      </w:r>
      <w:r>
        <w:tab/>
        <w:t>NER, cl 6.18.1A(b). The distribution pricing principles are prescribed in cl 6.18.5.</w:t>
      </w:r>
    </w:p>
  </w:footnote>
  <w:footnote w:id="27">
    <w:p w:rsidR="00DA1631" w:rsidRDefault="00DA1631" w:rsidP="008B5605">
      <w:pPr>
        <w:pStyle w:val="FootnoteText"/>
      </w:pPr>
      <w:r>
        <w:rPr>
          <w:rStyle w:val="FootnoteReference"/>
        </w:rPr>
        <w:footnoteRef/>
      </w:r>
      <w:r>
        <w:t xml:space="preserve"> </w:t>
      </w:r>
      <w:r>
        <w:tab/>
        <w:t>NER, cl. 6.18.1A(a).</w:t>
      </w:r>
    </w:p>
  </w:footnote>
  <w:footnote w:id="28">
    <w:p w:rsidR="00DA1631" w:rsidRDefault="00DA1631" w:rsidP="008B5605">
      <w:pPr>
        <w:pStyle w:val="FootnoteText"/>
      </w:pPr>
      <w:r>
        <w:rPr>
          <w:rStyle w:val="FootnoteReference"/>
        </w:rPr>
        <w:footnoteRef/>
      </w:r>
      <w:r>
        <w:t xml:space="preserve"> </w:t>
      </w:r>
      <w:r>
        <w:tab/>
        <w:t>NER, cl. 6.8.2(d1).</w:t>
      </w:r>
    </w:p>
  </w:footnote>
  <w:footnote w:id="29">
    <w:p w:rsidR="00DA1631" w:rsidRDefault="00DA1631">
      <w:pPr>
        <w:pStyle w:val="FootnoteText"/>
      </w:pPr>
      <w:r>
        <w:rPr>
          <w:rStyle w:val="FootnoteReference"/>
        </w:rPr>
        <w:footnoteRef/>
      </w:r>
      <w:r>
        <w:t xml:space="preserve"> </w:t>
      </w:r>
      <w:r>
        <w:tab/>
      </w:r>
      <w:r w:rsidRPr="0014442D">
        <w:t xml:space="preserve">AER, </w:t>
      </w:r>
      <w:r w:rsidRPr="002C4BF3">
        <w:rPr>
          <w:rStyle w:val="AERtextitalic"/>
        </w:rPr>
        <w:t>Draft decision, TasNetworks distribution determination 2017–18 to 2018–19: Attachment 19–Tariff structure statement</w:t>
      </w:r>
      <w:r w:rsidRPr="0014442D">
        <w:t>, September 2016, p.</w:t>
      </w:r>
      <w:r>
        <w:t xml:space="preserve"> 22; </w:t>
      </w:r>
      <w:r w:rsidRPr="00005CF6">
        <w:t>NER, cl 6.18.1A(a)</w:t>
      </w:r>
      <w:r>
        <w:t xml:space="preserve">. </w:t>
      </w:r>
    </w:p>
  </w:footnote>
  <w:footnote w:id="30">
    <w:p w:rsidR="00DA1631" w:rsidRDefault="00DA1631" w:rsidP="008B5605">
      <w:pPr>
        <w:pStyle w:val="FootnoteText"/>
      </w:pPr>
      <w:r>
        <w:rPr>
          <w:rStyle w:val="FootnoteReference"/>
        </w:rPr>
        <w:footnoteRef/>
      </w:r>
      <w:r>
        <w:t xml:space="preserve"> </w:t>
      </w:r>
      <w:r>
        <w:tab/>
        <w:t>NER, cl. 6.18.5(e).</w:t>
      </w:r>
    </w:p>
  </w:footnote>
  <w:footnote w:id="31">
    <w:p w:rsidR="00DA1631" w:rsidRDefault="00DA1631" w:rsidP="008B5605">
      <w:pPr>
        <w:pStyle w:val="FootnoteText"/>
      </w:pPr>
      <w:r>
        <w:rPr>
          <w:rStyle w:val="FootnoteReference"/>
        </w:rPr>
        <w:footnoteRef/>
      </w:r>
      <w:r>
        <w:t xml:space="preserve"> </w:t>
      </w:r>
      <w:r>
        <w:tab/>
        <w:t>NER, cl. 6.18.5(f).</w:t>
      </w:r>
    </w:p>
  </w:footnote>
  <w:footnote w:id="32">
    <w:p w:rsidR="00DA1631" w:rsidRDefault="00DA1631" w:rsidP="008B5605">
      <w:pPr>
        <w:pStyle w:val="FootnoteText"/>
      </w:pPr>
      <w:r>
        <w:rPr>
          <w:rStyle w:val="FootnoteReference"/>
        </w:rPr>
        <w:footnoteRef/>
      </w:r>
      <w:r>
        <w:t xml:space="preserve"> </w:t>
      </w:r>
      <w:r>
        <w:tab/>
        <w:t>NER, cl. 6.18.5(g).</w:t>
      </w:r>
    </w:p>
  </w:footnote>
  <w:footnote w:id="33">
    <w:p w:rsidR="00DA1631" w:rsidRDefault="00DA1631" w:rsidP="008B5605">
      <w:pPr>
        <w:pStyle w:val="FootnoteText"/>
      </w:pPr>
      <w:r>
        <w:rPr>
          <w:rStyle w:val="FootnoteReference"/>
        </w:rPr>
        <w:footnoteRef/>
      </w:r>
      <w:r>
        <w:t xml:space="preserve"> </w:t>
      </w:r>
      <w:r>
        <w:tab/>
        <w:t>NER, cl.6.18.5(h).</w:t>
      </w:r>
    </w:p>
  </w:footnote>
  <w:footnote w:id="34">
    <w:p w:rsidR="00DA1631" w:rsidRDefault="00DA1631" w:rsidP="008B5605">
      <w:pPr>
        <w:pStyle w:val="FootnoteText"/>
      </w:pPr>
      <w:r>
        <w:rPr>
          <w:rStyle w:val="FootnoteReference"/>
        </w:rPr>
        <w:footnoteRef/>
      </w:r>
      <w:r>
        <w:t xml:space="preserve"> </w:t>
      </w:r>
      <w:r>
        <w:tab/>
        <w:t>NER, cl. 6.18.5(i).</w:t>
      </w:r>
    </w:p>
  </w:footnote>
  <w:footnote w:id="35">
    <w:p w:rsidR="00DA1631" w:rsidRDefault="00DA1631" w:rsidP="008B5605">
      <w:pPr>
        <w:pStyle w:val="FootnoteText"/>
      </w:pPr>
      <w:r>
        <w:rPr>
          <w:rStyle w:val="FootnoteReference"/>
        </w:rPr>
        <w:footnoteRef/>
      </w:r>
      <w:r>
        <w:t xml:space="preserve"> </w:t>
      </w:r>
      <w:r>
        <w:tab/>
        <w:t>NER, cl. 6.18.5(j); this requirement includes jurisdictional requirements.</w:t>
      </w:r>
    </w:p>
  </w:footnote>
  <w:footnote w:id="36">
    <w:p w:rsidR="00DA1631" w:rsidRDefault="00DA1631" w:rsidP="008B5605">
      <w:pPr>
        <w:pStyle w:val="FootnoteText"/>
      </w:pPr>
      <w:r>
        <w:rPr>
          <w:rStyle w:val="FootnoteReference"/>
        </w:rPr>
        <w:footnoteRef/>
      </w:r>
      <w:r>
        <w:t xml:space="preserve"> </w:t>
      </w:r>
      <w:r>
        <w:tab/>
        <w:t>NER, cl 6.8.2(7) and 6.18.5(c).</w:t>
      </w:r>
    </w:p>
  </w:footnote>
  <w:footnote w:id="37">
    <w:p w:rsidR="00DA1631" w:rsidRDefault="00DA1631">
      <w:pPr>
        <w:pStyle w:val="FootnoteText"/>
      </w:pPr>
      <w:r>
        <w:rPr>
          <w:rStyle w:val="FootnoteReference"/>
        </w:rPr>
        <w:footnoteRef/>
      </w:r>
      <w:r>
        <w:t xml:space="preserve"> </w:t>
      </w:r>
      <w:r>
        <w:tab/>
        <w:t>NER, cl. 6.18.5(a).</w:t>
      </w:r>
    </w:p>
  </w:footnote>
  <w:footnote w:id="38">
    <w:p w:rsidR="00DA1631" w:rsidRDefault="00DA1631">
      <w:pPr>
        <w:pStyle w:val="FootnoteText"/>
      </w:pPr>
      <w:r>
        <w:rPr>
          <w:rStyle w:val="FootnoteReference"/>
        </w:rPr>
        <w:footnoteRef/>
      </w:r>
      <w:r>
        <w:t xml:space="preserve"> </w:t>
      </w:r>
      <w:r>
        <w:tab/>
      </w:r>
      <w:r w:rsidRPr="0014442D">
        <w:t xml:space="preserve">AER, </w:t>
      </w:r>
      <w:r w:rsidRPr="002C4BF3">
        <w:rPr>
          <w:rStyle w:val="AERtextitalic"/>
        </w:rPr>
        <w:t>Draft decision, TasNetworks distribution determination 2017–18 to 2018–19: Attachment 19–Tariff structure statement</w:t>
      </w:r>
      <w:r w:rsidRPr="0014442D">
        <w:t>, September 2016, p.</w:t>
      </w:r>
      <w:r>
        <w:t xml:space="preserve"> 9; </w:t>
      </w:r>
      <w:r w:rsidRPr="00D02E6B">
        <w:t>NER, cl. 6.12.1(14A).</w:t>
      </w:r>
    </w:p>
  </w:footnote>
  <w:footnote w:id="39">
    <w:p w:rsidR="00DA1631" w:rsidRDefault="00DA1631">
      <w:pPr>
        <w:pStyle w:val="FootnoteText"/>
      </w:pPr>
      <w:r>
        <w:rPr>
          <w:rStyle w:val="FootnoteReference"/>
        </w:rPr>
        <w:footnoteRef/>
      </w:r>
      <w:r>
        <w:t xml:space="preserve"> </w:t>
      </w:r>
      <w:r>
        <w:tab/>
        <w:t>NER, cl.6.18.5(h).</w:t>
      </w:r>
    </w:p>
  </w:footnote>
  <w:footnote w:id="40">
    <w:p w:rsidR="00DA1631" w:rsidRDefault="00DA1631" w:rsidP="008B5605">
      <w:pPr>
        <w:pStyle w:val="FootnoteText"/>
      </w:pPr>
      <w:r>
        <w:rPr>
          <w:rStyle w:val="FootnoteReference"/>
        </w:rPr>
        <w:footnoteRef/>
      </w:r>
      <w:r>
        <w:t xml:space="preserve"> </w:t>
      </w:r>
      <w:r>
        <w:tab/>
        <w:t>NER, cl 6.12.3(k).</w:t>
      </w:r>
    </w:p>
  </w:footnote>
  <w:footnote w:id="41">
    <w:p w:rsidR="00DA1631" w:rsidRDefault="00DA1631" w:rsidP="008B5605">
      <w:pPr>
        <w:pStyle w:val="FootnoteText"/>
      </w:pPr>
      <w:r>
        <w:rPr>
          <w:rStyle w:val="FootnoteReference"/>
        </w:rPr>
        <w:footnoteRef/>
      </w:r>
      <w:r>
        <w:t xml:space="preserve"> </w:t>
      </w:r>
      <w:r>
        <w:tab/>
        <w:t>NER, cl. 6.9.3(a).</w:t>
      </w:r>
    </w:p>
  </w:footnote>
  <w:footnote w:id="42">
    <w:p w:rsidR="00DA1631" w:rsidRDefault="00DA1631" w:rsidP="008B5605">
      <w:pPr>
        <w:pStyle w:val="FootnoteText"/>
      </w:pPr>
      <w:r>
        <w:rPr>
          <w:rStyle w:val="FootnoteReference"/>
        </w:rPr>
        <w:footnoteRef/>
      </w:r>
      <w:r>
        <w:t xml:space="preserve"> </w:t>
      </w:r>
      <w:r>
        <w:tab/>
        <w:t>NER, cl. 6.10.2; cl. 11.76.2(a).</w:t>
      </w:r>
    </w:p>
  </w:footnote>
  <w:footnote w:id="43">
    <w:p w:rsidR="00DA1631" w:rsidRDefault="00DA1631" w:rsidP="008B5605">
      <w:pPr>
        <w:pStyle w:val="FootnoteText"/>
      </w:pPr>
      <w:r>
        <w:rPr>
          <w:rStyle w:val="FootnoteReference"/>
        </w:rPr>
        <w:footnoteRef/>
      </w:r>
      <w:r>
        <w:t xml:space="preserve"> </w:t>
      </w:r>
      <w:r>
        <w:tab/>
        <w:t>NER, cl. 6.10.2(a)(3); cl. 11.76.2.</w:t>
      </w:r>
    </w:p>
  </w:footnote>
  <w:footnote w:id="44">
    <w:p w:rsidR="00DA1631" w:rsidRDefault="00DA1631" w:rsidP="008B5605">
      <w:pPr>
        <w:pStyle w:val="FootnoteText"/>
      </w:pPr>
      <w:r>
        <w:rPr>
          <w:rStyle w:val="FootnoteReference"/>
        </w:rPr>
        <w:footnoteRef/>
      </w:r>
      <w:r>
        <w:t xml:space="preserve"> </w:t>
      </w:r>
      <w:r>
        <w:tab/>
        <w:t>NER, cl. 6.12.3(k).</w:t>
      </w:r>
    </w:p>
  </w:footnote>
  <w:footnote w:id="45">
    <w:p w:rsidR="00DA1631" w:rsidRDefault="00DA1631" w:rsidP="008B5605">
      <w:pPr>
        <w:pStyle w:val="FootnoteText"/>
      </w:pPr>
      <w:r>
        <w:rPr>
          <w:rStyle w:val="FootnoteReference"/>
        </w:rPr>
        <w:footnoteRef/>
      </w:r>
      <w:r>
        <w:t xml:space="preserve"> </w:t>
      </w:r>
      <w:r>
        <w:tab/>
        <w:t>NER, cl. 6.10.3(a).</w:t>
      </w:r>
    </w:p>
  </w:footnote>
  <w:footnote w:id="46">
    <w:p w:rsidR="00DA1631" w:rsidRDefault="00DA1631" w:rsidP="008B5605">
      <w:pPr>
        <w:pStyle w:val="FootnoteText"/>
      </w:pPr>
      <w:r>
        <w:rPr>
          <w:rStyle w:val="FootnoteReference"/>
        </w:rPr>
        <w:footnoteRef/>
      </w:r>
      <w:r>
        <w:t xml:space="preserve"> </w:t>
      </w:r>
      <w:r>
        <w:tab/>
        <w:t>NER, cl. 6.10.3(b).</w:t>
      </w:r>
    </w:p>
  </w:footnote>
  <w:footnote w:id="47">
    <w:p w:rsidR="00DA1631" w:rsidRDefault="00DA1631" w:rsidP="008B5605">
      <w:pPr>
        <w:pStyle w:val="FootnoteText"/>
      </w:pPr>
      <w:r>
        <w:rPr>
          <w:rStyle w:val="FootnoteReference"/>
        </w:rPr>
        <w:footnoteRef/>
      </w:r>
      <w:r>
        <w:t xml:space="preserve"> </w:t>
      </w:r>
      <w:r>
        <w:tab/>
        <w:t>NER, cl. 6.10.3(d)(e).</w:t>
      </w:r>
    </w:p>
  </w:footnote>
  <w:footnote w:id="48">
    <w:p w:rsidR="00DA1631" w:rsidRDefault="00DA1631" w:rsidP="008B5605">
      <w:pPr>
        <w:pStyle w:val="FootnoteText"/>
      </w:pPr>
      <w:r>
        <w:rPr>
          <w:rStyle w:val="FootnoteReference"/>
        </w:rPr>
        <w:footnoteRef/>
      </w:r>
      <w:r>
        <w:t xml:space="preserve"> </w:t>
      </w:r>
      <w:r>
        <w:tab/>
        <w:t xml:space="preserve">Tariff Structure Statements may only be amended during a regulatory control period, with our approval, if </w:t>
      </w:r>
      <w:r w:rsidRPr="00ED41C9">
        <w:t xml:space="preserve">an event </w:t>
      </w:r>
      <w:r>
        <w:t xml:space="preserve">occurs </w:t>
      </w:r>
      <w:r w:rsidRPr="00ED41C9">
        <w:t>that is beyond the distributors' reasonable control and could not reasonably have been foreseeable requires a change</w:t>
      </w:r>
      <w:r>
        <w:t>.</w:t>
      </w:r>
    </w:p>
  </w:footnote>
  <w:footnote w:id="49">
    <w:p w:rsidR="00DA1631" w:rsidRDefault="00DA1631" w:rsidP="008B5605">
      <w:pPr>
        <w:pStyle w:val="FootnoteText"/>
      </w:pPr>
      <w:r>
        <w:rPr>
          <w:rStyle w:val="FootnoteReference"/>
        </w:rPr>
        <w:footnoteRef/>
      </w:r>
      <w:r>
        <w:t xml:space="preserve"> </w:t>
      </w:r>
      <w:r>
        <w:tab/>
        <w:t>NER, cl. 6.18.1A(c).</w:t>
      </w:r>
    </w:p>
  </w:footnote>
  <w:footnote w:id="50">
    <w:p w:rsidR="00DA1631" w:rsidRDefault="00DA1631" w:rsidP="008B5605">
      <w:pPr>
        <w:pStyle w:val="FootnoteText"/>
      </w:pPr>
      <w:r>
        <w:rPr>
          <w:rStyle w:val="FootnoteReference"/>
        </w:rPr>
        <w:footnoteRef/>
      </w:r>
      <w:r>
        <w:t xml:space="preserve"> </w:t>
      </w:r>
      <w:r>
        <w:tab/>
        <w:t>NER, cl. 6.18.1B.</w:t>
      </w:r>
    </w:p>
  </w:footnote>
  <w:footnote w:id="51">
    <w:p w:rsidR="00DA1631" w:rsidRDefault="00DA1631" w:rsidP="008B5605">
      <w:pPr>
        <w:pStyle w:val="FootnoteText"/>
      </w:pPr>
      <w:r>
        <w:rPr>
          <w:rStyle w:val="FootnoteReference"/>
        </w:rPr>
        <w:footnoteRef/>
      </w:r>
      <w:r>
        <w:t xml:space="preserve"> </w:t>
      </w:r>
      <w:r>
        <w:tab/>
        <w:t>NER, cl. 6.18.1B(d).</w:t>
      </w:r>
    </w:p>
  </w:footnote>
  <w:footnote w:id="52">
    <w:p w:rsidR="00DA1631" w:rsidRDefault="00DA1631" w:rsidP="006554DC">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50–51.</w:t>
      </w:r>
    </w:p>
  </w:footnote>
  <w:footnote w:id="53">
    <w:p w:rsidR="00DA1631" w:rsidRDefault="00DA1631">
      <w:pPr>
        <w:pStyle w:val="FootnoteText"/>
      </w:pPr>
      <w:r>
        <w:rPr>
          <w:rStyle w:val="FootnoteReference"/>
        </w:rPr>
        <w:footnoteRef/>
      </w:r>
      <w:r>
        <w:t xml:space="preserve"> </w:t>
      </w:r>
      <w:r>
        <w:tab/>
      </w:r>
      <w:r w:rsidRPr="004C48BD">
        <w:t>NER, cl.6.18.3.</w:t>
      </w:r>
    </w:p>
  </w:footnote>
  <w:footnote w:id="54">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 Amended clean</w:t>
      </w:r>
      <w:r>
        <w:t>, 29 March 2017</w:t>
      </w:r>
      <w:r w:rsidRPr="004C48BD">
        <w:t>,</w:t>
      </w:r>
      <w:r>
        <w:t xml:space="preserve"> Table 18,</w:t>
      </w:r>
      <w:r w:rsidRPr="004C48BD">
        <w:t xml:space="preserve"> p</w:t>
      </w:r>
      <w:r>
        <w:t>p</w:t>
      </w:r>
      <w:r w:rsidRPr="004C48BD">
        <w:t>.</w:t>
      </w:r>
      <w:r>
        <w:t> 91–96</w:t>
      </w:r>
      <w:r w:rsidRPr="004C48BD">
        <w:t>.</w:t>
      </w:r>
    </w:p>
  </w:footnote>
  <w:footnote w:id="55">
    <w:p w:rsidR="00DA1631" w:rsidRDefault="00DA1631" w:rsidP="00B01F5F">
      <w:pPr>
        <w:pStyle w:val="FootnoteText"/>
      </w:pPr>
      <w:r>
        <w:rPr>
          <w:rStyle w:val="FootnoteReference"/>
        </w:rPr>
        <w:footnoteRef/>
      </w:r>
      <w:r>
        <w:t xml:space="preserve"> </w:t>
      </w:r>
      <w:r>
        <w:tab/>
        <w:t>NER, cl. 6.18.5(e)</w:t>
      </w:r>
    </w:p>
  </w:footnote>
  <w:footnote w:id="56">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w:t>
      </w:r>
      <w:r>
        <w:t> 75–78</w:t>
      </w:r>
      <w:r w:rsidRPr="004C48BD">
        <w:t>.</w:t>
      </w:r>
    </w:p>
  </w:footnote>
  <w:footnote w:id="57">
    <w:p w:rsidR="00DA1631" w:rsidRDefault="00DA1631">
      <w:pPr>
        <w:pStyle w:val="FootnoteText"/>
      </w:pPr>
      <w:r>
        <w:rPr>
          <w:rStyle w:val="FootnoteReference"/>
        </w:rPr>
        <w:footnoteRef/>
      </w:r>
      <w:r>
        <w:t xml:space="preserve"> </w:t>
      </w:r>
      <w:r>
        <w:tab/>
        <w:t>NER, cl. 6.18.5(e).</w:t>
      </w:r>
    </w:p>
  </w:footnote>
  <w:footnote w:id="58">
    <w:p w:rsidR="00DA1631" w:rsidRDefault="00DA1631" w:rsidP="00266576">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26–31.</w:t>
      </w:r>
    </w:p>
  </w:footnote>
  <w:footnote w:id="59">
    <w:p w:rsidR="00DA1631" w:rsidRDefault="00DA1631">
      <w:pPr>
        <w:pStyle w:val="FootnoteText"/>
      </w:pPr>
      <w:r>
        <w:rPr>
          <w:rStyle w:val="FootnoteReference"/>
        </w:rPr>
        <w:footnoteRef/>
      </w:r>
      <w:r>
        <w:t xml:space="preserve"> </w:t>
      </w:r>
      <w:r>
        <w:tab/>
        <w:t xml:space="preserve">TasNetworks, </w:t>
      </w:r>
      <w:r w:rsidRPr="001C18CA">
        <w:rPr>
          <w:rStyle w:val="AERtextitalic"/>
        </w:rPr>
        <w:t>Revised tariff structure statement</w:t>
      </w:r>
      <w:r>
        <w:rPr>
          <w:rStyle w:val="AERtextitalic"/>
        </w:rPr>
        <w:t>:</w:t>
      </w:r>
      <w:r w:rsidRPr="001C18CA">
        <w:rPr>
          <w:rStyle w:val="AERtextitalic"/>
        </w:rPr>
        <w:t xml:space="preserve"> Overview</w:t>
      </w:r>
      <w:r>
        <w:t xml:space="preserve">, December 2016, p. 2; </w:t>
      </w:r>
      <w:r w:rsidRPr="004C48BD">
        <w:t xml:space="preserve">TasNetworks, </w:t>
      </w:r>
      <w:r w:rsidRPr="00030AAA">
        <w:rPr>
          <w:rStyle w:val="AERtextitalic"/>
        </w:rPr>
        <w:t>Tariff structure statement: Formal statement</w:t>
      </w:r>
      <w:r>
        <w:t>, December</w:t>
      </w:r>
      <w:r w:rsidRPr="004C48BD">
        <w:t> 2016, p. </w:t>
      </w:r>
      <w:r>
        <w:t>8</w:t>
      </w:r>
      <w:r w:rsidRPr="004C48BD">
        <w:t>.</w:t>
      </w:r>
    </w:p>
  </w:footnote>
  <w:footnote w:id="60">
    <w:p w:rsidR="00DA1631" w:rsidRDefault="00DA1631">
      <w:pPr>
        <w:pStyle w:val="FootnoteText"/>
      </w:pPr>
      <w:r>
        <w:rPr>
          <w:rStyle w:val="FootnoteReference"/>
        </w:rPr>
        <w:footnoteRef/>
      </w:r>
      <w:r>
        <w:t xml:space="preserve"> </w:t>
      </w:r>
      <w:r>
        <w:tab/>
        <w:t>That is, that the level of and changes in demand are the main drivers of network capex expansions.</w:t>
      </w:r>
    </w:p>
  </w:footnote>
  <w:footnote w:id="61">
    <w:p w:rsidR="00DA1631" w:rsidRDefault="00DA1631" w:rsidP="00580C9F">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41</w:t>
      </w:r>
      <w:r w:rsidRPr="004C48BD">
        <w:t>.</w:t>
      </w:r>
    </w:p>
  </w:footnote>
  <w:footnote w:id="62">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6</w:t>
      </w:r>
      <w:r w:rsidRPr="004C48BD">
        <w:t>.</w:t>
      </w:r>
    </w:p>
  </w:footnote>
  <w:footnote w:id="63">
    <w:p w:rsidR="00DA1631" w:rsidRDefault="00DA1631" w:rsidP="00110A79">
      <w:pPr>
        <w:pStyle w:val="FootnoteText"/>
      </w:pPr>
      <w:r>
        <w:rPr>
          <w:rStyle w:val="FootnoteReference"/>
        </w:rPr>
        <w:footnoteRef/>
      </w:r>
      <w:r>
        <w:t xml:space="preserve"> </w:t>
      </w:r>
      <w:r>
        <w:tab/>
        <w:t xml:space="preserve">TasNetworks, </w:t>
      </w:r>
      <w:r w:rsidRPr="001C18CA">
        <w:rPr>
          <w:rStyle w:val="AERtextitalic"/>
        </w:rPr>
        <w:t>Revised tariff structure statement</w:t>
      </w:r>
      <w:r>
        <w:rPr>
          <w:rStyle w:val="AERtextitalic"/>
        </w:rPr>
        <w:t>:</w:t>
      </w:r>
      <w:r w:rsidRPr="001C18CA">
        <w:rPr>
          <w:rStyle w:val="AERtextitalic"/>
        </w:rPr>
        <w:t xml:space="preserve"> Overview</w:t>
      </w:r>
      <w:r>
        <w:t>, December 2016, p. 12;</w:t>
      </w:r>
      <w:r w:rsidRPr="006C4144">
        <w:t xml:space="preserve"> </w:t>
      </w:r>
      <w:r w:rsidRPr="004C48BD">
        <w:t xml:space="preserve">TasNetworks, </w:t>
      </w:r>
      <w:r w:rsidRPr="00030AAA">
        <w:rPr>
          <w:rStyle w:val="AERtextitalic"/>
        </w:rPr>
        <w:t>Tariff structure statement: Formal statement</w:t>
      </w:r>
      <w:r>
        <w:t>, December</w:t>
      </w:r>
      <w:r w:rsidRPr="004C48BD">
        <w:t> 2016, p. </w:t>
      </w:r>
      <w:r>
        <w:t>10</w:t>
      </w:r>
      <w:r w:rsidRPr="004C48BD">
        <w:t>.</w:t>
      </w:r>
    </w:p>
  </w:footnote>
  <w:footnote w:id="64">
    <w:p w:rsidR="00DA1631" w:rsidRDefault="00DA1631" w:rsidP="00844A31">
      <w:pPr>
        <w:pStyle w:val="FootnoteText"/>
      </w:pPr>
      <w:r>
        <w:rPr>
          <w:rStyle w:val="FootnoteReference"/>
        </w:rPr>
        <w:footnoteRef/>
      </w:r>
      <w:r>
        <w:t xml:space="preserve"> </w:t>
      </w:r>
      <w:r>
        <w:tab/>
        <w:t xml:space="preserve">TasNetworks, </w:t>
      </w:r>
      <w:r w:rsidRPr="001A7742">
        <w:rPr>
          <w:rStyle w:val="AERtextitalic"/>
        </w:rPr>
        <w:t>Indicative pricing schedule: Regulatory control period 1 July 2017 to 30 June 2019</w:t>
      </w:r>
      <w:r>
        <w:t>, January 2016, p. 6.</w:t>
      </w:r>
    </w:p>
  </w:footnote>
  <w:footnote w:id="65">
    <w:p w:rsidR="00DA1631" w:rsidRDefault="00DA1631" w:rsidP="00844A31">
      <w:pPr>
        <w:pStyle w:val="FootnoteText"/>
      </w:pPr>
      <w:r>
        <w:rPr>
          <w:rStyle w:val="FootnoteReference"/>
        </w:rPr>
        <w:footnoteRef/>
      </w:r>
      <w:r>
        <w:t xml:space="preserve"> </w:t>
      </w:r>
      <w:r>
        <w:tab/>
      </w:r>
      <w:r w:rsidRPr="00796AAF">
        <w:t>TasNetworks</w:t>
      </w:r>
      <w:r w:rsidRPr="00796AAF">
        <w:rPr>
          <w:rStyle w:val="AERtextitalic"/>
        </w:rPr>
        <w:t xml:space="preserve">, </w:t>
      </w:r>
      <w:r>
        <w:rPr>
          <w:rStyle w:val="AERtextitalic"/>
        </w:rPr>
        <w:t>Network and tariff application and price guide 2017–18 and 2018–19</w:t>
      </w:r>
      <w:r>
        <w:t xml:space="preserve">, March </w:t>
      </w:r>
      <w:r w:rsidRPr="00796AAF">
        <w:t>201</w:t>
      </w:r>
      <w:r>
        <w:t>7</w:t>
      </w:r>
      <w:r w:rsidRPr="00796AAF">
        <w:t xml:space="preserve">, p. </w:t>
      </w:r>
      <w:r>
        <w:t>21.</w:t>
      </w:r>
    </w:p>
  </w:footnote>
  <w:footnote w:id="66">
    <w:p w:rsidR="00DA1631" w:rsidRDefault="00DA1631" w:rsidP="00C43B2B">
      <w:pPr>
        <w:pStyle w:val="FootnoteText"/>
      </w:pPr>
      <w:r>
        <w:rPr>
          <w:rStyle w:val="FootnoteReference"/>
        </w:rPr>
        <w:footnoteRef/>
      </w:r>
      <w:r>
        <w:t xml:space="preserve"> </w:t>
      </w:r>
      <w:r>
        <w:tab/>
        <w:t xml:space="preserve">TasNetworks, </w:t>
      </w:r>
      <w:r w:rsidRPr="001C18CA">
        <w:rPr>
          <w:rStyle w:val="AERtextitalic"/>
        </w:rPr>
        <w:t>Revised tariff structure statement</w:t>
      </w:r>
      <w:r>
        <w:rPr>
          <w:rStyle w:val="AERtextitalic"/>
        </w:rPr>
        <w:t>:</w:t>
      </w:r>
      <w:r w:rsidRPr="001C18CA">
        <w:rPr>
          <w:rStyle w:val="AERtextitalic"/>
        </w:rPr>
        <w:t xml:space="preserve"> Overview</w:t>
      </w:r>
      <w:r>
        <w:t xml:space="preserve">, December 2016, p. 2; </w:t>
      </w:r>
      <w:r w:rsidRPr="004C48BD">
        <w:t xml:space="preserve">TasNetworks, </w:t>
      </w:r>
      <w:r w:rsidRPr="00030AAA">
        <w:rPr>
          <w:rStyle w:val="AERtextitalic"/>
        </w:rPr>
        <w:t>Tariff structure statement: Formal statement</w:t>
      </w:r>
      <w:r>
        <w:t>, December</w:t>
      </w:r>
      <w:r w:rsidRPr="004C48BD">
        <w:t> 2016, p. </w:t>
      </w:r>
      <w:r>
        <w:t>8</w:t>
      </w:r>
      <w:r w:rsidRPr="004C48BD">
        <w:t>.</w:t>
      </w:r>
    </w:p>
  </w:footnote>
  <w:footnote w:id="67">
    <w:p w:rsidR="00DA1631" w:rsidRDefault="00DA1631" w:rsidP="00C43B2B">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41</w:t>
      </w:r>
      <w:r w:rsidRPr="004C48BD">
        <w:t>.</w:t>
      </w:r>
    </w:p>
  </w:footnote>
  <w:footnote w:id="68">
    <w:p w:rsidR="00DA1631" w:rsidRDefault="00DA1631" w:rsidP="00C43B2B">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6</w:t>
      </w:r>
      <w:r w:rsidRPr="004C48BD">
        <w:t>.</w:t>
      </w:r>
    </w:p>
  </w:footnote>
  <w:footnote w:id="69">
    <w:p w:rsidR="00DA1631" w:rsidRDefault="00DA1631" w:rsidP="00364006">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48</w:t>
      </w:r>
      <w:r w:rsidRPr="004C48BD">
        <w:t>.</w:t>
      </w:r>
    </w:p>
  </w:footnote>
  <w:footnote w:id="70">
    <w:p w:rsidR="00DA1631" w:rsidRDefault="00DA1631" w:rsidP="001A0BA6">
      <w:pPr>
        <w:pStyle w:val="FootnoteText"/>
      </w:pPr>
      <w:r>
        <w:rPr>
          <w:rStyle w:val="FootnoteReference"/>
        </w:rPr>
        <w:footnoteRef/>
      </w:r>
      <w:r>
        <w:t xml:space="preserve"> </w:t>
      </w:r>
      <w:r>
        <w:tab/>
        <w:t>NER, cl. 6.18.5(f)(3).</w:t>
      </w:r>
    </w:p>
  </w:footnote>
  <w:footnote w:id="71">
    <w:p w:rsidR="00DA1631" w:rsidRDefault="00DA1631" w:rsidP="001A0BA6">
      <w:pPr>
        <w:pStyle w:val="FootnoteText"/>
      </w:pPr>
      <w:r>
        <w:rPr>
          <w:rStyle w:val="FootnoteReference"/>
        </w:rPr>
        <w:footnoteRef/>
      </w:r>
      <w:r>
        <w:t xml:space="preserve"> </w:t>
      </w:r>
      <w:r>
        <w:tab/>
        <w:t>NER, cl. 6.18.5(j) and cl. 9.48.4B.</w:t>
      </w:r>
    </w:p>
  </w:footnote>
  <w:footnote w:id="72">
    <w:p w:rsidR="00DA1631" w:rsidRDefault="00DA1631">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48</w:t>
      </w:r>
      <w:r w:rsidRPr="004C48BD">
        <w:t>.</w:t>
      </w:r>
    </w:p>
  </w:footnote>
  <w:footnote w:id="73">
    <w:p w:rsidR="00DA1631" w:rsidRDefault="00DA1631" w:rsidP="00520280">
      <w:pPr>
        <w:pStyle w:val="FootnoteText"/>
      </w:pPr>
      <w:r>
        <w:rPr>
          <w:rStyle w:val="FootnoteReference"/>
        </w:rPr>
        <w:footnoteRef/>
      </w:r>
      <w:r>
        <w:t xml:space="preserve"> </w:t>
      </w:r>
      <w:r>
        <w:tab/>
        <w:t>NER, cl. 6.18.5(i).</w:t>
      </w:r>
    </w:p>
  </w:footnote>
  <w:footnote w:id="74">
    <w:p w:rsidR="00DA1631" w:rsidRDefault="00DA1631" w:rsidP="004C0CE7">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29–30.</w:t>
      </w:r>
    </w:p>
  </w:footnote>
  <w:footnote w:id="75">
    <w:p w:rsidR="00DA1631" w:rsidRDefault="00DA1631" w:rsidP="004C0CE7">
      <w:pPr>
        <w:pStyle w:val="FootnoteText"/>
      </w:pPr>
      <w:r>
        <w:rPr>
          <w:rStyle w:val="FootnoteReference"/>
        </w:rPr>
        <w:footnoteRef/>
      </w:r>
      <w:r>
        <w:t xml:space="preserve"> </w:t>
      </w:r>
      <w:r>
        <w:tab/>
      </w:r>
      <w:r w:rsidRPr="00FE335A">
        <w:t xml:space="preserve">CCP4 - David Headberry, </w:t>
      </w:r>
      <w:r w:rsidRPr="007730E7">
        <w:rPr>
          <w:rStyle w:val="AERtextitalic"/>
        </w:rPr>
        <w:t>Submission on TasNetworks' revised proposal</w:t>
      </w:r>
      <w:r>
        <w:t xml:space="preserve">, 21 December 2016, p. 40; Nekon Pty Ltd, </w:t>
      </w:r>
      <w:r w:rsidRPr="00AD1BD6">
        <w:rPr>
          <w:rStyle w:val="AERtextitalic"/>
        </w:rPr>
        <w:t>Submission on TasNetworks' draft decision and tariff structure statement</w:t>
      </w:r>
      <w:r>
        <w:t>, November 2016, p. 7.</w:t>
      </w:r>
    </w:p>
  </w:footnote>
  <w:footnote w:id="76">
    <w:p w:rsidR="00DA1631" w:rsidRDefault="00DA1631" w:rsidP="004C0CE7">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 7.</w:t>
      </w:r>
    </w:p>
  </w:footnote>
  <w:footnote w:id="77">
    <w:p w:rsidR="00DA1631" w:rsidRDefault="00DA1631" w:rsidP="00A51562">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11</w:t>
      </w:r>
      <w:r w:rsidRPr="004C48BD">
        <w:t>.</w:t>
      </w:r>
    </w:p>
  </w:footnote>
  <w:footnote w:id="78">
    <w:p w:rsidR="00DA1631" w:rsidRDefault="00DA1631" w:rsidP="00A51562">
      <w:pPr>
        <w:pStyle w:val="FootnoteText"/>
      </w:pPr>
      <w:r>
        <w:rPr>
          <w:rStyle w:val="FootnoteReference"/>
        </w:rPr>
        <w:footnoteRef/>
      </w:r>
      <w:r>
        <w:t xml:space="preserve"> </w:t>
      </w:r>
      <w:r>
        <w:tab/>
        <w:t xml:space="preserve">TasNetworks, </w:t>
      </w:r>
      <w:r w:rsidRPr="00A932C0">
        <w:rPr>
          <w:rStyle w:val="AERtextitalic"/>
        </w:rPr>
        <w:t>Response to the AER's Issues Paper: Tariff structure statement proposals — TasNetworks</w:t>
      </w:r>
      <w:r>
        <w:t>, April 2016, p. 23.</w:t>
      </w:r>
    </w:p>
  </w:footnote>
  <w:footnote w:id="79">
    <w:p w:rsidR="00DA1631" w:rsidRDefault="00DA1631" w:rsidP="00A51562">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30–31.</w:t>
      </w:r>
    </w:p>
  </w:footnote>
  <w:footnote w:id="80">
    <w:p w:rsidR="00DA1631" w:rsidRDefault="00DA1631" w:rsidP="00D3691A">
      <w:pPr>
        <w:pStyle w:val="FootnoteText"/>
      </w:pPr>
      <w:r>
        <w:rPr>
          <w:rStyle w:val="FootnoteReference"/>
        </w:rPr>
        <w:footnoteRef/>
      </w:r>
      <w:r>
        <w:t xml:space="preserve"> </w:t>
      </w:r>
      <w:r>
        <w:tab/>
        <w:t xml:space="preserve">TasCOSS, </w:t>
      </w:r>
      <w:r w:rsidRPr="00887F21">
        <w:rPr>
          <w:rStyle w:val="AERtextitalic"/>
        </w:rPr>
        <w:t>Submission on AER Issues Paper: Tariff Structure Statement proposals (TasNetworks)</w:t>
      </w:r>
      <w:r>
        <w:t xml:space="preserve">, 29 April 2016, pp. 2–3; Tasmanian Renewable Energy Alliance, </w:t>
      </w:r>
      <w:r w:rsidRPr="00E42901">
        <w:rPr>
          <w:rStyle w:val="AERtextitalic"/>
        </w:rPr>
        <w:t>TREA response to AER March 2016 issues paper: TasNetworks tariff structure statement proposals</w:t>
      </w:r>
      <w:r>
        <w:t xml:space="preserve">, 5 May 2016, pp. 3–4; TREA, </w:t>
      </w:r>
      <w:r w:rsidRPr="00026619">
        <w:rPr>
          <w:rStyle w:val="AERtextitalic"/>
        </w:rPr>
        <w:t>Submission on TasNetworks' draft decision and tariff structure statement</w:t>
      </w:r>
      <w:r>
        <w:t xml:space="preserve">, December 2016, p. 2; ATA, </w:t>
      </w:r>
      <w:r w:rsidRPr="00752E05">
        <w:rPr>
          <w:rStyle w:val="AERtextitalic"/>
        </w:rPr>
        <w:t>Submission to draft decision: TasNetworks tariff structure statement</w:t>
      </w:r>
      <w:r>
        <w:t>, December 2016, p. 2.</w:t>
      </w:r>
    </w:p>
  </w:footnote>
  <w:footnote w:id="81">
    <w:p w:rsidR="00DA1631" w:rsidRDefault="00DA1631" w:rsidP="002F5AC8">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10</w:t>
      </w:r>
      <w:r w:rsidRPr="004C48BD">
        <w:t>.</w:t>
      </w:r>
    </w:p>
  </w:footnote>
  <w:footnote w:id="82">
    <w:p w:rsidR="00DA1631" w:rsidRDefault="00DA1631" w:rsidP="00AD2BC2">
      <w:pPr>
        <w:pStyle w:val="FootnoteText"/>
      </w:pPr>
      <w:r>
        <w:rPr>
          <w:rStyle w:val="FootnoteReference"/>
        </w:rPr>
        <w:footnoteRef/>
      </w:r>
      <w:r>
        <w:t xml:space="preserve"> </w:t>
      </w:r>
      <w:r>
        <w:tab/>
        <w:t xml:space="preserve">TSBC, </w:t>
      </w:r>
      <w:r w:rsidRPr="002435D8">
        <w:rPr>
          <w:rStyle w:val="AERtextitalic"/>
        </w:rPr>
        <w:t>Submission on TasNetworks' draft decision and tariff structure statement,</w:t>
      </w:r>
      <w:r>
        <w:t xml:space="preserve"> November 2016, p. 17; CCP 4 - Joe De Silva, </w:t>
      </w:r>
      <w:r w:rsidRPr="007C720D">
        <w:rPr>
          <w:rStyle w:val="AERtextitalic"/>
        </w:rPr>
        <w:t>Submission on TasNetworks' draft decision and tariff structure statement</w:t>
      </w:r>
      <w:r>
        <w:t>, November 2016, p. 12.</w:t>
      </w:r>
    </w:p>
  </w:footnote>
  <w:footnote w:id="83">
    <w:p w:rsidR="00DA1631" w:rsidRDefault="00DA1631" w:rsidP="00AD2BC2">
      <w:pPr>
        <w:pStyle w:val="FootnoteText"/>
      </w:pPr>
      <w:r>
        <w:rPr>
          <w:rStyle w:val="FootnoteReference"/>
        </w:rPr>
        <w:footnoteRef/>
      </w:r>
      <w:r>
        <w:t xml:space="preserve"> </w:t>
      </w:r>
      <w:r>
        <w:tab/>
        <w:t xml:space="preserve">TSBC, </w:t>
      </w:r>
      <w:r w:rsidRPr="002435D8">
        <w:rPr>
          <w:rStyle w:val="AERtextitalic"/>
        </w:rPr>
        <w:t>Submission on TasNetworks' draft decision and tariff structure statement,</w:t>
      </w:r>
      <w:r>
        <w:t xml:space="preserve"> November 2016, p. 17.</w:t>
      </w:r>
    </w:p>
  </w:footnote>
  <w:footnote w:id="84">
    <w:p w:rsidR="00DA1631" w:rsidRDefault="00DA1631" w:rsidP="002F5AC8">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w:t>
      </w:r>
    </w:p>
  </w:footnote>
  <w:footnote w:id="85">
    <w:p w:rsidR="00DA1631" w:rsidRDefault="00DA1631" w:rsidP="00BD38F9">
      <w:pPr>
        <w:pStyle w:val="FootnoteText"/>
      </w:pPr>
      <w:r>
        <w:rPr>
          <w:rStyle w:val="FootnoteReference"/>
        </w:rPr>
        <w:footnoteRef/>
      </w:r>
      <w:r>
        <w:t xml:space="preserve"> </w:t>
      </w:r>
      <w:r>
        <w:tab/>
        <w:t xml:space="preserve">John Herbst, </w:t>
      </w:r>
      <w:r w:rsidRPr="00226568">
        <w:rPr>
          <w:rStyle w:val="AERtextitalic"/>
        </w:rPr>
        <w:t>Submission on TasNetworks'</w:t>
      </w:r>
      <w:r>
        <w:rPr>
          <w:rStyle w:val="AERtextitalic"/>
        </w:rPr>
        <w:t xml:space="preserve"> tariff structure statement</w:t>
      </w:r>
      <w:r>
        <w:t>, 23 December 2016, p. 2.</w:t>
      </w:r>
    </w:p>
  </w:footnote>
  <w:footnote w:id="86">
    <w:p w:rsidR="00DA1631" w:rsidRDefault="00DA1631" w:rsidP="00A51562">
      <w:pPr>
        <w:pStyle w:val="FootnoteText"/>
      </w:pPr>
      <w:r>
        <w:rPr>
          <w:rStyle w:val="FootnoteReference"/>
        </w:rPr>
        <w:footnoteRef/>
      </w:r>
      <w:r>
        <w:t xml:space="preserve"> </w:t>
      </w:r>
      <w:r>
        <w:tab/>
        <w:t xml:space="preserve">Maisch, D., </w:t>
      </w:r>
      <w:r w:rsidRPr="00914CEB">
        <w:rPr>
          <w:rStyle w:val="AERtextitalic"/>
        </w:rPr>
        <w:t>Submission on TasNetworks' revised proposal</w:t>
      </w:r>
      <w:r>
        <w:t xml:space="preserve">, 21 December 2016, pp. 1–3; Nekon Pty Ltd, </w:t>
      </w:r>
      <w:r w:rsidRPr="00AD1BD6">
        <w:rPr>
          <w:rStyle w:val="AERtextitalic"/>
        </w:rPr>
        <w:t>Submission on TasNetworks' draft decision and tariff structure statement</w:t>
      </w:r>
      <w:r>
        <w:t>, November 2016, p. 8.</w:t>
      </w:r>
    </w:p>
  </w:footnote>
  <w:footnote w:id="87">
    <w:p w:rsidR="00DA1631" w:rsidRDefault="00DA1631">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60–61.</w:t>
      </w:r>
    </w:p>
  </w:footnote>
  <w:footnote w:id="88">
    <w:p w:rsidR="00DA1631" w:rsidRDefault="00DA1631" w:rsidP="00DB064E">
      <w:pPr>
        <w:pStyle w:val="FootnoteText"/>
      </w:pPr>
      <w:r>
        <w:rPr>
          <w:rStyle w:val="FootnoteReference"/>
        </w:rPr>
        <w:footnoteRef/>
      </w:r>
      <w:r>
        <w:t xml:space="preserve"> </w:t>
      </w:r>
      <w:r>
        <w:tab/>
      </w:r>
      <w:r w:rsidRPr="00316D18">
        <w:t>AEMC</w:t>
      </w:r>
      <w:r w:rsidRPr="00316D18">
        <w:rPr>
          <w:rStyle w:val="AERtextitalic"/>
        </w:rPr>
        <w:t>, Final rule determination: Expanding competition in metering and related services</w:t>
      </w:r>
      <w:r w:rsidRPr="00316D18">
        <w:t xml:space="preserve">, 26 </w:t>
      </w:r>
      <w:r>
        <w:t xml:space="preserve">November 2015, </w:t>
      </w:r>
      <w:r>
        <w:tab/>
        <w:t>p. i.</w:t>
      </w:r>
    </w:p>
  </w:footnote>
  <w:footnote w:id="89">
    <w:p w:rsidR="00DA1631" w:rsidRDefault="00DA1631" w:rsidP="00A51562">
      <w:pPr>
        <w:pStyle w:val="FootnoteText"/>
      </w:pPr>
      <w:r>
        <w:rPr>
          <w:rStyle w:val="FootnoteReference"/>
        </w:rPr>
        <w:footnoteRef/>
      </w:r>
      <w:r>
        <w:t xml:space="preserve"> </w:t>
      </w:r>
      <w:r>
        <w:tab/>
        <w:t xml:space="preserve">Maisch, D., </w:t>
      </w:r>
      <w:r w:rsidRPr="00914CEB">
        <w:rPr>
          <w:rStyle w:val="AERtextitalic"/>
        </w:rPr>
        <w:t>Submission on TasNetworks' revised proposal</w:t>
      </w:r>
      <w:r>
        <w:t>, 21 December 2016, pp. 3–8.</w:t>
      </w:r>
    </w:p>
  </w:footnote>
  <w:footnote w:id="90">
    <w:p w:rsidR="00DA1631" w:rsidRDefault="00DA1631">
      <w:pPr>
        <w:pStyle w:val="FootnoteText"/>
      </w:pPr>
      <w:r>
        <w:rPr>
          <w:rStyle w:val="FootnoteReference"/>
        </w:rPr>
        <w:footnoteRef/>
      </w:r>
      <w:r>
        <w:t xml:space="preserve"> </w:t>
      </w:r>
      <w:r>
        <w:tab/>
        <w:t xml:space="preserve">Victorian Department of Economic Development, Jobs, Transport and Resources, </w:t>
      </w:r>
      <w:r w:rsidRPr="003F58B7">
        <w:rPr>
          <w:rStyle w:val="AERtextitalic"/>
        </w:rPr>
        <w:t xml:space="preserve">Smart Meters and your health fact </w:t>
      </w:r>
      <w:r>
        <w:rPr>
          <w:rStyle w:val="AERtextitalic"/>
        </w:rPr>
        <w:t>s</w:t>
      </w:r>
      <w:r w:rsidRPr="003F58B7">
        <w:rPr>
          <w:rStyle w:val="AERtextitalic"/>
        </w:rPr>
        <w:t>heet</w:t>
      </w:r>
      <w:r>
        <w:t xml:space="preserve">, p 1, see </w:t>
      </w:r>
      <w:hyperlink r:id="rId1" w:history="1">
        <w:r w:rsidRPr="00E531DA">
          <w:rPr>
            <w:rStyle w:val="Hyperlink"/>
            <w:sz w:val="16"/>
          </w:rPr>
          <w:t>http://www.smartmeters.vic.gov.au/safety/health</w:t>
        </w:r>
      </w:hyperlink>
    </w:p>
  </w:footnote>
  <w:footnote w:id="91">
    <w:p w:rsidR="00DA1631" w:rsidRDefault="00DA1631" w:rsidP="00251A60">
      <w:pPr>
        <w:pStyle w:val="FootnoteText"/>
      </w:pPr>
      <w:r>
        <w:rPr>
          <w:rStyle w:val="FootnoteReference"/>
        </w:rPr>
        <w:footnoteRef/>
      </w:r>
      <w:r>
        <w:t xml:space="preserve"> </w:t>
      </w:r>
      <w:r>
        <w:tab/>
      </w:r>
      <w:r w:rsidRPr="00251A60">
        <w:t xml:space="preserve">Victorian Department of Economic Development, Jobs, Transport and Resources, </w:t>
      </w:r>
      <w:r w:rsidRPr="00251A60">
        <w:rPr>
          <w:rStyle w:val="AERtextitalic"/>
        </w:rPr>
        <w:t>Smart Meters and your health fact sheet</w:t>
      </w:r>
      <w:r>
        <w:t xml:space="preserve">, p.p. 2-3, see </w:t>
      </w:r>
      <w:hyperlink r:id="rId2" w:history="1">
        <w:r w:rsidRPr="00E531DA">
          <w:rPr>
            <w:rStyle w:val="Hyperlink"/>
            <w:sz w:val="16"/>
          </w:rPr>
          <w:t>http://www.smartmeters.vic.gov.au/safety/healthf</w:t>
        </w:r>
      </w:hyperlink>
    </w:p>
  </w:footnote>
  <w:footnote w:id="92">
    <w:p w:rsidR="00DA1631" w:rsidRDefault="00DA1631">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51–52.</w:t>
      </w:r>
    </w:p>
  </w:footnote>
  <w:footnote w:id="93">
    <w:p w:rsidR="00DA1631" w:rsidRDefault="00DA1631">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47</w:t>
      </w:r>
      <w:r w:rsidRPr="004C48BD">
        <w:t>.</w:t>
      </w:r>
    </w:p>
  </w:footnote>
  <w:footnote w:id="94">
    <w:p w:rsidR="00DA1631" w:rsidRDefault="00DA1631" w:rsidP="00167BCD">
      <w:pPr>
        <w:pStyle w:val="FootnoteText"/>
      </w:pPr>
      <w:r>
        <w:rPr>
          <w:rStyle w:val="FootnoteReference"/>
        </w:rPr>
        <w:footnoteRef/>
      </w:r>
      <w:r>
        <w:t xml:space="preserve"> </w:t>
      </w:r>
      <w:r>
        <w:tab/>
        <w:t xml:space="preserve">CCP 4 - Joe De Silva, </w:t>
      </w:r>
      <w:r w:rsidRPr="007C720D">
        <w:rPr>
          <w:rStyle w:val="AERtextitalic"/>
        </w:rPr>
        <w:t>Submission on TasNetworks' draft decision and tariff structure statement</w:t>
      </w:r>
      <w:r>
        <w:t xml:space="preserve">, November 2016, p. 12; TSBC, </w:t>
      </w:r>
      <w:r w:rsidRPr="002435D8">
        <w:rPr>
          <w:rStyle w:val="AERtextitalic"/>
        </w:rPr>
        <w:t>Submission on TasNetworks' draft decision and tariff structure statement,</w:t>
      </w:r>
      <w:r>
        <w:t xml:space="preserve"> November 2016, pp. 16</w:t>
      </w:r>
      <w:r>
        <w:noBreakHyphen/>
        <w:t xml:space="preserve">17; TREA, </w:t>
      </w:r>
      <w:r w:rsidRPr="00026619">
        <w:rPr>
          <w:rStyle w:val="AERtextitalic"/>
        </w:rPr>
        <w:t>Submission on TasNetworks' draft decision and tariff structure statement</w:t>
      </w:r>
      <w:r>
        <w:t>, December 2016, p. 2.</w:t>
      </w:r>
    </w:p>
  </w:footnote>
  <w:footnote w:id="95">
    <w:p w:rsidR="00DA1631" w:rsidRDefault="00DA1631" w:rsidP="00167BCD">
      <w:pPr>
        <w:pStyle w:val="FootnoteText"/>
      </w:pPr>
      <w:r>
        <w:rPr>
          <w:rStyle w:val="FootnoteReference"/>
        </w:rPr>
        <w:footnoteRef/>
      </w:r>
      <w:r>
        <w:t xml:space="preserve"> </w:t>
      </w:r>
      <w:r>
        <w:tab/>
        <w:t xml:space="preserve">TSBC, </w:t>
      </w:r>
      <w:r w:rsidRPr="002435D8">
        <w:rPr>
          <w:rStyle w:val="AERtextitalic"/>
        </w:rPr>
        <w:t>Submission on TasNetworks' draft decision and tariff structure statement,</w:t>
      </w:r>
      <w:r>
        <w:t xml:space="preserve"> November 2016, p. 17.</w:t>
      </w:r>
    </w:p>
  </w:footnote>
  <w:footnote w:id="96">
    <w:p w:rsidR="00DA1631" w:rsidRDefault="00DA1631" w:rsidP="00167BCD">
      <w:pPr>
        <w:pStyle w:val="FootnoteText"/>
      </w:pPr>
      <w:r>
        <w:rPr>
          <w:rStyle w:val="FootnoteReference"/>
        </w:rPr>
        <w:footnoteRef/>
      </w:r>
      <w:r>
        <w:t xml:space="preserve"> </w:t>
      </w:r>
      <w:r>
        <w:tab/>
        <w:t xml:space="preserve">TREA, </w:t>
      </w:r>
      <w:r w:rsidRPr="00026619">
        <w:rPr>
          <w:rStyle w:val="AERtextitalic"/>
        </w:rPr>
        <w:t>Submission on TasNetworks' draft decision and tariff structure statement</w:t>
      </w:r>
      <w:r>
        <w:t>, December 2016, p. 2.</w:t>
      </w:r>
    </w:p>
  </w:footnote>
  <w:footnote w:id="97">
    <w:p w:rsidR="00DA1631" w:rsidRDefault="00DA1631" w:rsidP="00167BCD">
      <w:pPr>
        <w:pStyle w:val="FootnoteText"/>
      </w:pPr>
      <w:r>
        <w:rPr>
          <w:rStyle w:val="FootnoteReference"/>
        </w:rPr>
        <w:footnoteRef/>
      </w:r>
      <w:r>
        <w:t xml:space="preserve"> </w:t>
      </w:r>
      <w:r>
        <w:tab/>
        <w:t xml:space="preserve">CCP4 - David Headberry, </w:t>
      </w:r>
      <w:r w:rsidRPr="007B697B">
        <w:rPr>
          <w:rStyle w:val="AERtextitalic"/>
        </w:rPr>
        <w:t>Submission on TasNetworks' revised proposal</w:t>
      </w:r>
      <w:r>
        <w:t xml:space="preserve">, 21 December 2016, p. 40. </w:t>
      </w:r>
    </w:p>
  </w:footnote>
  <w:footnote w:id="98">
    <w:p w:rsidR="00DA1631" w:rsidRDefault="00DA1631" w:rsidP="00167BCD">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pp. 6–7.</w:t>
      </w:r>
    </w:p>
  </w:footnote>
  <w:footnote w:id="99">
    <w:p w:rsidR="00DA1631" w:rsidRDefault="00DA1631" w:rsidP="00226568">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51–52.</w:t>
      </w:r>
    </w:p>
  </w:footnote>
  <w:footnote w:id="100">
    <w:p w:rsidR="00DA1631" w:rsidRDefault="00DA1631" w:rsidP="00A525BA">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 8.</w:t>
      </w:r>
    </w:p>
  </w:footnote>
  <w:footnote w:id="101">
    <w:p w:rsidR="00DA1631" w:rsidRDefault="00DA1631" w:rsidP="00A525BA">
      <w:pPr>
        <w:pStyle w:val="FootnoteText"/>
      </w:pPr>
      <w:r>
        <w:rPr>
          <w:rStyle w:val="FootnoteReference"/>
        </w:rPr>
        <w:footnoteRef/>
      </w:r>
      <w:r>
        <w:t xml:space="preserve"> </w:t>
      </w:r>
      <w:r>
        <w:tab/>
        <w:t xml:space="preserve">Powe, M., </w:t>
      </w:r>
      <w:r w:rsidRPr="00226568">
        <w:rPr>
          <w:rStyle w:val="AERtextitalic"/>
        </w:rPr>
        <w:t>Submission on TasNetworks' revised proposal</w:t>
      </w:r>
      <w:r>
        <w:t>, 22 December 2016.</w:t>
      </w:r>
    </w:p>
  </w:footnote>
  <w:footnote w:id="102">
    <w:p w:rsidR="00DA1631" w:rsidRDefault="00DA1631" w:rsidP="00A9719F">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10</w:t>
      </w:r>
      <w:r w:rsidRPr="004C48BD">
        <w:t>.</w:t>
      </w:r>
    </w:p>
  </w:footnote>
  <w:footnote w:id="103">
    <w:p w:rsidR="00DA1631" w:rsidRDefault="00DA1631">
      <w:pPr>
        <w:pStyle w:val="FootnoteText"/>
      </w:pPr>
      <w:r>
        <w:rPr>
          <w:rStyle w:val="FootnoteReference"/>
        </w:rPr>
        <w:footnoteRef/>
      </w:r>
      <w:r>
        <w:t xml:space="preserve"> </w:t>
      </w:r>
      <w:r>
        <w:tab/>
        <w:t xml:space="preserve">TREA, </w:t>
      </w:r>
      <w:r w:rsidRPr="00026619">
        <w:rPr>
          <w:rStyle w:val="AERtextitalic"/>
        </w:rPr>
        <w:t>Submission on TasNetworks' draft decision and tariff structure statement</w:t>
      </w:r>
      <w:r>
        <w:t>, December 2016, p. 2.</w:t>
      </w:r>
    </w:p>
  </w:footnote>
  <w:footnote w:id="104">
    <w:p w:rsidR="00DA1631" w:rsidRDefault="00DA1631">
      <w:pPr>
        <w:pStyle w:val="FootnoteText"/>
      </w:pPr>
      <w:r>
        <w:rPr>
          <w:rStyle w:val="FootnoteReference"/>
        </w:rPr>
        <w:footnoteRef/>
      </w:r>
      <w:r>
        <w:t xml:space="preserve"> </w:t>
      </w:r>
      <w:r>
        <w:tab/>
        <w:t xml:space="preserve">TREA, </w:t>
      </w:r>
      <w:r w:rsidRPr="00026619">
        <w:rPr>
          <w:rStyle w:val="AERtextitalic"/>
        </w:rPr>
        <w:t>Submission on TasNetworks' draft decision and tariff structure statement</w:t>
      </w:r>
      <w:r>
        <w:t>, December 2016, p. 2.</w:t>
      </w:r>
    </w:p>
  </w:footnote>
  <w:footnote w:id="105">
    <w:p w:rsidR="00DA1631" w:rsidRDefault="00DA1631" w:rsidP="00037F5A">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pp. 6–7.</w:t>
      </w:r>
    </w:p>
  </w:footnote>
  <w:footnote w:id="106">
    <w:p w:rsidR="00DA1631" w:rsidRDefault="00DA1631" w:rsidP="00903F4C">
      <w:pPr>
        <w:pStyle w:val="FootnoteText"/>
      </w:pPr>
      <w:r>
        <w:rPr>
          <w:rStyle w:val="FootnoteReference"/>
        </w:rPr>
        <w:footnoteRef/>
      </w:r>
      <w:r>
        <w:t xml:space="preserve"> </w:t>
      </w:r>
      <w:r>
        <w:tab/>
        <w:t xml:space="preserve">Powe, M., </w:t>
      </w:r>
      <w:r w:rsidRPr="00226568">
        <w:rPr>
          <w:rStyle w:val="AERtextitalic"/>
        </w:rPr>
        <w:t>Submission on TasNetworks' revised proposal</w:t>
      </w:r>
      <w:r>
        <w:t>, 22 December 2016.</w:t>
      </w:r>
    </w:p>
  </w:footnote>
  <w:footnote w:id="107">
    <w:p w:rsidR="00DA1631" w:rsidRDefault="00DA1631" w:rsidP="00702845">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 6.</w:t>
      </w:r>
    </w:p>
  </w:footnote>
  <w:footnote w:id="108">
    <w:p w:rsidR="00DA1631" w:rsidRDefault="00DA1631" w:rsidP="00A3503D">
      <w:pPr>
        <w:pStyle w:val="FootnoteText"/>
      </w:pPr>
      <w:r>
        <w:rPr>
          <w:rStyle w:val="FootnoteReference"/>
        </w:rPr>
        <w:footnoteRef/>
      </w:r>
      <w:r>
        <w:t xml:space="preserve"> </w:t>
      </w:r>
      <w:r>
        <w:tab/>
      </w:r>
      <w:r w:rsidRPr="00606AFE">
        <w:t>NER, cl. 6.18.6(c).</w:t>
      </w:r>
    </w:p>
  </w:footnote>
  <w:footnote w:id="109">
    <w:p w:rsidR="00DA1631" w:rsidRDefault="00DA1631">
      <w:pPr>
        <w:pStyle w:val="FootnoteText"/>
      </w:pPr>
      <w:r>
        <w:rPr>
          <w:rStyle w:val="FootnoteReference"/>
        </w:rPr>
        <w:footnoteRef/>
      </w:r>
      <w:r>
        <w:t xml:space="preserve"> </w:t>
      </w:r>
      <w:r>
        <w:tab/>
        <w:t>NER, cl. 6.18.1A(e).</w:t>
      </w:r>
    </w:p>
  </w:footnote>
  <w:footnote w:id="110">
    <w:p w:rsidR="00DA1631" w:rsidRDefault="00DA1631">
      <w:pPr>
        <w:pStyle w:val="FootnoteText"/>
      </w:pPr>
      <w:r>
        <w:rPr>
          <w:rStyle w:val="FootnoteReference"/>
        </w:rPr>
        <w:footnoteRef/>
      </w:r>
      <w:r>
        <w:t xml:space="preserve"> </w:t>
      </w:r>
      <w:r>
        <w:tab/>
        <w:t>NER, cl. 6.18.2(b)(7A).</w:t>
      </w:r>
    </w:p>
  </w:footnote>
  <w:footnote w:id="111">
    <w:p w:rsidR="00DA1631" w:rsidRDefault="00DA1631" w:rsidP="009D5C07">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xml:space="preserve">, September 2016, pp. 28–29; </w:t>
      </w:r>
      <w:r w:rsidRPr="004C48BD">
        <w:t xml:space="preserve">TasNetworks, </w:t>
      </w:r>
      <w:r w:rsidRPr="00030AAA">
        <w:rPr>
          <w:rStyle w:val="AERtextitalic"/>
        </w:rPr>
        <w:t>Tariff structure statement: Formal statement</w:t>
      </w:r>
      <w:r>
        <w:t>, December</w:t>
      </w:r>
      <w:r w:rsidRPr="004C48BD">
        <w:t> 2016, p. </w:t>
      </w:r>
      <w:r>
        <w:t>10</w:t>
      </w:r>
      <w:r w:rsidRPr="004C48BD">
        <w:t>.</w:t>
      </w:r>
    </w:p>
  </w:footnote>
  <w:footnote w:id="112">
    <w:p w:rsidR="00DA1631" w:rsidRDefault="00DA1631" w:rsidP="009D5C07">
      <w:pPr>
        <w:pStyle w:val="FootnoteText"/>
      </w:pPr>
      <w:r>
        <w:rPr>
          <w:rStyle w:val="FootnoteReference"/>
        </w:rPr>
        <w:footnoteRef/>
      </w:r>
      <w:r>
        <w:t xml:space="preserve"> </w:t>
      </w:r>
      <w:r>
        <w:tab/>
        <w:t xml:space="preserve">TasCOSS, </w:t>
      </w:r>
      <w:r w:rsidRPr="00887F21">
        <w:rPr>
          <w:rStyle w:val="AERtextitalic"/>
        </w:rPr>
        <w:t>Submission on AER Issues Paper: Tariff Structure Statement proposals (TasNetworks)</w:t>
      </w:r>
      <w:r>
        <w:t>, 29 April 2016, pp. 2–3.</w:t>
      </w:r>
    </w:p>
  </w:footnote>
  <w:footnote w:id="113">
    <w:p w:rsidR="00DA1631" w:rsidRDefault="00DA1631" w:rsidP="00BC25A5">
      <w:pPr>
        <w:pStyle w:val="FootnoteText"/>
      </w:pPr>
      <w:r>
        <w:rPr>
          <w:rStyle w:val="FootnoteReference"/>
        </w:rPr>
        <w:footnoteRef/>
      </w:r>
      <w:r>
        <w:t xml:space="preserve"> </w:t>
      </w:r>
      <w:r>
        <w:tab/>
      </w:r>
      <w:r w:rsidRPr="00FE335A">
        <w:t xml:space="preserve">CCP4 - David Headberry, </w:t>
      </w:r>
      <w:r w:rsidRPr="007730E7">
        <w:rPr>
          <w:rStyle w:val="AERtextitalic"/>
        </w:rPr>
        <w:t>Submission on TasNetworks' revised proposal</w:t>
      </w:r>
      <w:r>
        <w:t xml:space="preserve">, 21 December 2016, p. 40; Nekon Pty Ltd, </w:t>
      </w:r>
      <w:r w:rsidRPr="00AD1BD6">
        <w:rPr>
          <w:rStyle w:val="AERtextitalic"/>
        </w:rPr>
        <w:t>Submission on TasNetworks' draft decision and tariff structure statement</w:t>
      </w:r>
      <w:r>
        <w:t>, November 2016, p. 7.</w:t>
      </w:r>
    </w:p>
  </w:footnote>
  <w:footnote w:id="114">
    <w:p w:rsidR="00DA1631" w:rsidRDefault="00DA1631" w:rsidP="00BC25A5">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 7.</w:t>
      </w:r>
    </w:p>
  </w:footnote>
  <w:footnote w:id="115">
    <w:p w:rsidR="00DA1631" w:rsidRDefault="00DA1631" w:rsidP="00DD20E6">
      <w:pPr>
        <w:pStyle w:val="FootnoteText"/>
      </w:pPr>
      <w:r>
        <w:rPr>
          <w:rStyle w:val="FootnoteReference"/>
        </w:rPr>
        <w:footnoteRef/>
      </w:r>
      <w:r>
        <w:t xml:space="preserve"> </w:t>
      </w:r>
      <w:r>
        <w:tab/>
      </w:r>
      <w:r w:rsidRPr="00125EBC">
        <w:t>NER, cl. 6.18.5(</w:t>
      </w:r>
      <w:r>
        <w:t>e</w:t>
      </w:r>
      <w:r w:rsidRPr="00125EBC">
        <w:t>)</w:t>
      </w:r>
      <w:r>
        <w:t xml:space="preserve"> – (h)</w:t>
      </w:r>
      <w:r w:rsidRPr="00125EBC">
        <w:t>.</w:t>
      </w:r>
    </w:p>
  </w:footnote>
  <w:footnote w:id="116">
    <w:p w:rsidR="00DA1631" w:rsidRDefault="00DA1631" w:rsidP="00DD20E6">
      <w:pPr>
        <w:pStyle w:val="FootnoteText"/>
      </w:pPr>
      <w:r>
        <w:rPr>
          <w:rStyle w:val="FootnoteReference"/>
        </w:rPr>
        <w:footnoteRef/>
      </w:r>
      <w:r>
        <w:t xml:space="preserve"> </w:t>
      </w:r>
      <w:r>
        <w:tab/>
      </w:r>
      <w:r w:rsidRPr="00125EBC">
        <w:t>NER, cl. 6.18.5(</w:t>
      </w:r>
      <w:r>
        <w:t>c</w:t>
      </w:r>
      <w:r w:rsidRPr="00125EBC">
        <w:t>).</w:t>
      </w:r>
    </w:p>
  </w:footnote>
  <w:footnote w:id="117">
    <w:p w:rsidR="00DA1631" w:rsidRDefault="00DA1631" w:rsidP="00DD20E6">
      <w:pPr>
        <w:pStyle w:val="FootnoteText"/>
      </w:pPr>
      <w:r>
        <w:rPr>
          <w:rStyle w:val="FootnoteReference"/>
        </w:rPr>
        <w:footnoteRef/>
      </w:r>
      <w:r>
        <w:t xml:space="preserve"> </w:t>
      </w:r>
      <w:r>
        <w:tab/>
        <w:t xml:space="preserve">Australian Energy Market Commission, </w:t>
      </w:r>
      <w:r>
        <w:rPr>
          <w:rStyle w:val="Emphasis"/>
        </w:rPr>
        <w:t xml:space="preserve">National Electricity Amendment (Expanding competition in metering and related services) Rule 2015, </w:t>
      </w:r>
      <w:r>
        <w:t>November 2015.</w:t>
      </w:r>
    </w:p>
  </w:footnote>
  <w:footnote w:id="118">
    <w:p w:rsidR="00DA1631" w:rsidRDefault="00DA1631" w:rsidP="00DD20E6">
      <w:pPr>
        <w:pStyle w:val="FootnoteText"/>
      </w:pPr>
      <w:r>
        <w:rPr>
          <w:rStyle w:val="FootnoteReference"/>
        </w:rPr>
        <w:footnoteRef/>
      </w:r>
      <w:r>
        <w:t xml:space="preserve"> </w:t>
      </w:r>
      <w:r>
        <w:tab/>
        <w:t>NER, cl. 6.18.5(h).</w:t>
      </w:r>
    </w:p>
  </w:footnote>
  <w:footnote w:id="119">
    <w:p w:rsidR="00DA1631" w:rsidRDefault="00DA1631" w:rsidP="00DD20E6">
      <w:pPr>
        <w:pStyle w:val="FootnoteText"/>
      </w:pPr>
      <w:r>
        <w:rPr>
          <w:rStyle w:val="FootnoteReference"/>
        </w:rPr>
        <w:footnoteRef/>
      </w:r>
      <w:r>
        <w:t xml:space="preserve"> </w:t>
      </w:r>
      <w:r>
        <w:tab/>
        <w:t>NER, cl. 6.18.5(c</w:t>
      </w:r>
      <w:r w:rsidRPr="00FF7635">
        <w:t>).</w:t>
      </w:r>
    </w:p>
  </w:footnote>
  <w:footnote w:id="120">
    <w:p w:rsidR="00DA1631" w:rsidRDefault="00DA1631" w:rsidP="00DD20E6">
      <w:pPr>
        <w:pStyle w:val="FootnoteText"/>
      </w:pPr>
      <w:r>
        <w:rPr>
          <w:rStyle w:val="FootnoteReference"/>
        </w:rPr>
        <w:footnoteRef/>
      </w:r>
      <w:r>
        <w:t xml:space="preserve"> </w:t>
      </w:r>
      <w:r>
        <w:tab/>
      </w:r>
      <w:r w:rsidRPr="00FF7635">
        <w:t>NER, cl.6.18.5(h).</w:t>
      </w:r>
    </w:p>
  </w:footnote>
  <w:footnote w:id="121">
    <w:p w:rsidR="00DA1631" w:rsidRDefault="00DA1631" w:rsidP="00DD20E6">
      <w:pPr>
        <w:pStyle w:val="FootnoteText"/>
      </w:pPr>
      <w:r>
        <w:rPr>
          <w:rStyle w:val="FootnoteReference"/>
        </w:rPr>
        <w:footnoteRef/>
      </w:r>
      <w:r>
        <w:t xml:space="preserve"> </w:t>
      </w:r>
      <w:r>
        <w:tab/>
        <w:t xml:space="preserve">AER, </w:t>
      </w:r>
      <w:r w:rsidRPr="004B1C0D">
        <w:rPr>
          <w:rStyle w:val="AERtextitalic"/>
        </w:rPr>
        <w:t>Draft decision, Tariff structure statement proposal— SA Power Networks</w:t>
      </w:r>
      <w:r>
        <w:t>, August 2016, pp. 43–44.</w:t>
      </w:r>
    </w:p>
  </w:footnote>
  <w:footnote w:id="122">
    <w:p w:rsidR="00DA1631" w:rsidRDefault="00DA1631" w:rsidP="00DD20E6">
      <w:pPr>
        <w:pStyle w:val="FootnoteText"/>
      </w:pPr>
      <w:r>
        <w:rPr>
          <w:rStyle w:val="FootnoteReference"/>
        </w:rPr>
        <w:footnoteRef/>
      </w:r>
      <w:r>
        <w:t xml:space="preserve"> </w:t>
      </w:r>
      <w:r>
        <w:tab/>
      </w:r>
      <w:r w:rsidRPr="00125EBC">
        <w:t>NER, cl.6.18.5(h).</w:t>
      </w:r>
    </w:p>
  </w:footnote>
  <w:footnote w:id="123">
    <w:p w:rsidR="00DA1631" w:rsidRDefault="00DA1631" w:rsidP="00DD20E6">
      <w:pPr>
        <w:pStyle w:val="FootnoteText"/>
      </w:pPr>
      <w:r>
        <w:rPr>
          <w:rStyle w:val="FootnoteReference"/>
        </w:rPr>
        <w:footnoteRef/>
      </w:r>
      <w:r>
        <w:t xml:space="preserve"> </w:t>
      </w:r>
      <w:r>
        <w:tab/>
        <w:t>i.e. SAPN has used the change from single to three phase and the installation of a new inverter as a trigger for reassignment to cost reflective tariffs.</w:t>
      </w:r>
    </w:p>
  </w:footnote>
  <w:footnote w:id="124">
    <w:p w:rsidR="00DA1631" w:rsidRDefault="00DA1631" w:rsidP="00DD20E6">
      <w:pPr>
        <w:pStyle w:val="FootnoteText"/>
      </w:pPr>
      <w:r>
        <w:rPr>
          <w:rStyle w:val="FootnoteReference"/>
        </w:rPr>
        <w:footnoteRef/>
      </w:r>
      <w:r>
        <w:t xml:space="preserve"> </w:t>
      </w:r>
      <w:r>
        <w:tab/>
      </w:r>
      <w:r w:rsidRPr="00FF7635">
        <w:t>NER, cl.6.18.5(h).</w:t>
      </w:r>
    </w:p>
  </w:footnote>
  <w:footnote w:id="125">
    <w:p w:rsidR="00DA1631" w:rsidRDefault="00DA1631" w:rsidP="00DD20E6">
      <w:pPr>
        <w:pStyle w:val="FootnoteText"/>
      </w:pPr>
      <w:r>
        <w:rPr>
          <w:rStyle w:val="FootnoteReference"/>
        </w:rPr>
        <w:footnoteRef/>
      </w:r>
      <w:r>
        <w:t xml:space="preserve"> </w:t>
      </w:r>
      <w:r>
        <w:tab/>
        <w:t xml:space="preserve">SAPN, </w:t>
      </w:r>
      <w:r w:rsidRPr="00B37642">
        <w:rPr>
          <w:i/>
        </w:rPr>
        <w:t>Revised tariff structure statement proposal – part B</w:t>
      </w:r>
      <w:r>
        <w:t>, October 2016, p. 123.</w:t>
      </w:r>
    </w:p>
  </w:footnote>
  <w:footnote w:id="126">
    <w:p w:rsidR="00DA1631" w:rsidRDefault="00DA1631">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 </w:t>
      </w:r>
      <w:r>
        <w:t>22–23</w:t>
      </w:r>
      <w:r w:rsidRPr="004C48BD">
        <w:t>.</w:t>
      </w:r>
    </w:p>
  </w:footnote>
  <w:footnote w:id="127">
    <w:p w:rsidR="00DA1631" w:rsidRDefault="00DA1631" w:rsidP="00DD20E6">
      <w:pPr>
        <w:pStyle w:val="FootnoteText"/>
      </w:pPr>
      <w:r>
        <w:rPr>
          <w:rStyle w:val="FootnoteReference"/>
        </w:rPr>
        <w:footnoteRef/>
      </w:r>
      <w:r>
        <w:t xml:space="preserve"> </w:t>
      </w:r>
      <w:r>
        <w:tab/>
        <w:t>NER, cl. 6.18.5(b</w:t>
      </w:r>
      <w:r w:rsidRPr="00AC70DA">
        <w:t>)</w:t>
      </w:r>
      <w:r>
        <w:t xml:space="preserve"> to (d)</w:t>
      </w:r>
      <w:r w:rsidRPr="00AC70DA">
        <w:t>.</w:t>
      </w:r>
    </w:p>
  </w:footnote>
  <w:footnote w:id="128">
    <w:p w:rsidR="00DA1631" w:rsidRDefault="00DA1631">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31–32.</w:t>
      </w:r>
    </w:p>
  </w:footnote>
  <w:footnote w:id="129">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w:t>
      </w:r>
      <w:r>
        <w:t>p</w:t>
      </w:r>
      <w:r w:rsidRPr="004C48BD">
        <w:t>. </w:t>
      </w:r>
      <w:r>
        <w:t>6–7</w:t>
      </w:r>
      <w:r w:rsidRPr="004C48BD">
        <w:t>.</w:t>
      </w:r>
    </w:p>
  </w:footnote>
  <w:footnote w:id="130">
    <w:p w:rsidR="00DA1631" w:rsidRDefault="00DA1631" w:rsidP="00FE6020">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7</w:t>
      </w:r>
      <w:r w:rsidRPr="004C48BD">
        <w:t>.</w:t>
      </w:r>
    </w:p>
  </w:footnote>
  <w:footnote w:id="131">
    <w:p w:rsidR="00DA1631" w:rsidRDefault="00DA1631">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 32.</w:t>
      </w:r>
    </w:p>
  </w:footnote>
  <w:footnote w:id="132">
    <w:p w:rsidR="00DA1631" w:rsidRDefault="00DA1631" w:rsidP="002F5F64">
      <w:pPr>
        <w:pStyle w:val="FootnoteText"/>
      </w:pPr>
      <w:r>
        <w:rPr>
          <w:rStyle w:val="FootnoteReference"/>
        </w:rPr>
        <w:footnoteRef/>
      </w:r>
      <w:r>
        <w:t xml:space="preserve"> </w:t>
      </w:r>
      <w:r>
        <w:tab/>
        <w:t>NER, cl. 6.18.5(f).</w:t>
      </w:r>
    </w:p>
  </w:footnote>
  <w:footnote w:id="133">
    <w:p w:rsidR="00DA1631" w:rsidRDefault="00DA1631" w:rsidP="00E21872">
      <w:pPr>
        <w:pStyle w:val="FootnoteText"/>
      </w:pPr>
      <w:r>
        <w:rPr>
          <w:rStyle w:val="FootnoteReference"/>
        </w:rPr>
        <w:footnoteRef/>
      </w:r>
      <w:r>
        <w:t xml:space="preserve"> </w:t>
      </w:r>
      <w:r>
        <w:tab/>
      </w:r>
      <w:r w:rsidRPr="00335213">
        <w:t xml:space="preserve">TasNetworks, </w:t>
      </w:r>
      <w:r w:rsidRPr="00EF18A5">
        <w:rPr>
          <w:rStyle w:val="AERtextitalic"/>
        </w:rPr>
        <w:t>Tariff structure statement</w:t>
      </w:r>
      <w:r w:rsidRPr="00335213">
        <w:t xml:space="preserve">, January 2016, p. </w:t>
      </w:r>
      <w:r>
        <w:t>26</w:t>
      </w:r>
      <w:r w:rsidRPr="00335213">
        <w:t>.</w:t>
      </w:r>
    </w:p>
  </w:footnote>
  <w:footnote w:id="134">
    <w:p w:rsidR="00DA1631" w:rsidRDefault="00DA1631" w:rsidP="00DE5D77">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32–36.</w:t>
      </w:r>
    </w:p>
  </w:footnote>
  <w:footnote w:id="135">
    <w:p w:rsidR="00DA1631" w:rsidRDefault="00DA1631" w:rsidP="00DE5D77">
      <w:pPr>
        <w:pStyle w:val="FootnoteText"/>
      </w:pPr>
      <w:r>
        <w:rPr>
          <w:rStyle w:val="FootnoteReference"/>
        </w:rPr>
        <w:footnoteRef/>
      </w:r>
      <w:r>
        <w:t xml:space="preserve"> </w:t>
      </w:r>
      <w:r>
        <w:tab/>
        <w:t>NER, cl 6.18.5.</w:t>
      </w:r>
    </w:p>
  </w:footnote>
  <w:footnote w:id="136">
    <w:p w:rsidR="00DA1631" w:rsidRDefault="00DA1631" w:rsidP="00DE5D77">
      <w:pPr>
        <w:pStyle w:val="FootnoteText"/>
      </w:pPr>
      <w:r>
        <w:rPr>
          <w:rStyle w:val="FootnoteReference"/>
        </w:rPr>
        <w:footnoteRef/>
      </w:r>
      <w:r>
        <w:t xml:space="preserve"> </w:t>
      </w:r>
      <w:r>
        <w:tab/>
        <w:t xml:space="preserve">TasNetworks, </w:t>
      </w:r>
      <w:r w:rsidRPr="00EE2BA6">
        <w:rPr>
          <w:rStyle w:val="AERtextitalic"/>
        </w:rPr>
        <w:t>Overview–Improving the way we price our services, Tariff structure statement for period 1 July 2017 to 30 June 2019</w:t>
      </w:r>
      <w:r>
        <w:t>, December 2016, p. 11.</w:t>
      </w:r>
    </w:p>
  </w:footnote>
  <w:footnote w:id="137">
    <w:p w:rsidR="00DA1631" w:rsidRDefault="00DA1631" w:rsidP="00DE5D77">
      <w:pPr>
        <w:pStyle w:val="FootnoteText"/>
      </w:pPr>
      <w:r>
        <w:rPr>
          <w:rStyle w:val="FootnoteReference"/>
        </w:rPr>
        <w:footnoteRef/>
      </w:r>
      <w:r>
        <w:t xml:space="preserve"> </w:t>
      </w:r>
      <w:r>
        <w:tab/>
        <w:t xml:space="preserve">TasNetworks, </w:t>
      </w:r>
      <w:r w:rsidRPr="00EE2BA6">
        <w:rPr>
          <w:rStyle w:val="AERtextitalic"/>
        </w:rPr>
        <w:t>Overview–Improving the way we price our services, Tariff structure statement for period 1 July 2017 to 30 June 2019</w:t>
      </w:r>
      <w:r>
        <w:t>, December 2016, p. 11.</w:t>
      </w:r>
    </w:p>
  </w:footnote>
  <w:footnote w:id="138">
    <w:p w:rsidR="00DA1631" w:rsidRDefault="00DA1631">
      <w:pPr>
        <w:pStyle w:val="FootnoteText"/>
      </w:pPr>
      <w:r>
        <w:rPr>
          <w:rStyle w:val="FootnoteReference"/>
        </w:rPr>
        <w:footnoteRef/>
      </w:r>
      <w:r>
        <w:t xml:space="preserve"> </w:t>
      </w:r>
      <w:r>
        <w:tab/>
        <w:t xml:space="preserve">TasCOSS, </w:t>
      </w:r>
      <w:r w:rsidRPr="00887F21">
        <w:rPr>
          <w:rStyle w:val="AERtextitalic"/>
        </w:rPr>
        <w:t>Submission on AER Issues Paper: Tariff Structure Statement proposals (TasNetworks)</w:t>
      </w:r>
      <w:r>
        <w:t xml:space="preserve">, 29 April 2016, pp. 2–3; Tasmanian Renewable Energy Alliance, </w:t>
      </w:r>
      <w:r w:rsidRPr="00E42901">
        <w:rPr>
          <w:rStyle w:val="AERtextitalic"/>
        </w:rPr>
        <w:t>TREA response to AER March 2016 issues paper: TasNetworks tariff structure statement proposals</w:t>
      </w:r>
      <w:r>
        <w:t xml:space="preserve">, 5 May 2016, pp. 3–4; TREA, </w:t>
      </w:r>
      <w:r w:rsidRPr="00026619">
        <w:rPr>
          <w:rStyle w:val="AERtextitalic"/>
        </w:rPr>
        <w:t>Submission on TasNetworks' draft decision and tariff structure statement</w:t>
      </w:r>
      <w:r>
        <w:t xml:space="preserve">, December 2016, p. 2; ATA, </w:t>
      </w:r>
      <w:r w:rsidRPr="00752E05">
        <w:rPr>
          <w:rStyle w:val="AERtextitalic"/>
        </w:rPr>
        <w:t>Submission to draft decision: TasNetworks tariff structure statement</w:t>
      </w:r>
      <w:r>
        <w:t xml:space="preserve">, December 2016, p. 2. </w:t>
      </w:r>
    </w:p>
  </w:footnote>
  <w:footnote w:id="139">
    <w:p w:rsidR="00DA1631" w:rsidRDefault="00DA1631" w:rsidP="00DE5D77">
      <w:pPr>
        <w:pStyle w:val="FootnoteText"/>
      </w:pPr>
      <w:r>
        <w:rPr>
          <w:rStyle w:val="FootnoteReference"/>
        </w:rPr>
        <w:footnoteRef/>
      </w:r>
      <w:r>
        <w:t xml:space="preserve"> </w:t>
      </w:r>
      <w:r>
        <w:tab/>
        <w:t>NER, cl 6.18.5.</w:t>
      </w:r>
    </w:p>
  </w:footnote>
  <w:footnote w:id="140">
    <w:p w:rsidR="00DA1631" w:rsidRDefault="00DA1631" w:rsidP="00DE5D77">
      <w:pPr>
        <w:pStyle w:val="FootnoteText"/>
      </w:pPr>
      <w:r>
        <w:rPr>
          <w:rStyle w:val="FootnoteReference"/>
        </w:rPr>
        <w:footnoteRef/>
      </w:r>
      <w:r>
        <w:t xml:space="preserve"> </w:t>
      </w:r>
      <w:r>
        <w:tab/>
        <w:t xml:space="preserve">Tasmanian Renewable Energy Alliance, </w:t>
      </w:r>
      <w:r w:rsidRPr="006F423D">
        <w:rPr>
          <w:rStyle w:val="AERtextitalic"/>
        </w:rPr>
        <w:t>Fair and effective tariff reform for Tasmania</w:t>
      </w:r>
      <w:r>
        <w:t xml:space="preserve">, 1 December 2016, 3. </w:t>
      </w:r>
    </w:p>
  </w:footnote>
  <w:footnote w:id="141">
    <w:p w:rsidR="00DA1631" w:rsidRDefault="00DA1631" w:rsidP="00DE5D77">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w:t>
      </w:r>
      <w:r>
        <w:t>, November 2016, p. 7.</w:t>
      </w:r>
    </w:p>
  </w:footnote>
  <w:footnote w:id="142">
    <w:p w:rsidR="00DA1631" w:rsidRDefault="00DA1631" w:rsidP="00DE5D77">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rsidRPr="00030AAA">
        <w:rPr>
          <w:rStyle w:val="AERtextitalic"/>
        </w:rPr>
        <w:t xml:space="preserve"> – Regulatory control period 1 July 2017 to 30 June 2019</w:t>
      </w:r>
      <w:r>
        <w:t>, December</w:t>
      </w:r>
      <w:r w:rsidRPr="004C48BD">
        <w:t> 2016, p. </w:t>
      </w:r>
      <w:r>
        <w:t>70</w:t>
      </w:r>
      <w:r w:rsidRPr="004C48BD">
        <w:t>.</w:t>
      </w:r>
    </w:p>
  </w:footnote>
  <w:footnote w:id="143">
    <w:p w:rsidR="00DA1631" w:rsidRDefault="00DA1631" w:rsidP="00DE5D77">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rsidRPr="00030AAA">
        <w:rPr>
          <w:rStyle w:val="AERtextitalic"/>
        </w:rPr>
        <w:t xml:space="preserve"> – Regulatory control period 1 July 2017 to 30 June 2019</w:t>
      </w:r>
      <w:r>
        <w:t>, December</w:t>
      </w:r>
      <w:r w:rsidRPr="004C48BD">
        <w:t> 2016, p. </w:t>
      </w:r>
      <w:r>
        <w:t>71</w:t>
      </w:r>
      <w:r w:rsidRPr="004C48BD">
        <w:t>.</w:t>
      </w:r>
      <w:r>
        <w:t xml:space="preserve"> </w:t>
      </w:r>
    </w:p>
  </w:footnote>
  <w:footnote w:id="144">
    <w:p w:rsidR="00DA1631" w:rsidRDefault="00DA1631" w:rsidP="00A171B9">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w:t>
      </w:r>
      <w:r>
        <w:t>p</w:t>
      </w:r>
      <w:r w:rsidRPr="004C48BD">
        <w:t>. </w:t>
      </w:r>
      <w:r>
        <w:t>6–7</w:t>
      </w:r>
      <w:r w:rsidRPr="004C48BD">
        <w:t>.</w:t>
      </w:r>
    </w:p>
  </w:footnote>
  <w:footnote w:id="145">
    <w:p w:rsidR="00DA1631" w:rsidRDefault="00DA1631" w:rsidP="001A5C96">
      <w:pPr>
        <w:pStyle w:val="FootnoteText"/>
      </w:pPr>
      <w:r>
        <w:rPr>
          <w:rStyle w:val="FootnoteReference"/>
        </w:rPr>
        <w:footnoteRef/>
      </w:r>
      <w:r>
        <w:t xml:space="preserve"> </w:t>
      </w:r>
      <w:r>
        <w:tab/>
        <w:t xml:space="preserve">TSBC, </w:t>
      </w:r>
      <w:r w:rsidRPr="002435D8">
        <w:rPr>
          <w:rStyle w:val="AERtextitalic"/>
        </w:rPr>
        <w:t>Submission on TasNetworks' draft decision and tariff structure statement,</w:t>
      </w:r>
      <w:r>
        <w:t xml:space="preserve"> November 2016, pp. 16</w:t>
      </w:r>
      <w:r>
        <w:noBreakHyphen/>
        <w:t>17;</w:t>
      </w:r>
      <w:r w:rsidRPr="009B628A">
        <w:t xml:space="preserve"> </w:t>
      </w:r>
      <w:r>
        <w:t xml:space="preserve">CCP4 - David Headberry, </w:t>
      </w:r>
      <w:r w:rsidRPr="007B697B">
        <w:rPr>
          <w:rStyle w:val="AERtextitalic"/>
        </w:rPr>
        <w:t>Submission on TasNetworks' revised proposal</w:t>
      </w:r>
      <w:r>
        <w:t>, 21 December 2016, p. 40.</w:t>
      </w:r>
    </w:p>
  </w:footnote>
  <w:footnote w:id="146">
    <w:p w:rsidR="00DA1631" w:rsidRDefault="00DA1631" w:rsidP="001A5C96">
      <w:pPr>
        <w:pStyle w:val="FootnoteText"/>
      </w:pPr>
      <w:r>
        <w:rPr>
          <w:rStyle w:val="FootnoteReference"/>
        </w:rPr>
        <w:footnoteRef/>
      </w:r>
      <w:r>
        <w:t xml:space="preserve"> </w:t>
      </w:r>
      <w:r>
        <w:tab/>
        <w:t xml:space="preserve">TSBC, </w:t>
      </w:r>
      <w:r w:rsidRPr="002435D8">
        <w:rPr>
          <w:rStyle w:val="AERtextitalic"/>
        </w:rPr>
        <w:t>Submission on TasNetworks' draft decision and tariff structure statement,</w:t>
      </w:r>
      <w:r>
        <w:t xml:space="preserve"> November 2016, p. 18.</w:t>
      </w:r>
    </w:p>
  </w:footnote>
  <w:footnote w:id="147">
    <w:p w:rsidR="00DA1631" w:rsidRDefault="00DA1631">
      <w:pPr>
        <w:pStyle w:val="FootnoteText"/>
      </w:pPr>
      <w:r>
        <w:rPr>
          <w:rStyle w:val="FootnoteReference"/>
        </w:rPr>
        <w:footnoteRef/>
      </w:r>
      <w:r>
        <w:t xml:space="preserve"> </w:t>
      </w:r>
      <w:r>
        <w:tab/>
        <w:t>Because tariff realignment started in 2014-15, this means the transition period will actually take another 12 years to complete, rather than 15 years.</w:t>
      </w:r>
    </w:p>
  </w:footnote>
  <w:footnote w:id="148">
    <w:p w:rsidR="00DA1631" w:rsidRDefault="00DA1631" w:rsidP="008F022A">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36–37.</w:t>
      </w:r>
    </w:p>
  </w:footnote>
  <w:footnote w:id="149">
    <w:p w:rsidR="00DA1631" w:rsidRDefault="00DA1631">
      <w:pPr>
        <w:pStyle w:val="FootnoteText"/>
      </w:pPr>
      <w:r>
        <w:rPr>
          <w:rStyle w:val="FootnoteReference"/>
        </w:rPr>
        <w:footnoteRef/>
      </w:r>
      <w:r>
        <w:t xml:space="preserve"> </w:t>
      </w:r>
      <w:r>
        <w:tab/>
        <w:t xml:space="preserve">AER, </w:t>
      </w:r>
      <w:r w:rsidRPr="008F5220">
        <w:rPr>
          <w:rStyle w:val="AERtextitalic"/>
        </w:rPr>
        <w:t xml:space="preserve">Final </w:t>
      </w:r>
      <w:r>
        <w:rPr>
          <w:rStyle w:val="AERtextitalic"/>
        </w:rPr>
        <w:t>Decision</w:t>
      </w:r>
      <w:r w:rsidRPr="008F5220">
        <w:rPr>
          <w:rStyle w:val="AERtextitalic"/>
        </w:rPr>
        <w:t>, Queensland distribution businesses–Tariff Structure Statement 2017–20</w:t>
      </w:r>
      <w:r>
        <w:t>, February 2017, p.p.</w:t>
      </w:r>
      <w:r w:rsidR="00D9207A">
        <w:t> </w:t>
      </w:r>
      <w:r>
        <w:t>7, 9, 13, 47.</w:t>
      </w:r>
    </w:p>
  </w:footnote>
  <w:footnote w:id="150">
    <w:p w:rsidR="00DA1631" w:rsidRDefault="00DA1631">
      <w:pPr>
        <w:pStyle w:val="FootnoteText"/>
      </w:pPr>
      <w:r>
        <w:rPr>
          <w:rStyle w:val="FootnoteReference"/>
        </w:rPr>
        <w:footnoteRef/>
      </w:r>
      <w:r>
        <w:t xml:space="preserve"> </w:t>
      </w:r>
      <w:r>
        <w:tab/>
        <w:t xml:space="preserve">Tasmanian Farmers and Graziers Association, </w:t>
      </w:r>
      <w:r w:rsidRPr="00CE64CB">
        <w:rPr>
          <w:rStyle w:val="AERtextitalic"/>
        </w:rPr>
        <w:t>Submission on</w:t>
      </w:r>
      <w:r>
        <w:rPr>
          <w:rStyle w:val="AERtextitalic"/>
        </w:rPr>
        <w:t xml:space="preserve"> TasNetworks' revised proposal</w:t>
      </w:r>
      <w:r>
        <w:t>, December 2016, p.</w:t>
      </w:r>
      <w:r w:rsidR="00D9207A">
        <w:t> </w:t>
      </w:r>
      <w:r>
        <w:t>1.</w:t>
      </w:r>
    </w:p>
  </w:footnote>
  <w:footnote w:id="151">
    <w:p w:rsidR="00DA1631" w:rsidRDefault="00DA1631">
      <w:pPr>
        <w:pStyle w:val="FootnoteText"/>
      </w:pPr>
      <w:r>
        <w:rPr>
          <w:rStyle w:val="FootnoteReference"/>
        </w:rPr>
        <w:footnoteRef/>
      </w:r>
      <w:r>
        <w:t xml:space="preserve"> </w:t>
      </w:r>
      <w:r>
        <w:tab/>
        <w:t xml:space="preserve">Tasmanian Farmers and Graziers Association, </w:t>
      </w:r>
      <w:r w:rsidRPr="00705E62">
        <w:rPr>
          <w:rStyle w:val="AERtextitalic"/>
        </w:rPr>
        <w:t>Submission on</w:t>
      </w:r>
      <w:r>
        <w:rPr>
          <w:rStyle w:val="AERtextitalic"/>
        </w:rPr>
        <w:t xml:space="preserve"> TasNetworks' revised proposal</w:t>
      </w:r>
      <w:r>
        <w:t>, December 2016, p.2.</w:t>
      </w:r>
    </w:p>
  </w:footnote>
  <w:footnote w:id="152">
    <w:p w:rsidR="00DA1631" w:rsidRDefault="00DA1631">
      <w:pPr>
        <w:pStyle w:val="FootnoteText"/>
      </w:pPr>
      <w:r>
        <w:rPr>
          <w:rStyle w:val="FootnoteReference"/>
        </w:rPr>
        <w:footnoteRef/>
      </w:r>
      <w:r>
        <w:t xml:space="preserve"> </w:t>
      </w:r>
      <w:r>
        <w:tab/>
        <w:t>Meeting between AER representatives and TasNetworks' representatives, Melbourne, 17 March 2017.</w:t>
      </w:r>
    </w:p>
  </w:footnote>
  <w:footnote w:id="153">
    <w:p w:rsidR="00DA1631" w:rsidRDefault="00DA1631">
      <w:pPr>
        <w:pStyle w:val="FootnoteText"/>
      </w:pPr>
      <w:r>
        <w:rPr>
          <w:rStyle w:val="FootnoteReference"/>
        </w:rPr>
        <w:footnoteRef/>
      </w:r>
      <w:r>
        <w:t xml:space="preserve"> </w:t>
      </w:r>
      <w:r>
        <w:tab/>
        <w:t>See for instance tariff structure statements for New South Wales, Victorian, Queensland and South Australian distributors, available on the AER website.</w:t>
      </w:r>
    </w:p>
  </w:footnote>
  <w:footnote w:id="154">
    <w:p w:rsidR="00DA1631" w:rsidRDefault="00DA1631" w:rsidP="00F20934">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 43.</w:t>
      </w:r>
    </w:p>
  </w:footnote>
  <w:footnote w:id="155">
    <w:p w:rsidR="00DA1631" w:rsidRDefault="00DA1631">
      <w:pPr>
        <w:pStyle w:val="FootnoteText"/>
      </w:pPr>
      <w:r>
        <w:rPr>
          <w:rStyle w:val="FootnoteReference"/>
        </w:rPr>
        <w:footnoteRef/>
      </w:r>
      <w:r>
        <w:t xml:space="preserve"> </w:t>
      </w:r>
      <w:r>
        <w:tab/>
        <w:t>TasNetworks,</w:t>
      </w:r>
      <w:r w:rsidRPr="00737B5D">
        <w:rPr>
          <w:rStyle w:val="AERtextitalic"/>
        </w:rPr>
        <w:t xml:space="preserve"> </w:t>
      </w:r>
      <w:r w:rsidR="00D9207A" w:rsidRPr="00030AAA">
        <w:rPr>
          <w:rStyle w:val="AERtextitalic"/>
        </w:rPr>
        <w:t>Tariff structure statement: Formal statement</w:t>
      </w:r>
      <w:r w:rsidR="00D9207A">
        <w:t xml:space="preserve">, </w:t>
      </w:r>
      <w:r>
        <w:t>December 2016, p.</w:t>
      </w:r>
      <w:r w:rsidR="00D9207A">
        <w:t> </w:t>
      </w:r>
      <w:r>
        <w:t>17</w:t>
      </w:r>
      <w:r w:rsidR="00D9207A">
        <w:t>.</w:t>
      </w:r>
    </w:p>
  </w:footnote>
  <w:footnote w:id="156">
    <w:p w:rsidR="00DA1631" w:rsidRDefault="00DA1631">
      <w:pPr>
        <w:pStyle w:val="FootnoteText"/>
      </w:pPr>
      <w:r>
        <w:rPr>
          <w:rStyle w:val="FootnoteReference"/>
        </w:rPr>
        <w:footnoteRef/>
      </w:r>
      <w:r>
        <w:t xml:space="preserve"> </w:t>
      </w:r>
      <w:r>
        <w:tab/>
      </w:r>
      <w:r w:rsidRPr="004C48BD">
        <w:t xml:space="preserve">TasNetworks, </w:t>
      </w:r>
      <w:r w:rsidRPr="00030AAA">
        <w:rPr>
          <w:rStyle w:val="AERtextitalic"/>
        </w:rPr>
        <w:t>Tariff structure statement: Formal statement</w:t>
      </w:r>
      <w:r>
        <w:t>, December</w:t>
      </w:r>
      <w:r w:rsidRPr="004C48BD">
        <w:t> 2016, p. </w:t>
      </w:r>
      <w:r>
        <w:t>34</w:t>
      </w:r>
      <w:r w:rsidRPr="004C48BD">
        <w:t>.</w:t>
      </w:r>
    </w:p>
  </w:footnote>
  <w:footnote w:id="157">
    <w:p w:rsidR="00DA1631" w:rsidRDefault="00DA1631">
      <w:pPr>
        <w:pStyle w:val="FootnoteText"/>
      </w:pPr>
      <w:r>
        <w:rPr>
          <w:rStyle w:val="FootnoteReference"/>
        </w:rPr>
        <w:footnoteRef/>
      </w:r>
      <w:r>
        <w:t xml:space="preserve"> </w:t>
      </w:r>
      <w:r>
        <w:tab/>
        <w:t>NER, cl 10 Glossary defines long run marginal costs as the cost of an incremental change in demand for direct control services provided by a distribution network service provider over a period of time in which all factors of production required to provide those direct control services can be varied.</w:t>
      </w:r>
    </w:p>
  </w:footnote>
  <w:footnote w:id="158">
    <w:p w:rsidR="00DA1631" w:rsidRDefault="00DA1631" w:rsidP="00A75C9A">
      <w:pPr>
        <w:pStyle w:val="FootnoteText"/>
      </w:pPr>
      <w:r>
        <w:rPr>
          <w:rStyle w:val="FootnoteReference"/>
        </w:rPr>
        <w:footnoteRef/>
      </w:r>
      <w:r>
        <w:t xml:space="preserve"> </w:t>
      </w:r>
      <w:r>
        <w:tab/>
      </w:r>
      <w:r w:rsidRPr="00C8051E">
        <w:t>NER, cl. 6.18.5(f).</w:t>
      </w:r>
    </w:p>
  </w:footnote>
  <w:footnote w:id="159">
    <w:p w:rsidR="00DA1631" w:rsidRDefault="00DA1631" w:rsidP="00A75C9A">
      <w:pPr>
        <w:pStyle w:val="FootnoteText"/>
      </w:pPr>
      <w:r>
        <w:rPr>
          <w:rStyle w:val="FootnoteReference"/>
        </w:rPr>
        <w:footnoteRef/>
      </w:r>
      <w:r>
        <w:t xml:space="preserve"> </w:t>
      </w:r>
      <w:r>
        <w:tab/>
      </w:r>
      <w:r w:rsidRPr="00C8051E">
        <w:t>NER, cl. 6.18.5(g)(3).</w:t>
      </w:r>
    </w:p>
  </w:footnote>
  <w:footnote w:id="160">
    <w:p w:rsidR="00DA1631" w:rsidRDefault="00DA1631" w:rsidP="00A75C9A">
      <w:pPr>
        <w:pStyle w:val="FootnoteText"/>
      </w:pPr>
      <w:r>
        <w:rPr>
          <w:rStyle w:val="FootnoteReference"/>
        </w:rPr>
        <w:footnoteRef/>
      </w:r>
      <w:r>
        <w:t xml:space="preserve"> </w:t>
      </w:r>
      <w:r>
        <w:tab/>
      </w:r>
      <w:r w:rsidRPr="00D6359A">
        <w:t>NER, cl. 6.18.5(f).</w:t>
      </w:r>
    </w:p>
  </w:footnote>
  <w:footnote w:id="161">
    <w:p w:rsidR="00DA1631" w:rsidRDefault="00DA1631" w:rsidP="00A75C9A">
      <w:pPr>
        <w:pStyle w:val="FootnoteText"/>
      </w:pPr>
      <w:r>
        <w:rPr>
          <w:rStyle w:val="FootnoteReference"/>
        </w:rPr>
        <w:footnoteRef/>
      </w:r>
      <w:r>
        <w:t xml:space="preserve"> </w:t>
      </w:r>
      <w:r>
        <w:tab/>
        <w:t xml:space="preserve">TasNetworks, </w:t>
      </w:r>
      <w:r w:rsidRPr="007C6A31">
        <w:rPr>
          <w:rStyle w:val="AERtextitalic"/>
        </w:rPr>
        <w:t xml:space="preserve">Tariff structure statement: </w:t>
      </w:r>
      <w:r>
        <w:rPr>
          <w:rStyle w:val="AERtextitalic"/>
        </w:rPr>
        <w:t>Background and explanation</w:t>
      </w:r>
      <w:r>
        <w:t>, December 2016, pp. 98–99.</w:t>
      </w:r>
    </w:p>
  </w:footnote>
  <w:footnote w:id="162">
    <w:p w:rsidR="00DA1631" w:rsidRDefault="00DA1631" w:rsidP="00A75C9A">
      <w:pPr>
        <w:pStyle w:val="FootnoteText"/>
      </w:pPr>
      <w:r>
        <w:rPr>
          <w:rStyle w:val="FootnoteReference"/>
        </w:rPr>
        <w:footnoteRef/>
      </w:r>
      <w:r>
        <w:t xml:space="preserve"> </w:t>
      </w:r>
      <w:r>
        <w:tab/>
        <w:t xml:space="preserve">TasNetworks, </w:t>
      </w:r>
      <w:r w:rsidRPr="007C6A31">
        <w:rPr>
          <w:rStyle w:val="AERtextitalic"/>
        </w:rPr>
        <w:t>Tariff structure statement: Formal statemen</w:t>
      </w:r>
      <w:r>
        <w:rPr>
          <w:rStyle w:val="AERtextitalic"/>
        </w:rPr>
        <w:t>t</w:t>
      </w:r>
      <w:r>
        <w:t>, December 2016, p. 18.</w:t>
      </w:r>
    </w:p>
  </w:footnote>
  <w:footnote w:id="163">
    <w:p w:rsidR="00DA1631" w:rsidRDefault="00DA1631" w:rsidP="00A75C9A">
      <w:pPr>
        <w:pStyle w:val="FootnoteText"/>
      </w:pPr>
      <w:r>
        <w:rPr>
          <w:rStyle w:val="FootnoteReference"/>
        </w:rPr>
        <w:footnoteRef/>
      </w:r>
      <w:r>
        <w:t xml:space="preserve"> </w:t>
      </w:r>
      <w:r>
        <w:tab/>
      </w:r>
      <w:r w:rsidRPr="00C4778F">
        <w:t xml:space="preserve">TasNetworks, </w:t>
      </w:r>
      <w:r w:rsidRPr="00C4778F">
        <w:rPr>
          <w:rStyle w:val="AERtextitalic"/>
        </w:rPr>
        <w:t>Response to AER Issues Paper: Tariff Structure Statements proposals – TasNetworks</w:t>
      </w:r>
      <w:r w:rsidRPr="00C4778F">
        <w:t>, April 2016, pp. 15–16.</w:t>
      </w:r>
    </w:p>
  </w:footnote>
  <w:footnote w:id="164">
    <w:p w:rsidR="00DA1631" w:rsidRDefault="00DA1631" w:rsidP="00A75C9A">
      <w:pPr>
        <w:pStyle w:val="FootnoteText"/>
      </w:pPr>
      <w:r>
        <w:rPr>
          <w:rStyle w:val="FootnoteReference"/>
        </w:rPr>
        <w:footnoteRef/>
      </w:r>
      <w:r>
        <w:t xml:space="preserve"> </w:t>
      </w:r>
      <w:r>
        <w:tab/>
        <w:t xml:space="preserve">AER, </w:t>
      </w:r>
      <w:r w:rsidRPr="003553C8">
        <w:rPr>
          <w:rStyle w:val="AERtextitalic"/>
        </w:rPr>
        <w:t>Draft decision: TasNetworks distribution determination 2017−18 to 2018−19: Attachment 19: Tariff structure statement</w:t>
      </w:r>
      <w:r>
        <w:t xml:space="preserve">, </w:t>
      </w:r>
      <w:r w:rsidRPr="00C01809">
        <w:t>September 2016</w:t>
      </w:r>
      <w:r>
        <w:t>, pp. 44–45.</w:t>
      </w:r>
    </w:p>
  </w:footnote>
  <w:footnote w:id="165">
    <w:p w:rsidR="00DA1631" w:rsidRDefault="00DA1631" w:rsidP="00A75C9A">
      <w:pPr>
        <w:pStyle w:val="FootnoteText"/>
      </w:pPr>
      <w:r>
        <w:rPr>
          <w:rStyle w:val="FootnoteReference"/>
        </w:rPr>
        <w:footnoteRef/>
      </w:r>
      <w:r>
        <w:t xml:space="preserve"> </w:t>
      </w:r>
      <w:r>
        <w:tab/>
      </w:r>
      <w:r w:rsidRPr="009F00C9">
        <w:t>NER, cl. 6.12.3(k).</w:t>
      </w:r>
    </w:p>
  </w:footnote>
  <w:footnote w:id="166">
    <w:p w:rsidR="00DA1631" w:rsidRDefault="00DA1631" w:rsidP="00A75C9A">
      <w:pPr>
        <w:pStyle w:val="FootnoteText"/>
      </w:pPr>
      <w:r>
        <w:rPr>
          <w:rStyle w:val="FootnoteReference"/>
        </w:rPr>
        <w:footnoteRef/>
      </w:r>
      <w:r>
        <w:t xml:space="preserve"> </w:t>
      </w:r>
      <w:r>
        <w:tab/>
      </w:r>
      <w:r w:rsidRPr="009F00C9">
        <w:t>NER, cl. 6.18.5(f).</w:t>
      </w:r>
    </w:p>
  </w:footnote>
  <w:footnote w:id="167">
    <w:p w:rsidR="00DA1631" w:rsidRDefault="00DA1631" w:rsidP="00A75C9A">
      <w:pPr>
        <w:pStyle w:val="FootnoteText"/>
      </w:pPr>
      <w:r>
        <w:rPr>
          <w:rStyle w:val="FootnoteReference"/>
        </w:rPr>
        <w:footnoteRef/>
      </w:r>
      <w:r>
        <w:t xml:space="preserve"> </w:t>
      </w:r>
      <w:r>
        <w:tab/>
      </w:r>
      <w:r w:rsidRPr="00E61E8B">
        <w:t xml:space="preserve">ENA, </w:t>
      </w:r>
      <w:r w:rsidRPr="00E61E8B">
        <w:rPr>
          <w:rStyle w:val="AERtextitalic"/>
        </w:rPr>
        <w:t>Submission: Australian Energy Regulator draft decision on tariff structure statement proposals</w:t>
      </w:r>
      <w:r w:rsidRPr="00E61E8B">
        <w:t>, 7 October 2016, p. 3.</w:t>
      </w:r>
      <w:r>
        <w:t xml:space="preserve"> This submission was for the tariff structure statement process for the NSW, ACT, SA and Queensland distributors. However, the discussion is equally relevant for TasNetworks' tariff structure statement.</w:t>
      </w:r>
    </w:p>
  </w:footnote>
  <w:footnote w:id="168">
    <w:p w:rsidR="00DA1631" w:rsidRDefault="00DA1631" w:rsidP="00A75C9A">
      <w:pPr>
        <w:pStyle w:val="FootnoteText"/>
      </w:pPr>
      <w:r>
        <w:rPr>
          <w:rStyle w:val="FootnoteReference"/>
        </w:rPr>
        <w:footnoteRef/>
      </w:r>
      <w:r>
        <w:t xml:space="preserve"> </w:t>
      </w:r>
      <w:r>
        <w:tab/>
      </w:r>
      <w:r w:rsidRPr="00E61E8B">
        <w:t xml:space="preserve">AEMC, </w:t>
      </w:r>
      <w:r w:rsidRPr="00E61E8B">
        <w:rPr>
          <w:rStyle w:val="AERtextitalic"/>
        </w:rPr>
        <w:t>Rule determination: National electricity amendment (distribution network pricing arrangements) rule 2014</w:t>
      </w:r>
      <w:r w:rsidRPr="00E61E8B">
        <w:t>, 27 November 2014, pp. 129–130.</w:t>
      </w:r>
    </w:p>
  </w:footnote>
  <w:footnote w:id="169">
    <w:p w:rsidR="00DA1631" w:rsidRDefault="00DA1631" w:rsidP="00A75C9A">
      <w:pPr>
        <w:pStyle w:val="FootnoteText"/>
      </w:pPr>
      <w:r>
        <w:rPr>
          <w:rStyle w:val="FootnoteReference"/>
        </w:rPr>
        <w:footnoteRef/>
      </w:r>
      <w:r>
        <w:t xml:space="preserve"> </w:t>
      </w:r>
      <w:r>
        <w:tab/>
      </w:r>
      <w:r w:rsidRPr="00E61E8B">
        <w:t xml:space="preserve">AEMC, </w:t>
      </w:r>
      <w:r w:rsidRPr="00E61E8B">
        <w:rPr>
          <w:rStyle w:val="AERtextitalic"/>
        </w:rPr>
        <w:t>Rule determination: National electricity amendment (distribution network pricing arrangements) rule 2014</w:t>
      </w:r>
      <w:r w:rsidRPr="00E61E8B">
        <w:t>, 27 November 2014, pp. 129–130.</w:t>
      </w:r>
    </w:p>
  </w:footnote>
  <w:footnote w:id="170">
    <w:p w:rsidR="00DA1631" w:rsidRDefault="00DA1631" w:rsidP="00A75C9A">
      <w:pPr>
        <w:pStyle w:val="FootnoteText"/>
      </w:pPr>
      <w:r>
        <w:rPr>
          <w:rStyle w:val="FootnoteReference"/>
        </w:rPr>
        <w:footnoteRef/>
      </w:r>
      <w:r>
        <w:t xml:space="preserve"> </w:t>
      </w:r>
      <w:r>
        <w:tab/>
      </w:r>
      <w:r w:rsidRPr="00A918B9">
        <w:t xml:space="preserve">NERA, </w:t>
      </w:r>
      <w:r w:rsidRPr="00A918B9">
        <w:rPr>
          <w:rStyle w:val="AERtextitalic"/>
        </w:rPr>
        <w:t>Economic concepts for pricing electricity network services: A report for the Australian Energy Market Commission</w:t>
      </w:r>
      <w:r w:rsidRPr="00A918B9">
        <w:t>, 21 July 2014, p. 32.</w:t>
      </w:r>
    </w:p>
  </w:footnote>
  <w:footnote w:id="171">
    <w:p w:rsidR="00DA1631" w:rsidRDefault="00DA1631" w:rsidP="00A75C9A">
      <w:pPr>
        <w:pStyle w:val="FootnoteText"/>
      </w:pPr>
      <w:r>
        <w:rPr>
          <w:rStyle w:val="FootnoteReference"/>
        </w:rPr>
        <w:footnoteRef/>
      </w:r>
      <w:r>
        <w:t xml:space="preserve"> </w:t>
      </w:r>
      <w:r>
        <w:tab/>
      </w:r>
      <w:r w:rsidRPr="00A918B9">
        <w:t xml:space="preserve">NERA, </w:t>
      </w:r>
      <w:r w:rsidRPr="00A918B9">
        <w:rPr>
          <w:rStyle w:val="AERtextitalic"/>
        </w:rPr>
        <w:t>Economic concepts for pricing electricity network services: A report for the Australian Energy Market Commission</w:t>
      </w:r>
      <w:r>
        <w:t>, 21 July 2014, p. 15</w:t>
      </w:r>
      <w:r w:rsidRPr="00A918B9">
        <w:t>.</w:t>
      </w:r>
    </w:p>
  </w:footnote>
  <w:footnote w:id="172">
    <w:p w:rsidR="00DA1631" w:rsidRDefault="00DA1631" w:rsidP="00A75C9A">
      <w:pPr>
        <w:pStyle w:val="FootnoteText"/>
      </w:pPr>
      <w:r>
        <w:rPr>
          <w:rStyle w:val="FootnoteReference"/>
        </w:rPr>
        <w:footnoteRef/>
      </w:r>
      <w:r>
        <w:t xml:space="preserve"> </w:t>
      </w:r>
      <w:r>
        <w:tab/>
      </w:r>
      <w:r w:rsidRPr="00A918B9">
        <w:t xml:space="preserve">NERA, </w:t>
      </w:r>
      <w:r w:rsidRPr="00A918B9">
        <w:rPr>
          <w:rStyle w:val="AERtextitalic"/>
        </w:rPr>
        <w:t>Economic concepts for pricing electricity network services: A report for the Australian Energy Market Commission</w:t>
      </w:r>
      <w:r w:rsidRPr="00A918B9">
        <w:t>, 21 July 2014, p. 32.</w:t>
      </w:r>
    </w:p>
  </w:footnote>
  <w:footnote w:id="173">
    <w:p w:rsidR="00DA1631" w:rsidRDefault="00DA1631" w:rsidP="00A75C9A">
      <w:pPr>
        <w:pStyle w:val="FootnoteText"/>
      </w:pPr>
      <w:r>
        <w:rPr>
          <w:rStyle w:val="FootnoteReference"/>
        </w:rPr>
        <w:footnoteRef/>
      </w:r>
      <w:r>
        <w:t xml:space="preserve"> </w:t>
      </w:r>
      <w:r>
        <w:tab/>
      </w:r>
      <w:r w:rsidRPr="00A918B9">
        <w:t xml:space="preserve">NERA, </w:t>
      </w:r>
      <w:r w:rsidRPr="00A918B9">
        <w:rPr>
          <w:rStyle w:val="AERtextitalic"/>
        </w:rPr>
        <w:t>Economic concepts for pricing electricity network services: A report for the Australian Energy Market Commission</w:t>
      </w:r>
      <w:r>
        <w:t>, 21 July 2014, pp. 14–15</w:t>
      </w:r>
      <w:r w:rsidRPr="00A918B9">
        <w:t>.</w:t>
      </w:r>
    </w:p>
  </w:footnote>
  <w:footnote w:id="174">
    <w:p w:rsidR="00DA1631" w:rsidRDefault="00DA1631" w:rsidP="00A75C9A">
      <w:pPr>
        <w:pStyle w:val="FootnoteText"/>
      </w:pPr>
      <w:r>
        <w:rPr>
          <w:rStyle w:val="FootnoteReference"/>
        </w:rPr>
        <w:footnoteRef/>
      </w:r>
      <w:r>
        <w:t xml:space="preserve"> </w:t>
      </w:r>
      <w:r>
        <w:tab/>
      </w:r>
      <w:r w:rsidRPr="00A918B9">
        <w:t xml:space="preserve">NERA, </w:t>
      </w:r>
      <w:r w:rsidRPr="00A918B9">
        <w:rPr>
          <w:rStyle w:val="AERtextitalic"/>
        </w:rPr>
        <w:t>Economic concepts for pricing electricity network services: A report for the Australian Energy Market Commission</w:t>
      </w:r>
      <w:r>
        <w:t>, 21 July 2014, p. 15</w:t>
      </w:r>
      <w:r w:rsidRPr="00A918B9">
        <w:t>.</w:t>
      </w:r>
    </w:p>
  </w:footnote>
  <w:footnote w:id="175">
    <w:p w:rsidR="00DA1631" w:rsidRDefault="00DA1631" w:rsidP="00A75C9A">
      <w:pPr>
        <w:pStyle w:val="FootnoteText"/>
      </w:pPr>
      <w:r>
        <w:rPr>
          <w:rStyle w:val="FootnoteReference"/>
        </w:rPr>
        <w:footnoteRef/>
      </w:r>
      <w:r>
        <w:t xml:space="preserve"> </w:t>
      </w:r>
      <w:r>
        <w:tab/>
      </w:r>
      <w:r w:rsidRPr="00A918B9">
        <w:t xml:space="preserve">NERA, </w:t>
      </w:r>
      <w:r w:rsidRPr="00A918B9">
        <w:rPr>
          <w:rStyle w:val="AERtextitalic"/>
        </w:rPr>
        <w:t>Economic concepts for pricing electricity network services: A report for the Australian Energy Market Commission</w:t>
      </w:r>
      <w:r>
        <w:t>, 21 July 2014, p. 16</w:t>
      </w:r>
      <w:r w:rsidRPr="00A918B9">
        <w:t>.</w:t>
      </w:r>
    </w:p>
  </w:footnote>
  <w:footnote w:id="176">
    <w:p w:rsidR="00DA1631" w:rsidRDefault="00DA1631" w:rsidP="00A75C9A">
      <w:pPr>
        <w:pStyle w:val="FootnoteText"/>
      </w:pPr>
      <w:r>
        <w:rPr>
          <w:rStyle w:val="FootnoteReference"/>
        </w:rPr>
        <w:footnoteRef/>
      </w:r>
      <w:r>
        <w:t xml:space="preserve"> </w:t>
      </w:r>
      <w:r>
        <w:tab/>
      </w:r>
      <w:r w:rsidRPr="00CA0E4C">
        <w:t>Whether the resultant method is still strictly the average incremental cost method is another matter.</w:t>
      </w:r>
    </w:p>
  </w:footnote>
  <w:footnote w:id="177">
    <w:p w:rsidR="00DA1631" w:rsidRDefault="00DA1631" w:rsidP="00A75C9A">
      <w:pPr>
        <w:pStyle w:val="FootnoteText"/>
      </w:pPr>
      <w:r>
        <w:rPr>
          <w:rStyle w:val="FootnoteReference"/>
        </w:rPr>
        <w:footnoteRef/>
      </w:r>
      <w:r>
        <w:t xml:space="preserve"> </w:t>
      </w:r>
      <w:r>
        <w:tab/>
      </w:r>
      <w:r w:rsidRPr="00A26BE5">
        <w:t>NER, Chapter 10–Glossary.</w:t>
      </w:r>
    </w:p>
  </w:footnote>
  <w:footnote w:id="178">
    <w:p w:rsidR="00DA1631" w:rsidRDefault="00DA1631" w:rsidP="00A75C9A">
      <w:pPr>
        <w:pStyle w:val="FootnoteText"/>
      </w:pPr>
      <w:r>
        <w:rPr>
          <w:rStyle w:val="FootnoteReference"/>
        </w:rPr>
        <w:footnoteRef/>
      </w:r>
      <w:r>
        <w:t xml:space="preserve"> </w:t>
      </w:r>
      <w:r>
        <w:tab/>
        <w:t xml:space="preserve">AER, </w:t>
      </w:r>
      <w:r w:rsidRPr="003553C8">
        <w:rPr>
          <w:rStyle w:val="AERtextitalic"/>
        </w:rPr>
        <w:t>Draft decision: TasNetworks distribution determination 2017−18 to 2018−19: Attachment 19: Tariff structure statement</w:t>
      </w:r>
      <w:r>
        <w:t xml:space="preserve">, </w:t>
      </w:r>
      <w:r w:rsidRPr="00C01809">
        <w:t>September 2016</w:t>
      </w:r>
      <w:r>
        <w:t xml:space="preserve">, p. 44; TasNetworks, </w:t>
      </w:r>
      <w:r w:rsidRPr="003553C8">
        <w:rPr>
          <w:rStyle w:val="AERtextitalic"/>
        </w:rPr>
        <w:t>AER information request: TasNetworks response to questions raised by the AER</w:t>
      </w:r>
      <w:r>
        <w:t>, May 2016, p. 16.</w:t>
      </w:r>
    </w:p>
  </w:footnote>
  <w:footnote w:id="179">
    <w:p w:rsidR="00DA1631" w:rsidRDefault="00DA1631" w:rsidP="00A75C9A">
      <w:pPr>
        <w:pStyle w:val="FootnoteText"/>
      </w:pPr>
      <w:r>
        <w:rPr>
          <w:rStyle w:val="FootnoteReference"/>
        </w:rPr>
        <w:footnoteRef/>
      </w:r>
      <w:r>
        <w:t xml:space="preserve"> </w:t>
      </w:r>
      <w:r>
        <w:tab/>
        <w:t xml:space="preserve">TasNetworks, </w:t>
      </w:r>
      <w:r w:rsidRPr="007C6A31">
        <w:rPr>
          <w:rStyle w:val="AERtextitalic"/>
        </w:rPr>
        <w:t xml:space="preserve">Tariff structure statement: </w:t>
      </w:r>
      <w:r>
        <w:rPr>
          <w:rStyle w:val="AERtextitalic"/>
        </w:rPr>
        <w:t>Background and explanation</w:t>
      </w:r>
      <w:r>
        <w:t>, December 2016, p. 79.</w:t>
      </w:r>
    </w:p>
  </w:footnote>
  <w:footnote w:id="180">
    <w:p w:rsidR="00DA1631" w:rsidRDefault="00DA1631" w:rsidP="00A75C9A">
      <w:pPr>
        <w:pStyle w:val="FootnoteText"/>
      </w:pPr>
      <w:r>
        <w:rPr>
          <w:rStyle w:val="FootnoteReference"/>
        </w:rPr>
        <w:footnoteRef/>
      </w:r>
      <w:r>
        <w:t xml:space="preserve"> </w:t>
      </w:r>
      <w:r>
        <w:tab/>
      </w:r>
      <w:r w:rsidRPr="00E61E8B">
        <w:t xml:space="preserve">ENA, </w:t>
      </w:r>
      <w:r w:rsidRPr="00E61E8B">
        <w:rPr>
          <w:rStyle w:val="AERtextitalic"/>
        </w:rPr>
        <w:t>Submission: Australian Energy Regulator draft decision on tariff structure statement proposals</w:t>
      </w:r>
      <w:r>
        <w:t>, 7 October 2016, p. 2</w:t>
      </w:r>
      <w:r w:rsidRPr="00E61E8B">
        <w:t>.</w:t>
      </w:r>
    </w:p>
  </w:footnote>
  <w:footnote w:id="181">
    <w:p w:rsidR="00DA1631" w:rsidRDefault="00DA1631" w:rsidP="00A75C9A">
      <w:pPr>
        <w:pStyle w:val="FootnoteText"/>
      </w:pPr>
      <w:r>
        <w:rPr>
          <w:rStyle w:val="FootnoteReference"/>
        </w:rPr>
        <w:footnoteRef/>
      </w:r>
      <w:r>
        <w:t xml:space="preserve"> </w:t>
      </w:r>
      <w:r>
        <w:tab/>
      </w:r>
      <w:r w:rsidRPr="008C154F">
        <w:t xml:space="preserve">AER, </w:t>
      </w:r>
      <w:r w:rsidRPr="00824C4C">
        <w:rPr>
          <w:rStyle w:val="AERtextitalic"/>
        </w:rPr>
        <w:t>File note - Non-Victorian TSS - Discussion with ENA</w:t>
      </w:r>
      <w:r w:rsidRPr="008C154F">
        <w:t>, 17 October 2016 (AER reference: D16/140751).</w:t>
      </w:r>
    </w:p>
  </w:footnote>
  <w:footnote w:id="182">
    <w:p w:rsidR="00DA1631" w:rsidRDefault="00DA1631" w:rsidP="00A75C9A">
      <w:pPr>
        <w:pStyle w:val="FootnoteText"/>
      </w:pPr>
      <w:r>
        <w:rPr>
          <w:rStyle w:val="FootnoteReference"/>
        </w:rPr>
        <w:footnoteRef/>
      </w:r>
      <w:r>
        <w:t xml:space="preserve"> </w:t>
      </w:r>
      <w:r>
        <w:tab/>
        <w:t>NER, cl 6.18.5(g)(3) and (h).</w:t>
      </w:r>
    </w:p>
  </w:footnote>
  <w:footnote w:id="183">
    <w:p w:rsidR="00DA1631" w:rsidRDefault="00DA1631" w:rsidP="00A75C9A">
      <w:pPr>
        <w:pStyle w:val="FootnoteText"/>
      </w:pPr>
      <w:r>
        <w:rPr>
          <w:rStyle w:val="FootnoteReference"/>
        </w:rPr>
        <w:footnoteRef/>
      </w:r>
      <w:r>
        <w:t xml:space="preserve"> </w:t>
      </w:r>
      <w:r>
        <w:tab/>
      </w:r>
      <w:r w:rsidRPr="000B0D2F">
        <w:t>NER, cl. 6.18.5(g)(3).</w:t>
      </w:r>
    </w:p>
  </w:footnote>
  <w:footnote w:id="184">
    <w:p w:rsidR="00DA1631" w:rsidRDefault="00DA1631" w:rsidP="00A75C9A">
      <w:pPr>
        <w:pStyle w:val="FootnoteText"/>
      </w:pPr>
      <w:r>
        <w:rPr>
          <w:rStyle w:val="FootnoteReference"/>
        </w:rPr>
        <w:footnoteRef/>
      </w:r>
      <w:r>
        <w:t xml:space="preserve"> </w:t>
      </w:r>
      <w:r>
        <w:tab/>
        <w:t xml:space="preserve">See also TasNetworks, </w:t>
      </w:r>
      <w:r w:rsidRPr="007C7EE7">
        <w:rPr>
          <w:rStyle w:val="AERtextitalic"/>
        </w:rPr>
        <w:t>AER information request: TasNetworks response to questions raised by the AER</w:t>
      </w:r>
      <w:r w:rsidRPr="007C7EE7">
        <w:t>, May 2016, p</w:t>
      </w:r>
      <w:r>
        <w:t>p</w:t>
      </w:r>
      <w:r w:rsidRPr="007C7EE7">
        <w:t>.</w:t>
      </w:r>
      <w:r>
        <w:t xml:space="preserve"> 14 and</w:t>
      </w:r>
      <w:r w:rsidRPr="007C7EE7">
        <w:t xml:space="preserve"> 1</w:t>
      </w:r>
      <w:r>
        <w:t>8–19.</w:t>
      </w:r>
    </w:p>
  </w:footnote>
  <w:footnote w:id="185">
    <w:p w:rsidR="00DA1631" w:rsidRDefault="00DA1631" w:rsidP="00A75C9A">
      <w:pPr>
        <w:pStyle w:val="FootnoteText"/>
      </w:pPr>
      <w:r>
        <w:rPr>
          <w:rStyle w:val="FootnoteReference"/>
        </w:rPr>
        <w:footnoteRef/>
      </w:r>
      <w:r>
        <w:t xml:space="preserve"> </w:t>
      </w:r>
      <w:r>
        <w:tab/>
        <w:t xml:space="preserve">TasNetworks, </w:t>
      </w:r>
      <w:r w:rsidRPr="007C6A31">
        <w:rPr>
          <w:rStyle w:val="AERtextitalic"/>
        </w:rPr>
        <w:t xml:space="preserve">Tariff structure statement: </w:t>
      </w:r>
      <w:r w:rsidRPr="000716DD">
        <w:rPr>
          <w:rStyle w:val="AERtextitalic"/>
        </w:rPr>
        <w:t>Background and explanation</w:t>
      </w:r>
      <w:r>
        <w:t xml:space="preserve">, December 2016, p. 82; TasNetworks, </w:t>
      </w:r>
      <w:r w:rsidRPr="007C7EE7">
        <w:rPr>
          <w:rStyle w:val="AERtextitalic"/>
        </w:rPr>
        <w:t>AER information request: TasNetworks response to questions raised by the AER</w:t>
      </w:r>
      <w:r w:rsidRPr="007C7EE7">
        <w:t>, May 2016, p</w:t>
      </w:r>
      <w:r>
        <w:t>p</w:t>
      </w:r>
      <w:r w:rsidRPr="007C7EE7">
        <w:t>.</w:t>
      </w:r>
      <w:r>
        <w:t xml:space="preserve"> 14 and</w:t>
      </w:r>
      <w:r w:rsidRPr="007C7EE7">
        <w:t xml:space="preserve"> 1</w:t>
      </w:r>
      <w:r>
        <w:t>8–19.</w:t>
      </w:r>
    </w:p>
  </w:footnote>
  <w:footnote w:id="186">
    <w:p w:rsidR="00DA1631" w:rsidRDefault="00DA1631" w:rsidP="00A75C9A">
      <w:pPr>
        <w:pStyle w:val="FootnoteText"/>
      </w:pPr>
      <w:r>
        <w:rPr>
          <w:rStyle w:val="FootnoteReference"/>
        </w:rPr>
        <w:footnoteRef/>
      </w:r>
      <w:r>
        <w:t xml:space="preserve"> </w:t>
      </w:r>
      <w:r>
        <w:tab/>
        <w:t>The NSW distributors also proposed to recover residual costs from the usage charges of time-of-use tariffs (in addition to long run marginal costs).</w:t>
      </w:r>
    </w:p>
  </w:footnote>
  <w:footnote w:id="187">
    <w:p w:rsidR="00DA1631" w:rsidRDefault="00DA1631" w:rsidP="00A75C9A">
      <w:pPr>
        <w:pStyle w:val="FootnoteText"/>
      </w:pPr>
      <w:r>
        <w:rPr>
          <w:rStyle w:val="FootnoteReference"/>
        </w:rPr>
        <w:footnoteRef/>
      </w:r>
      <w:r>
        <w:t xml:space="preserve"> </w:t>
      </w:r>
      <w:r>
        <w:tab/>
      </w:r>
      <w:r w:rsidRPr="00B83D92">
        <w:t xml:space="preserve">TasNetworks, </w:t>
      </w:r>
      <w:r w:rsidRPr="00B83D92">
        <w:rPr>
          <w:rStyle w:val="AERtextitalic"/>
        </w:rPr>
        <w:t>Tariff structure statement: Background and explanation</w:t>
      </w:r>
      <w:r w:rsidRPr="00B83D92">
        <w:t>, December 2016, p. 79.</w:t>
      </w:r>
    </w:p>
  </w:footnote>
  <w:footnote w:id="188">
    <w:p w:rsidR="00DA1631" w:rsidRDefault="00DA1631" w:rsidP="00A75C9A">
      <w:pPr>
        <w:pStyle w:val="FootnoteText"/>
      </w:pPr>
      <w:r>
        <w:rPr>
          <w:rStyle w:val="FootnoteReference"/>
        </w:rPr>
        <w:footnoteRef/>
      </w:r>
      <w:r>
        <w:t xml:space="preserve"> </w:t>
      </w:r>
      <w:r>
        <w:tab/>
      </w:r>
      <w:r w:rsidRPr="00B83D92">
        <w:t xml:space="preserve">TasNetworks, </w:t>
      </w:r>
      <w:r w:rsidRPr="00B83D92">
        <w:rPr>
          <w:rStyle w:val="AERtextitalic"/>
        </w:rPr>
        <w:t xml:space="preserve">Tariff structure statement: </w:t>
      </w:r>
      <w:r>
        <w:rPr>
          <w:rStyle w:val="AERtextitalic"/>
        </w:rPr>
        <w:t>Formal statement</w:t>
      </w:r>
      <w:r w:rsidRPr="00B83D92">
        <w:t xml:space="preserve">, December 2016, p. </w:t>
      </w:r>
      <w:r>
        <w:t>6</w:t>
      </w:r>
      <w:r w:rsidRPr="00B83D92">
        <w:t>.</w:t>
      </w:r>
    </w:p>
  </w:footnote>
  <w:footnote w:id="189">
    <w:p w:rsidR="00DA1631" w:rsidRDefault="00DA1631" w:rsidP="00A75C9A">
      <w:pPr>
        <w:pStyle w:val="FootnoteText"/>
      </w:pPr>
      <w:r>
        <w:rPr>
          <w:rStyle w:val="FootnoteReference"/>
        </w:rPr>
        <w:footnoteRef/>
      </w:r>
      <w:r>
        <w:t xml:space="preserve"> </w:t>
      </w:r>
      <w:r>
        <w:tab/>
        <w:t>NER, cl 6.18.5(g)(3) and (h).</w:t>
      </w:r>
    </w:p>
  </w:footnote>
  <w:footnote w:id="190">
    <w:p w:rsidR="00DA1631" w:rsidRDefault="00DA1631" w:rsidP="00A75C9A">
      <w:pPr>
        <w:pStyle w:val="FootnoteText"/>
      </w:pPr>
      <w:r>
        <w:rPr>
          <w:rStyle w:val="FootnoteReference"/>
        </w:rPr>
        <w:footnoteRef/>
      </w:r>
      <w:r>
        <w:t xml:space="preserve"> </w:t>
      </w:r>
      <w:r>
        <w:tab/>
        <w:t xml:space="preserve">AER, </w:t>
      </w:r>
      <w:r w:rsidRPr="003553C8">
        <w:rPr>
          <w:rStyle w:val="AERtextitalic"/>
        </w:rPr>
        <w:t>Draft decision: TasNetworks distribution determination 2017−18 to 2018−19: Attachment 19: Tariff structure statement</w:t>
      </w:r>
      <w:r>
        <w:t xml:space="preserve">, </w:t>
      </w:r>
      <w:r w:rsidRPr="00C01809">
        <w:t>September 2016</w:t>
      </w:r>
      <w:r>
        <w:t>, p. 48.</w:t>
      </w:r>
    </w:p>
  </w:footnote>
  <w:footnote w:id="191">
    <w:p w:rsidR="00DA1631" w:rsidRDefault="00DA1631" w:rsidP="00A75C9A">
      <w:pPr>
        <w:pStyle w:val="FootnoteText"/>
      </w:pPr>
      <w:r>
        <w:rPr>
          <w:rStyle w:val="FootnoteReference"/>
        </w:rPr>
        <w:footnoteRef/>
      </w:r>
      <w:r>
        <w:t xml:space="preserve"> </w:t>
      </w:r>
      <w:r>
        <w:tab/>
        <w:t>NER, cl 6.18.5(h).</w:t>
      </w:r>
    </w:p>
  </w:footnote>
  <w:footnote w:id="192">
    <w:p w:rsidR="00DA1631" w:rsidRDefault="00DA1631" w:rsidP="00A75C9A">
      <w:pPr>
        <w:pStyle w:val="FootnoteText"/>
      </w:pPr>
      <w:r>
        <w:rPr>
          <w:rStyle w:val="FootnoteReference"/>
        </w:rPr>
        <w:footnoteRef/>
      </w:r>
      <w:r>
        <w:t xml:space="preserve"> </w:t>
      </w:r>
      <w:r>
        <w:tab/>
      </w:r>
      <w:r w:rsidRPr="00B83D92">
        <w:t xml:space="preserve">TasNetworks, </w:t>
      </w:r>
      <w:r w:rsidRPr="00B83D92">
        <w:rPr>
          <w:rStyle w:val="AERtextitalic"/>
        </w:rPr>
        <w:t>Tariff structure statement: Background and explanation</w:t>
      </w:r>
      <w:r>
        <w:t>, December 2016, pp</w:t>
      </w:r>
      <w:r w:rsidRPr="00B83D92">
        <w:t>.</w:t>
      </w:r>
      <w:r>
        <w:t xml:space="preserve"> 14–15.</w:t>
      </w:r>
    </w:p>
  </w:footnote>
  <w:footnote w:id="193">
    <w:p w:rsidR="00DA1631" w:rsidRDefault="00DA1631" w:rsidP="00A75C9A">
      <w:pPr>
        <w:pStyle w:val="FootnoteText"/>
      </w:pPr>
      <w:r>
        <w:rPr>
          <w:rStyle w:val="FootnoteReference"/>
        </w:rPr>
        <w:footnoteRef/>
      </w:r>
      <w:r>
        <w:t xml:space="preserve"> </w:t>
      </w:r>
      <w:r>
        <w:tab/>
      </w:r>
      <w:r w:rsidRPr="00B83D92">
        <w:t xml:space="preserve">TasNetworks, </w:t>
      </w:r>
      <w:r w:rsidRPr="00B83D92">
        <w:rPr>
          <w:rStyle w:val="AERtextitalic"/>
        </w:rPr>
        <w:t>Tariff structure statement: Background and explanation</w:t>
      </w:r>
      <w:r>
        <w:t>, December 2016, p</w:t>
      </w:r>
      <w:r w:rsidRPr="00B83D92">
        <w:t>.</w:t>
      </w:r>
      <w:r>
        <w:t xml:space="preserve"> 15.</w:t>
      </w:r>
    </w:p>
  </w:footnote>
  <w:footnote w:id="194">
    <w:p w:rsidR="00DA1631" w:rsidRDefault="00DA1631" w:rsidP="00A75C9A">
      <w:pPr>
        <w:pStyle w:val="FootnoteText"/>
      </w:pPr>
      <w:r>
        <w:rPr>
          <w:rStyle w:val="FootnoteReference"/>
        </w:rPr>
        <w:footnoteRef/>
      </w:r>
      <w:r>
        <w:t xml:space="preserve"> </w:t>
      </w:r>
      <w:r>
        <w:tab/>
      </w:r>
      <w:r w:rsidRPr="00B83D92">
        <w:t xml:space="preserve">TasNetworks, </w:t>
      </w:r>
      <w:r w:rsidRPr="00B83D92">
        <w:rPr>
          <w:rStyle w:val="AERtextitalic"/>
        </w:rPr>
        <w:t>Tariff structure statement: Background and explanation</w:t>
      </w:r>
      <w:r>
        <w:t>, December 2016, p</w:t>
      </w:r>
      <w:r w:rsidRPr="00B83D92">
        <w:t>.</w:t>
      </w:r>
      <w:r>
        <w:t xml:space="preserve"> 15.</w:t>
      </w:r>
    </w:p>
  </w:footnote>
  <w:footnote w:id="195">
    <w:p w:rsidR="00DA1631" w:rsidRDefault="00DA1631" w:rsidP="005201CF">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15</w:t>
      </w:r>
      <w:r w:rsidRPr="004C48BD">
        <w:t>.</w:t>
      </w:r>
      <w:r>
        <w:t xml:space="preserve"> </w:t>
      </w:r>
    </w:p>
  </w:footnote>
  <w:footnote w:id="196">
    <w:p w:rsidR="00DA1631" w:rsidRDefault="00DA1631" w:rsidP="005201CF">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 </w:t>
      </w:r>
      <w:r>
        <w:t>15</w:t>
      </w:r>
      <w:r w:rsidRPr="004C48BD">
        <w:t>.</w:t>
      </w:r>
      <w:r>
        <w:t xml:space="preserve"> </w:t>
      </w:r>
    </w:p>
  </w:footnote>
  <w:footnote w:id="197">
    <w:p w:rsidR="00DA1631" w:rsidRDefault="00DA1631" w:rsidP="00506DBE">
      <w:pPr>
        <w:pStyle w:val="FootnoteText"/>
      </w:pPr>
      <w:r>
        <w:rPr>
          <w:rStyle w:val="FootnoteReference"/>
        </w:rPr>
        <w:footnoteRef/>
      </w:r>
      <w:r>
        <w:t xml:space="preserve"> </w:t>
      </w:r>
      <w:r>
        <w:tab/>
        <w:t xml:space="preserve">Nekon, </w:t>
      </w:r>
      <w:r w:rsidRPr="00AD1BD6">
        <w:rPr>
          <w:rStyle w:val="AERtextitalic"/>
        </w:rPr>
        <w:t>Submission on TasNetworks' draft decision and tariff structure statement</w:t>
      </w:r>
      <w:r>
        <w:t xml:space="preserve">, 29 November 2016 p. 2; Nekon, </w:t>
      </w:r>
      <w:r w:rsidRPr="006957F4">
        <w:rPr>
          <w:rStyle w:val="AERtextitalic"/>
        </w:rPr>
        <w:t>Submission</w:t>
      </w:r>
      <w:r>
        <w:rPr>
          <w:rStyle w:val="AERtextitalic"/>
        </w:rPr>
        <w:t xml:space="preserve"> on</w:t>
      </w:r>
      <w:r w:rsidRPr="006957F4">
        <w:rPr>
          <w:rStyle w:val="AERtextitalic"/>
        </w:rPr>
        <w:t xml:space="preserve"> TasNetworks</w:t>
      </w:r>
      <w:r>
        <w:rPr>
          <w:rStyle w:val="AERtextitalic"/>
        </w:rPr>
        <w:t>'</w:t>
      </w:r>
      <w:r w:rsidRPr="006957F4">
        <w:rPr>
          <w:rStyle w:val="AERtextitalic"/>
        </w:rPr>
        <w:t xml:space="preserve"> distribution determination proposal for 2017–19</w:t>
      </w:r>
      <w:r>
        <w:t>, 9 December 2016.</w:t>
      </w:r>
    </w:p>
  </w:footnote>
  <w:footnote w:id="198">
    <w:p w:rsidR="00DA1631" w:rsidRDefault="00DA1631" w:rsidP="00A75C9A">
      <w:pPr>
        <w:pStyle w:val="FootnoteText"/>
      </w:pPr>
      <w:r>
        <w:rPr>
          <w:rStyle w:val="FootnoteReference"/>
        </w:rPr>
        <w:footnoteRef/>
      </w:r>
      <w:r>
        <w:t xml:space="preserve"> </w:t>
      </w:r>
      <w:r>
        <w:tab/>
        <w:t>TREA, S</w:t>
      </w:r>
      <w:r w:rsidRPr="00822709">
        <w:rPr>
          <w:rStyle w:val="AERtextitalic"/>
        </w:rPr>
        <w:t>ubmission</w:t>
      </w:r>
      <w:r>
        <w:rPr>
          <w:rStyle w:val="AERtextitalic"/>
        </w:rPr>
        <w:t xml:space="preserve"> on TasNetworks' draft decision and tariff structure statement</w:t>
      </w:r>
      <w:r>
        <w:t xml:space="preserve">, </w:t>
      </w:r>
      <w:r w:rsidRPr="00822709">
        <w:t>1 December 2016</w:t>
      </w:r>
      <w:r>
        <w:t xml:space="preserve">, p. 1; TSBC, </w:t>
      </w:r>
      <w:r w:rsidRPr="00246BCE">
        <w:rPr>
          <w:rStyle w:val="AERtextitalic"/>
        </w:rPr>
        <w:t>Submission</w:t>
      </w:r>
      <w:r>
        <w:rPr>
          <w:rStyle w:val="AERtextitalic"/>
        </w:rPr>
        <w:t xml:space="preserve"> on TasNetworks' draft decision and tariff structure statement</w:t>
      </w:r>
      <w:r>
        <w:t xml:space="preserve">, </w:t>
      </w:r>
      <w:r w:rsidRPr="00246BCE">
        <w:t>November 2016</w:t>
      </w:r>
      <w:r>
        <w:t>, p. 17.</w:t>
      </w:r>
    </w:p>
  </w:footnote>
  <w:footnote w:id="199">
    <w:p w:rsidR="00DA1631" w:rsidRDefault="00DA1631">
      <w:pPr>
        <w:pStyle w:val="FootnoteText"/>
      </w:pPr>
      <w:r>
        <w:rPr>
          <w:rStyle w:val="FootnoteReference"/>
        </w:rPr>
        <w:footnoteRef/>
      </w:r>
      <w:r>
        <w:t xml:space="preserve"> </w:t>
      </w:r>
      <w:r>
        <w:tab/>
        <w:t xml:space="preserve">CCP4 – David Headberry, </w:t>
      </w:r>
      <w:r w:rsidRPr="007B697B">
        <w:rPr>
          <w:rStyle w:val="AERtextitalic"/>
        </w:rPr>
        <w:t>Submission on TasNetworks' revised proposal</w:t>
      </w:r>
      <w:r>
        <w:t>, 21 December 2016, p. 41.</w:t>
      </w:r>
    </w:p>
  </w:footnote>
  <w:footnote w:id="200">
    <w:p w:rsidR="00DA1631" w:rsidRDefault="00DA1631" w:rsidP="00506DBE">
      <w:pPr>
        <w:pStyle w:val="FootnoteText"/>
      </w:pPr>
      <w:r>
        <w:rPr>
          <w:rStyle w:val="FootnoteReference"/>
        </w:rPr>
        <w:footnoteRef/>
      </w:r>
      <w:r>
        <w:t xml:space="preserve"> </w:t>
      </w:r>
      <w:r>
        <w:tab/>
        <w:t>CCP4 – David Headberry, S</w:t>
      </w:r>
      <w:r w:rsidRPr="00822709">
        <w:rPr>
          <w:rStyle w:val="AERtextitalic"/>
        </w:rPr>
        <w:t>ubmission</w:t>
      </w:r>
      <w:r>
        <w:rPr>
          <w:rStyle w:val="AERtextitalic"/>
        </w:rPr>
        <w:t xml:space="preserve"> on TasNetworks' draft decision and tariff structure statement</w:t>
      </w:r>
      <w:r>
        <w:t>, 12 December 2016, pp. 40–41.</w:t>
      </w:r>
    </w:p>
  </w:footnote>
  <w:footnote w:id="201">
    <w:p w:rsidR="00DA1631" w:rsidRDefault="00DA1631" w:rsidP="00A75C9A">
      <w:pPr>
        <w:pStyle w:val="FootnoteText"/>
      </w:pPr>
      <w:r>
        <w:rPr>
          <w:rStyle w:val="FootnoteReference"/>
        </w:rPr>
        <w:footnoteRef/>
      </w:r>
      <w:r>
        <w:t xml:space="preserve"> </w:t>
      </w:r>
      <w:r>
        <w:tab/>
        <w:t xml:space="preserve">Herbst J, </w:t>
      </w:r>
      <w:r w:rsidRPr="00CE057F">
        <w:rPr>
          <w:rStyle w:val="AERtextitalic"/>
        </w:rPr>
        <w:t>Submission</w:t>
      </w:r>
      <w:r>
        <w:rPr>
          <w:rStyle w:val="AERtextitalic"/>
        </w:rPr>
        <w:t xml:space="preserve"> on</w:t>
      </w:r>
      <w:r w:rsidRPr="00CE057F">
        <w:rPr>
          <w:rStyle w:val="AERtextitalic"/>
        </w:rPr>
        <w:t xml:space="preserve"> TasNetworks’ tariff structure s</w:t>
      </w:r>
      <w:r>
        <w:rPr>
          <w:rStyle w:val="AERtextitalic"/>
        </w:rPr>
        <w:t>tatement 2017–</w:t>
      </w:r>
      <w:r w:rsidRPr="00CE057F">
        <w:rPr>
          <w:rStyle w:val="AERtextitalic"/>
        </w:rPr>
        <w:t>2019</w:t>
      </w:r>
      <w:r>
        <w:t xml:space="preserve">, 23 December 2016, p. 3; Powe M, </w:t>
      </w:r>
      <w:r>
        <w:rPr>
          <w:rStyle w:val="AERtextitalic"/>
        </w:rPr>
        <w:t>Submission on</w:t>
      </w:r>
      <w:r w:rsidRPr="00CE057F">
        <w:rPr>
          <w:rStyle w:val="AERtextitalic"/>
        </w:rPr>
        <w:t xml:space="preserve"> TasNetworks’ revised </w:t>
      </w:r>
      <w:r>
        <w:rPr>
          <w:rStyle w:val="AERtextitalic"/>
        </w:rPr>
        <w:t>proposal</w:t>
      </w:r>
      <w:r>
        <w:t>, 22 December 2016.</w:t>
      </w:r>
    </w:p>
  </w:footnote>
  <w:footnote w:id="202">
    <w:p w:rsidR="00DA1631" w:rsidRDefault="00DA1631" w:rsidP="00A75C9A">
      <w:pPr>
        <w:pStyle w:val="FootnoteText"/>
      </w:pPr>
      <w:r>
        <w:rPr>
          <w:rStyle w:val="FootnoteReference"/>
        </w:rPr>
        <w:footnoteRef/>
      </w:r>
      <w:r>
        <w:t xml:space="preserve"> </w:t>
      </w:r>
      <w:r>
        <w:tab/>
        <w:t>NER, cl 6.18.5(h).</w:t>
      </w:r>
    </w:p>
  </w:footnote>
  <w:footnote w:id="203">
    <w:p w:rsidR="00DA1631" w:rsidRDefault="00DA1631">
      <w:pPr>
        <w:pStyle w:val="FootnoteText"/>
      </w:pPr>
      <w:r>
        <w:rPr>
          <w:rStyle w:val="FootnoteReference"/>
        </w:rPr>
        <w:footnoteRef/>
      </w:r>
      <w:r>
        <w:t xml:space="preserve"> </w:t>
      </w:r>
      <w:r>
        <w:tab/>
        <w:t xml:space="preserve">CCP4 – David Headberry, </w:t>
      </w:r>
      <w:r w:rsidRPr="007B697B">
        <w:rPr>
          <w:rStyle w:val="AERtextitalic"/>
        </w:rPr>
        <w:t>Submission on TasNetworks' revised proposal</w:t>
      </w:r>
      <w:r>
        <w:t>, 21 December 2016, p. 41.</w:t>
      </w:r>
    </w:p>
  </w:footnote>
  <w:footnote w:id="204">
    <w:p w:rsidR="00DA1631" w:rsidRDefault="00DA1631" w:rsidP="00A75C9A">
      <w:pPr>
        <w:pStyle w:val="FootnoteText"/>
      </w:pPr>
      <w:r>
        <w:rPr>
          <w:rStyle w:val="FootnoteReference"/>
        </w:rPr>
        <w:footnoteRef/>
      </w:r>
      <w:r>
        <w:t xml:space="preserve"> </w:t>
      </w:r>
      <w:r>
        <w:tab/>
        <w:t xml:space="preserve">TasNetworks, </w:t>
      </w:r>
      <w:r w:rsidRPr="007C7EE7">
        <w:rPr>
          <w:rStyle w:val="AERtextitalic"/>
        </w:rPr>
        <w:t>AER information request: TasNetworks response to questions raised by the AER</w:t>
      </w:r>
      <w:r w:rsidRPr="007C7EE7">
        <w:t>, May 2016, p.</w:t>
      </w:r>
      <w:r>
        <w:t xml:space="preserve"> 11.</w:t>
      </w:r>
    </w:p>
  </w:footnote>
  <w:footnote w:id="205">
    <w:p w:rsidR="00DA1631" w:rsidRDefault="00DA1631" w:rsidP="00A75C9A">
      <w:pPr>
        <w:pStyle w:val="FootnoteText"/>
      </w:pPr>
      <w:r>
        <w:rPr>
          <w:rStyle w:val="FootnoteReference"/>
        </w:rPr>
        <w:footnoteRef/>
      </w:r>
      <w:r>
        <w:t xml:space="preserve"> </w:t>
      </w:r>
      <w:r>
        <w:tab/>
        <w:t xml:space="preserve">TasNetworks, </w:t>
      </w:r>
      <w:r w:rsidRPr="007C7EE7">
        <w:rPr>
          <w:rStyle w:val="AERtextitalic"/>
        </w:rPr>
        <w:t>AER information request: TasNetworks response to questions raised by the AER</w:t>
      </w:r>
      <w:r w:rsidRPr="007C7EE7">
        <w:t>, May 2016, p</w:t>
      </w:r>
      <w:r>
        <w:t>p</w:t>
      </w:r>
      <w:r w:rsidRPr="007C7EE7">
        <w:t>.</w:t>
      </w:r>
      <w:r>
        <w:t xml:space="preserve"> 3–5 and 12.</w:t>
      </w:r>
    </w:p>
  </w:footnote>
  <w:footnote w:id="206">
    <w:p w:rsidR="00DA1631" w:rsidRDefault="00DA1631" w:rsidP="00A75C9A">
      <w:pPr>
        <w:pStyle w:val="FootnoteText"/>
      </w:pPr>
      <w:r>
        <w:rPr>
          <w:rStyle w:val="FootnoteReference"/>
        </w:rPr>
        <w:footnoteRef/>
      </w:r>
      <w:r>
        <w:t xml:space="preserve"> </w:t>
      </w:r>
      <w:r>
        <w:tab/>
        <w:t>CCP4 – David Headberry, S</w:t>
      </w:r>
      <w:r w:rsidRPr="00822709">
        <w:rPr>
          <w:rStyle w:val="AERtextitalic"/>
        </w:rPr>
        <w:t>ubmission</w:t>
      </w:r>
      <w:r>
        <w:rPr>
          <w:rStyle w:val="AERtextitalic"/>
        </w:rPr>
        <w:t xml:space="preserve"> on TasNetworks' draft decision and tariff structure statement</w:t>
      </w:r>
      <w:r>
        <w:t>, 12 December 2016, p. 39.</w:t>
      </w:r>
    </w:p>
  </w:footnote>
  <w:footnote w:id="207">
    <w:p w:rsidR="00DA1631" w:rsidRDefault="00DA1631" w:rsidP="00A75C9A">
      <w:pPr>
        <w:pStyle w:val="FootnoteText"/>
      </w:pPr>
      <w:r>
        <w:rPr>
          <w:rStyle w:val="FootnoteReference"/>
        </w:rPr>
        <w:footnoteRef/>
      </w:r>
      <w:r>
        <w:t xml:space="preserve"> </w:t>
      </w:r>
      <w:r>
        <w:tab/>
      </w:r>
      <w:r w:rsidRPr="00B32B76">
        <w:t>NER, cl. 6.18.5(g).</w:t>
      </w:r>
    </w:p>
  </w:footnote>
  <w:footnote w:id="208">
    <w:p w:rsidR="00DA1631" w:rsidRDefault="00DA1631" w:rsidP="00A75C9A">
      <w:pPr>
        <w:pStyle w:val="FootnoteText"/>
      </w:pPr>
      <w:r>
        <w:rPr>
          <w:rStyle w:val="FootnoteReference"/>
        </w:rPr>
        <w:footnoteRef/>
      </w:r>
      <w:r>
        <w:t xml:space="preserve"> </w:t>
      </w:r>
      <w:r>
        <w:tab/>
      </w:r>
      <w:r w:rsidRPr="009A74FD">
        <w:t xml:space="preserve">ENA, </w:t>
      </w:r>
      <w:r w:rsidRPr="009A74FD">
        <w:rPr>
          <w:rStyle w:val="AERtextitalic"/>
        </w:rPr>
        <w:t>Submission: Australian Energy Regulator draft decision on tariff structure statement proposals</w:t>
      </w:r>
      <w:r w:rsidRPr="009A74FD">
        <w:t>, 7 October 2016, p. 3.</w:t>
      </w:r>
    </w:p>
  </w:footnote>
  <w:footnote w:id="209">
    <w:p w:rsidR="00DA1631" w:rsidRDefault="00DA1631" w:rsidP="00A75C9A">
      <w:pPr>
        <w:pStyle w:val="FootnoteText"/>
      </w:pPr>
      <w:r>
        <w:rPr>
          <w:rStyle w:val="FootnoteReference"/>
        </w:rPr>
        <w:footnoteRef/>
      </w:r>
      <w:r>
        <w:t xml:space="preserve"> </w:t>
      </w:r>
      <w:r>
        <w:tab/>
      </w:r>
      <w:r w:rsidRPr="00B32B76">
        <w:t>For example, the Turvey method.</w:t>
      </w:r>
    </w:p>
  </w:footnote>
  <w:footnote w:id="210">
    <w:p w:rsidR="00DA1631" w:rsidRDefault="00DA1631" w:rsidP="000040FB">
      <w:pPr>
        <w:pStyle w:val="FootnoteText"/>
      </w:pPr>
      <w:r>
        <w:rPr>
          <w:rStyle w:val="FootnoteReference"/>
        </w:rPr>
        <w:footnoteRef/>
      </w:r>
      <w:r>
        <w:t xml:space="preserve"> </w:t>
      </w:r>
      <w:r>
        <w:tab/>
      </w:r>
      <w:r w:rsidRPr="00BD5E98">
        <w:t xml:space="preserve">TasNetworks, </w:t>
      </w:r>
      <w:r w:rsidRPr="00BD5E98">
        <w:rPr>
          <w:rStyle w:val="AERtextitalic"/>
        </w:rPr>
        <w:t>Tariff structure statement: Background and explanation</w:t>
      </w:r>
      <w:r>
        <w:t>, December 2016, p. 87</w:t>
      </w:r>
      <w:r w:rsidRPr="00BD5E98">
        <w:t>.</w:t>
      </w:r>
    </w:p>
  </w:footnote>
  <w:footnote w:id="211">
    <w:p w:rsidR="00DA1631" w:rsidRDefault="00DA1631" w:rsidP="00316009">
      <w:pPr>
        <w:pStyle w:val="FootnoteText"/>
      </w:pPr>
      <w:r>
        <w:rPr>
          <w:rStyle w:val="FootnoteReference"/>
        </w:rPr>
        <w:footnoteRef/>
      </w:r>
      <w:r>
        <w:t xml:space="preserve"> </w:t>
      </w:r>
      <w:r>
        <w:tab/>
        <w:t>TasNetworks refers to these new demand tariffs as time of use demand because the rate charged differs between peak and off-peak periods. In contrast, its existing demand tariffs charge on an 'anytime' basis.</w:t>
      </w:r>
    </w:p>
  </w:footnote>
  <w:footnote w:id="212">
    <w:p w:rsidR="00DA1631" w:rsidRDefault="00DA1631" w:rsidP="00316009">
      <w:pPr>
        <w:pStyle w:val="FootnoteText"/>
      </w:pPr>
      <w:r>
        <w:rPr>
          <w:rStyle w:val="FootnoteReference"/>
        </w:rPr>
        <w:footnoteRef/>
      </w:r>
      <w:r>
        <w:t xml:space="preserve"> </w:t>
      </w:r>
      <w:r>
        <w:tab/>
        <w:t xml:space="preserve">TasNetworks, </w:t>
      </w:r>
      <w:r w:rsidRPr="00B83D92">
        <w:rPr>
          <w:rStyle w:val="AERtextitalic"/>
        </w:rPr>
        <w:t>Tariff structure statement: Background and explanation</w:t>
      </w:r>
      <w:r>
        <w:t>, December 2016, p. 50.</w:t>
      </w:r>
    </w:p>
  </w:footnote>
  <w:footnote w:id="213">
    <w:p w:rsidR="00DA1631" w:rsidRDefault="00DA1631" w:rsidP="00316009">
      <w:pPr>
        <w:pStyle w:val="FootnoteText"/>
      </w:pPr>
      <w:r>
        <w:rPr>
          <w:rStyle w:val="FootnoteReference"/>
        </w:rPr>
        <w:footnoteRef/>
      </w:r>
      <w:r>
        <w:t xml:space="preserve"> </w:t>
      </w:r>
      <w:r>
        <w:tab/>
        <w:t xml:space="preserve">TasNetworks, </w:t>
      </w:r>
      <w:r w:rsidRPr="00B83D92">
        <w:rPr>
          <w:rStyle w:val="AERtextitalic"/>
        </w:rPr>
        <w:t>Tariff structure statement: Background and explanation</w:t>
      </w:r>
      <w:r>
        <w:t>, December 2016, p. 51.</w:t>
      </w:r>
    </w:p>
  </w:footnote>
  <w:footnote w:id="214">
    <w:p w:rsidR="00DA1631" w:rsidRDefault="00DA1631" w:rsidP="00316009">
      <w:pPr>
        <w:pStyle w:val="FootnoteText"/>
      </w:pPr>
      <w:r>
        <w:rPr>
          <w:rStyle w:val="FootnoteReference"/>
        </w:rPr>
        <w:footnoteRef/>
      </w:r>
      <w:r>
        <w:t xml:space="preserve"> </w:t>
      </w:r>
      <w:r>
        <w:tab/>
      </w:r>
      <w:r w:rsidRPr="00821B37">
        <w:t xml:space="preserve">TasNetworks, </w:t>
      </w:r>
      <w:r w:rsidRPr="00821B37">
        <w:rPr>
          <w:rStyle w:val="AERtextitalic"/>
        </w:rPr>
        <w:t>AER information request: TasNetworks response to questions raised by the AER</w:t>
      </w:r>
      <w:r w:rsidRPr="00821B37">
        <w:t xml:space="preserve">, </w:t>
      </w:r>
      <w:r>
        <w:t>May</w:t>
      </w:r>
      <w:r w:rsidRPr="00821B37">
        <w:t xml:space="preserve"> 2016, p</w:t>
      </w:r>
      <w:r>
        <w:t>. 33.</w:t>
      </w:r>
    </w:p>
  </w:footnote>
  <w:footnote w:id="215">
    <w:p w:rsidR="00DA1631" w:rsidRDefault="00DA1631" w:rsidP="00316009">
      <w:pPr>
        <w:pStyle w:val="FootnoteText"/>
      </w:pPr>
      <w:r>
        <w:rPr>
          <w:rStyle w:val="FootnoteReference"/>
        </w:rPr>
        <w:footnoteRef/>
      </w:r>
      <w:r>
        <w:t xml:space="preserve"> </w:t>
      </w:r>
      <w:r>
        <w:tab/>
      </w:r>
      <w:r w:rsidRPr="00821B37">
        <w:t xml:space="preserve">TasNetworks, </w:t>
      </w:r>
      <w:r w:rsidRPr="00821B37">
        <w:rPr>
          <w:rStyle w:val="AERtextitalic"/>
        </w:rPr>
        <w:t>AER information request: TasNetworks response to questions raised by the AER</w:t>
      </w:r>
      <w:r>
        <w:rPr>
          <w:rStyle w:val="AERtextitalic"/>
        </w:rPr>
        <w:t>: Appendix: Custload_AER</w:t>
      </w:r>
      <w:r w:rsidRPr="00821B37">
        <w:t xml:space="preserve">, </w:t>
      </w:r>
      <w:r>
        <w:t>May</w:t>
      </w:r>
      <w:r w:rsidRPr="00821B37">
        <w:t xml:space="preserve"> 2016</w:t>
      </w:r>
      <w:r>
        <w:t>.</w:t>
      </w:r>
    </w:p>
  </w:footnote>
  <w:footnote w:id="216">
    <w:p w:rsidR="00DA1631" w:rsidRDefault="00DA1631" w:rsidP="00316009">
      <w:pPr>
        <w:pStyle w:val="FootnoteText"/>
      </w:pPr>
      <w:r>
        <w:rPr>
          <w:rStyle w:val="FootnoteReference"/>
        </w:rPr>
        <w:footnoteRef/>
      </w:r>
      <w:r>
        <w:t xml:space="preserve"> </w:t>
      </w:r>
      <w:r>
        <w:tab/>
      </w:r>
      <w:r w:rsidRPr="00BD5E98">
        <w:t xml:space="preserve">TasNetworks, </w:t>
      </w:r>
      <w:r w:rsidRPr="00BD5E98">
        <w:rPr>
          <w:rStyle w:val="AERtextitalic"/>
        </w:rPr>
        <w:t>Tariff structure statement: Background and explanation</w:t>
      </w:r>
      <w:r>
        <w:t>, December 2016, p. 50</w:t>
      </w:r>
      <w:r w:rsidRPr="00BD5E98">
        <w:t>.</w:t>
      </w:r>
    </w:p>
  </w:footnote>
  <w:footnote w:id="217">
    <w:p w:rsidR="00DA1631" w:rsidRDefault="00DA1631" w:rsidP="00316009">
      <w:pPr>
        <w:pStyle w:val="FootnoteText"/>
      </w:pPr>
      <w:r>
        <w:rPr>
          <w:rStyle w:val="FootnoteReference"/>
        </w:rPr>
        <w:footnoteRef/>
      </w:r>
      <w:r>
        <w:t xml:space="preserve"> </w:t>
      </w:r>
      <w:r>
        <w:tab/>
      </w:r>
      <w:r w:rsidRPr="00BD5E98">
        <w:t xml:space="preserve">TasNetworks, </w:t>
      </w:r>
      <w:r w:rsidRPr="00BD5E98">
        <w:rPr>
          <w:rStyle w:val="AERtextitalic"/>
        </w:rPr>
        <w:t>Tariff structure statement: Background and explanation</w:t>
      </w:r>
      <w:r>
        <w:t>, December 2016, p. 51</w:t>
      </w:r>
      <w:r w:rsidRPr="00BD5E98">
        <w:t>.</w:t>
      </w:r>
    </w:p>
  </w:footnote>
  <w:footnote w:id="218">
    <w:p w:rsidR="00DA1631" w:rsidRDefault="00DA1631" w:rsidP="00316009">
      <w:pPr>
        <w:pStyle w:val="FootnoteText"/>
      </w:pPr>
      <w:r>
        <w:rPr>
          <w:rStyle w:val="FootnoteReference"/>
        </w:rPr>
        <w:footnoteRef/>
      </w:r>
      <w:r>
        <w:t xml:space="preserve"> </w:t>
      </w:r>
      <w:r>
        <w:tab/>
      </w:r>
      <w:r w:rsidRPr="005C160B">
        <w:t xml:space="preserve">ENA, </w:t>
      </w:r>
      <w:r w:rsidRPr="005C160B">
        <w:rPr>
          <w:rStyle w:val="AERtextitalic"/>
        </w:rPr>
        <w:t>Australian Energy Regulatory Issues papers on draft tariff structure statements for TasNetworks</w:t>
      </w:r>
      <w:r w:rsidRPr="005C160B">
        <w:t xml:space="preserve">, 28 April 2016, pp. 2–3; TasCOSS, </w:t>
      </w:r>
      <w:r w:rsidRPr="005C160B">
        <w:rPr>
          <w:rStyle w:val="AERtextitalic"/>
        </w:rPr>
        <w:t>Submission on AER Issues Paper: Tariff Structure Statement proposals (TasNetworks)</w:t>
      </w:r>
      <w:r w:rsidRPr="005C160B">
        <w:t xml:space="preserve">, 29 April 2016, pp. 2–3; TREA, </w:t>
      </w:r>
      <w:r w:rsidRPr="005C160B">
        <w:rPr>
          <w:rStyle w:val="AERtextitalic"/>
        </w:rPr>
        <w:t>TREA response to AER March 2016 issues paper: TasNetworks tariff structure statement proposals</w:t>
      </w:r>
      <w:r w:rsidRPr="005C160B">
        <w:t>, 5 May 2016, pp. 1–2</w:t>
      </w:r>
      <w:r>
        <w:t xml:space="preserve">; </w:t>
      </w:r>
      <w:r w:rsidRPr="005C160B">
        <w:t>TREA,</w:t>
      </w:r>
      <w:r>
        <w:t xml:space="preserve"> </w:t>
      </w:r>
      <w:r w:rsidRPr="00DC5E74">
        <w:rPr>
          <w:rStyle w:val="AERtextitalic"/>
        </w:rPr>
        <w:t>Fair and effective tariff reform for Tasmania: TREA submission in response to AER draft decision, TasNetworks distribution determination 2017-2019</w:t>
      </w:r>
      <w:r>
        <w:t xml:space="preserve">, </w:t>
      </w:r>
      <w:r w:rsidRPr="00DC5E74">
        <w:t>1 December 2016</w:t>
      </w:r>
      <w:r>
        <w:t>, pp. 1–2</w:t>
      </w:r>
      <w:r w:rsidRPr="005C160B">
        <w:t>.</w:t>
      </w:r>
    </w:p>
  </w:footnote>
  <w:footnote w:id="219">
    <w:p w:rsidR="00DA1631" w:rsidRDefault="00DA1631" w:rsidP="00316009">
      <w:pPr>
        <w:pStyle w:val="FootnoteText"/>
      </w:pPr>
      <w:r>
        <w:rPr>
          <w:rStyle w:val="FootnoteReference"/>
        </w:rPr>
        <w:footnoteRef/>
      </w:r>
      <w:r>
        <w:t xml:space="preserve"> </w:t>
      </w:r>
      <w:r>
        <w:tab/>
      </w:r>
      <w:r w:rsidRPr="00703EB2">
        <w:t xml:space="preserve">ENA, </w:t>
      </w:r>
      <w:r w:rsidRPr="00703EB2">
        <w:rPr>
          <w:rStyle w:val="AERtextitalic"/>
        </w:rPr>
        <w:t>Australian Energy Regulatory Issues papers on draft tariff structure statements for TasNetworks</w:t>
      </w:r>
      <w:r w:rsidRPr="00703EB2">
        <w:t xml:space="preserve">, 28 April 2016, pp. 2–3; TasCOSS, </w:t>
      </w:r>
      <w:r w:rsidRPr="00703EB2">
        <w:rPr>
          <w:rStyle w:val="AERtextitalic"/>
        </w:rPr>
        <w:t>Submission on AER Issues Paper: Tariff Structure Statement proposals (TasNetworks)</w:t>
      </w:r>
      <w:r w:rsidRPr="00703EB2">
        <w:t xml:space="preserve">, 29 April 2016, pp. 2–3; TREA, </w:t>
      </w:r>
      <w:r w:rsidRPr="00703EB2">
        <w:rPr>
          <w:rStyle w:val="AERtextitalic"/>
        </w:rPr>
        <w:t>TREA response to AER March 2016 issues paper: TasNetworks tariff structure statement proposals</w:t>
      </w:r>
      <w:r w:rsidRPr="00703EB2">
        <w:t>, 5 May 2016, pp. 1–2</w:t>
      </w:r>
      <w:r>
        <w:t>;</w:t>
      </w:r>
      <w:r w:rsidRPr="00DC5E74">
        <w:t xml:space="preserve"> </w:t>
      </w:r>
      <w:r w:rsidRPr="005C160B">
        <w:t>TR</w:t>
      </w:r>
      <w:r>
        <w:t>E</w:t>
      </w:r>
      <w:r w:rsidRPr="005C160B">
        <w:t>A,</w:t>
      </w:r>
      <w:r>
        <w:t xml:space="preserve"> </w:t>
      </w:r>
      <w:r w:rsidRPr="00DC5E74">
        <w:rPr>
          <w:rStyle w:val="AERtextitalic"/>
        </w:rPr>
        <w:t>Fair and effective tariff reform for Tasmania: TREA submission in response to AER draft decision, TasNetworks distribution determination 2017-2019</w:t>
      </w:r>
      <w:r>
        <w:t xml:space="preserve">, </w:t>
      </w:r>
      <w:r w:rsidRPr="00DC5E74">
        <w:t>1 December 2016</w:t>
      </w:r>
      <w:r>
        <w:t>, pp. 2–3</w:t>
      </w:r>
      <w:r w:rsidRPr="00703EB2">
        <w:t>.</w:t>
      </w:r>
    </w:p>
  </w:footnote>
  <w:footnote w:id="220">
    <w:p w:rsidR="00DA1631" w:rsidRDefault="00DA1631" w:rsidP="00316009">
      <w:pPr>
        <w:pStyle w:val="FootnoteText"/>
      </w:pPr>
      <w:r>
        <w:rPr>
          <w:rStyle w:val="FootnoteReference"/>
        </w:rPr>
        <w:footnoteRef/>
      </w:r>
      <w:r>
        <w:t xml:space="preserve"> </w:t>
      </w:r>
      <w:r>
        <w:tab/>
        <w:t xml:space="preserve">TasNetworks, </w:t>
      </w:r>
      <w:r w:rsidRPr="007C6A31">
        <w:rPr>
          <w:rStyle w:val="AERtextitalic"/>
        </w:rPr>
        <w:t>Tariff structure statement: Formal statement</w:t>
      </w:r>
      <w:r>
        <w:t>, December 2016, p. 9.</w:t>
      </w:r>
    </w:p>
  </w:footnote>
  <w:footnote w:id="221">
    <w:p w:rsidR="00DA1631" w:rsidRDefault="00DA1631" w:rsidP="00316009">
      <w:pPr>
        <w:pStyle w:val="FootnoteText"/>
      </w:pPr>
      <w:r>
        <w:rPr>
          <w:rStyle w:val="FootnoteReference"/>
        </w:rPr>
        <w:footnoteRef/>
      </w:r>
      <w:r>
        <w:t xml:space="preserve"> </w:t>
      </w:r>
      <w:r>
        <w:tab/>
        <w:t>NER, cl 6.18.5(h).</w:t>
      </w:r>
    </w:p>
  </w:footnote>
  <w:footnote w:id="222">
    <w:p w:rsidR="00DA1631" w:rsidRDefault="00DA1631" w:rsidP="00316009">
      <w:pPr>
        <w:pStyle w:val="FootnoteText"/>
      </w:pPr>
      <w:r>
        <w:rPr>
          <w:rStyle w:val="FootnoteReference"/>
        </w:rPr>
        <w:footnoteRef/>
      </w:r>
      <w:r>
        <w:t xml:space="preserve"> </w:t>
      </w:r>
      <w:r>
        <w:tab/>
        <w:t xml:space="preserve">TasNetworks, </w:t>
      </w:r>
      <w:r w:rsidRPr="007C6A31">
        <w:rPr>
          <w:rStyle w:val="AERtextitalic"/>
        </w:rPr>
        <w:t>Tariff structure statement: Formal statement</w:t>
      </w:r>
      <w:r>
        <w:t>, December 2016, p. 9.</w:t>
      </w:r>
    </w:p>
  </w:footnote>
  <w:footnote w:id="223">
    <w:p w:rsidR="00DA1631" w:rsidRDefault="00DA1631" w:rsidP="00316009">
      <w:pPr>
        <w:pStyle w:val="FootnoteText"/>
      </w:pPr>
      <w:r>
        <w:rPr>
          <w:rStyle w:val="FootnoteReference"/>
        </w:rPr>
        <w:footnoteRef/>
      </w:r>
      <w:r>
        <w:t xml:space="preserve"> </w:t>
      </w:r>
      <w:r>
        <w:tab/>
      </w:r>
      <w:r w:rsidRPr="006535A6">
        <w:t>NER, cl. 6.18.5(a).</w:t>
      </w:r>
    </w:p>
  </w:footnote>
  <w:footnote w:id="224">
    <w:p w:rsidR="00DA1631" w:rsidRDefault="00DA1631" w:rsidP="00316009">
      <w:pPr>
        <w:pStyle w:val="FootnoteText"/>
      </w:pPr>
      <w:r>
        <w:rPr>
          <w:rStyle w:val="FootnoteReference"/>
        </w:rPr>
        <w:footnoteRef/>
      </w:r>
      <w:r>
        <w:t xml:space="preserve"> </w:t>
      </w:r>
      <w:r>
        <w:tab/>
      </w:r>
      <w:r w:rsidRPr="00925B85">
        <w:t>NER, cl 6.18.5(a) and (h).</w:t>
      </w:r>
    </w:p>
  </w:footnote>
  <w:footnote w:id="225">
    <w:p w:rsidR="00DA1631" w:rsidRDefault="00DA1631" w:rsidP="00316009">
      <w:pPr>
        <w:pStyle w:val="FootnoteText"/>
      </w:pPr>
      <w:r>
        <w:rPr>
          <w:rStyle w:val="FootnoteReference"/>
        </w:rPr>
        <w:footnoteRef/>
      </w:r>
      <w:r>
        <w:t xml:space="preserve"> </w:t>
      </w:r>
      <w:r>
        <w:tab/>
      </w:r>
      <w:r w:rsidRPr="00925B85">
        <w:t>Daily load profiles depict the level of demand for each half-hour interval over 24 hours.</w:t>
      </w:r>
    </w:p>
  </w:footnote>
  <w:footnote w:id="226">
    <w:p w:rsidR="00DA1631" w:rsidRDefault="00DA1631" w:rsidP="00316009">
      <w:pPr>
        <w:pStyle w:val="FootnoteText"/>
      </w:pPr>
      <w:r>
        <w:rPr>
          <w:rStyle w:val="FootnoteReference"/>
        </w:rPr>
        <w:footnoteRef/>
      </w:r>
      <w:r>
        <w:t xml:space="preserve"> </w:t>
      </w:r>
      <w:r>
        <w:tab/>
      </w:r>
      <w:r w:rsidRPr="00BD5E98">
        <w:t xml:space="preserve">TasNetworks, </w:t>
      </w:r>
      <w:r>
        <w:rPr>
          <w:rStyle w:val="AERtextitalic"/>
        </w:rPr>
        <w:t>Load data and graphs</w:t>
      </w:r>
      <w:r>
        <w:t>, 14 June 2016</w:t>
      </w:r>
      <w:r w:rsidRPr="00BD5E98">
        <w:t>.</w:t>
      </w:r>
      <w:r>
        <w:t xml:space="preserve"> </w:t>
      </w:r>
      <w:r w:rsidRPr="00327BE8">
        <w:t>See</w:t>
      </w:r>
      <w:r>
        <w:t xml:space="preserve"> also</w:t>
      </w:r>
      <w:r w:rsidRPr="00327BE8">
        <w:t xml:space="preserve"> the revised tariff structure statements of Essential Energy, SA Power Networks, ActewAGL, Ergon Energy and Energex.</w:t>
      </w:r>
    </w:p>
  </w:footnote>
  <w:footnote w:id="227">
    <w:p w:rsidR="00DA1631" w:rsidRDefault="00DA1631" w:rsidP="00316009">
      <w:pPr>
        <w:pStyle w:val="FootnoteText"/>
      </w:pPr>
      <w:r>
        <w:rPr>
          <w:rStyle w:val="FootnoteReference"/>
        </w:rPr>
        <w:footnoteRef/>
      </w:r>
      <w:r>
        <w:t xml:space="preserve"> </w:t>
      </w:r>
      <w:r>
        <w:tab/>
      </w:r>
      <w:r w:rsidRPr="00327BE8">
        <w:t xml:space="preserve">ActewAGL, </w:t>
      </w:r>
      <w:r w:rsidRPr="00327BE8">
        <w:rPr>
          <w:rStyle w:val="AERtextitalic"/>
        </w:rPr>
        <w:t>Revised tariff structure statement: Explanatory statement</w:t>
      </w:r>
      <w:r w:rsidRPr="00327BE8">
        <w:t>, 4 October 2016, p. 78.</w:t>
      </w:r>
    </w:p>
  </w:footnote>
  <w:footnote w:id="228">
    <w:p w:rsidR="00DA1631" w:rsidRDefault="00DA1631" w:rsidP="00316009">
      <w:pPr>
        <w:pStyle w:val="FootnoteText"/>
      </w:pPr>
      <w:r>
        <w:rPr>
          <w:rStyle w:val="FootnoteReference"/>
        </w:rPr>
        <w:footnoteRef/>
      </w:r>
      <w:r>
        <w:t xml:space="preserve"> </w:t>
      </w:r>
      <w:r>
        <w:tab/>
      </w:r>
      <w:r w:rsidRPr="00327BE8">
        <w:t>This is a 'semi-complete' load profile as it does not include data points for all half-hour intervals of the day.</w:t>
      </w:r>
    </w:p>
  </w:footnote>
  <w:footnote w:id="229">
    <w:p w:rsidR="00DA1631" w:rsidRDefault="00DA1631" w:rsidP="00316009">
      <w:pPr>
        <w:pStyle w:val="FootnoteText"/>
      </w:pPr>
      <w:r>
        <w:rPr>
          <w:rStyle w:val="FootnoteReference"/>
        </w:rPr>
        <w:footnoteRef/>
      </w:r>
      <w:r>
        <w:t xml:space="preserve"> </w:t>
      </w:r>
      <w:r>
        <w:tab/>
      </w:r>
      <w:r w:rsidRPr="00327BE8">
        <w:t>Spatial level means the daily load profiles applies to particular assets in the networks, particularly zone substations. System level means the daily load profiles applies to the distributor’s network as a whole.</w:t>
      </w:r>
    </w:p>
  </w:footnote>
  <w:footnote w:id="230">
    <w:p w:rsidR="00DA1631" w:rsidRDefault="00DA1631" w:rsidP="00316009">
      <w:pPr>
        <w:pStyle w:val="FootnoteText"/>
      </w:pPr>
      <w:r>
        <w:rPr>
          <w:rStyle w:val="FootnoteReference"/>
        </w:rPr>
        <w:footnoteRef/>
      </w:r>
      <w:r>
        <w:t xml:space="preserve"> </w:t>
      </w:r>
      <w:r>
        <w:tab/>
      </w:r>
      <w:r w:rsidRPr="00992568">
        <w:t xml:space="preserve">For example, see Essential Energy, </w:t>
      </w:r>
      <w:r w:rsidRPr="00992568">
        <w:rPr>
          <w:rStyle w:val="AERtextitalic"/>
        </w:rPr>
        <w:t>Tariff structure statement: Attachment 8: Addendum to our tariff structure statement: Explanations and reasoning</w:t>
      </w:r>
      <w:r w:rsidRPr="00992568">
        <w:t>, 4 October 2016, p. 14.</w:t>
      </w:r>
    </w:p>
  </w:footnote>
  <w:footnote w:id="231">
    <w:p w:rsidR="00DA1631" w:rsidRDefault="00DA1631" w:rsidP="00316009">
      <w:pPr>
        <w:pStyle w:val="FootnoteText"/>
      </w:pPr>
      <w:r>
        <w:rPr>
          <w:rStyle w:val="FootnoteReference"/>
        </w:rPr>
        <w:footnoteRef/>
      </w:r>
      <w:r>
        <w:t xml:space="preserve"> </w:t>
      </w:r>
      <w:r>
        <w:tab/>
      </w:r>
      <w:r w:rsidRPr="00992568">
        <w:t xml:space="preserve">See Energex, </w:t>
      </w:r>
      <w:r w:rsidRPr="00992568">
        <w:rPr>
          <w:rStyle w:val="AERtextitalic"/>
        </w:rPr>
        <w:t>Tariff structure statement: Explanatory statement</w:t>
      </w:r>
      <w:r w:rsidRPr="00992568">
        <w:t>, 4 October 2016, p. 45.</w:t>
      </w:r>
    </w:p>
  </w:footnote>
  <w:footnote w:id="232">
    <w:p w:rsidR="00DA1631" w:rsidRDefault="00DA1631" w:rsidP="00316009">
      <w:pPr>
        <w:pStyle w:val="FootnoteText"/>
      </w:pPr>
      <w:r>
        <w:rPr>
          <w:rStyle w:val="FootnoteReference"/>
        </w:rPr>
        <w:footnoteRef/>
      </w:r>
      <w:r>
        <w:t xml:space="preserve"> </w:t>
      </w:r>
      <w:r>
        <w:tab/>
      </w:r>
      <w:r w:rsidRPr="00992568">
        <w:t xml:space="preserve">See Ausgrid, </w:t>
      </w:r>
      <w:r w:rsidRPr="00992568">
        <w:rPr>
          <w:rStyle w:val="AERtextitalic"/>
        </w:rPr>
        <w:t>Revised tariff structure statement</w:t>
      </w:r>
      <w:r w:rsidRPr="00992568">
        <w:t xml:space="preserve">, 4 October 2016, pp. 32 and 35; Essential Energy, </w:t>
      </w:r>
      <w:r w:rsidRPr="00992568">
        <w:rPr>
          <w:rStyle w:val="AERtextitalic"/>
        </w:rPr>
        <w:t>Tariff structure statement: Attachment 8: Addendum to our tariff structure statement: Explanations and reasoning</w:t>
      </w:r>
      <w:r w:rsidRPr="00992568">
        <w:t>, 4 October 2016, p. 15.</w:t>
      </w:r>
    </w:p>
  </w:footnote>
  <w:footnote w:id="233">
    <w:p w:rsidR="00DA1631" w:rsidRDefault="00DA1631" w:rsidP="00316009">
      <w:pPr>
        <w:pStyle w:val="FootnoteText"/>
      </w:pPr>
      <w:r>
        <w:rPr>
          <w:rStyle w:val="FootnoteReference"/>
        </w:rPr>
        <w:footnoteRef/>
      </w:r>
      <w:r>
        <w:t xml:space="preserve"> </w:t>
      </w:r>
      <w:r>
        <w:tab/>
      </w:r>
      <w:r w:rsidRPr="00992568">
        <w:t xml:space="preserve">See Endeavour Energy, </w:t>
      </w:r>
      <w:r w:rsidRPr="000716DD">
        <w:rPr>
          <w:rStyle w:val="AERtextitalic"/>
        </w:rPr>
        <w:t>Tariff structure statement: Explanatory statement</w:t>
      </w:r>
      <w:r w:rsidRPr="00992568">
        <w:t>, 4 October 2016, pp. 46–47.</w:t>
      </w:r>
    </w:p>
  </w:footnote>
  <w:footnote w:id="234">
    <w:p w:rsidR="00DA1631" w:rsidRDefault="00DA1631" w:rsidP="00316009">
      <w:pPr>
        <w:pStyle w:val="FootnoteText"/>
      </w:pPr>
      <w:r>
        <w:rPr>
          <w:rStyle w:val="FootnoteReference"/>
        </w:rPr>
        <w:footnoteRef/>
      </w:r>
      <w:r>
        <w:t xml:space="preserve"> </w:t>
      </w:r>
      <w:r>
        <w:tab/>
      </w:r>
      <w:r w:rsidRPr="00992568">
        <w:t>With the exception of customer-specific tariffs, which apply to very large customers.</w:t>
      </w:r>
    </w:p>
  </w:footnote>
  <w:footnote w:id="235">
    <w:p w:rsidR="00DA1631" w:rsidRDefault="00DA1631" w:rsidP="00316009">
      <w:pPr>
        <w:pStyle w:val="FootnoteText"/>
      </w:pPr>
      <w:r>
        <w:rPr>
          <w:rStyle w:val="FootnoteReference"/>
        </w:rPr>
        <w:footnoteRef/>
      </w:r>
      <w:r>
        <w:t xml:space="preserve"> </w:t>
      </w:r>
      <w:r>
        <w:tab/>
      </w:r>
      <w:r w:rsidRPr="00992568">
        <w:t>NER, cl 6.18.5(h) and (i).</w:t>
      </w:r>
    </w:p>
  </w:footnote>
  <w:footnote w:id="236">
    <w:p w:rsidR="00DA1631" w:rsidRDefault="00DA1631" w:rsidP="00316009">
      <w:pPr>
        <w:pStyle w:val="FootnoteText"/>
      </w:pPr>
      <w:r>
        <w:rPr>
          <w:rStyle w:val="FootnoteReference"/>
        </w:rPr>
        <w:footnoteRef/>
      </w:r>
      <w:r>
        <w:t xml:space="preserve"> </w:t>
      </w:r>
      <w:r>
        <w:tab/>
      </w:r>
      <w:r w:rsidRPr="00992568">
        <w:t>NER, cl 6.18.5(a).</w:t>
      </w:r>
    </w:p>
  </w:footnote>
  <w:footnote w:id="237">
    <w:p w:rsidR="00DA1631" w:rsidRDefault="00DA1631" w:rsidP="00316009">
      <w:pPr>
        <w:pStyle w:val="FootnoteText"/>
      </w:pPr>
      <w:r>
        <w:rPr>
          <w:rStyle w:val="FootnoteReference"/>
        </w:rPr>
        <w:footnoteRef/>
      </w:r>
      <w:r>
        <w:t xml:space="preserve"> </w:t>
      </w:r>
      <w:r>
        <w:tab/>
      </w:r>
      <w:r w:rsidRPr="006D07DF">
        <w:t xml:space="preserve">Alternatively, distributors consider expected levels of demand when deciding asset capacity in replacement capital expenditure decisions. See </w:t>
      </w:r>
      <w:r>
        <w:t xml:space="preserve">section </w:t>
      </w:r>
      <w:r>
        <w:fldChar w:fldCharType="begin"/>
      </w:r>
      <w:r>
        <w:instrText xml:space="preserve"> REF _Ref478628890 \n \h </w:instrText>
      </w:r>
      <w:r>
        <w:fldChar w:fldCharType="separate"/>
      </w:r>
      <w:r>
        <w:t>19.4.7</w:t>
      </w:r>
      <w:r>
        <w:fldChar w:fldCharType="end"/>
      </w:r>
      <w:r w:rsidRPr="006D07DF">
        <w:t xml:space="preserve"> for further discussion.</w:t>
      </w:r>
    </w:p>
  </w:footnote>
  <w:footnote w:id="238">
    <w:p w:rsidR="00DA1631" w:rsidRDefault="00DA1631" w:rsidP="00316009">
      <w:pPr>
        <w:pStyle w:val="FootnoteText"/>
      </w:pPr>
      <w:r>
        <w:rPr>
          <w:rStyle w:val="FootnoteReference"/>
        </w:rPr>
        <w:footnoteRef/>
      </w:r>
      <w:r>
        <w:t xml:space="preserve"> </w:t>
      </w:r>
      <w:r>
        <w:tab/>
      </w:r>
      <w:r w:rsidRPr="006D07DF">
        <w:t xml:space="preserve">Endeavour Energy, </w:t>
      </w:r>
      <w:r w:rsidRPr="006D07DF">
        <w:rPr>
          <w:rStyle w:val="AERtextitalic"/>
        </w:rPr>
        <w:t>Tariff structure statement</w:t>
      </w:r>
      <w:r w:rsidRPr="006D07DF">
        <w:t>, 27 November 2015, p. 72.</w:t>
      </w:r>
    </w:p>
  </w:footnote>
  <w:footnote w:id="239">
    <w:p w:rsidR="00DA1631" w:rsidRDefault="00DA1631" w:rsidP="00316009">
      <w:pPr>
        <w:pStyle w:val="FootnoteText"/>
      </w:pPr>
      <w:r>
        <w:rPr>
          <w:rStyle w:val="FootnoteReference"/>
        </w:rPr>
        <w:footnoteRef/>
      </w:r>
      <w:r>
        <w:t xml:space="preserve"> </w:t>
      </w:r>
      <w:r>
        <w:tab/>
      </w:r>
      <w:r w:rsidRPr="00F32137">
        <w:t xml:space="preserve">Endeavour Energy, </w:t>
      </w:r>
      <w:r w:rsidRPr="00F32137">
        <w:rPr>
          <w:rStyle w:val="AERtextitalic"/>
        </w:rPr>
        <w:t>Tariff structure statement: Explanatory statement</w:t>
      </w:r>
      <w:r w:rsidRPr="00F32137">
        <w:t>, 4 October 2016, p. 46.</w:t>
      </w:r>
    </w:p>
  </w:footnote>
  <w:footnote w:id="240">
    <w:p w:rsidR="00DA1631" w:rsidRDefault="00DA1631" w:rsidP="00316009">
      <w:pPr>
        <w:pStyle w:val="FootnoteText"/>
      </w:pPr>
      <w:r>
        <w:rPr>
          <w:rStyle w:val="FootnoteReference"/>
        </w:rPr>
        <w:footnoteRef/>
      </w:r>
      <w:r>
        <w:t xml:space="preserve"> </w:t>
      </w:r>
      <w:r>
        <w:tab/>
      </w:r>
      <w:r w:rsidRPr="00F32137">
        <w:t xml:space="preserve">Endeavour Energy, </w:t>
      </w:r>
      <w:r w:rsidRPr="00F32137">
        <w:rPr>
          <w:rStyle w:val="AERtextitalic"/>
        </w:rPr>
        <w:t>Tariff structure statement: Explanatory statement</w:t>
      </w:r>
      <w:r w:rsidRPr="00F32137">
        <w:t>, 4 October 2016, p. 46.</w:t>
      </w:r>
    </w:p>
  </w:footnote>
  <w:footnote w:id="241">
    <w:p w:rsidR="00DA1631" w:rsidRDefault="00DA1631" w:rsidP="00316009">
      <w:pPr>
        <w:pStyle w:val="FootnoteText"/>
      </w:pPr>
      <w:r>
        <w:rPr>
          <w:rStyle w:val="FootnoteReference"/>
        </w:rPr>
        <w:footnoteRef/>
      </w:r>
      <w:r>
        <w:t xml:space="preserve"> </w:t>
      </w:r>
      <w:r>
        <w:tab/>
        <w:t xml:space="preserve">For example, it is not clear from </w:t>
      </w:r>
      <w:r>
        <w:fldChar w:fldCharType="begin"/>
      </w:r>
      <w:r>
        <w:instrText xml:space="preserve"> REF _Ref477870729 \h </w:instrText>
      </w:r>
      <w:r>
        <w:fldChar w:fldCharType="separate"/>
      </w:r>
      <w:r>
        <w:t xml:space="preserve">Figure </w:t>
      </w:r>
      <w:r>
        <w:rPr>
          <w:noProof/>
        </w:rPr>
        <w:t>19</w:t>
      </w:r>
      <w:r>
        <w:noBreakHyphen/>
      </w:r>
      <w:r>
        <w:rPr>
          <w:noProof/>
        </w:rPr>
        <w:t>7</w:t>
      </w:r>
      <w:r>
        <w:fldChar w:fldCharType="end"/>
      </w:r>
      <w:r>
        <w:t xml:space="preserve"> why the morning peak period would end at 10AM, rather than 9AM when the demand levels are approximately the same as at 7AM (the start of the morning peak period).</w:t>
      </w:r>
    </w:p>
  </w:footnote>
  <w:footnote w:id="242">
    <w:p w:rsidR="00DA1631" w:rsidRDefault="00DA1631" w:rsidP="00316009">
      <w:pPr>
        <w:pStyle w:val="FootnoteText"/>
      </w:pPr>
      <w:r>
        <w:rPr>
          <w:rStyle w:val="FootnoteReference"/>
        </w:rPr>
        <w:footnoteRef/>
      </w:r>
      <w:r>
        <w:t xml:space="preserve"> </w:t>
      </w:r>
      <w:r>
        <w:tab/>
      </w:r>
      <w:r w:rsidRPr="00F32137">
        <w:t xml:space="preserve">See section 8.2 of AER, </w:t>
      </w:r>
      <w:r w:rsidRPr="00F32137">
        <w:rPr>
          <w:rStyle w:val="AERtextitalic"/>
        </w:rPr>
        <w:t>Final decision: Tariff structure statements: Ausgrid, Endeavour and Essential Energy</w:t>
      </w:r>
      <w:r w:rsidRPr="00F32137">
        <w:t>, February 2017.</w:t>
      </w:r>
    </w:p>
  </w:footnote>
  <w:footnote w:id="243">
    <w:p w:rsidR="00DA1631" w:rsidRDefault="00DA1631" w:rsidP="00316009">
      <w:pPr>
        <w:pStyle w:val="FootnoteText"/>
      </w:pPr>
      <w:r>
        <w:rPr>
          <w:rStyle w:val="FootnoteReference"/>
        </w:rPr>
        <w:footnoteRef/>
      </w:r>
      <w:r>
        <w:t xml:space="preserve"> </w:t>
      </w:r>
      <w:r>
        <w:tab/>
        <w:t xml:space="preserve">TasNetworks, </w:t>
      </w:r>
      <w:r w:rsidRPr="00821B37">
        <w:rPr>
          <w:rStyle w:val="AERtextitalic"/>
        </w:rPr>
        <w:t>AER information request: TasNetworks response to questions raised by the AER</w:t>
      </w:r>
      <w:r>
        <w:rPr>
          <w:rStyle w:val="AERtextitalic"/>
        </w:rPr>
        <w:t>: Appendix:</w:t>
      </w:r>
      <w:r w:rsidRPr="00A91541" w:rsidDel="00A22B4D">
        <w:rPr>
          <w:rStyle w:val="AERtextitalic"/>
        </w:rPr>
        <w:t xml:space="preserve"> </w:t>
      </w:r>
      <w:r w:rsidRPr="00A91541">
        <w:rPr>
          <w:rStyle w:val="AERtextitalic"/>
        </w:rPr>
        <w:t>Peak_demand_windows_Methodology</w:t>
      </w:r>
      <w:r>
        <w:t>, May 2016, pp. 2–5.</w:t>
      </w:r>
    </w:p>
  </w:footnote>
  <w:footnote w:id="244">
    <w:p w:rsidR="00DA1631" w:rsidRDefault="00DA1631" w:rsidP="00316009">
      <w:pPr>
        <w:pStyle w:val="FootnoteText"/>
      </w:pPr>
      <w:r>
        <w:rPr>
          <w:rStyle w:val="FootnoteReference"/>
        </w:rPr>
        <w:footnoteRef/>
      </w:r>
      <w:r>
        <w:t xml:space="preserve"> </w:t>
      </w:r>
      <w:r>
        <w:tab/>
        <w:t xml:space="preserve">TasNetworks, </w:t>
      </w:r>
      <w:r w:rsidRPr="00821B37">
        <w:rPr>
          <w:rStyle w:val="AERtextitalic"/>
        </w:rPr>
        <w:t>AER information request: TasNetworks response to questions raised by the AER</w:t>
      </w:r>
      <w:r>
        <w:rPr>
          <w:rStyle w:val="AERtextitalic"/>
        </w:rPr>
        <w:t>: Appendix:</w:t>
      </w:r>
      <w:r w:rsidRPr="00A91541" w:rsidDel="00A22B4D">
        <w:rPr>
          <w:rStyle w:val="AERtextitalic"/>
        </w:rPr>
        <w:t xml:space="preserve"> </w:t>
      </w:r>
      <w:r w:rsidRPr="00A91541">
        <w:rPr>
          <w:rStyle w:val="AERtextitalic"/>
        </w:rPr>
        <w:t>Peak_demand_windows_Methodology</w:t>
      </w:r>
      <w:r>
        <w:t>, May 2016, pp. 3–5.</w:t>
      </w:r>
    </w:p>
  </w:footnote>
  <w:footnote w:id="245">
    <w:p w:rsidR="00DA1631" w:rsidRDefault="00DA1631" w:rsidP="00316009">
      <w:pPr>
        <w:pStyle w:val="FootnoteText"/>
      </w:pPr>
      <w:r>
        <w:rPr>
          <w:rStyle w:val="FootnoteReference"/>
        </w:rPr>
        <w:footnoteRef/>
      </w:r>
      <w:r>
        <w:t xml:space="preserve"> </w:t>
      </w:r>
      <w:r>
        <w:tab/>
      </w:r>
      <w:r w:rsidRPr="001C3592">
        <w:t xml:space="preserve">ENA, </w:t>
      </w:r>
      <w:r w:rsidRPr="001C3592">
        <w:rPr>
          <w:rStyle w:val="AERtextitalic"/>
        </w:rPr>
        <w:t>Submission: Australian Energy Regulator draft decision on tariff structure statement proposals</w:t>
      </w:r>
      <w:r w:rsidRPr="001C3592">
        <w:t>, 7 October 2016, p. 4.</w:t>
      </w:r>
    </w:p>
  </w:footnote>
  <w:footnote w:id="246">
    <w:p w:rsidR="00DA1631" w:rsidRDefault="00DA1631" w:rsidP="00316009">
      <w:pPr>
        <w:pStyle w:val="FootnoteText"/>
      </w:pPr>
      <w:r>
        <w:rPr>
          <w:rStyle w:val="FootnoteReference"/>
        </w:rPr>
        <w:footnoteRef/>
      </w:r>
      <w:r>
        <w:t xml:space="preserve"> </w:t>
      </w:r>
      <w:r>
        <w:tab/>
      </w:r>
      <w:r w:rsidRPr="001C3592">
        <w:t>NER, cl. 6.18.5(g).</w:t>
      </w:r>
    </w:p>
  </w:footnote>
  <w:footnote w:id="247">
    <w:p w:rsidR="00DA1631" w:rsidRDefault="00DA1631" w:rsidP="00316009">
      <w:pPr>
        <w:pStyle w:val="FootnoteText"/>
      </w:pPr>
      <w:r>
        <w:rPr>
          <w:rStyle w:val="FootnoteReference"/>
        </w:rPr>
        <w:footnoteRef/>
      </w:r>
      <w:r>
        <w:t xml:space="preserve"> </w:t>
      </w:r>
      <w:r>
        <w:tab/>
      </w:r>
      <w:r w:rsidRPr="001C3592">
        <w:t xml:space="preserve">ENA, </w:t>
      </w:r>
      <w:r w:rsidRPr="001C3592">
        <w:rPr>
          <w:rStyle w:val="AERtextitalic"/>
        </w:rPr>
        <w:t>Submission: Australian Energy Regulator draft decision on tariff structure statement proposals</w:t>
      </w:r>
      <w:r w:rsidRPr="001C3592">
        <w:t xml:space="preserve">, 7 October 2016, p. 4; AER, </w:t>
      </w:r>
      <w:r w:rsidRPr="001C3592">
        <w:rPr>
          <w:rStyle w:val="AERtextitalic"/>
        </w:rPr>
        <w:t>File note - Non-Victorian TSS - Discussion with ENA</w:t>
      </w:r>
      <w:r w:rsidRPr="001C3592">
        <w:t>, 17 October 2016 (AER reference: D16/140751).</w:t>
      </w:r>
    </w:p>
  </w:footnote>
  <w:footnote w:id="248">
    <w:p w:rsidR="00DA1631" w:rsidRDefault="00DA1631" w:rsidP="00316009">
      <w:pPr>
        <w:pStyle w:val="FootnoteText"/>
      </w:pPr>
      <w:r>
        <w:rPr>
          <w:rStyle w:val="FootnoteReference"/>
        </w:rPr>
        <w:footnoteRef/>
      </w:r>
      <w:r>
        <w:t xml:space="preserve"> </w:t>
      </w:r>
      <w:r>
        <w:tab/>
      </w:r>
      <w:r w:rsidRPr="001C3592">
        <w:t>NER, cl. 6.18.1A(a).</w:t>
      </w:r>
    </w:p>
  </w:footnote>
  <w:footnote w:id="249">
    <w:p w:rsidR="00DA1631" w:rsidRDefault="00DA1631" w:rsidP="00316009">
      <w:pPr>
        <w:pStyle w:val="FootnoteText"/>
      </w:pPr>
      <w:r>
        <w:rPr>
          <w:rStyle w:val="FootnoteReference"/>
        </w:rPr>
        <w:footnoteRef/>
      </w:r>
      <w:r>
        <w:t xml:space="preserve"> </w:t>
      </w:r>
      <w:r>
        <w:tab/>
      </w:r>
      <w:r w:rsidRPr="001C3592">
        <w:t>NER, cl. 6.18.5(i).</w:t>
      </w:r>
    </w:p>
  </w:footnote>
  <w:footnote w:id="250">
    <w:p w:rsidR="00DA1631" w:rsidRDefault="00DA1631" w:rsidP="00316009">
      <w:pPr>
        <w:pStyle w:val="FootnoteText"/>
      </w:pPr>
      <w:r>
        <w:rPr>
          <w:rStyle w:val="FootnoteReference"/>
        </w:rPr>
        <w:footnoteRef/>
      </w:r>
      <w:r>
        <w:t xml:space="preserve"> </w:t>
      </w:r>
      <w:r>
        <w:tab/>
      </w:r>
      <w:r w:rsidRPr="001C3592">
        <w:t>NER, cl. 6.18.5(f).</w:t>
      </w:r>
    </w:p>
  </w:footnote>
  <w:footnote w:id="251">
    <w:p w:rsidR="00DA1631" w:rsidRDefault="00DA1631" w:rsidP="00316009">
      <w:pPr>
        <w:pStyle w:val="FootnoteText"/>
      </w:pPr>
      <w:r>
        <w:rPr>
          <w:rStyle w:val="FootnoteReference"/>
        </w:rPr>
        <w:footnoteRef/>
      </w:r>
      <w:r>
        <w:t xml:space="preserve"> </w:t>
      </w:r>
      <w:r>
        <w:tab/>
      </w:r>
      <w:r w:rsidRPr="00794969">
        <w:t xml:space="preserve">To avoid confusion, we do not use the terms ‘spring’ and ‘autumn’. Some distributors define summer as the period between November and March inclusive, which includes months that are ‘officially’ spring and autumn (see </w:t>
      </w:r>
      <w:hyperlink r:id="rId3" w:history="1">
        <w:r w:rsidRPr="00BC4143">
          <w:rPr>
            <w:rStyle w:val="Hyperlink"/>
            <w:sz w:val="16"/>
          </w:rPr>
          <w:t>http://www.australia.gov.au/about-australia/australian-story/austn-weather-and-the-seasons</w:t>
        </w:r>
      </w:hyperlink>
      <w:r w:rsidRPr="00794969">
        <w:t>).</w:t>
      </w:r>
    </w:p>
  </w:footnote>
  <w:footnote w:id="252">
    <w:p w:rsidR="00DA1631" w:rsidRDefault="00DA1631" w:rsidP="00316009">
      <w:pPr>
        <w:pStyle w:val="FootnoteText"/>
      </w:pPr>
      <w:r>
        <w:rPr>
          <w:rStyle w:val="FootnoteReference"/>
        </w:rPr>
        <w:footnoteRef/>
      </w:r>
      <w:r>
        <w:t xml:space="preserve"> </w:t>
      </w:r>
      <w:r>
        <w:tab/>
      </w:r>
      <w:r w:rsidRPr="00BD5E98">
        <w:t xml:space="preserve">TasNetworks, </w:t>
      </w:r>
      <w:r w:rsidRPr="00BD5E98">
        <w:rPr>
          <w:rStyle w:val="AERtextitalic"/>
        </w:rPr>
        <w:t>Tariff structure statement: Background and explanation</w:t>
      </w:r>
      <w:r>
        <w:t>, December 2016, p. 50</w:t>
      </w:r>
      <w:r w:rsidRPr="00BD5E98">
        <w:t>.</w:t>
      </w:r>
    </w:p>
  </w:footnote>
  <w:footnote w:id="253">
    <w:p w:rsidR="00DA1631" w:rsidRDefault="00DA1631" w:rsidP="009B1CB5">
      <w:pPr>
        <w:pStyle w:val="FootnoteText"/>
      </w:pPr>
      <w:r>
        <w:rPr>
          <w:rStyle w:val="FootnoteReference"/>
        </w:rPr>
        <w:footnoteRef/>
      </w:r>
      <w:r>
        <w:t xml:space="preserve"> </w:t>
      </w:r>
      <w:r>
        <w:tab/>
        <w:t>Over the last couple of years, network costs and prices have started to flatten out or even decrease in some areas. This has been due, in part, to lower financing costs associated with these network investments.</w:t>
      </w:r>
    </w:p>
  </w:footnote>
  <w:footnote w:id="254">
    <w:p w:rsidR="00DA1631" w:rsidRDefault="00DA1631" w:rsidP="009B1CB5">
      <w:pPr>
        <w:pStyle w:val="FootnoteText"/>
      </w:pPr>
      <w:r>
        <w:rPr>
          <w:rStyle w:val="FootnoteReference"/>
        </w:rPr>
        <w:footnoteRef/>
      </w:r>
      <w:r>
        <w:t xml:space="preserve"> </w:t>
      </w:r>
      <w:r>
        <w:tab/>
        <w:t xml:space="preserve">Total consumption for a ‘representative’ residential household is estimated to fall between 5,000 kWh and 6,000 kWh in Queensland, NSW and South Australia. Total consumption for a representative residential household is lowest in Victoria (at around 4,000 kWh) and highest in the ACT (at around 7,000 kWh). AEMC, </w:t>
      </w:r>
      <w:r w:rsidRPr="00A6777B">
        <w:rPr>
          <w:rStyle w:val="AERtextitalic"/>
        </w:rPr>
        <w:t>2016 Residential electricity price trends—Final report</w:t>
      </w:r>
      <w:r>
        <w:t xml:space="preserve">, </w:t>
      </w:r>
      <w:r w:rsidRPr="00A6777B">
        <w:t>December 2016</w:t>
      </w:r>
      <w:r>
        <w:t>, p.xii.</w:t>
      </w:r>
    </w:p>
  </w:footnote>
  <w:footnote w:id="255">
    <w:p w:rsidR="00DA1631" w:rsidRDefault="00DA1631" w:rsidP="009B1CB5">
      <w:pPr>
        <w:pStyle w:val="FootnoteText"/>
      </w:pPr>
      <w:r>
        <w:rPr>
          <w:rStyle w:val="FootnoteReference"/>
        </w:rPr>
        <w:footnoteRef/>
      </w:r>
      <w:r>
        <w:t xml:space="preserve"> </w:t>
      </w:r>
      <w:r>
        <w:tab/>
        <w:t>EMET Consultants Pty Ltd as referenced by solarchoice.net.au.</w:t>
      </w:r>
    </w:p>
  </w:footnote>
  <w:footnote w:id="256">
    <w:p w:rsidR="00DA1631" w:rsidRDefault="00DA1631" w:rsidP="009B1CB5">
      <w:pPr>
        <w:pStyle w:val="FootnoteText"/>
      </w:pPr>
      <w:r>
        <w:rPr>
          <w:rStyle w:val="FootnoteReference"/>
        </w:rPr>
        <w:footnoteRef/>
      </w:r>
      <w:r>
        <w:t xml:space="preserve"> </w:t>
      </w:r>
      <w:r>
        <w:tab/>
        <w:t>NER, cl. 6.18.5(f).</w:t>
      </w:r>
    </w:p>
  </w:footnote>
  <w:footnote w:id="257">
    <w:p w:rsidR="00DA1631" w:rsidRDefault="00DA1631" w:rsidP="009B1CB5">
      <w:pPr>
        <w:pStyle w:val="FootnoteText"/>
      </w:pPr>
      <w:r>
        <w:rPr>
          <w:rStyle w:val="FootnoteReference"/>
        </w:rPr>
        <w:footnoteRef/>
      </w:r>
      <w:r>
        <w:t xml:space="preserve"> </w:t>
      </w:r>
      <w:r>
        <w:tab/>
        <w:t>NER, cl. 6.18.5(g)(3).</w:t>
      </w:r>
    </w:p>
  </w:footnote>
  <w:footnote w:id="258">
    <w:p w:rsidR="00DA1631" w:rsidRDefault="00DA1631" w:rsidP="009B1CB5">
      <w:pPr>
        <w:pStyle w:val="FootnoteText"/>
      </w:pPr>
      <w:r>
        <w:rPr>
          <w:rStyle w:val="FootnoteReference"/>
        </w:rPr>
        <w:footnoteRef/>
      </w:r>
      <w:r>
        <w:t xml:space="preserve"> </w:t>
      </w:r>
      <w:r>
        <w:tab/>
        <w:t xml:space="preserve">CitiPower and Powercor, Email to AER staff, </w:t>
      </w:r>
      <w:r w:rsidRPr="006968AB">
        <w:rPr>
          <w:rStyle w:val="Emphasis"/>
        </w:rPr>
        <w:t>Remote air-conditioning cycling through meters or other means in Victoria</w:t>
      </w:r>
      <w:r>
        <w:t>, 12 August 2016.</w:t>
      </w:r>
    </w:p>
  </w:footnote>
  <w:footnote w:id="259">
    <w:p w:rsidR="00DA1631" w:rsidRDefault="00DA1631" w:rsidP="009B1CB5">
      <w:pPr>
        <w:pStyle w:val="FootnoteText"/>
      </w:pPr>
      <w:r>
        <w:rPr>
          <w:rStyle w:val="FootnoteReference"/>
        </w:rPr>
        <w:footnoteRef/>
      </w:r>
      <w:r>
        <w:t xml:space="preserve"> </w:t>
      </w:r>
      <w:r>
        <w:tab/>
        <w:t>NER, cl.6.18.1A(a)(2).</w:t>
      </w:r>
    </w:p>
  </w:footnote>
  <w:footnote w:id="260">
    <w:p w:rsidR="00DA1631" w:rsidRDefault="00DA1631" w:rsidP="009B1CB5">
      <w:pPr>
        <w:pStyle w:val="FootnoteText"/>
      </w:pPr>
      <w:r>
        <w:rPr>
          <w:rStyle w:val="FootnoteReference"/>
        </w:rPr>
        <w:footnoteRef/>
      </w:r>
      <w:r>
        <w:t xml:space="preserve"> </w:t>
      </w:r>
      <w:r>
        <w:tab/>
        <w:t>The exemption to this is trial tariffs. Distributors may trial new tariffs that were not approved through the tariff structure statement is the tariff meets the requirements in NER clause 6.18.1C.</w:t>
      </w:r>
    </w:p>
  </w:footnote>
  <w:footnote w:id="261">
    <w:p w:rsidR="00DA1631" w:rsidRDefault="00DA1631" w:rsidP="009B1CB5">
      <w:pPr>
        <w:pStyle w:val="FootnoteText"/>
      </w:pPr>
      <w:r>
        <w:rPr>
          <w:rStyle w:val="FootnoteReference"/>
        </w:rPr>
        <w:footnoteRef/>
      </w:r>
      <w:r>
        <w:t xml:space="preserve"> </w:t>
      </w:r>
      <w:r>
        <w:tab/>
        <w:t>Australian Energy Markets Commission, National Electricity Amendment (Customer access to information about their energy consumption) Rule 2014, Final Determination, 6 November 2014.</w:t>
      </w:r>
    </w:p>
  </w:footnote>
  <w:footnote w:id="262">
    <w:p w:rsidR="00DA1631" w:rsidRDefault="00DA1631" w:rsidP="009B1CB5">
      <w:pPr>
        <w:pStyle w:val="FootnoteText"/>
      </w:pPr>
      <w:r>
        <w:rPr>
          <w:rStyle w:val="FootnoteReference"/>
        </w:rPr>
        <w:footnoteRef/>
      </w:r>
      <w:r>
        <w:t xml:space="preserve"> </w:t>
      </w:r>
      <w:r>
        <w:tab/>
        <w:t xml:space="preserve">United Energy, </w:t>
      </w:r>
      <w:r w:rsidRPr="00F235F1">
        <w:rPr>
          <w:rStyle w:val="AERtextitalic"/>
        </w:rPr>
        <w:t>Revised Tariff Structure Statement 2017–20</w:t>
      </w:r>
      <w:r>
        <w:t>, 29 April 2016, p. 34-35.</w:t>
      </w:r>
    </w:p>
  </w:footnote>
  <w:footnote w:id="263">
    <w:p w:rsidR="00DA1631" w:rsidRDefault="00DA1631">
      <w:pPr>
        <w:pStyle w:val="FootnoteText"/>
      </w:pPr>
      <w:r>
        <w:rPr>
          <w:rStyle w:val="FootnoteReference"/>
        </w:rPr>
        <w:footnoteRef/>
      </w:r>
      <w:r>
        <w:t xml:space="preserve"> </w:t>
      </w:r>
      <w:r>
        <w:tab/>
      </w:r>
      <w:r w:rsidRPr="00E9485A">
        <w:t>NER, clauses 6.18.5(h)(2) and (3) and 6.18.5(i)(1) and (2).</w:t>
      </w:r>
    </w:p>
  </w:footnote>
  <w:footnote w:id="264">
    <w:p w:rsidR="00DA1631" w:rsidRDefault="00DA1631" w:rsidP="00A373C2">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 </w:t>
      </w:r>
      <w:r>
        <w:t>24–37</w:t>
      </w:r>
      <w:r w:rsidRPr="004C48BD">
        <w:t>.</w:t>
      </w:r>
    </w:p>
  </w:footnote>
  <w:footnote w:id="265">
    <w:p w:rsidR="00DA1631" w:rsidRDefault="00DA1631" w:rsidP="00492FA3">
      <w:pPr>
        <w:pStyle w:val="FootnoteText"/>
      </w:pPr>
      <w:r>
        <w:rPr>
          <w:rStyle w:val="FootnoteReference"/>
        </w:rPr>
        <w:footnoteRef/>
      </w:r>
      <w:r>
        <w:t xml:space="preserve"> </w:t>
      </w:r>
      <w:r>
        <w:tab/>
      </w:r>
      <w:r w:rsidR="008567AB">
        <w:t xml:space="preserve">TasNetworks, </w:t>
      </w:r>
      <w:r w:rsidR="008567AB" w:rsidRPr="00030AAA">
        <w:rPr>
          <w:rStyle w:val="AERtextitalic"/>
        </w:rPr>
        <w:t xml:space="preserve">Tariff structure statement: </w:t>
      </w:r>
      <w:r w:rsidR="008567AB">
        <w:rPr>
          <w:rStyle w:val="AERtextitalic"/>
        </w:rPr>
        <w:t>Background and explanation</w:t>
      </w:r>
      <w:r w:rsidR="008567AB">
        <w:t>, December</w:t>
      </w:r>
      <w:r w:rsidR="008567AB" w:rsidRPr="004C48BD">
        <w:t> 2016, p. </w:t>
      </w:r>
      <w:r w:rsidR="008567AB">
        <w:t>6</w:t>
      </w:r>
      <w:r w:rsidR="008567AB" w:rsidRPr="004C48BD">
        <w:t>.</w:t>
      </w:r>
    </w:p>
  </w:footnote>
  <w:footnote w:id="266">
    <w:p w:rsidR="00DA1631" w:rsidRDefault="00DA1631" w:rsidP="00492FA3">
      <w:pPr>
        <w:pStyle w:val="FootnoteText"/>
      </w:pPr>
      <w:r>
        <w:rPr>
          <w:rStyle w:val="FootnoteReference"/>
        </w:rPr>
        <w:footnoteRef/>
      </w:r>
      <w:r>
        <w:t xml:space="preserve"> </w:t>
      </w:r>
      <w:r>
        <w:tab/>
        <w:t xml:space="preserve">Nekon Pty Ltd, </w:t>
      </w:r>
      <w:r w:rsidRPr="00AD1BD6">
        <w:rPr>
          <w:rStyle w:val="AERtextitalic"/>
        </w:rPr>
        <w:t>Submission on TasNetworks' draft decision and tariff structure statement (TSS)</w:t>
      </w:r>
      <w:r>
        <w:t>, November 2016, p. 8;</w:t>
      </w:r>
      <w:r w:rsidRPr="00492FA3">
        <w:t xml:space="preserve"> </w:t>
      </w:r>
      <w:r>
        <w:t xml:space="preserve">Powe, M., </w:t>
      </w:r>
      <w:r w:rsidRPr="00226568">
        <w:rPr>
          <w:rStyle w:val="AERtextitalic"/>
        </w:rPr>
        <w:t>Submission on TasNetworks' revised proposal</w:t>
      </w:r>
      <w:r>
        <w:t>, 22 December 2016.</w:t>
      </w:r>
    </w:p>
  </w:footnote>
  <w:footnote w:id="267">
    <w:p w:rsidR="00DA1631" w:rsidRDefault="00DA1631" w:rsidP="00492FA3">
      <w:pPr>
        <w:pStyle w:val="FootnoteText"/>
      </w:pPr>
      <w:r>
        <w:rPr>
          <w:rStyle w:val="FootnoteReference"/>
        </w:rPr>
        <w:footnoteRef/>
      </w:r>
      <w:r>
        <w:t xml:space="preserve"> </w:t>
      </w:r>
      <w:r>
        <w:tab/>
        <w:t xml:space="preserve">TREA, </w:t>
      </w:r>
      <w:r w:rsidRPr="00026619">
        <w:rPr>
          <w:rStyle w:val="AERtextitalic"/>
        </w:rPr>
        <w:t>Submission on TasNetworks' draft decision and tariff structure statement (TSS)</w:t>
      </w:r>
      <w:r>
        <w:t>, December 2016, p. 2.</w:t>
      </w:r>
    </w:p>
  </w:footnote>
  <w:footnote w:id="268">
    <w:p w:rsidR="00DA1631" w:rsidRDefault="00DA1631" w:rsidP="00F00937">
      <w:pPr>
        <w:pStyle w:val="FootnoteText"/>
      </w:pPr>
      <w:r>
        <w:rPr>
          <w:rStyle w:val="FootnoteReference"/>
        </w:rPr>
        <w:footnoteRef/>
      </w:r>
      <w:r>
        <w:t xml:space="preserve"> </w:t>
      </w:r>
      <w:r>
        <w:tab/>
        <w:t xml:space="preserve">NER, cl. </w:t>
      </w:r>
      <w:r w:rsidRPr="00E96943">
        <w:t>6.</w:t>
      </w:r>
      <w:r>
        <w:t>1</w:t>
      </w:r>
      <w:r w:rsidRPr="00E96943">
        <w:t>8.</w:t>
      </w:r>
      <w:r>
        <w:t>5</w:t>
      </w:r>
      <w:r w:rsidRPr="00E96943">
        <w:t>(</w:t>
      </w:r>
      <w:r>
        <w:t xml:space="preserve">h); NER, cl. </w:t>
      </w:r>
      <w:r w:rsidRPr="00E96943">
        <w:t>6.</w:t>
      </w:r>
      <w:r>
        <w:t>1</w:t>
      </w:r>
      <w:r w:rsidRPr="00E96943">
        <w:t>8.</w:t>
      </w:r>
      <w:r>
        <w:t>5</w:t>
      </w:r>
      <w:r w:rsidRPr="00E96943">
        <w:t>(</w:t>
      </w:r>
      <w:r>
        <w:t>i)</w:t>
      </w:r>
    </w:p>
  </w:footnote>
  <w:footnote w:id="269">
    <w:p w:rsidR="00DA1631" w:rsidRDefault="00DA1631">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 </w:t>
      </w:r>
      <w:r>
        <w:t>67–74</w:t>
      </w:r>
      <w:r w:rsidRPr="004C48BD">
        <w:t>.</w:t>
      </w:r>
    </w:p>
  </w:footnote>
  <w:footnote w:id="270">
    <w:p w:rsidR="00DA1631" w:rsidRDefault="00DA1631" w:rsidP="00B62BC1">
      <w:pPr>
        <w:pStyle w:val="FootnoteText"/>
      </w:pPr>
      <w:r>
        <w:rPr>
          <w:rStyle w:val="FootnoteReference"/>
        </w:rPr>
        <w:footnoteRef/>
      </w:r>
      <w:r>
        <w:t xml:space="preserve"> </w:t>
      </w:r>
      <w:r>
        <w:tab/>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 </w:t>
      </w:r>
      <w:r>
        <w:t>67</w:t>
      </w:r>
      <w:r w:rsidRPr="004C48BD">
        <w:t>.</w:t>
      </w:r>
    </w:p>
  </w:footnote>
  <w:footnote w:id="271">
    <w:p w:rsidR="00DA1631" w:rsidRDefault="00DA1631" w:rsidP="00AB61FB">
      <w:pPr>
        <w:pStyle w:val="FootnoteText"/>
      </w:pPr>
      <w:r>
        <w:rPr>
          <w:rStyle w:val="FootnoteReference"/>
        </w:rPr>
        <w:footnoteRef/>
      </w:r>
      <w:r>
        <w:t xml:space="preserve"> </w:t>
      </w:r>
      <w:r>
        <w:tab/>
        <w:t xml:space="preserve">CCP 4 - Joe De Silva, </w:t>
      </w:r>
      <w:r w:rsidRPr="007C720D">
        <w:rPr>
          <w:rStyle w:val="AERtextitalic"/>
        </w:rPr>
        <w:t>Submission on TasNetworks' draft decision and tariff structure statement (TSS)</w:t>
      </w:r>
      <w:r>
        <w:t xml:space="preserve">, November 2016, p. 12; TSBC, </w:t>
      </w:r>
      <w:r w:rsidRPr="002435D8">
        <w:rPr>
          <w:rStyle w:val="AERtextitalic"/>
        </w:rPr>
        <w:t>Submission on TasNetworks' draft decision and tariff structure statement (TSS),</w:t>
      </w:r>
      <w:r>
        <w:t xml:space="preserve"> November 2016, pp. 16</w:t>
      </w:r>
      <w:r>
        <w:noBreakHyphen/>
        <w:t xml:space="preserve">17; ATA, </w:t>
      </w:r>
      <w:r w:rsidRPr="00752E05">
        <w:rPr>
          <w:rStyle w:val="AERtextitalic"/>
        </w:rPr>
        <w:t>Submission to draft decision: TasNetworks tariff structure statement</w:t>
      </w:r>
      <w:r>
        <w:t xml:space="preserve">, December 2016, p. 2; TREA, </w:t>
      </w:r>
      <w:r w:rsidRPr="00026619">
        <w:rPr>
          <w:rStyle w:val="AERtextitalic"/>
        </w:rPr>
        <w:t>Submission on TasNetworks' draft decision and tariff structure statement (TSS)</w:t>
      </w:r>
      <w:r>
        <w:t xml:space="preserve">, December 2016, p. 2; TasNetworks, </w:t>
      </w:r>
      <w:r w:rsidRPr="00030AAA">
        <w:rPr>
          <w:rStyle w:val="AERtextitalic"/>
        </w:rPr>
        <w:t xml:space="preserve">Tariff structure statement: </w:t>
      </w:r>
      <w:r>
        <w:rPr>
          <w:rStyle w:val="AERtextitalic"/>
        </w:rPr>
        <w:t>Background and explanation</w:t>
      </w:r>
      <w:r>
        <w:t>, December</w:t>
      </w:r>
      <w:r w:rsidRPr="004C48BD">
        <w:t> 2016, p. </w:t>
      </w:r>
      <w:r>
        <w:t>70</w:t>
      </w:r>
      <w:r w:rsidRPr="004C48BD">
        <w:t>.</w:t>
      </w:r>
    </w:p>
  </w:footnote>
  <w:footnote w:id="272">
    <w:p w:rsidR="00DA1631" w:rsidRDefault="00DA1631" w:rsidP="003A598E">
      <w:pPr>
        <w:pStyle w:val="FootnoteText"/>
      </w:pPr>
      <w:r>
        <w:rPr>
          <w:rStyle w:val="FootnoteReference"/>
        </w:rPr>
        <w:footnoteRef/>
      </w:r>
      <w:r>
        <w:t xml:space="preserve"> </w:t>
      </w:r>
      <w:r>
        <w:tab/>
        <w:t xml:space="preserve">ATA, </w:t>
      </w:r>
      <w:r w:rsidRPr="00752E05">
        <w:rPr>
          <w:rStyle w:val="AERtextitalic"/>
        </w:rPr>
        <w:t>Submission to draft decision: TasNetworks tariff structure statement</w:t>
      </w:r>
      <w:r>
        <w:t>, December 2016, p. 2.</w:t>
      </w:r>
    </w:p>
  </w:footnote>
  <w:footnote w:id="273">
    <w:p w:rsidR="00DA1631" w:rsidRDefault="00DA1631">
      <w:pPr>
        <w:pStyle w:val="FootnoteText"/>
      </w:pPr>
      <w:r>
        <w:rPr>
          <w:rStyle w:val="FootnoteReference"/>
        </w:rPr>
        <w:footnoteRef/>
      </w:r>
      <w:r>
        <w:t xml:space="preserve"> </w:t>
      </w:r>
      <w:r>
        <w:tab/>
        <w:t xml:space="preserve">AER, </w:t>
      </w:r>
      <w:r w:rsidRPr="004C48BD">
        <w:rPr>
          <w:rStyle w:val="AERtextitalic"/>
        </w:rPr>
        <w:t>Draft decision, TasNetworks distribution determination 2017–18 to 2018–19: Attachment 19 — Tariff structure statement</w:t>
      </w:r>
      <w:r>
        <w:t>, September 2016, pp. 63–64.</w:t>
      </w:r>
    </w:p>
  </w:footnote>
  <w:footnote w:id="274">
    <w:p w:rsidR="00DA1631" w:rsidRDefault="00DA1631" w:rsidP="003A598E">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t>, December</w:t>
      </w:r>
      <w:r w:rsidRPr="004C48BD">
        <w:t> 2016, p</w:t>
      </w:r>
      <w:r>
        <w:t>p</w:t>
      </w:r>
      <w:r w:rsidRPr="004C48BD">
        <w:t>. </w:t>
      </w:r>
      <w:r>
        <w:t>73–74</w:t>
      </w:r>
      <w:r w:rsidRPr="004C48B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31" w:rsidRDefault="00DA1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4DC0471C"/>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B4443662"/>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1"/>
    </w:lvlOverride>
  </w:num>
  <w:num w:numId="37">
    <w:abstractNumId w:val="11"/>
    <w:lvlOverride w:ilvl="0">
      <w:startOverride w:val="1"/>
    </w:lvlOverride>
  </w:num>
  <w:num w:numId="38">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Dza80eSWRvgN5QtviscHAotnXcpEwUOLOZMgX0v52s=" w:saltValue="cmoTYJVAVA8igPWF1A/5TA==" w:algorithmName="SHA-256"/>
  <w:defaultTabStop w:val="34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tasnetworks distribution determination - attachment 19 - tariff structure statement - april 2017 (AER2017-000063).docx"/>
  </w:docVars>
  <w:rsids>
    <w:rsidRoot w:val="00961A4A"/>
    <w:rsid w:val="00000F19"/>
    <w:rsid w:val="000040FB"/>
    <w:rsid w:val="000051DC"/>
    <w:rsid w:val="0000658F"/>
    <w:rsid w:val="000068CF"/>
    <w:rsid w:val="000073B0"/>
    <w:rsid w:val="000127B1"/>
    <w:rsid w:val="0001507B"/>
    <w:rsid w:val="000162EC"/>
    <w:rsid w:val="00020016"/>
    <w:rsid w:val="00021202"/>
    <w:rsid w:val="00021C2B"/>
    <w:rsid w:val="0002498B"/>
    <w:rsid w:val="00024D9D"/>
    <w:rsid w:val="0002517F"/>
    <w:rsid w:val="00025526"/>
    <w:rsid w:val="00025AA2"/>
    <w:rsid w:val="00026187"/>
    <w:rsid w:val="00026619"/>
    <w:rsid w:val="000266FC"/>
    <w:rsid w:val="000273B3"/>
    <w:rsid w:val="00027E2D"/>
    <w:rsid w:val="00030AAA"/>
    <w:rsid w:val="0003578C"/>
    <w:rsid w:val="000363A9"/>
    <w:rsid w:val="00037F5A"/>
    <w:rsid w:val="00041913"/>
    <w:rsid w:val="00044DA3"/>
    <w:rsid w:val="000474DF"/>
    <w:rsid w:val="000519A4"/>
    <w:rsid w:val="00055A67"/>
    <w:rsid w:val="000604F8"/>
    <w:rsid w:val="00063247"/>
    <w:rsid w:val="00065534"/>
    <w:rsid w:val="0006624E"/>
    <w:rsid w:val="00070F9F"/>
    <w:rsid w:val="0007137B"/>
    <w:rsid w:val="000716DD"/>
    <w:rsid w:val="00073B74"/>
    <w:rsid w:val="00076416"/>
    <w:rsid w:val="000805A8"/>
    <w:rsid w:val="0008190B"/>
    <w:rsid w:val="000836D9"/>
    <w:rsid w:val="00085663"/>
    <w:rsid w:val="00085990"/>
    <w:rsid w:val="00085EBF"/>
    <w:rsid w:val="0008660D"/>
    <w:rsid w:val="00086E0F"/>
    <w:rsid w:val="00090658"/>
    <w:rsid w:val="00091B15"/>
    <w:rsid w:val="00095186"/>
    <w:rsid w:val="00095625"/>
    <w:rsid w:val="000A0E71"/>
    <w:rsid w:val="000A1C0C"/>
    <w:rsid w:val="000A3020"/>
    <w:rsid w:val="000A4840"/>
    <w:rsid w:val="000A62C1"/>
    <w:rsid w:val="000A6A79"/>
    <w:rsid w:val="000A6C7B"/>
    <w:rsid w:val="000B0A7B"/>
    <w:rsid w:val="000B1173"/>
    <w:rsid w:val="000B150B"/>
    <w:rsid w:val="000B2E68"/>
    <w:rsid w:val="000B4C9F"/>
    <w:rsid w:val="000B5827"/>
    <w:rsid w:val="000B7037"/>
    <w:rsid w:val="000C02D1"/>
    <w:rsid w:val="000C0C63"/>
    <w:rsid w:val="000C2B40"/>
    <w:rsid w:val="000C4287"/>
    <w:rsid w:val="000C5255"/>
    <w:rsid w:val="000C5C8F"/>
    <w:rsid w:val="000D07A7"/>
    <w:rsid w:val="000D122C"/>
    <w:rsid w:val="000D4BAB"/>
    <w:rsid w:val="000D75B0"/>
    <w:rsid w:val="000E1819"/>
    <w:rsid w:val="000E2DEA"/>
    <w:rsid w:val="000E4821"/>
    <w:rsid w:val="000E4AA9"/>
    <w:rsid w:val="000E6C72"/>
    <w:rsid w:val="000E7F39"/>
    <w:rsid w:val="000F08A5"/>
    <w:rsid w:val="000F77BA"/>
    <w:rsid w:val="00100EA2"/>
    <w:rsid w:val="00101AA1"/>
    <w:rsid w:val="00102338"/>
    <w:rsid w:val="00104566"/>
    <w:rsid w:val="00104FF6"/>
    <w:rsid w:val="001051AD"/>
    <w:rsid w:val="00105907"/>
    <w:rsid w:val="00107351"/>
    <w:rsid w:val="001107FC"/>
    <w:rsid w:val="00110A79"/>
    <w:rsid w:val="00110D9F"/>
    <w:rsid w:val="001114AA"/>
    <w:rsid w:val="0011357C"/>
    <w:rsid w:val="00115743"/>
    <w:rsid w:val="001169C5"/>
    <w:rsid w:val="00116EB2"/>
    <w:rsid w:val="001171E9"/>
    <w:rsid w:val="0012132C"/>
    <w:rsid w:val="001224BF"/>
    <w:rsid w:val="001230D7"/>
    <w:rsid w:val="00123B24"/>
    <w:rsid w:val="00124609"/>
    <w:rsid w:val="00125F3A"/>
    <w:rsid w:val="00126A4C"/>
    <w:rsid w:val="001270E3"/>
    <w:rsid w:val="00132D43"/>
    <w:rsid w:val="00133366"/>
    <w:rsid w:val="00133F47"/>
    <w:rsid w:val="00134029"/>
    <w:rsid w:val="00141CFB"/>
    <w:rsid w:val="00142C2D"/>
    <w:rsid w:val="00143D35"/>
    <w:rsid w:val="00144C96"/>
    <w:rsid w:val="0014573B"/>
    <w:rsid w:val="001463A3"/>
    <w:rsid w:val="00146F96"/>
    <w:rsid w:val="0015073A"/>
    <w:rsid w:val="00150D51"/>
    <w:rsid w:val="001517DD"/>
    <w:rsid w:val="00153EA5"/>
    <w:rsid w:val="001573E4"/>
    <w:rsid w:val="00160756"/>
    <w:rsid w:val="00161DC8"/>
    <w:rsid w:val="001625BD"/>
    <w:rsid w:val="00164744"/>
    <w:rsid w:val="00166760"/>
    <w:rsid w:val="00167BCD"/>
    <w:rsid w:val="0017096B"/>
    <w:rsid w:val="0017232E"/>
    <w:rsid w:val="0017364F"/>
    <w:rsid w:val="00174102"/>
    <w:rsid w:val="001753F1"/>
    <w:rsid w:val="001754EE"/>
    <w:rsid w:val="00180157"/>
    <w:rsid w:val="001809BC"/>
    <w:rsid w:val="00180E97"/>
    <w:rsid w:val="001820B4"/>
    <w:rsid w:val="001820FB"/>
    <w:rsid w:val="00184351"/>
    <w:rsid w:val="00184AC8"/>
    <w:rsid w:val="001859F4"/>
    <w:rsid w:val="00185BA5"/>
    <w:rsid w:val="00185CB9"/>
    <w:rsid w:val="00185DBE"/>
    <w:rsid w:val="00186ADC"/>
    <w:rsid w:val="00186F77"/>
    <w:rsid w:val="001877A4"/>
    <w:rsid w:val="001926A4"/>
    <w:rsid w:val="00192AD5"/>
    <w:rsid w:val="00192D02"/>
    <w:rsid w:val="00194597"/>
    <w:rsid w:val="00194815"/>
    <w:rsid w:val="00194E00"/>
    <w:rsid w:val="00195A0C"/>
    <w:rsid w:val="001967E5"/>
    <w:rsid w:val="0019745E"/>
    <w:rsid w:val="00197B16"/>
    <w:rsid w:val="001A0BA6"/>
    <w:rsid w:val="001A530D"/>
    <w:rsid w:val="001A5C96"/>
    <w:rsid w:val="001A5FB3"/>
    <w:rsid w:val="001A6313"/>
    <w:rsid w:val="001A7155"/>
    <w:rsid w:val="001B45A0"/>
    <w:rsid w:val="001B5D22"/>
    <w:rsid w:val="001B680E"/>
    <w:rsid w:val="001B6AA6"/>
    <w:rsid w:val="001C18CA"/>
    <w:rsid w:val="001C302F"/>
    <w:rsid w:val="001C58F9"/>
    <w:rsid w:val="001D055E"/>
    <w:rsid w:val="001D3960"/>
    <w:rsid w:val="001D5828"/>
    <w:rsid w:val="001D5C43"/>
    <w:rsid w:val="001D63A9"/>
    <w:rsid w:val="001D786A"/>
    <w:rsid w:val="001E0291"/>
    <w:rsid w:val="001E1B3F"/>
    <w:rsid w:val="001E4602"/>
    <w:rsid w:val="001E546F"/>
    <w:rsid w:val="001E7161"/>
    <w:rsid w:val="001F05A4"/>
    <w:rsid w:val="001F1625"/>
    <w:rsid w:val="001F3D4A"/>
    <w:rsid w:val="001F492E"/>
    <w:rsid w:val="001F57DE"/>
    <w:rsid w:val="001F64EF"/>
    <w:rsid w:val="001F6DA3"/>
    <w:rsid w:val="001F719C"/>
    <w:rsid w:val="002010BC"/>
    <w:rsid w:val="002016E7"/>
    <w:rsid w:val="00202E03"/>
    <w:rsid w:val="002033B9"/>
    <w:rsid w:val="002043D0"/>
    <w:rsid w:val="0020492C"/>
    <w:rsid w:val="00204EC9"/>
    <w:rsid w:val="00206505"/>
    <w:rsid w:val="0020665E"/>
    <w:rsid w:val="0020743F"/>
    <w:rsid w:val="002143E0"/>
    <w:rsid w:val="00215211"/>
    <w:rsid w:val="00216C93"/>
    <w:rsid w:val="002201F5"/>
    <w:rsid w:val="002207A1"/>
    <w:rsid w:val="00223051"/>
    <w:rsid w:val="00224DB9"/>
    <w:rsid w:val="0022569A"/>
    <w:rsid w:val="00226568"/>
    <w:rsid w:val="0023005C"/>
    <w:rsid w:val="00231012"/>
    <w:rsid w:val="00233775"/>
    <w:rsid w:val="0023414B"/>
    <w:rsid w:val="00241B5C"/>
    <w:rsid w:val="002435D8"/>
    <w:rsid w:val="00243635"/>
    <w:rsid w:val="00246CEF"/>
    <w:rsid w:val="00247079"/>
    <w:rsid w:val="00251745"/>
    <w:rsid w:val="00251A60"/>
    <w:rsid w:val="002552BA"/>
    <w:rsid w:val="00257E1C"/>
    <w:rsid w:val="00260016"/>
    <w:rsid w:val="00263AC0"/>
    <w:rsid w:val="00264264"/>
    <w:rsid w:val="00266576"/>
    <w:rsid w:val="0026689B"/>
    <w:rsid w:val="0026772D"/>
    <w:rsid w:val="002730B2"/>
    <w:rsid w:val="00274C7E"/>
    <w:rsid w:val="002777CF"/>
    <w:rsid w:val="002810F2"/>
    <w:rsid w:val="0028176D"/>
    <w:rsid w:val="00284EAF"/>
    <w:rsid w:val="00286874"/>
    <w:rsid w:val="00290C63"/>
    <w:rsid w:val="00291A99"/>
    <w:rsid w:val="00293B6D"/>
    <w:rsid w:val="00294B08"/>
    <w:rsid w:val="0029518C"/>
    <w:rsid w:val="002958F3"/>
    <w:rsid w:val="002963DD"/>
    <w:rsid w:val="00296B65"/>
    <w:rsid w:val="00296BCF"/>
    <w:rsid w:val="002A24E4"/>
    <w:rsid w:val="002A7DEF"/>
    <w:rsid w:val="002B0696"/>
    <w:rsid w:val="002C0222"/>
    <w:rsid w:val="002C1499"/>
    <w:rsid w:val="002C233C"/>
    <w:rsid w:val="002C4BF3"/>
    <w:rsid w:val="002C517B"/>
    <w:rsid w:val="002C59DB"/>
    <w:rsid w:val="002D2EFB"/>
    <w:rsid w:val="002D3509"/>
    <w:rsid w:val="002D5457"/>
    <w:rsid w:val="002D72E8"/>
    <w:rsid w:val="002D7636"/>
    <w:rsid w:val="002D79AD"/>
    <w:rsid w:val="002E268F"/>
    <w:rsid w:val="002E4217"/>
    <w:rsid w:val="002E7053"/>
    <w:rsid w:val="002E78DD"/>
    <w:rsid w:val="002E7B22"/>
    <w:rsid w:val="002F12EC"/>
    <w:rsid w:val="002F207E"/>
    <w:rsid w:val="002F3534"/>
    <w:rsid w:val="002F5AC8"/>
    <w:rsid w:val="002F5F64"/>
    <w:rsid w:val="002F7986"/>
    <w:rsid w:val="003004DE"/>
    <w:rsid w:val="00301B40"/>
    <w:rsid w:val="00301C82"/>
    <w:rsid w:val="00301CE5"/>
    <w:rsid w:val="003029EE"/>
    <w:rsid w:val="00304D38"/>
    <w:rsid w:val="003055FC"/>
    <w:rsid w:val="00305CC8"/>
    <w:rsid w:val="00306E6A"/>
    <w:rsid w:val="00307095"/>
    <w:rsid w:val="00307F6D"/>
    <w:rsid w:val="00310526"/>
    <w:rsid w:val="00314D83"/>
    <w:rsid w:val="0031571F"/>
    <w:rsid w:val="00315A2C"/>
    <w:rsid w:val="00316009"/>
    <w:rsid w:val="003177A2"/>
    <w:rsid w:val="00317E02"/>
    <w:rsid w:val="0032392C"/>
    <w:rsid w:val="0032672A"/>
    <w:rsid w:val="003271B5"/>
    <w:rsid w:val="00327A1E"/>
    <w:rsid w:val="00327E28"/>
    <w:rsid w:val="00327E99"/>
    <w:rsid w:val="00331264"/>
    <w:rsid w:val="00332CE8"/>
    <w:rsid w:val="00334C8D"/>
    <w:rsid w:val="003378BD"/>
    <w:rsid w:val="003424EA"/>
    <w:rsid w:val="00342C2F"/>
    <w:rsid w:val="003436EB"/>
    <w:rsid w:val="00343A18"/>
    <w:rsid w:val="00345744"/>
    <w:rsid w:val="0035026C"/>
    <w:rsid w:val="003518B3"/>
    <w:rsid w:val="00353E79"/>
    <w:rsid w:val="00364006"/>
    <w:rsid w:val="00364EA0"/>
    <w:rsid w:val="0036650B"/>
    <w:rsid w:val="00366981"/>
    <w:rsid w:val="00370678"/>
    <w:rsid w:val="0037214E"/>
    <w:rsid w:val="00372702"/>
    <w:rsid w:val="00372C85"/>
    <w:rsid w:val="00373845"/>
    <w:rsid w:val="00373D90"/>
    <w:rsid w:val="003744E3"/>
    <w:rsid w:val="00375F71"/>
    <w:rsid w:val="00376219"/>
    <w:rsid w:val="0037663E"/>
    <w:rsid w:val="0037699E"/>
    <w:rsid w:val="00377A29"/>
    <w:rsid w:val="00377C69"/>
    <w:rsid w:val="003810A9"/>
    <w:rsid w:val="00383FF0"/>
    <w:rsid w:val="0038415D"/>
    <w:rsid w:val="0038461C"/>
    <w:rsid w:val="003846F1"/>
    <w:rsid w:val="003904E0"/>
    <w:rsid w:val="00390E6A"/>
    <w:rsid w:val="00391B70"/>
    <w:rsid w:val="00392601"/>
    <w:rsid w:val="00393ABE"/>
    <w:rsid w:val="00395DB6"/>
    <w:rsid w:val="00397398"/>
    <w:rsid w:val="003A1462"/>
    <w:rsid w:val="003A22D3"/>
    <w:rsid w:val="003A371A"/>
    <w:rsid w:val="003A4D81"/>
    <w:rsid w:val="003A598E"/>
    <w:rsid w:val="003A59CD"/>
    <w:rsid w:val="003A6B00"/>
    <w:rsid w:val="003B30B2"/>
    <w:rsid w:val="003B484F"/>
    <w:rsid w:val="003B504B"/>
    <w:rsid w:val="003B5179"/>
    <w:rsid w:val="003B558A"/>
    <w:rsid w:val="003B685C"/>
    <w:rsid w:val="003B75CF"/>
    <w:rsid w:val="003B7FBA"/>
    <w:rsid w:val="003C13EE"/>
    <w:rsid w:val="003C5261"/>
    <w:rsid w:val="003C6311"/>
    <w:rsid w:val="003C6537"/>
    <w:rsid w:val="003C6A13"/>
    <w:rsid w:val="003C7579"/>
    <w:rsid w:val="003C764A"/>
    <w:rsid w:val="003C78BA"/>
    <w:rsid w:val="003D3F60"/>
    <w:rsid w:val="003D41F1"/>
    <w:rsid w:val="003D42AB"/>
    <w:rsid w:val="003D5B94"/>
    <w:rsid w:val="003D6047"/>
    <w:rsid w:val="003E0D3A"/>
    <w:rsid w:val="003E3AAB"/>
    <w:rsid w:val="003E7014"/>
    <w:rsid w:val="003E7FE9"/>
    <w:rsid w:val="003F07D4"/>
    <w:rsid w:val="003F174D"/>
    <w:rsid w:val="003F2329"/>
    <w:rsid w:val="003F3019"/>
    <w:rsid w:val="003F334D"/>
    <w:rsid w:val="003F58B7"/>
    <w:rsid w:val="00400146"/>
    <w:rsid w:val="00400FD2"/>
    <w:rsid w:val="004027CB"/>
    <w:rsid w:val="00403711"/>
    <w:rsid w:val="00404C52"/>
    <w:rsid w:val="0041136E"/>
    <w:rsid w:val="004156D5"/>
    <w:rsid w:val="00415BA9"/>
    <w:rsid w:val="00415F31"/>
    <w:rsid w:val="0041691D"/>
    <w:rsid w:val="0042000C"/>
    <w:rsid w:val="0042090E"/>
    <w:rsid w:val="00420F69"/>
    <w:rsid w:val="00421F27"/>
    <w:rsid w:val="004238D8"/>
    <w:rsid w:val="00423A77"/>
    <w:rsid w:val="004242E9"/>
    <w:rsid w:val="0043162A"/>
    <w:rsid w:val="004324F4"/>
    <w:rsid w:val="00432CFE"/>
    <w:rsid w:val="00434384"/>
    <w:rsid w:val="00434544"/>
    <w:rsid w:val="00436AB8"/>
    <w:rsid w:val="00437A2B"/>
    <w:rsid w:val="0044042C"/>
    <w:rsid w:val="00440435"/>
    <w:rsid w:val="00445402"/>
    <w:rsid w:val="00445D43"/>
    <w:rsid w:val="00446CD2"/>
    <w:rsid w:val="004523B2"/>
    <w:rsid w:val="00454143"/>
    <w:rsid w:val="004555C5"/>
    <w:rsid w:val="0045777E"/>
    <w:rsid w:val="00465258"/>
    <w:rsid w:val="0046646A"/>
    <w:rsid w:val="00471BC6"/>
    <w:rsid w:val="00476221"/>
    <w:rsid w:val="004766F5"/>
    <w:rsid w:val="00476B3F"/>
    <w:rsid w:val="004777CD"/>
    <w:rsid w:val="00480B4B"/>
    <w:rsid w:val="004838D8"/>
    <w:rsid w:val="00485DC4"/>
    <w:rsid w:val="004865E2"/>
    <w:rsid w:val="00491FFA"/>
    <w:rsid w:val="00492FA3"/>
    <w:rsid w:val="00494D04"/>
    <w:rsid w:val="00496DED"/>
    <w:rsid w:val="004A0CB0"/>
    <w:rsid w:val="004A172A"/>
    <w:rsid w:val="004A40BA"/>
    <w:rsid w:val="004A43D1"/>
    <w:rsid w:val="004A4704"/>
    <w:rsid w:val="004A492B"/>
    <w:rsid w:val="004B1C0D"/>
    <w:rsid w:val="004B4412"/>
    <w:rsid w:val="004B6D86"/>
    <w:rsid w:val="004B7A48"/>
    <w:rsid w:val="004C0CE7"/>
    <w:rsid w:val="004C348C"/>
    <w:rsid w:val="004C4622"/>
    <w:rsid w:val="004C462E"/>
    <w:rsid w:val="004C4785"/>
    <w:rsid w:val="004C48BD"/>
    <w:rsid w:val="004C5F39"/>
    <w:rsid w:val="004C6CA3"/>
    <w:rsid w:val="004C7F5E"/>
    <w:rsid w:val="004D343C"/>
    <w:rsid w:val="004D372A"/>
    <w:rsid w:val="004D55BA"/>
    <w:rsid w:val="004D720C"/>
    <w:rsid w:val="004E0FA7"/>
    <w:rsid w:val="004E22EC"/>
    <w:rsid w:val="004E3579"/>
    <w:rsid w:val="004E72D3"/>
    <w:rsid w:val="004F0BFA"/>
    <w:rsid w:val="004F13DA"/>
    <w:rsid w:val="004F232A"/>
    <w:rsid w:val="004F4D69"/>
    <w:rsid w:val="004F6883"/>
    <w:rsid w:val="004F6A0E"/>
    <w:rsid w:val="004F6BB3"/>
    <w:rsid w:val="005009CD"/>
    <w:rsid w:val="00504E5F"/>
    <w:rsid w:val="00506DBE"/>
    <w:rsid w:val="0051337E"/>
    <w:rsid w:val="00513FA7"/>
    <w:rsid w:val="00514122"/>
    <w:rsid w:val="0051768F"/>
    <w:rsid w:val="005201CF"/>
    <w:rsid w:val="00520280"/>
    <w:rsid w:val="00522DC2"/>
    <w:rsid w:val="00523BFB"/>
    <w:rsid w:val="00530128"/>
    <w:rsid w:val="00532467"/>
    <w:rsid w:val="005332A9"/>
    <w:rsid w:val="0053603C"/>
    <w:rsid w:val="00537871"/>
    <w:rsid w:val="00540FF5"/>
    <w:rsid w:val="00541FFA"/>
    <w:rsid w:val="00542FE9"/>
    <w:rsid w:val="00544598"/>
    <w:rsid w:val="00544C8D"/>
    <w:rsid w:val="00544DFD"/>
    <w:rsid w:val="00544E8A"/>
    <w:rsid w:val="00546E26"/>
    <w:rsid w:val="00556B1E"/>
    <w:rsid w:val="0056386C"/>
    <w:rsid w:val="00564A4D"/>
    <w:rsid w:val="005656A1"/>
    <w:rsid w:val="0056598C"/>
    <w:rsid w:val="00566E0B"/>
    <w:rsid w:val="00567BA5"/>
    <w:rsid w:val="00571B35"/>
    <w:rsid w:val="00571B43"/>
    <w:rsid w:val="00571D57"/>
    <w:rsid w:val="00573A3B"/>
    <w:rsid w:val="00575CFD"/>
    <w:rsid w:val="00577716"/>
    <w:rsid w:val="00577A09"/>
    <w:rsid w:val="00580C9F"/>
    <w:rsid w:val="005817C9"/>
    <w:rsid w:val="005829C2"/>
    <w:rsid w:val="00584D8F"/>
    <w:rsid w:val="005876C3"/>
    <w:rsid w:val="00587A18"/>
    <w:rsid w:val="00587ADE"/>
    <w:rsid w:val="00590E31"/>
    <w:rsid w:val="005916DA"/>
    <w:rsid w:val="00595EB6"/>
    <w:rsid w:val="005A01FD"/>
    <w:rsid w:val="005A0BEC"/>
    <w:rsid w:val="005A404D"/>
    <w:rsid w:val="005B0D29"/>
    <w:rsid w:val="005B1E3C"/>
    <w:rsid w:val="005B6518"/>
    <w:rsid w:val="005B704A"/>
    <w:rsid w:val="005B72D7"/>
    <w:rsid w:val="005C045F"/>
    <w:rsid w:val="005C16FE"/>
    <w:rsid w:val="005C1FAB"/>
    <w:rsid w:val="005C21A4"/>
    <w:rsid w:val="005C26CC"/>
    <w:rsid w:val="005C39FF"/>
    <w:rsid w:val="005C4463"/>
    <w:rsid w:val="005D3D88"/>
    <w:rsid w:val="005D45DF"/>
    <w:rsid w:val="005D48C4"/>
    <w:rsid w:val="005D6208"/>
    <w:rsid w:val="005D6366"/>
    <w:rsid w:val="005D7BA2"/>
    <w:rsid w:val="005E36C2"/>
    <w:rsid w:val="005E4AF4"/>
    <w:rsid w:val="005E6476"/>
    <w:rsid w:val="005F1769"/>
    <w:rsid w:val="005F387E"/>
    <w:rsid w:val="005F46F4"/>
    <w:rsid w:val="005F5C1D"/>
    <w:rsid w:val="005F6B87"/>
    <w:rsid w:val="005F7E9D"/>
    <w:rsid w:val="00601E0B"/>
    <w:rsid w:val="00601E98"/>
    <w:rsid w:val="0060258B"/>
    <w:rsid w:val="00603409"/>
    <w:rsid w:val="00605769"/>
    <w:rsid w:val="0060640D"/>
    <w:rsid w:val="00610EF9"/>
    <w:rsid w:val="00612F1F"/>
    <w:rsid w:val="00612F4F"/>
    <w:rsid w:val="00614EA0"/>
    <w:rsid w:val="00615C6B"/>
    <w:rsid w:val="006167F6"/>
    <w:rsid w:val="00617D4C"/>
    <w:rsid w:val="00621A90"/>
    <w:rsid w:val="00621DCE"/>
    <w:rsid w:val="00621FC5"/>
    <w:rsid w:val="00622521"/>
    <w:rsid w:val="00624F2C"/>
    <w:rsid w:val="00626D2D"/>
    <w:rsid w:val="00626F49"/>
    <w:rsid w:val="006313FA"/>
    <w:rsid w:val="00632D6D"/>
    <w:rsid w:val="00634252"/>
    <w:rsid w:val="0063572D"/>
    <w:rsid w:val="00636569"/>
    <w:rsid w:val="00636EF9"/>
    <w:rsid w:val="00637BF8"/>
    <w:rsid w:val="0064068F"/>
    <w:rsid w:val="00642C3E"/>
    <w:rsid w:val="00643480"/>
    <w:rsid w:val="00644A01"/>
    <w:rsid w:val="006466B8"/>
    <w:rsid w:val="00651E2D"/>
    <w:rsid w:val="00652324"/>
    <w:rsid w:val="006541DD"/>
    <w:rsid w:val="006554DC"/>
    <w:rsid w:val="006560D5"/>
    <w:rsid w:val="006563C8"/>
    <w:rsid w:val="006577FB"/>
    <w:rsid w:val="0065783D"/>
    <w:rsid w:val="0066104A"/>
    <w:rsid w:val="006621F7"/>
    <w:rsid w:val="00662A00"/>
    <w:rsid w:val="00663066"/>
    <w:rsid w:val="00663DAD"/>
    <w:rsid w:val="00664206"/>
    <w:rsid w:val="006649E7"/>
    <w:rsid w:val="00666634"/>
    <w:rsid w:val="0066678F"/>
    <w:rsid w:val="00667D6B"/>
    <w:rsid w:val="00671692"/>
    <w:rsid w:val="00675E20"/>
    <w:rsid w:val="00676679"/>
    <w:rsid w:val="00681B9C"/>
    <w:rsid w:val="00682D8F"/>
    <w:rsid w:val="00683C89"/>
    <w:rsid w:val="00685C39"/>
    <w:rsid w:val="00691B53"/>
    <w:rsid w:val="00692DA2"/>
    <w:rsid w:val="00696547"/>
    <w:rsid w:val="00697D0B"/>
    <w:rsid w:val="006A12BA"/>
    <w:rsid w:val="006A140C"/>
    <w:rsid w:val="006A4739"/>
    <w:rsid w:val="006A66A1"/>
    <w:rsid w:val="006B0196"/>
    <w:rsid w:val="006B032D"/>
    <w:rsid w:val="006B0498"/>
    <w:rsid w:val="006B1B44"/>
    <w:rsid w:val="006B209A"/>
    <w:rsid w:val="006B2148"/>
    <w:rsid w:val="006B2395"/>
    <w:rsid w:val="006B40AC"/>
    <w:rsid w:val="006B4CF9"/>
    <w:rsid w:val="006B797C"/>
    <w:rsid w:val="006B7AC8"/>
    <w:rsid w:val="006C1736"/>
    <w:rsid w:val="006C329B"/>
    <w:rsid w:val="006C4144"/>
    <w:rsid w:val="006C5C13"/>
    <w:rsid w:val="006C6303"/>
    <w:rsid w:val="006C6CCA"/>
    <w:rsid w:val="006D131A"/>
    <w:rsid w:val="006D550F"/>
    <w:rsid w:val="006D6146"/>
    <w:rsid w:val="006D7F7E"/>
    <w:rsid w:val="006E0CFF"/>
    <w:rsid w:val="006E2C6D"/>
    <w:rsid w:val="006F0D92"/>
    <w:rsid w:val="006F267D"/>
    <w:rsid w:val="0070011E"/>
    <w:rsid w:val="00700720"/>
    <w:rsid w:val="00701CAB"/>
    <w:rsid w:val="007023BB"/>
    <w:rsid w:val="00702845"/>
    <w:rsid w:val="00702D78"/>
    <w:rsid w:val="00704DD7"/>
    <w:rsid w:val="00706ED0"/>
    <w:rsid w:val="00707563"/>
    <w:rsid w:val="00713CE5"/>
    <w:rsid w:val="0071472C"/>
    <w:rsid w:val="00715F61"/>
    <w:rsid w:val="00721473"/>
    <w:rsid w:val="00722132"/>
    <w:rsid w:val="007228F7"/>
    <w:rsid w:val="0072348C"/>
    <w:rsid w:val="00724A37"/>
    <w:rsid w:val="00725435"/>
    <w:rsid w:val="007303C3"/>
    <w:rsid w:val="00731188"/>
    <w:rsid w:val="00732EE1"/>
    <w:rsid w:val="00734003"/>
    <w:rsid w:val="007356CC"/>
    <w:rsid w:val="007368E6"/>
    <w:rsid w:val="00737191"/>
    <w:rsid w:val="007375DF"/>
    <w:rsid w:val="00737B80"/>
    <w:rsid w:val="00741723"/>
    <w:rsid w:val="007429BE"/>
    <w:rsid w:val="00743223"/>
    <w:rsid w:val="00743349"/>
    <w:rsid w:val="0074403A"/>
    <w:rsid w:val="00746E01"/>
    <w:rsid w:val="00751515"/>
    <w:rsid w:val="00751CF6"/>
    <w:rsid w:val="00751DCD"/>
    <w:rsid w:val="00752E05"/>
    <w:rsid w:val="00754BBE"/>
    <w:rsid w:val="00755084"/>
    <w:rsid w:val="00757364"/>
    <w:rsid w:val="00757BDF"/>
    <w:rsid w:val="007609D0"/>
    <w:rsid w:val="00761454"/>
    <w:rsid w:val="0076193D"/>
    <w:rsid w:val="00762AB1"/>
    <w:rsid w:val="007639A9"/>
    <w:rsid w:val="00763E5D"/>
    <w:rsid w:val="00767740"/>
    <w:rsid w:val="00767B5E"/>
    <w:rsid w:val="007730E7"/>
    <w:rsid w:val="00775460"/>
    <w:rsid w:val="00777EE6"/>
    <w:rsid w:val="00780E49"/>
    <w:rsid w:val="007819BD"/>
    <w:rsid w:val="00782EEA"/>
    <w:rsid w:val="00783B37"/>
    <w:rsid w:val="007863D9"/>
    <w:rsid w:val="007876F1"/>
    <w:rsid w:val="007909B4"/>
    <w:rsid w:val="00790E86"/>
    <w:rsid w:val="00792CB4"/>
    <w:rsid w:val="00792F99"/>
    <w:rsid w:val="0079353A"/>
    <w:rsid w:val="007949D7"/>
    <w:rsid w:val="007A0143"/>
    <w:rsid w:val="007A0707"/>
    <w:rsid w:val="007A29C4"/>
    <w:rsid w:val="007A34C2"/>
    <w:rsid w:val="007A396C"/>
    <w:rsid w:val="007A4B02"/>
    <w:rsid w:val="007A5106"/>
    <w:rsid w:val="007A6499"/>
    <w:rsid w:val="007B0BE3"/>
    <w:rsid w:val="007B1816"/>
    <w:rsid w:val="007B186E"/>
    <w:rsid w:val="007B25DC"/>
    <w:rsid w:val="007B28D9"/>
    <w:rsid w:val="007B2C72"/>
    <w:rsid w:val="007B3789"/>
    <w:rsid w:val="007B4104"/>
    <w:rsid w:val="007B4292"/>
    <w:rsid w:val="007B651F"/>
    <w:rsid w:val="007B697B"/>
    <w:rsid w:val="007B7BB5"/>
    <w:rsid w:val="007C145C"/>
    <w:rsid w:val="007C1C53"/>
    <w:rsid w:val="007C284C"/>
    <w:rsid w:val="007C4B82"/>
    <w:rsid w:val="007C6321"/>
    <w:rsid w:val="007C720D"/>
    <w:rsid w:val="007C74BB"/>
    <w:rsid w:val="007C7F64"/>
    <w:rsid w:val="007D0A95"/>
    <w:rsid w:val="007D0EB5"/>
    <w:rsid w:val="007D456E"/>
    <w:rsid w:val="007D5837"/>
    <w:rsid w:val="007E4904"/>
    <w:rsid w:val="007E4CB5"/>
    <w:rsid w:val="007E4DAE"/>
    <w:rsid w:val="007E7E18"/>
    <w:rsid w:val="007F066B"/>
    <w:rsid w:val="007F4EAB"/>
    <w:rsid w:val="007F5B16"/>
    <w:rsid w:val="007F6FF0"/>
    <w:rsid w:val="007F7C9D"/>
    <w:rsid w:val="0080159B"/>
    <w:rsid w:val="008033C4"/>
    <w:rsid w:val="00803F82"/>
    <w:rsid w:val="00806731"/>
    <w:rsid w:val="00806C88"/>
    <w:rsid w:val="0081034E"/>
    <w:rsid w:val="00810806"/>
    <w:rsid w:val="00815882"/>
    <w:rsid w:val="00816627"/>
    <w:rsid w:val="00820454"/>
    <w:rsid w:val="00822AC7"/>
    <w:rsid w:val="00822E86"/>
    <w:rsid w:val="00823E7C"/>
    <w:rsid w:val="0082511D"/>
    <w:rsid w:val="0082633D"/>
    <w:rsid w:val="008344F6"/>
    <w:rsid w:val="0083510F"/>
    <w:rsid w:val="00835610"/>
    <w:rsid w:val="00836BE0"/>
    <w:rsid w:val="00837BF3"/>
    <w:rsid w:val="00840089"/>
    <w:rsid w:val="00840C9B"/>
    <w:rsid w:val="008415DE"/>
    <w:rsid w:val="008420DE"/>
    <w:rsid w:val="008420F7"/>
    <w:rsid w:val="00842814"/>
    <w:rsid w:val="00844A31"/>
    <w:rsid w:val="00845865"/>
    <w:rsid w:val="0084799B"/>
    <w:rsid w:val="00847A88"/>
    <w:rsid w:val="00850C90"/>
    <w:rsid w:val="00851209"/>
    <w:rsid w:val="0085171F"/>
    <w:rsid w:val="00851E0A"/>
    <w:rsid w:val="0085430A"/>
    <w:rsid w:val="008567AB"/>
    <w:rsid w:val="008613B9"/>
    <w:rsid w:val="008658A1"/>
    <w:rsid w:val="0086716A"/>
    <w:rsid w:val="00870613"/>
    <w:rsid w:val="0087158B"/>
    <w:rsid w:val="0087380F"/>
    <w:rsid w:val="00874BA3"/>
    <w:rsid w:val="0087648F"/>
    <w:rsid w:val="00876612"/>
    <w:rsid w:val="00882BB1"/>
    <w:rsid w:val="008837AC"/>
    <w:rsid w:val="00886370"/>
    <w:rsid w:val="00887888"/>
    <w:rsid w:val="00887E3A"/>
    <w:rsid w:val="00890500"/>
    <w:rsid w:val="008909DC"/>
    <w:rsid w:val="00894255"/>
    <w:rsid w:val="008945AD"/>
    <w:rsid w:val="00896B8B"/>
    <w:rsid w:val="008A04EE"/>
    <w:rsid w:val="008A0645"/>
    <w:rsid w:val="008A1C02"/>
    <w:rsid w:val="008A1D65"/>
    <w:rsid w:val="008A370D"/>
    <w:rsid w:val="008A400F"/>
    <w:rsid w:val="008A587D"/>
    <w:rsid w:val="008B16B0"/>
    <w:rsid w:val="008B1BD5"/>
    <w:rsid w:val="008B35CD"/>
    <w:rsid w:val="008B3DDB"/>
    <w:rsid w:val="008B4093"/>
    <w:rsid w:val="008B5605"/>
    <w:rsid w:val="008B5FCC"/>
    <w:rsid w:val="008B7F36"/>
    <w:rsid w:val="008C03DB"/>
    <w:rsid w:val="008C0C95"/>
    <w:rsid w:val="008C357F"/>
    <w:rsid w:val="008C5469"/>
    <w:rsid w:val="008C5486"/>
    <w:rsid w:val="008C6E80"/>
    <w:rsid w:val="008C7525"/>
    <w:rsid w:val="008D1661"/>
    <w:rsid w:val="008D27E0"/>
    <w:rsid w:val="008D5F90"/>
    <w:rsid w:val="008D6800"/>
    <w:rsid w:val="008D72F1"/>
    <w:rsid w:val="008E2100"/>
    <w:rsid w:val="008E4089"/>
    <w:rsid w:val="008E51F1"/>
    <w:rsid w:val="008E5AFF"/>
    <w:rsid w:val="008E5E66"/>
    <w:rsid w:val="008E7031"/>
    <w:rsid w:val="008E77DE"/>
    <w:rsid w:val="008F022A"/>
    <w:rsid w:val="008F040C"/>
    <w:rsid w:val="008F07A3"/>
    <w:rsid w:val="008F2236"/>
    <w:rsid w:val="008F31D6"/>
    <w:rsid w:val="008F3322"/>
    <w:rsid w:val="008F3519"/>
    <w:rsid w:val="008F3A0D"/>
    <w:rsid w:val="008F3B2F"/>
    <w:rsid w:val="008F5220"/>
    <w:rsid w:val="009001B6"/>
    <w:rsid w:val="00900E1B"/>
    <w:rsid w:val="0090131F"/>
    <w:rsid w:val="00903F4C"/>
    <w:rsid w:val="009062B8"/>
    <w:rsid w:val="00907683"/>
    <w:rsid w:val="009116B7"/>
    <w:rsid w:val="009132B7"/>
    <w:rsid w:val="00914AE9"/>
    <w:rsid w:val="00914CEB"/>
    <w:rsid w:val="00915E3C"/>
    <w:rsid w:val="00916A2C"/>
    <w:rsid w:val="00917CB3"/>
    <w:rsid w:val="0092080F"/>
    <w:rsid w:val="00921B5E"/>
    <w:rsid w:val="00922935"/>
    <w:rsid w:val="009233EE"/>
    <w:rsid w:val="00926E76"/>
    <w:rsid w:val="00930B1A"/>
    <w:rsid w:val="00932612"/>
    <w:rsid w:val="009327DC"/>
    <w:rsid w:val="009338D9"/>
    <w:rsid w:val="009339BD"/>
    <w:rsid w:val="009356CF"/>
    <w:rsid w:val="00935C48"/>
    <w:rsid w:val="00936376"/>
    <w:rsid w:val="00945E53"/>
    <w:rsid w:val="009460AA"/>
    <w:rsid w:val="0094756D"/>
    <w:rsid w:val="00947B23"/>
    <w:rsid w:val="00947D8B"/>
    <w:rsid w:val="00951506"/>
    <w:rsid w:val="00951978"/>
    <w:rsid w:val="00952C8B"/>
    <w:rsid w:val="009554C2"/>
    <w:rsid w:val="00955AA7"/>
    <w:rsid w:val="00957663"/>
    <w:rsid w:val="00961A4A"/>
    <w:rsid w:val="00962BF6"/>
    <w:rsid w:val="009661DE"/>
    <w:rsid w:val="00971AB3"/>
    <w:rsid w:val="00972C7C"/>
    <w:rsid w:val="009747A1"/>
    <w:rsid w:val="009776F4"/>
    <w:rsid w:val="00982DA2"/>
    <w:rsid w:val="00983C25"/>
    <w:rsid w:val="0098466D"/>
    <w:rsid w:val="00985479"/>
    <w:rsid w:val="009856B7"/>
    <w:rsid w:val="009859D6"/>
    <w:rsid w:val="00985C86"/>
    <w:rsid w:val="00986109"/>
    <w:rsid w:val="00987E20"/>
    <w:rsid w:val="00995379"/>
    <w:rsid w:val="009A073E"/>
    <w:rsid w:val="009A2DE1"/>
    <w:rsid w:val="009A5FC3"/>
    <w:rsid w:val="009B1CB5"/>
    <w:rsid w:val="009B4175"/>
    <w:rsid w:val="009B4912"/>
    <w:rsid w:val="009B628A"/>
    <w:rsid w:val="009B6F84"/>
    <w:rsid w:val="009B74B0"/>
    <w:rsid w:val="009C0152"/>
    <w:rsid w:val="009C178C"/>
    <w:rsid w:val="009C1A74"/>
    <w:rsid w:val="009C321E"/>
    <w:rsid w:val="009C3D42"/>
    <w:rsid w:val="009C491E"/>
    <w:rsid w:val="009C78D8"/>
    <w:rsid w:val="009C7B02"/>
    <w:rsid w:val="009C7DE6"/>
    <w:rsid w:val="009D0DF1"/>
    <w:rsid w:val="009D1496"/>
    <w:rsid w:val="009D15EC"/>
    <w:rsid w:val="009D22D6"/>
    <w:rsid w:val="009D2C84"/>
    <w:rsid w:val="009D3906"/>
    <w:rsid w:val="009D5C07"/>
    <w:rsid w:val="009D5E35"/>
    <w:rsid w:val="009D6B46"/>
    <w:rsid w:val="009E35B6"/>
    <w:rsid w:val="009E3CB9"/>
    <w:rsid w:val="009E5ABC"/>
    <w:rsid w:val="009E6B15"/>
    <w:rsid w:val="009F00DB"/>
    <w:rsid w:val="009F20D9"/>
    <w:rsid w:val="009F2B17"/>
    <w:rsid w:val="009F3BBA"/>
    <w:rsid w:val="009F43B4"/>
    <w:rsid w:val="009F4940"/>
    <w:rsid w:val="009F5B91"/>
    <w:rsid w:val="009F5BA1"/>
    <w:rsid w:val="009F71A7"/>
    <w:rsid w:val="009F7238"/>
    <w:rsid w:val="00A02A88"/>
    <w:rsid w:val="00A04012"/>
    <w:rsid w:val="00A046FA"/>
    <w:rsid w:val="00A0562E"/>
    <w:rsid w:val="00A0726D"/>
    <w:rsid w:val="00A073AE"/>
    <w:rsid w:val="00A12204"/>
    <w:rsid w:val="00A12258"/>
    <w:rsid w:val="00A12750"/>
    <w:rsid w:val="00A13CB0"/>
    <w:rsid w:val="00A141DE"/>
    <w:rsid w:val="00A1561F"/>
    <w:rsid w:val="00A16544"/>
    <w:rsid w:val="00A171B9"/>
    <w:rsid w:val="00A220FC"/>
    <w:rsid w:val="00A22E4D"/>
    <w:rsid w:val="00A25BE0"/>
    <w:rsid w:val="00A2707A"/>
    <w:rsid w:val="00A30BF5"/>
    <w:rsid w:val="00A31794"/>
    <w:rsid w:val="00A31BE6"/>
    <w:rsid w:val="00A32944"/>
    <w:rsid w:val="00A32FBB"/>
    <w:rsid w:val="00A332BC"/>
    <w:rsid w:val="00A3503D"/>
    <w:rsid w:val="00A36CF9"/>
    <w:rsid w:val="00A373C2"/>
    <w:rsid w:val="00A40068"/>
    <w:rsid w:val="00A40BE9"/>
    <w:rsid w:val="00A4169F"/>
    <w:rsid w:val="00A428EE"/>
    <w:rsid w:val="00A42EB4"/>
    <w:rsid w:val="00A43B0E"/>
    <w:rsid w:val="00A443C2"/>
    <w:rsid w:val="00A4478A"/>
    <w:rsid w:val="00A44852"/>
    <w:rsid w:val="00A50502"/>
    <w:rsid w:val="00A51562"/>
    <w:rsid w:val="00A5214D"/>
    <w:rsid w:val="00A525BA"/>
    <w:rsid w:val="00A53112"/>
    <w:rsid w:val="00A53409"/>
    <w:rsid w:val="00A53796"/>
    <w:rsid w:val="00A53848"/>
    <w:rsid w:val="00A56945"/>
    <w:rsid w:val="00A56A6E"/>
    <w:rsid w:val="00A5782B"/>
    <w:rsid w:val="00A57D04"/>
    <w:rsid w:val="00A60A22"/>
    <w:rsid w:val="00A60A26"/>
    <w:rsid w:val="00A61598"/>
    <w:rsid w:val="00A61777"/>
    <w:rsid w:val="00A62A1A"/>
    <w:rsid w:val="00A63646"/>
    <w:rsid w:val="00A63914"/>
    <w:rsid w:val="00A66142"/>
    <w:rsid w:val="00A67B1B"/>
    <w:rsid w:val="00A700CF"/>
    <w:rsid w:val="00A70A9C"/>
    <w:rsid w:val="00A70E2B"/>
    <w:rsid w:val="00A717A2"/>
    <w:rsid w:val="00A75C9A"/>
    <w:rsid w:val="00A84A99"/>
    <w:rsid w:val="00A84F46"/>
    <w:rsid w:val="00A85E87"/>
    <w:rsid w:val="00A86AEA"/>
    <w:rsid w:val="00A871F4"/>
    <w:rsid w:val="00A9431A"/>
    <w:rsid w:val="00A95988"/>
    <w:rsid w:val="00A959DF"/>
    <w:rsid w:val="00A9691F"/>
    <w:rsid w:val="00A9719F"/>
    <w:rsid w:val="00A97A1B"/>
    <w:rsid w:val="00AA2927"/>
    <w:rsid w:val="00AB04E0"/>
    <w:rsid w:val="00AB2CB8"/>
    <w:rsid w:val="00AB40AE"/>
    <w:rsid w:val="00AB4617"/>
    <w:rsid w:val="00AB61FB"/>
    <w:rsid w:val="00AB6769"/>
    <w:rsid w:val="00AC107C"/>
    <w:rsid w:val="00AC1B2C"/>
    <w:rsid w:val="00AC2CBE"/>
    <w:rsid w:val="00AC3264"/>
    <w:rsid w:val="00AC46AD"/>
    <w:rsid w:val="00AC4D2D"/>
    <w:rsid w:val="00AC58EC"/>
    <w:rsid w:val="00AC7282"/>
    <w:rsid w:val="00AC7961"/>
    <w:rsid w:val="00AD1BD6"/>
    <w:rsid w:val="00AD2BC2"/>
    <w:rsid w:val="00AD314E"/>
    <w:rsid w:val="00AD39A9"/>
    <w:rsid w:val="00AD52B0"/>
    <w:rsid w:val="00AD5FCD"/>
    <w:rsid w:val="00AD6A1B"/>
    <w:rsid w:val="00AD6B48"/>
    <w:rsid w:val="00AD7A3A"/>
    <w:rsid w:val="00AE1BF1"/>
    <w:rsid w:val="00AE23AB"/>
    <w:rsid w:val="00AE58FB"/>
    <w:rsid w:val="00AE5AF0"/>
    <w:rsid w:val="00AE5B43"/>
    <w:rsid w:val="00AE6582"/>
    <w:rsid w:val="00AE663D"/>
    <w:rsid w:val="00AE73B3"/>
    <w:rsid w:val="00AF07E7"/>
    <w:rsid w:val="00AF0AE2"/>
    <w:rsid w:val="00AF0DD2"/>
    <w:rsid w:val="00AF31E1"/>
    <w:rsid w:val="00AF3BBA"/>
    <w:rsid w:val="00AF4231"/>
    <w:rsid w:val="00AF6A8D"/>
    <w:rsid w:val="00B00B0E"/>
    <w:rsid w:val="00B00B26"/>
    <w:rsid w:val="00B01F5F"/>
    <w:rsid w:val="00B02385"/>
    <w:rsid w:val="00B02F9D"/>
    <w:rsid w:val="00B05766"/>
    <w:rsid w:val="00B11DAF"/>
    <w:rsid w:val="00B127BF"/>
    <w:rsid w:val="00B13048"/>
    <w:rsid w:val="00B13883"/>
    <w:rsid w:val="00B1716D"/>
    <w:rsid w:val="00B17A1D"/>
    <w:rsid w:val="00B207A0"/>
    <w:rsid w:val="00B21C21"/>
    <w:rsid w:val="00B22F54"/>
    <w:rsid w:val="00B24A7E"/>
    <w:rsid w:val="00B25920"/>
    <w:rsid w:val="00B25C0C"/>
    <w:rsid w:val="00B304B5"/>
    <w:rsid w:val="00B308A9"/>
    <w:rsid w:val="00B31047"/>
    <w:rsid w:val="00B33148"/>
    <w:rsid w:val="00B35CDF"/>
    <w:rsid w:val="00B403C2"/>
    <w:rsid w:val="00B405A1"/>
    <w:rsid w:val="00B4438A"/>
    <w:rsid w:val="00B45AA2"/>
    <w:rsid w:val="00B46CC0"/>
    <w:rsid w:val="00B479CA"/>
    <w:rsid w:val="00B5084F"/>
    <w:rsid w:val="00B514DD"/>
    <w:rsid w:val="00B52AF0"/>
    <w:rsid w:val="00B53D5F"/>
    <w:rsid w:val="00B54051"/>
    <w:rsid w:val="00B561BD"/>
    <w:rsid w:val="00B56E03"/>
    <w:rsid w:val="00B6063F"/>
    <w:rsid w:val="00B61C42"/>
    <w:rsid w:val="00B624BE"/>
    <w:rsid w:val="00B62765"/>
    <w:rsid w:val="00B62BC1"/>
    <w:rsid w:val="00B65DF5"/>
    <w:rsid w:val="00B72337"/>
    <w:rsid w:val="00B736D7"/>
    <w:rsid w:val="00B7586F"/>
    <w:rsid w:val="00B7679F"/>
    <w:rsid w:val="00B77159"/>
    <w:rsid w:val="00B77EB1"/>
    <w:rsid w:val="00B8080B"/>
    <w:rsid w:val="00B82223"/>
    <w:rsid w:val="00B8720A"/>
    <w:rsid w:val="00B87BA5"/>
    <w:rsid w:val="00B87C39"/>
    <w:rsid w:val="00B93891"/>
    <w:rsid w:val="00B948E7"/>
    <w:rsid w:val="00B9562D"/>
    <w:rsid w:val="00B956E1"/>
    <w:rsid w:val="00BA21DA"/>
    <w:rsid w:val="00BA2B60"/>
    <w:rsid w:val="00BA3C93"/>
    <w:rsid w:val="00BA4665"/>
    <w:rsid w:val="00BA4E37"/>
    <w:rsid w:val="00BA7FD7"/>
    <w:rsid w:val="00BB1681"/>
    <w:rsid w:val="00BB1B6C"/>
    <w:rsid w:val="00BB2FB2"/>
    <w:rsid w:val="00BB3304"/>
    <w:rsid w:val="00BB4A90"/>
    <w:rsid w:val="00BB6551"/>
    <w:rsid w:val="00BB754D"/>
    <w:rsid w:val="00BC25A5"/>
    <w:rsid w:val="00BC4A10"/>
    <w:rsid w:val="00BD0F72"/>
    <w:rsid w:val="00BD30F4"/>
    <w:rsid w:val="00BD3446"/>
    <w:rsid w:val="00BD38F9"/>
    <w:rsid w:val="00BD59CF"/>
    <w:rsid w:val="00BE0875"/>
    <w:rsid w:val="00BE1312"/>
    <w:rsid w:val="00BE1F1B"/>
    <w:rsid w:val="00BE2261"/>
    <w:rsid w:val="00BE33DD"/>
    <w:rsid w:val="00BE3F89"/>
    <w:rsid w:val="00BE47B5"/>
    <w:rsid w:val="00BE5FCE"/>
    <w:rsid w:val="00BF1B60"/>
    <w:rsid w:val="00BF2873"/>
    <w:rsid w:val="00BF502D"/>
    <w:rsid w:val="00C0079E"/>
    <w:rsid w:val="00C02216"/>
    <w:rsid w:val="00C0572A"/>
    <w:rsid w:val="00C13EBD"/>
    <w:rsid w:val="00C1631B"/>
    <w:rsid w:val="00C163AB"/>
    <w:rsid w:val="00C170F0"/>
    <w:rsid w:val="00C17C72"/>
    <w:rsid w:val="00C23F6B"/>
    <w:rsid w:val="00C25962"/>
    <w:rsid w:val="00C25FA6"/>
    <w:rsid w:val="00C3099D"/>
    <w:rsid w:val="00C33011"/>
    <w:rsid w:val="00C34568"/>
    <w:rsid w:val="00C3502F"/>
    <w:rsid w:val="00C362C1"/>
    <w:rsid w:val="00C366F4"/>
    <w:rsid w:val="00C41950"/>
    <w:rsid w:val="00C42C3B"/>
    <w:rsid w:val="00C43B2B"/>
    <w:rsid w:val="00C4488C"/>
    <w:rsid w:val="00C51672"/>
    <w:rsid w:val="00C538A9"/>
    <w:rsid w:val="00C53B5A"/>
    <w:rsid w:val="00C53E41"/>
    <w:rsid w:val="00C54909"/>
    <w:rsid w:val="00C54AF3"/>
    <w:rsid w:val="00C54F5A"/>
    <w:rsid w:val="00C569B4"/>
    <w:rsid w:val="00C574A3"/>
    <w:rsid w:val="00C57DDE"/>
    <w:rsid w:val="00C61032"/>
    <w:rsid w:val="00C61468"/>
    <w:rsid w:val="00C61A97"/>
    <w:rsid w:val="00C61E44"/>
    <w:rsid w:val="00C62AC6"/>
    <w:rsid w:val="00C64FF3"/>
    <w:rsid w:val="00C6611C"/>
    <w:rsid w:val="00C662AD"/>
    <w:rsid w:val="00C663B6"/>
    <w:rsid w:val="00C67A92"/>
    <w:rsid w:val="00C71280"/>
    <w:rsid w:val="00C717BF"/>
    <w:rsid w:val="00C75996"/>
    <w:rsid w:val="00C76178"/>
    <w:rsid w:val="00C76D9B"/>
    <w:rsid w:val="00C8112C"/>
    <w:rsid w:val="00C83193"/>
    <w:rsid w:val="00C83FD4"/>
    <w:rsid w:val="00C84560"/>
    <w:rsid w:val="00C86679"/>
    <w:rsid w:val="00C8792F"/>
    <w:rsid w:val="00C90472"/>
    <w:rsid w:val="00C91D6E"/>
    <w:rsid w:val="00C947BC"/>
    <w:rsid w:val="00C97587"/>
    <w:rsid w:val="00CA416F"/>
    <w:rsid w:val="00CA489E"/>
    <w:rsid w:val="00CA77D2"/>
    <w:rsid w:val="00CB0279"/>
    <w:rsid w:val="00CB25F4"/>
    <w:rsid w:val="00CB666B"/>
    <w:rsid w:val="00CB734B"/>
    <w:rsid w:val="00CC08D9"/>
    <w:rsid w:val="00CC41B6"/>
    <w:rsid w:val="00CC68DF"/>
    <w:rsid w:val="00CC7ADA"/>
    <w:rsid w:val="00CC7F1D"/>
    <w:rsid w:val="00CD03C9"/>
    <w:rsid w:val="00CD0A88"/>
    <w:rsid w:val="00CD125D"/>
    <w:rsid w:val="00CD1508"/>
    <w:rsid w:val="00CD283C"/>
    <w:rsid w:val="00CD3641"/>
    <w:rsid w:val="00CD66EA"/>
    <w:rsid w:val="00CD7432"/>
    <w:rsid w:val="00CD79F6"/>
    <w:rsid w:val="00CE0FA5"/>
    <w:rsid w:val="00CE2444"/>
    <w:rsid w:val="00CE2A23"/>
    <w:rsid w:val="00CE31C8"/>
    <w:rsid w:val="00CE3E61"/>
    <w:rsid w:val="00CE4356"/>
    <w:rsid w:val="00CE484B"/>
    <w:rsid w:val="00CE6F27"/>
    <w:rsid w:val="00CE7648"/>
    <w:rsid w:val="00CE7CBA"/>
    <w:rsid w:val="00CF0DEE"/>
    <w:rsid w:val="00CF42AA"/>
    <w:rsid w:val="00CF572B"/>
    <w:rsid w:val="00CF5EAA"/>
    <w:rsid w:val="00CF6AE3"/>
    <w:rsid w:val="00CF77BB"/>
    <w:rsid w:val="00D006AE"/>
    <w:rsid w:val="00D00905"/>
    <w:rsid w:val="00D010C1"/>
    <w:rsid w:val="00D01CF0"/>
    <w:rsid w:val="00D02E6B"/>
    <w:rsid w:val="00D0442A"/>
    <w:rsid w:val="00D12A7B"/>
    <w:rsid w:val="00D12ADB"/>
    <w:rsid w:val="00D15E63"/>
    <w:rsid w:val="00D173DC"/>
    <w:rsid w:val="00D25A39"/>
    <w:rsid w:val="00D261A1"/>
    <w:rsid w:val="00D27CFA"/>
    <w:rsid w:val="00D310FA"/>
    <w:rsid w:val="00D325C6"/>
    <w:rsid w:val="00D34134"/>
    <w:rsid w:val="00D3691A"/>
    <w:rsid w:val="00D37213"/>
    <w:rsid w:val="00D4360D"/>
    <w:rsid w:val="00D4642B"/>
    <w:rsid w:val="00D4785F"/>
    <w:rsid w:val="00D52E00"/>
    <w:rsid w:val="00D54328"/>
    <w:rsid w:val="00D55C80"/>
    <w:rsid w:val="00D55E0E"/>
    <w:rsid w:val="00D5607F"/>
    <w:rsid w:val="00D568A3"/>
    <w:rsid w:val="00D61388"/>
    <w:rsid w:val="00D61A54"/>
    <w:rsid w:val="00D62108"/>
    <w:rsid w:val="00D63BB1"/>
    <w:rsid w:val="00D64AA4"/>
    <w:rsid w:val="00D64DEA"/>
    <w:rsid w:val="00D64F84"/>
    <w:rsid w:val="00D663CD"/>
    <w:rsid w:val="00D6726A"/>
    <w:rsid w:val="00D7001B"/>
    <w:rsid w:val="00D7160D"/>
    <w:rsid w:val="00D7168E"/>
    <w:rsid w:val="00D71E57"/>
    <w:rsid w:val="00D72D27"/>
    <w:rsid w:val="00D76821"/>
    <w:rsid w:val="00D7786B"/>
    <w:rsid w:val="00D80893"/>
    <w:rsid w:val="00D81773"/>
    <w:rsid w:val="00D8247C"/>
    <w:rsid w:val="00D82519"/>
    <w:rsid w:val="00D84854"/>
    <w:rsid w:val="00D85F52"/>
    <w:rsid w:val="00D86609"/>
    <w:rsid w:val="00D9207A"/>
    <w:rsid w:val="00D924AE"/>
    <w:rsid w:val="00D92CF1"/>
    <w:rsid w:val="00D92D38"/>
    <w:rsid w:val="00D9424F"/>
    <w:rsid w:val="00D950F5"/>
    <w:rsid w:val="00D97379"/>
    <w:rsid w:val="00DA1631"/>
    <w:rsid w:val="00DA1C92"/>
    <w:rsid w:val="00DA34BB"/>
    <w:rsid w:val="00DA38A5"/>
    <w:rsid w:val="00DA4752"/>
    <w:rsid w:val="00DA4C09"/>
    <w:rsid w:val="00DA61F3"/>
    <w:rsid w:val="00DA7839"/>
    <w:rsid w:val="00DA7CB3"/>
    <w:rsid w:val="00DB025F"/>
    <w:rsid w:val="00DB064E"/>
    <w:rsid w:val="00DB0D00"/>
    <w:rsid w:val="00DB0F93"/>
    <w:rsid w:val="00DB11C9"/>
    <w:rsid w:val="00DB1A67"/>
    <w:rsid w:val="00DB2408"/>
    <w:rsid w:val="00DB3721"/>
    <w:rsid w:val="00DB5074"/>
    <w:rsid w:val="00DB777D"/>
    <w:rsid w:val="00DC0281"/>
    <w:rsid w:val="00DC1930"/>
    <w:rsid w:val="00DC1C76"/>
    <w:rsid w:val="00DC4DBF"/>
    <w:rsid w:val="00DC4E19"/>
    <w:rsid w:val="00DC65FE"/>
    <w:rsid w:val="00DC7981"/>
    <w:rsid w:val="00DC7ADD"/>
    <w:rsid w:val="00DD0205"/>
    <w:rsid w:val="00DD20E6"/>
    <w:rsid w:val="00DD4C07"/>
    <w:rsid w:val="00DD577D"/>
    <w:rsid w:val="00DD5ADC"/>
    <w:rsid w:val="00DE04BA"/>
    <w:rsid w:val="00DE1093"/>
    <w:rsid w:val="00DE1BD7"/>
    <w:rsid w:val="00DE34ED"/>
    <w:rsid w:val="00DE4EFA"/>
    <w:rsid w:val="00DE5520"/>
    <w:rsid w:val="00DE563D"/>
    <w:rsid w:val="00DE590E"/>
    <w:rsid w:val="00DE5D77"/>
    <w:rsid w:val="00DE7AB5"/>
    <w:rsid w:val="00DF0152"/>
    <w:rsid w:val="00DF1958"/>
    <w:rsid w:val="00DF3B7F"/>
    <w:rsid w:val="00DF4D79"/>
    <w:rsid w:val="00DF6CA8"/>
    <w:rsid w:val="00E04818"/>
    <w:rsid w:val="00E06442"/>
    <w:rsid w:val="00E06923"/>
    <w:rsid w:val="00E06952"/>
    <w:rsid w:val="00E11E61"/>
    <w:rsid w:val="00E155EE"/>
    <w:rsid w:val="00E157B2"/>
    <w:rsid w:val="00E16055"/>
    <w:rsid w:val="00E21872"/>
    <w:rsid w:val="00E22CC7"/>
    <w:rsid w:val="00E2332D"/>
    <w:rsid w:val="00E23993"/>
    <w:rsid w:val="00E2574F"/>
    <w:rsid w:val="00E25951"/>
    <w:rsid w:val="00E25B8C"/>
    <w:rsid w:val="00E2750E"/>
    <w:rsid w:val="00E27B30"/>
    <w:rsid w:val="00E3046E"/>
    <w:rsid w:val="00E31CF6"/>
    <w:rsid w:val="00E34A4A"/>
    <w:rsid w:val="00E35139"/>
    <w:rsid w:val="00E35AFC"/>
    <w:rsid w:val="00E40FE6"/>
    <w:rsid w:val="00E41D39"/>
    <w:rsid w:val="00E50A02"/>
    <w:rsid w:val="00E50C3D"/>
    <w:rsid w:val="00E53649"/>
    <w:rsid w:val="00E54106"/>
    <w:rsid w:val="00E54697"/>
    <w:rsid w:val="00E56255"/>
    <w:rsid w:val="00E57A08"/>
    <w:rsid w:val="00E63631"/>
    <w:rsid w:val="00E64C2A"/>
    <w:rsid w:val="00E65C85"/>
    <w:rsid w:val="00E66199"/>
    <w:rsid w:val="00E70526"/>
    <w:rsid w:val="00E71C99"/>
    <w:rsid w:val="00E724E5"/>
    <w:rsid w:val="00E754B4"/>
    <w:rsid w:val="00E755EC"/>
    <w:rsid w:val="00E7624D"/>
    <w:rsid w:val="00E7694B"/>
    <w:rsid w:val="00E80C3B"/>
    <w:rsid w:val="00E81724"/>
    <w:rsid w:val="00E819A4"/>
    <w:rsid w:val="00E833FA"/>
    <w:rsid w:val="00E84B74"/>
    <w:rsid w:val="00E87066"/>
    <w:rsid w:val="00E914FF"/>
    <w:rsid w:val="00E9387B"/>
    <w:rsid w:val="00E9485A"/>
    <w:rsid w:val="00E966BF"/>
    <w:rsid w:val="00EA0C04"/>
    <w:rsid w:val="00EA1C04"/>
    <w:rsid w:val="00EA24E5"/>
    <w:rsid w:val="00EA3D42"/>
    <w:rsid w:val="00EA6B1B"/>
    <w:rsid w:val="00EB1CBD"/>
    <w:rsid w:val="00EB3A34"/>
    <w:rsid w:val="00EB3C3F"/>
    <w:rsid w:val="00EB44A7"/>
    <w:rsid w:val="00EB5CCB"/>
    <w:rsid w:val="00EC04F1"/>
    <w:rsid w:val="00EC0A52"/>
    <w:rsid w:val="00EC237F"/>
    <w:rsid w:val="00EC4967"/>
    <w:rsid w:val="00EC573A"/>
    <w:rsid w:val="00ED0D7E"/>
    <w:rsid w:val="00ED35C8"/>
    <w:rsid w:val="00ED3968"/>
    <w:rsid w:val="00ED7323"/>
    <w:rsid w:val="00EE1478"/>
    <w:rsid w:val="00EE1E83"/>
    <w:rsid w:val="00EE28F3"/>
    <w:rsid w:val="00EE50D1"/>
    <w:rsid w:val="00EE5B74"/>
    <w:rsid w:val="00EE7614"/>
    <w:rsid w:val="00EF23A7"/>
    <w:rsid w:val="00EF428F"/>
    <w:rsid w:val="00EF5110"/>
    <w:rsid w:val="00EF5890"/>
    <w:rsid w:val="00EF76BA"/>
    <w:rsid w:val="00F00937"/>
    <w:rsid w:val="00F0231A"/>
    <w:rsid w:val="00F03463"/>
    <w:rsid w:val="00F036B7"/>
    <w:rsid w:val="00F0373F"/>
    <w:rsid w:val="00F04041"/>
    <w:rsid w:val="00F0700F"/>
    <w:rsid w:val="00F07F1F"/>
    <w:rsid w:val="00F10411"/>
    <w:rsid w:val="00F10A9A"/>
    <w:rsid w:val="00F11B2D"/>
    <w:rsid w:val="00F121C2"/>
    <w:rsid w:val="00F1485B"/>
    <w:rsid w:val="00F15882"/>
    <w:rsid w:val="00F167D2"/>
    <w:rsid w:val="00F170C7"/>
    <w:rsid w:val="00F171E0"/>
    <w:rsid w:val="00F176F0"/>
    <w:rsid w:val="00F20934"/>
    <w:rsid w:val="00F20BD3"/>
    <w:rsid w:val="00F23335"/>
    <w:rsid w:val="00F251F5"/>
    <w:rsid w:val="00F26E79"/>
    <w:rsid w:val="00F322E9"/>
    <w:rsid w:val="00F3231B"/>
    <w:rsid w:val="00F33808"/>
    <w:rsid w:val="00F3451C"/>
    <w:rsid w:val="00F373A5"/>
    <w:rsid w:val="00F37864"/>
    <w:rsid w:val="00F404F9"/>
    <w:rsid w:val="00F44B0A"/>
    <w:rsid w:val="00F46C50"/>
    <w:rsid w:val="00F47559"/>
    <w:rsid w:val="00F505A6"/>
    <w:rsid w:val="00F50B30"/>
    <w:rsid w:val="00F51F5F"/>
    <w:rsid w:val="00F52D75"/>
    <w:rsid w:val="00F52FCD"/>
    <w:rsid w:val="00F53E9A"/>
    <w:rsid w:val="00F55582"/>
    <w:rsid w:val="00F56506"/>
    <w:rsid w:val="00F57647"/>
    <w:rsid w:val="00F60621"/>
    <w:rsid w:val="00F6256F"/>
    <w:rsid w:val="00F62A14"/>
    <w:rsid w:val="00F644AB"/>
    <w:rsid w:val="00F64C7B"/>
    <w:rsid w:val="00F676DD"/>
    <w:rsid w:val="00F67AB6"/>
    <w:rsid w:val="00F70028"/>
    <w:rsid w:val="00F70434"/>
    <w:rsid w:val="00F720FE"/>
    <w:rsid w:val="00F75860"/>
    <w:rsid w:val="00F75A26"/>
    <w:rsid w:val="00F76706"/>
    <w:rsid w:val="00F76761"/>
    <w:rsid w:val="00F77D6D"/>
    <w:rsid w:val="00F80206"/>
    <w:rsid w:val="00F83034"/>
    <w:rsid w:val="00F83FAD"/>
    <w:rsid w:val="00F844C6"/>
    <w:rsid w:val="00F86922"/>
    <w:rsid w:val="00F91D7A"/>
    <w:rsid w:val="00F92FA6"/>
    <w:rsid w:val="00F9353B"/>
    <w:rsid w:val="00F937F1"/>
    <w:rsid w:val="00F952A0"/>
    <w:rsid w:val="00FA0783"/>
    <w:rsid w:val="00FA30ED"/>
    <w:rsid w:val="00FA31B1"/>
    <w:rsid w:val="00FA3320"/>
    <w:rsid w:val="00FA3C7F"/>
    <w:rsid w:val="00FA6246"/>
    <w:rsid w:val="00FA6A43"/>
    <w:rsid w:val="00FA7148"/>
    <w:rsid w:val="00FB24ED"/>
    <w:rsid w:val="00FB3304"/>
    <w:rsid w:val="00FB5005"/>
    <w:rsid w:val="00FB60FE"/>
    <w:rsid w:val="00FB74E2"/>
    <w:rsid w:val="00FB778B"/>
    <w:rsid w:val="00FC10F0"/>
    <w:rsid w:val="00FD0BB0"/>
    <w:rsid w:val="00FD5614"/>
    <w:rsid w:val="00FD5E78"/>
    <w:rsid w:val="00FE0BE1"/>
    <w:rsid w:val="00FE11BB"/>
    <w:rsid w:val="00FE1DE9"/>
    <w:rsid w:val="00FE31C2"/>
    <w:rsid w:val="00FE335A"/>
    <w:rsid w:val="00FE36AF"/>
    <w:rsid w:val="00FE39C2"/>
    <w:rsid w:val="00FE3C32"/>
    <w:rsid w:val="00FE6020"/>
    <w:rsid w:val="00FE636E"/>
    <w:rsid w:val="00FE64AE"/>
    <w:rsid w:val="00FE79E3"/>
    <w:rsid w:val="00FF0DD5"/>
    <w:rsid w:val="00FF3237"/>
    <w:rsid w:val="00FF3C4B"/>
    <w:rsid w:val="00FF3E3F"/>
    <w:rsid w:val="00FF4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CA416F"/>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CA416F"/>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gov.au/about-australia/australian-story/austn-weather-and-the-seasons" TargetMode="External"/><Relationship Id="rId2" Type="http://schemas.openxmlformats.org/officeDocument/2006/relationships/hyperlink" Target="http://www.smartmeters.vic.gov.au/safety/healthf" TargetMode="External"/><Relationship Id="rId1" Type="http://schemas.openxmlformats.org/officeDocument/2006/relationships/hyperlink" Target="http://www.smartmeters.vic.gov.au/safety/health"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EBD2F-0152-4F71-967C-EB7676E0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430E5C29.dotm</Template>
  <TotalTime>0</TotalTime>
  <Pages>96</Pages>
  <Words>32064</Words>
  <Characters>182766</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AER final decision - TasNetworks - TSS</vt:lpstr>
    </vt:vector>
  </TitlesOfParts>
  <Company>ACCC</Company>
  <LinksUpToDate>false</LinksUpToDate>
  <CharactersWithSpaces>214402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TSS</dc:title>
  <dc:creator>AER</dc:creator>
  <cp:lastModifiedBy>Le Cornu, Matthew</cp:lastModifiedBy>
  <cp:revision>2</cp:revision>
  <dcterms:created xsi:type="dcterms:W3CDTF">2017-04-27T03:01:00Z</dcterms:created>
  <dcterms:modified xsi:type="dcterms:W3CDTF">2017-04-27T03:01:00Z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tasnetworks distribution determination - attachment 19 - tariff structure statement - april 2017 (AER2017-000063).docx</vt:lpwstr>
  </property>
</Properties>
</file>